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1A40" w14:textId="77777777" w:rsidR="00A77B3E" w:rsidRDefault="00A77B3E"/>
    <w:p w14:paraId="5CC0D5C0" w14:textId="77777777" w:rsidR="00A77B3E" w:rsidRDefault="00A77B3E">
      <w:pPr>
        <w:pStyle w:val="1"/>
      </w:pPr>
    </w:p>
    <w:p w14:paraId="6CD5120B" w14:textId="77777777" w:rsidR="00A77B3E" w:rsidRDefault="00A77B3E">
      <w:pPr>
        <w:pStyle w:val="1"/>
      </w:pPr>
    </w:p>
    <w:p w14:paraId="45223465" w14:textId="77777777" w:rsidR="00A77B3E" w:rsidRDefault="000548D0">
      <w:pPr>
        <w:pStyle w:val="3"/>
      </w:pPr>
      <w:r>
        <w:t>…</w:t>
      </w:r>
    </w:p>
    <w:p w14:paraId="4C40DF08" w14:textId="77777777" w:rsidR="00A77B3E" w:rsidRDefault="000548D0">
      <w:pPr>
        <w:pStyle w:val="7"/>
      </w:pPr>
      <w:r>
        <w:t>NAŘÍZENÍ VLÁDY</w:t>
      </w:r>
    </w:p>
    <w:p w14:paraId="6FB915A9" w14:textId="77777777" w:rsidR="00A77B3E" w:rsidRDefault="000548D0">
      <w:pPr>
        <w:pStyle w:val="10"/>
      </w:pPr>
      <w:r>
        <w:t>ze dne …</w:t>
      </w:r>
    </w:p>
    <w:p w14:paraId="2A80F9D8" w14:textId="77777777" w:rsidR="00A77B3E" w:rsidRDefault="000548D0">
      <w:pPr>
        <w:pStyle w:val="9"/>
      </w:pPr>
      <w:r>
        <w:t>o stanovení území, na kterých nelze vymezovat akcelerační oblasti</w:t>
      </w:r>
    </w:p>
    <w:p w14:paraId="30FD9A47" w14:textId="77777777" w:rsidR="00A77B3E" w:rsidRDefault="000548D0">
      <w:pPr>
        <w:pStyle w:val="15"/>
      </w:pPr>
      <w:r>
        <w:t>Vláda nařizuje podle § 4 odst. 1 zákona č. .../2025 Sb., o urychlení využívání některých obnovitelných zdrojů energie a o změně souvisejících zákonů (zákon o urychlení využívání obnovitelných zdrojů energie):</w:t>
      </w:r>
    </w:p>
    <w:p w14:paraId="0C146239" w14:textId="77777777" w:rsidR="00A77B3E" w:rsidRDefault="00A77B3E">
      <w:pPr>
        <w:pStyle w:val="1"/>
      </w:pPr>
    </w:p>
    <w:p w14:paraId="0508E2AD" w14:textId="77777777" w:rsidR="00A77B3E" w:rsidRDefault="000548D0">
      <w:pPr>
        <w:pStyle w:val="19"/>
      </w:pPr>
      <w:r>
        <w:t>§ 1</w:t>
      </w:r>
    </w:p>
    <w:p w14:paraId="40ECC2A4" w14:textId="77777777" w:rsidR="00A77B3E" w:rsidRDefault="000548D0">
      <w:pPr>
        <w:pStyle w:val="20"/>
      </w:pPr>
      <w:r>
        <w:t>Předmět úpravy</w:t>
      </w:r>
    </w:p>
    <w:p w14:paraId="55F3E578" w14:textId="77777777" w:rsidR="00A77B3E" w:rsidRDefault="000548D0">
      <w:pPr>
        <w:pStyle w:val="16"/>
      </w:pPr>
      <w:r>
        <w:t>Toto nařízení stanoví území, na kterých s ohledem na ochranu životního prostředí, státní památkovou péči, obranu a bezpečnost státu, lázeňství, letectví nebo veřejnou meteorologickou službu nelze vymezovat akcelerační oblasti.</w:t>
      </w:r>
    </w:p>
    <w:p w14:paraId="08B708E9" w14:textId="77777777" w:rsidR="00A77B3E" w:rsidRDefault="000548D0">
      <w:pPr>
        <w:pStyle w:val="19"/>
      </w:pPr>
      <w:r>
        <w:t>§ 2</w:t>
      </w:r>
    </w:p>
    <w:p w14:paraId="70DD7DBA" w14:textId="77777777" w:rsidR="00A77B3E" w:rsidRDefault="000548D0">
      <w:pPr>
        <w:pStyle w:val="20"/>
      </w:pPr>
      <w:r>
        <w:t>Území, na kterých nelze vymezit akcelerační oblasti</w:t>
      </w:r>
    </w:p>
    <w:p w14:paraId="7C2D336A" w14:textId="77777777" w:rsidR="00A77B3E" w:rsidRDefault="000548D0">
      <w:pPr>
        <w:pStyle w:val="22"/>
      </w:pPr>
      <w:r>
        <w:rPr>
          <w:u w:val="single"/>
        </w:rPr>
        <w:t>Akcelerační oblast nelze vymezit na území</w:t>
      </w:r>
    </w:p>
    <w:p w14:paraId="6D1A6A9B" w14:textId="77777777" w:rsidR="00A77B3E" w:rsidRDefault="000548D0">
      <w:pPr>
        <w:pStyle w:val="23"/>
      </w:pPr>
      <w:r>
        <w:t>a)   </w:t>
      </w:r>
      <w:r>
        <w:rPr>
          <w:u w:val="single"/>
        </w:rPr>
        <w:t>ochranných pásem zvláště chráněných území</w:t>
      </w:r>
      <w:r>
        <w:t>,</w:t>
      </w:r>
    </w:p>
    <w:p w14:paraId="2978BB50" w14:textId="77777777" w:rsidR="00A77B3E" w:rsidRDefault="000548D0">
      <w:pPr>
        <w:pStyle w:val="24"/>
      </w:pPr>
      <w:r>
        <w:t>b)   </w:t>
      </w:r>
      <w:r>
        <w:rPr>
          <w:u w:val="single"/>
        </w:rPr>
        <w:t>nadregionálních biocenter územních systémů ekologické stability</w:t>
      </w:r>
      <w:r>
        <w:t>,</w:t>
      </w:r>
    </w:p>
    <w:p w14:paraId="17B6C169" w14:textId="77777777" w:rsidR="00A77B3E" w:rsidRDefault="000548D0">
      <w:pPr>
        <w:pStyle w:val="24"/>
      </w:pPr>
      <w:r>
        <w:t>c)   </w:t>
      </w:r>
      <w:r>
        <w:rPr>
          <w:u w:val="single"/>
        </w:rPr>
        <w:t>biotopu vybraných zvláště chráněných druhů rostlin a živočichů</w:t>
      </w:r>
      <w:r>
        <w:t>,</w:t>
      </w:r>
    </w:p>
    <w:p w14:paraId="59268859" w14:textId="77777777" w:rsidR="00A77B3E" w:rsidRDefault="000548D0">
      <w:pPr>
        <w:pStyle w:val="24"/>
      </w:pPr>
      <w:r>
        <w:t>d)   </w:t>
      </w:r>
      <w:r>
        <w:rPr>
          <w:u w:val="single"/>
        </w:rPr>
        <w:t>oblastí stanovených na základě mapování citlivosti volně žijících živočichů,</w:t>
      </w:r>
    </w:p>
    <w:p w14:paraId="3649A8CE" w14:textId="77777777" w:rsidR="00A77B3E" w:rsidRDefault="000548D0">
      <w:pPr>
        <w:pStyle w:val="24"/>
      </w:pPr>
      <w:r>
        <w:t xml:space="preserve">e)   mokřadů chráněných podle </w:t>
      </w:r>
      <w:proofErr w:type="spellStart"/>
      <w:r>
        <w:t>Ramsarské</w:t>
      </w:r>
      <w:proofErr w:type="spellEnd"/>
      <w:r>
        <w:t xml:space="preserve"> úmluvy,</w:t>
      </w:r>
    </w:p>
    <w:p w14:paraId="42DDC4F2" w14:textId="77777777" w:rsidR="00A77B3E" w:rsidRDefault="000548D0">
      <w:pPr>
        <w:pStyle w:val="24"/>
      </w:pPr>
      <w:r>
        <w:t>f)   aktivních zón záplavových území,</w:t>
      </w:r>
    </w:p>
    <w:p w14:paraId="50D95726" w14:textId="77777777" w:rsidR="00A77B3E" w:rsidRDefault="000548D0">
      <w:pPr>
        <w:pStyle w:val="24"/>
      </w:pPr>
      <w:r>
        <w:t>g)   ochranných pásem vodních zdrojů 1. stupně,</w:t>
      </w:r>
    </w:p>
    <w:p w14:paraId="3CF12179" w14:textId="77777777" w:rsidR="00A77B3E" w:rsidRDefault="000548D0">
      <w:pPr>
        <w:pStyle w:val="24"/>
      </w:pPr>
      <w:r>
        <w:t>h)   památkových rezervací,</w:t>
      </w:r>
    </w:p>
    <w:p w14:paraId="099E028A" w14:textId="77777777" w:rsidR="00A77B3E" w:rsidRDefault="000548D0">
      <w:pPr>
        <w:pStyle w:val="24"/>
      </w:pPr>
      <w:r>
        <w:t>i)   památkových zón,</w:t>
      </w:r>
    </w:p>
    <w:p w14:paraId="0DD42AF9" w14:textId="77777777" w:rsidR="00A77B3E" w:rsidRDefault="000548D0">
      <w:pPr>
        <w:pStyle w:val="24"/>
      </w:pPr>
      <w:r>
        <w:t>j)   statků zapsaných na Seznamu světového dědictví a jejich nárazníkových zón,</w:t>
      </w:r>
    </w:p>
    <w:p w14:paraId="1F8146D6" w14:textId="77777777" w:rsidR="00A77B3E" w:rsidRDefault="000548D0">
      <w:pPr>
        <w:pStyle w:val="24"/>
      </w:pPr>
      <w:r>
        <w:t>k)   nemovitých národních kulturních památek a nemovitých kulturních památek,</w:t>
      </w:r>
    </w:p>
    <w:p w14:paraId="3D8731F2" w14:textId="77777777" w:rsidR="00A77B3E" w:rsidRDefault="000548D0">
      <w:pPr>
        <w:pStyle w:val="24"/>
      </w:pPr>
      <w:r>
        <w:t>l)   vnitřních území lázeňských míst,</w:t>
      </w:r>
    </w:p>
    <w:p w14:paraId="0693DF38" w14:textId="77777777" w:rsidR="00A77B3E" w:rsidRDefault="000548D0">
      <w:pPr>
        <w:pStyle w:val="24"/>
      </w:pPr>
      <w:r>
        <w:t>m)   přírodních léčivých zdrojů a zdrojů přírodní minerální vody a jejich ochranných pásem I. stupně,</w:t>
      </w:r>
    </w:p>
    <w:p w14:paraId="71E713B3" w14:textId="77777777" w:rsidR="00A77B3E" w:rsidRDefault="000548D0">
      <w:pPr>
        <w:pStyle w:val="24"/>
      </w:pPr>
      <w:r>
        <w:t>n)   vojenských újezdů,</w:t>
      </w:r>
    </w:p>
    <w:p w14:paraId="48EBA83F" w14:textId="77777777" w:rsidR="00A77B3E" w:rsidRDefault="000548D0">
      <w:pPr>
        <w:pStyle w:val="28"/>
      </w:pPr>
      <w:r>
        <w:lastRenderedPageBreak/>
        <w:t xml:space="preserve">o)   stanovených v </w:t>
      </w:r>
      <w:hyperlink w:history="1">
        <w:r w:rsidR="00A77B3E">
          <w:rPr>
            <w:rStyle w:val="Hypertextovodkaz"/>
          </w:rPr>
          <w:t>nařízení č. 359/2024 Sb., o stanovení vymezených území s dopadem na stavby pro výrobu energie z obnovitelných zdrojů s celkovým instalovaným výkonem do 50 kW</w:t>
        </w:r>
      </w:hyperlink>
      <w:r>
        <w:t>.</w:t>
      </w:r>
    </w:p>
    <w:p w14:paraId="13A25A39" w14:textId="77777777" w:rsidR="00A77B3E" w:rsidRDefault="000548D0">
      <w:pPr>
        <w:pStyle w:val="19"/>
      </w:pPr>
      <w:r>
        <w:t>§ 3</w:t>
      </w:r>
    </w:p>
    <w:p w14:paraId="566BEE4F" w14:textId="77777777" w:rsidR="00A77B3E" w:rsidRDefault="000548D0">
      <w:pPr>
        <w:pStyle w:val="20"/>
      </w:pPr>
      <w:r>
        <w:rPr>
          <w:bCs/>
        </w:rPr>
        <w:t>Území, na kterých nelze vymezit akcelerační oblast pro</w:t>
      </w:r>
      <w:r>
        <w:t xml:space="preserve"> </w:t>
      </w:r>
      <w:r>
        <w:rPr>
          <w:bCs/>
        </w:rPr>
        <w:t xml:space="preserve">výrobny elektřiny využívající energii slunečního záření </w:t>
      </w:r>
    </w:p>
    <w:p w14:paraId="05A22FFC" w14:textId="77777777" w:rsidR="00A77B3E" w:rsidRDefault="000548D0">
      <w:pPr>
        <w:pStyle w:val="22"/>
      </w:pPr>
      <w:r>
        <w:t>Akcelerační oblast pro výrobny elektřiny využívající energii slunečního záření nelze dále vymezit na území</w:t>
      </w:r>
    </w:p>
    <w:p w14:paraId="3A177D83" w14:textId="77777777" w:rsidR="00A77B3E" w:rsidRDefault="000548D0">
      <w:pPr>
        <w:pStyle w:val="23"/>
      </w:pPr>
      <w:r>
        <w:t>a)   zemědělského půdního fondu se zemědělskou půdou I. a II. třídy ochrany,</w:t>
      </w:r>
    </w:p>
    <w:p w14:paraId="3236CF73" w14:textId="77777777" w:rsidR="00A77B3E" w:rsidRDefault="000548D0">
      <w:pPr>
        <w:pStyle w:val="28"/>
      </w:pPr>
      <w:r>
        <w:t>b)   pozemků určených k plnění funkcí lesa.</w:t>
      </w:r>
    </w:p>
    <w:p w14:paraId="7BC145D7" w14:textId="77777777" w:rsidR="00A77B3E" w:rsidRDefault="000548D0">
      <w:pPr>
        <w:pStyle w:val="19"/>
      </w:pPr>
      <w:r>
        <w:t>§ 4</w:t>
      </w:r>
    </w:p>
    <w:p w14:paraId="40A14BDB" w14:textId="77777777" w:rsidR="00A77B3E" w:rsidRDefault="000548D0">
      <w:pPr>
        <w:pStyle w:val="20"/>
      </w:pPr>
      <w:r>
        <w:rPr>
          <w:bCs/>
        </w:rPr>
        <w:t>Území, na kterých nelze vymezit akcelerační oblast pro</w:t>
      </w:r>
      <w:r>
        <w:t xml:space="preserve"> </w:t>
      </w:r>
      <w:r>
        <w:rPr>
          <w:bCs/>
        </w:rPr>
        <w:t xml:space="preserve">výrobny elektřiny využívající energii větru </w:t>
      </w:r>
    </w:p>
    <w:p w14:paraId="06E7E90D" w14:textId="77777777" w:rsidR="00A77B3E" w:rsidRDefault="000548D0">
      <w:pPr>
        <w:pStyle w:val="22"/>
      </w:pPr>
      <w:r>
        <w:t>Akcelerační oblast pro výrobny elektřiny využívající energii větru nelze dále vymezit na území</w:t>
      </w:r>
    </w:p>
    <w:p w14:paraId="09E45F0F" w14:textId="77777777" w:rsidR="00A77B3E" w:rsidRDefault="000548D0">
      <w:pPr>
        <w:pStyle w:val="23"/>
      </w:pPr>
      <w:r>
        <w:t>a)   pozemků určených k plnění funkcí lesa zařazených do kategorie lesů ochranných a lesů zvláštního určení,</w:t>
      </w:r>
    </w:p>
    <w:p w14:paraId="191F72EE" w14:textId="77777777" w:rsidR="00A77B3E" w:rsidRDefault="000548D0">
      <w:pPr>
        <w:pStyle w:val="24"/>
      </w:pPr>
      <w:r>
        <w:t>b)   civilních letišť a jejich ochranných pásem,</w:t>
      </w:r>
    </w:p>
    <w:p w14:paraId="6688DBF1" w14:textId="77777777" w:rsidR="00A77B3E" w:rsidRDefault="000548D0">
      <w:pPr>
        <w:pStyle w:val="28"/>
      </w:pPr>
      <w:r>
        <w:t xml:space="preserve">c)   vnitřních ochranných pásem </w:t>
      </w:r>
      <w:proofErr w:type="spellStart"/>
      <w:r>
        <w:t>meteoradarů</w:t>
      </w:r>
      <w:proofErr w:type="spellEnd"/>
      <w:r>
        <w:t xml:space="preserve"> a profesionálních měřicích stanic pro výkon veřejné meteorologické služby.</w:t>
      </w:r>
    </w:p>
    <w:p w14:paraId="2B6A9155" w14:textId="77777777" w:rsidR="00A77B3E" w:rsidRDefault="000548D0">
      <w:pPr>
        <w:pStyle w:val="19"/>
      </w:pPr>
      <w:r>
        <w:t>§ 5</w:t>
      </w:r>
    </w:p>
    <w:p w14:paraId="3256291F" w14:textId="77777777" w:rsidR="00A77B3E" w:rsidRDefault="000548D0">
      <w:pPr>
        <w:pStyle w:val="20"/>
      </w:pPr>
      <w:r>
        <w:t>Účinnost</w:t>
      </w:r>
    </w:p>
    <w:p w14:paraId="2E74496D" w14:textId="77777777" w:rsidR="00A77B3E" w:rsidRDefault="00A77B3E">
      <w:pPr>
        <w:pStyle w:val="1"/>
      </w:pPr>
    </w:p>
    <w:p w14:paraId="3E31B928" w14:textId="77777777" w:rsidR="00A77B3E" w:rsidRDefault="000548D0">
      <w:pPr>
        <w:pStyle w:val="22"/>
      </w:pPr>
      <w:r>
        <w:t>Toto nařízení nabývá účinnosti prvním dnem kalendářního měsíce následujícího po dni jeho vyhlášení.</w:t>
      </w:r>
    </w:p>
    <w:p w14:paraId="14991637" w14:textId="77777777" w:rsidR="00A77B3E" w:rsidRDefault="00A77B3E">
      <w:pPr>
        <w:pStyle w:val="1"/>
      </w:pPr>
    </w:p>
    <w:p w14:paraId="4FF5F7EC" w14:textId="77777777" w:rsidR="00A77B3E" w:rsidRDefault="000548D0">
      <w:pPr>
        <w:pStyle w:val="1"/>
        <w:sectPr w:rsidR="00A77B3E">
          <w:headerReference w:type="even" r:id="rId6"/>
          <w:headerReference w:type="default" r:id="rId7"/>
          <w:headerReference w:type="first" r:id="rId8"/>
          <w:pgSz w:w="12240" w:h="15840"/>
          <w:pgMar w:top="1417" w:right="1417" w:bottom="1417" w:left="1417" w:header="400" w:footer="708" w:gutter="0"/>
          <w:cols w:space="708"/>
          <w:docGrid w:linePitch="360"/>
        </w:sectPr>
      </w:pPr>
      <w:r>
        <w:br w:type="page"/>
      </w:r>
    </w:p>
    <w:p w14:paraId="2A34FE90" w14:textId="77777777" w:rsidR="00A77B3E" w:rsidRDefault="00A77B3E">
      <w:pPr>
        <w:pStyle w:val="Normal0"/>
      </w:pPr>
    </w:p>
    <w:p w14:paraId="4E16AE62" w14:textId="77777777" w:rsidR="00A77B3E" w:rsidRDefault="00A77B3E">
      <w:pPr>
        <w:pStyle w:val="100"/>
      </w:pPr>
    </w:p>
    <w:p w14:paraId="572CB7CC" w14:textId="77777777" w:rsidR="00A77B3E" w:rsidRDefault="00A77B3E">
      <w:pPr>
        <w:pStyle w:val="100"/>
      </w:pPr>
    </w:p>
    <w:p w14:paraId="6993F0E9" w14:textId="77777777" w:rsidR="00A77B3E" w:rsidRDefault="000548D0">
      <w:pPr>
        <w:pStyle w:val="6"/>
      </w:pPr>
      <w:r>
        <w:t>Důvodová zpráva</w:t>
      </w:r>
    </w:p>
    <w:p w14:paraId="6B8E18BF" w14:textId="77777777" w:rsidR="00A77B3E" w:rsidRDefault="000548D0">
      <w:pPr>
        <w:pStyle w:val="8"/>
      </w:pPr>
      <w:r>
        <w:t>Návrh nařízení vlády o stanovení území, na kterých nelze vymezovat akcelerační oblasti</w:t>
      </w:r>
    </w:p>
    <w:p w14:paraId="45584C20" w14:textId="77777777" w:rsidR="00A77B3E" w:rsidRDefault="00A77B3E">
      <w:pPr>
        <w:pStyle w:val="100"/>
      </w:pPr>
    </w:p>
    <w:p w14:paraId="676D4176" w14:textId="77777777" w:rsidR="00A77B3E" w:rsidRDefault="000548D0">
      <w:pPr>
        <w:pStyle w:val="13"/>
      </w:pPr>
      <w:r>
        <w:t>I. Obecná část</w:t>
      </w:r>
    </w:p>
    <w:p w14:paraId="657543E6" w14:textId="77777777" w:rsidR="00A77B3E" w:rsidRDefault="000548D0">
      <w:pPr>
        <w:pStyle w:val="17"/>
      </w:pPr>
      <w:r>
        <w:t>1.   Popis obsahu návrhu právního předpisu s uvedením důvodů, které k jeho předložení vedou, a shrnutí základních zásad a nejdůležitějších změn, které oproti stávající právní úpravě zavádí</w:t>
      </w:r>
    </w:p>
    <w:p w14:paraId="5EBACE4E" w14:textId="77777777" w:rsidR="00A77B3E" w:rsidRDefault="000548D0">
      <w:pPr>
        <w:pStyle w:val="14"/>
      </w:pPr>
      <w:r>
        <w:t xml:space="preserve">Předkládaný návrh nařízení vlády je prováděcím právním předpisem k zákonu o urychlení využívání některých obnovitelných zdrojů energie a o změně souvisejících zákonů (zákon o urychlení využívání obnovitelných zdrojů energie). Vládní návrh zákona o urychlení využívání obnovitelných zdrojů energie byl předložen Poslanecké sněmovně, jíž je projednáván jako sněmovní tisk č. 945, ale zatím nebyl Poslaneckou sněmovnou projednán ani v prvém čtení. Vzhledem k blížícímu se konci volebního období Poslanecké sněmovny </w:t>
      </w:r>
      <w:r>
        <w:t>a naléhavosti implementace níže uvedené směrnice, bylo třeba urychlit proces projednávání návrhu zákona a nepřipustit riziko související s opožděným přijetím potřebných implementačních opatření, které by mělo za následek veškeré důsledky spojené s neplněním závazků plynoucích České republice z jejího členství v Evropské unii. Z toho důvodu byl předložen Poslanecké sněmovně stejnojmenný vládní návrh zákona, a to s návrhem na jeho schválení již v prvém čtení podle § 90 odst. 2 Jednacího řádu Poslanecké sněmov</w:t>
      </w:r>
      <w:r>
        <w:t>ny s tím, že nad rámec úprav textu návrhu podle připomínek obsažených ve stanovisku předsedy Legislativní rady vlády, vláda přijala i další úpravu návrhu zákona týkající se novely energetického zákona. Tento návrh zákona o urychlení využívání obnovitelných zdrojů energie byl dne 3. června 2025 přijat v 1. čtení podle § 90 odst. 2 jednacího řádu Poslanecké sněmovny a postoupen Senátu ČR. Vzhledem k předpokládanému rychlému přijetí vládního návrhu zákona o urychlení využívání obnovitelných zdrojů energie, kde</w:t>
      </w:r>
      <w:r>
        <w:t xml:space="preserve"> je navržena účinnost na první den kalendářního měsíce následujícího po dni jeho vyhlášení je přistoupeno k předložení jeho prováděcího právního předpisu.</w:t>
      </w:r>
    </w:p>
    <w:p w14:paraId="3F897AED" w14:textId="77777777" w:rsidR="00A77B3E" w:rsidRDefault="000548D0">
      <w:pPr>
        <w:pStyle w:val="18"/>
      </w:pPr>
      <w:r>
        <w:t>Zákonem o urychlení využívání některých obnovitelných zdrojů energie a o změně souvisejících zákonů (zákon o urychlení využívání obnovitelných zdrojů energie) je zaváděna právní úprava vymezování akceleračních oblastí a povolování záměrů pro využití obnovitelných zdrojů energie (dále jen „OZE“) v těchto oblastech. Jedná se o speciální právní úpravu, která stanoví odchylky od procesů upravených v zákoně č. 273/2021 Sb., stavební zákon (v oblasti územního plánování a povolování staveb), zákoně č. 100/2001 Sb.</w:t>
      </w:r>
      <w:r>
        <w:t>, o posuzování vlivů na životní prostředí (ve vztahu k posuzování vlivů koncepcí na životní prostředí, tj. SEA a ve vztahu k posuzování vlivů záměrů na životní prostředí, tj. EIA), zákoně č. 148/2023 Sb., o jednotném environmentálním stanovisku a dalších právních předpisech z oblasti ochrany životního prostředí.</w:t>
      </w:r>
    </w:p>
    <w:p w14:paraId="183DA1DA" w14:textId="77777777" w:rsidR="00A77B3E" w:rsidRDefault="000548D0">
      <w:pPr>
        <w:pStyle w:val="18"/>
      </w:pPr>
      <w:r>
        <w:t xml:space="preserve">Účelem zákona o urychlení využívání obnovitelných zdrojů energie je zajistit transpozici vybraných ustanovení směrnice Evropského parlamentu a Rady (EU) 2023/2413 ze dne 18. října </w:t>
      </w:r>
      <w:r>
        <w:lastRenderedPageBreak/>
        <w:t>2023, kterou se mění směrnice (EU) 2018/2001, nařízení (EU) 2018/1999 a směrnice 98/70/ES, pokud jde o podporu energie z obnovitelných zdrojů, a zrušuje směrnice Rady (EU) 2015/652. Tato směrnice vstoupila v platnost 20. listopadu 2023. Transponována jsou některá nová ustanovení směrnice Evropského parlamentu a Rady (EU) 2018/2001 ze dne 11. prosince 2018 o podpoře využívání energie z obnovitelných zdrojů, ve znění směrnice 2023/2413 (dále jen „směrnice RED III“), která mají za cíl urychlit využití obnovite</w:t>
      </w:r>
      <w:r>
        <w:t>lných zdrojů energie v členských státech EU.</w:t>
      </w:r>
    </w:p>
    <w:p w14:paraId="0F76F42D" w14:textId="77777777" w:rsidR="00A77B3E" w:rsidRDefault="000548D0">
      <w:pPr>
        <w:pStyle w:val="18"/>
      </w:pPr>
      <w:r>
        <w:t>V souladu s § 4 odst. 1 zákona o urychlení využívání obnovitelných zdrojů energie se akcelerační oblasti vymezují v nezbytné oblasti vymezené pro využití stejného druhu OZE a nelze je vymezit na území evropsky významné lokality, ptačí oblasti a zvláště chráněného území a na území, které stanoví vláda nařízením s ohledem na ochranu životního prostředí, státní památkovou péči, obranu a bezpečnost státu, lázeňství, letectví nebo veřejnou meteorologickou službu.</w:t>
      </w:r>
    </w:p>
    <w:p w14:paraId="61821CDD" w14:textId="77777777" w:rsidR="00A77B3E" w:rsidRDefault="000548D0">
      <w:pPr>
        <w:pStyle w:val="18"/>
      </w:pPr>
      <w:r>
        <w:t>Nezbytné oblasti se vymezují jako specifické oblasti v politice územního rozvoje. Jedná se o oblasti, které lze z technického hlediska považovat za vhodné pro realizaci záměrů pro využití OZE, při jejich vymezování však nedochází k zohlednění jiných veřejných zájmů. Představují nadřazenou množinu oblastí, v jejímž rámci mají být následně vymezovány akcelerační oblasti, které se vymezují v územně plánovací dokumentaci (územní rozvojový plán, zásady územního rozvoje, územní plány). Vždy přitom musí být zachov</w:t>
      </w:r>
      <w:r>
        <w:t>ána jednota druhu OZE, pro které jsou vymezovány, tj. např. akcelerační oblasti vymezované pro fotovoltaické elektrárny mohou být vymezeny pouze v nezbytné oblasti vymezené pro fotovoltaické elektrárny.</w:t>
      </w:r>
    </w:p>
    <w:p w14:paraId="579A452B" w14:textId="77777777" w:rsidR="00A77B3E" w:rsidRDefault="000548D0">
      <w:pPr>
        <w:pStyle w:val="18"/>
      </w:pPr>
      <w:r>
        <w:t>Ochrana jiných veřejných zájmů je zajištěna primárně v procesu vymezování akceleračních oblastí (vymezovaných v rámci nezbytných oblastí). Podle článku 15c odst. 1 směrnice RED III by měla být jako akcelerační oblasti vymezována taková území, v nichž se neočekává, že zavedení určitého druhu OZE bude mít významný dopad na životní prostředí, přičemž stanovuje jednak vodítka, jaké plochy upřednostnit (umělé a zastavěné plochy, dopravní infrastruktura a její okolí, skládky, průmyslové areály, doly aj.) a pak li</w:t>
      </w:r>
      <w:r>
        <w:t>mity, jaké oblasti mají být vyloučeny, a to především ve vztahu k ochraně biodiverzity (vyloučení lokalit soustavy Natura 2000 a dalších vnitrostátně stanovených oblastí určených k ochrany přírody a zachování biologické rozmanitosti, migračních tras a míst stanovených na základě mapování citlivosti volně žijících živočichů a planě rostoucích rostlin).</w:t>
      </w:r>
    </w:p>
    <w:p w14:paraId="545C5843" w14:textId="77777777" w:rsidR="00A77B3E" w:rsidRDefault="000548D0">
      <w:pPr>
        <w:pStyle w:val="18"/>
      </w:pPr>
      <w:r>
        <w:t>V návaznosti na to je základním požadavkem při vymezování akceleračních oblastí podle § 4 odst. 1 zákona o urychlení využívání obnovitelných zdrojů energie, že se akcelerační oblasti nesmí nacházet na území evropsky významné lokality, ptačí oblasti a zvláště chráněného území a na dalších územích, která stanoví vláda nařízením. Zákaz vymezování akceleračních oblastí na vybraných územích je primárním (nikoli však jediným) nástrojem, kterým je při vymezování akceleračních oblastí zajišťována ochrana jiných veř</w:t>
      </w:r>
      <w:r>
        <w:t>ejných zájmů než zájmu na podpoře využívání OZE. Jedná se o soubor limitů, které vyplývají z jiných právních předpisů v oblasti ochrany životního prostředí (mj. s ohledem na požadavky směrnice RED III), ale také o další veřejné zájmy zejména v oblasti obrany a bezpečnosti státu, státní památkové péče, lázeňství a dalších.</w:t>
      </w:r>
    </w:p>
    <w:p w14:paraId="75B2F3C7" w14:textId="77777777" w:rsidR="00A77B3E" w:rsidRDefault="000548D0">
      <w:pPr>
        <w:pStyle w:val="21"/>
      </w:pPr>
      <w:r>
        <w:t>Bez stanovení území, ve kterých nemohou být vymezovány akcelerační oblasti, není možné tyto oblasti vymezovat. Přijetí navrhované právní úpravy je proto nezbytným předpokladem pro samotné vymezování akceleračních oblastí v územně plánovací dokumentaci. Ustanovení článku 15c odst. 1 směrnice RED III stanoví, že k vymezení akceleračních oblastí (v rozsahu významném z hlediska plnění cílů stanovených v této směrnici) má dojít do 21. února 2026. Další akcelerační oblasti mohou být vymezovány i po tomto datu.</w:t>
      </w:r>
    </w:p>
    <w:p w14:paraId="6D3F19A5" w14:textId="77777777" w:rsidR="00A77B3E" w:rsidRDefault="000548D0">
      <w:pPr>
        <w:pStyle w:val="17"/>
      </w:pPr>
      <w:r>
        <w:lastRenderedPageBreak/>
        <w:t>2.   Zhodnocení platného právního stavu</w:t>
      </w:r>
    </w:p>
    <w:p w14:paraId="28C7AEA0" w14:textId="77777777" w:rsidR="00A77B3E" w:rsidRDefault="000548D0">
      <w:pPr>
        <w:pStyle w:val="220"/>
      </w:pPr>
      <w:r>
        <w:t>Zákonem o urychlení využívání obnovitelných zdrojů energie je zaváděna nová právní úprava vymezování akceleračních oblastí. Jedná se transpozici požadavků vyplývajících ze směrnice RED III, které mají být transponovány do 21. května 2025. K vymezení prvních akceleračních oblastí má podle článku 15c odst. 1 směrnice RED III dojít do 21. února 2026. Bez stanovení území, ve kterých nemohou být vymezovány akcelerační oblasti, není možné tyto oblasti vymezovat, přijetí navrhované právní úpravy je proto nezbytným</w:t>
      </w:r>
      <w:r>
        <w:t xml:space="preserve"> předpokladem pro splnění požadavků vyplývajících ze směrnice RED III. Nařízení vlády by mělo nabýt účinnosti nejdříve ve stejný den, jako zákon o urychlení využívání obnovitelných zdrojů energie, který je tímto nařízením vlády prováděn, který se v současné době nachází v legislativním procesu, v Poslanecké sněmovně (sněmovní tisk č. 945).</w:t>
      </w:r>
    </w:p>
    <w:p w14:paraId="0F830852" w14:textId="77777777" w:rsidR="00A77B3E" w:rsidRDefault="000548D0">
      <w:pPr>
        <w:pStyle w:val="17"/>
      </w:pPr>
      <w:r>
        <w:t>3.   Zhodnocení souladu návrhu právního předpisu s ústavním pořádkem a ostatními součástmi právního řádu České republiky</w:t>
      </w:r>
    </w:p>
    <w:p w14:paraId="30E2DD40" w14:textId="77777777" w:rsidR="00A77B3E" w:rsidRDefault="000548D0">
      <w:pPr>
        <w:pStyle w:val="25"/>
      </w:pPr>
      <w:r>
        <w:t>Podle § 4 odst. 1 zákona o urychlení využívání obnovitelných zdrojů energie vláda stanoví nařízením další území (nad rámec evropsky významných lokalit, ptačích oblastí a zvláště chráněných území), na kterých nelze vymezovat akcelerační oblasti s ohledem na ochranu životního prostředí, státní památkovou péči, obranu a bezpečnost státu, lázeňství, letectví nebo veřejnou meteorologickou službu. V nařízení vlády jsou stanovena území, ve kterých se nesmí vymezovat žádné akcelerační oblasti (tj. bez ohledu na dru</w:t>
      </w:r>
      <w:r>
        <w:t>h OZE, pro který jsou vymezovány). Následně jsou také nad rámec těchto území stanovena další území, ve kterých se nesmí vymezovat akcelerační oblasti vymezované pro fotovoltaické elektrárny a větrné elektrárny.</w:t>
      </w:r>
    </w:p>
    <w:p w14:paraId="0A4EA137" w14:textId="77777777" w:rsidR="00A77B3E" w:rsidRDefault="000548D0">
      <w:pPr>
        <w:pStyle w:val="26"/>
      </w:pPr>
      <w:r>
        <w:t>Navrhovaná právní úprava nejde nad rámec daný uvedeným zmocňovacím ustanovením.</w:t>
      </w:r>
    </w:p>
    <w:p w14:paraId="058B80F8" w14:textId="77777777" w:rsidR="00A77B3E" w:rsidRDefault="000548D0">
      <w:pPr>
        <w:pStyle w:val="17"/>
      </w:pPr>
      <w:r>
        <w:t>4.   Zhodnocení souladu návrhu právního předpisu se závazky vyplývajícími pro Českou republiku z jejího členství v Evropské unii</w:t>
      </w:r>
    </w:p>
    <w:p w14:paraId="53DF503B" w14:textId="77777777" w:rsidR="00A77B3E" w:rsidRDefault="000548D0">
      <w:pPr>
        <w:pStyle w:val="25"/>
      </w:pPr>
      <w:r>
        <w:t>Prostřednictvím zákona o urychlení využívání obnovitelných zdrojů energie jsou do právního řádu ČR transponovány závazky plynoucí z práva EU, konkrétně ze směrnice RED III. Směrnice RED III byla změněna směrnicí Evropského parlamentu a Rady 2023/2413, kterou se mění směrnice (EU) 2018/2001, nařízení (EU) 2018/1999 a směrnice 98/70/ES, pokud jde o podporu energie z obnovitelných zdrojů, a zrušuje směrnice Rady (EU) 2015/652. Tato změnová směrnice byla schválena 18. října 2023 a nabyla účinnosti dne 20. listo</w:t>
      </w:r>
      <w:r>
        <w:t>padu 2023.</w:t>
      </w:r>
    </w:p>
    <w:p w14:paraId="3915D2BB" w14:textId="77777777" w:rsidR="00A77B3E" w:rsidRDefault="000548D0">
      <w:pPr>
        <w:pStyle w:val="27"/>
      </w:pPr>
      <w:r>
        <w:t xml:space="preserve">Podle článku 15c směrnice RED III mají členské státy do 21. února 2026 zajistit, aby příslušné orgány přijaly jeden nebo více plánů, které jako dílčí část oblastí uvedených v článku 15b odst. 1 (tj. nezbytných oblastí) určí oblasti pro zrychlené zavádění obnovitelných zdrojů energie (tj. akcelerační oblasti), a to pro jeden nebo více druhů OZE. Z akceleračních oblastí mají být podle článku 15c odst. 1 písm. a) bodu </w:t>
      </w:r>
      <w:proofErr w:type="spellStart"/>
      <w:r>
        <w:t>ii</w:t>
      </w:r>
      <w:proofErr w:type="spellEnd"/>
      <w:r>
        <w:t>) směrnice RED III vyloučeny zejména lokality sítě Natura 2000 a oblasti určené v rámci vnitrostátních systémů ochrany přírody a zachování biologické rozmanitosti, oblasti hlavních migračních tras ptáků a mořských savců, jakož i další oblasti stanovené na základě map citlivosti a dalších nástrojů. V souladu s tím stanoví § 4 odst. 1 zákona o urychlení využívání obnovitelných zdrojích energie, že akcelerační oblasti nelze vymezovat na území:</w:t>
      </w:r>
    </w:p>
    <w:p w14:paraId="15422DF9" w14:textId="77777777" w:rsidR="00A77B3E" w:rsidRDefault="000548D0">
      <w:pPr>
        <w:pStyle w:val="27"/>
      </w:pPr>
      <w:r>
        <w:t>· evropsky významných lokalit a ptačích oblastí (tj. lokality soustavy Natura 2000) a</w:t>
      </w:r>
    </w:p>
    <w:p w14:paraId="26EA5B5C" w14:textId="77777777" w:rsidR="00A77B3E" w:rsidRDefault="000548D0">
      <w:pPr>
        <w:pStyle w:val="27"/>
      </w:pPr>
      <w:r>
        <w:lastRenderedPageBreak/>
        <w:t>· zvláště chráněných území (tj. území určená v rámci vnitrostátních systémů ochrany přírody).</w:t>
      </w:r>
    </w:p>
    <w:p w14:paraId="07BFB137" w14:textId="77777777" w:rsidR="00A77B3E" w:rsidRDefault="000548D0">
      <w:pPr>
        <w:pStyle w:val="27"/>
      </w:pPr>
      <w:r>
        <w:t>Nad rámec toho zahrnuje nařízení vlády s ohledem na výše uvedené požadavky směrnice RED III mezi území, ve kterých nelze vymezit akcelerační oblasti, také následující území:</w:t>
      </w:r>
    </w:p>
    <w:p w14:paraId="5FFE47D2" w14:textId="77777777" w:rsidR="00A77B3E" w:rsidRDefault="000548D0">
      <w:pPr>
        <w:pStyle w:val="27"/>
      </w:pPr>
      <w:r>
        <w:t>· ochranná pásma zvláště chráněných území (tj. území určená v rámci vnitrostátních systémů ochrany přírody),</w:t>
      </w:r>
    </w:p>
    <w:p w14:paraId="39163003" w14:textId="77777777" w:rsidR="00A77B3E" w:rsidRDefault="000548D0">
      <w:pPr>
        <w:pStyle w:val="27"/>
      </w:pPr>
      <w:r>
        <w:t>· lokality biotopu vybraných zvláště chráněných druhů rostlin a živočichů (ve smyslu podkladů poskytovaných již v současnosti v rámci územně analytických podkladů), které zahrnují lokality nejvíce ohrožených druhů s plošně omezeným výskytem, včetně řady druhů chráněných podle směrnice Rady 92/43/EHS ze dne 21. května 1992 o ochraně přírodních stanovišť, volně žijících živočichů a planě rostoucích rostlin (dále jen „směrnice o stanovištích“) a směrnice Evropského parlamentu a Rady 2009/147/ES ze dne 30. list</w:t>
      </w:r>
      <w:r>
        <w:t>opadu 2009 o ochraně volně žijících ptáků (dále jen „směrnice o ptácích“),</w:t>
      </w:r>
    </w:p>
    <w:p w14:paraId="233CAC12" w14:textId="77777777" w:rsidR="00A77B3E" w:rsidRDefault="000548D0">
      <w:pPr>
        <w:pStyle w:val="27"/>
      </w:pPr>
      <w:r>
        <w:t xml:space="preserve">· oblasti stanovené na základě mapování citlivosti volně žijících živočichů, které doplňují biotop vybraných zvláště chráněných druhů se specifickým důrazem na vyhodnocení citlivosti zejména ptáků ve vztahu k větrným elektrárnám – tento limit zohlední v potřebné míře i klíčová místa pro migraci ptáků, migrační trasy ptáků uvedené v čl. 15c odst. 1 písm. a) bodu </w:t>
      </w:r>
      <w:proofErr w:type="spellStart"/>
      <w:r>
        <w:t>ii</w:t>
      </w:r>
      <w:proofErr w:type="spellEnd"/>
      <w:r>
        <w:t>) směrnice RED III proto nejsou v návrhu nařízení uváděny samostatně.</w:t>
      </w:r>
    </w:p>
    <w:p w14:paraId="69A2053B" w14:textId="77777777" w:rsidR="00A77B3E" w:rsidRDefault="000548D0">
      <w:pPr>
        <w:pStyle w:val="26"/>
      </w:pPr>
      <w:r>
        <w:t>Návrh nařízení vlády je tedy plně slučitelný s právními předpisy EU, judikaturou soudních orgánů EU, jakož i s obecnými právními zásadami práva EU.</w:t>
      </w:r>
    </w:p>
    <w:p w14:paraId="07AF8858" w14:textId="77777777" w:rsidR="00A77B3E" w:rsidRDefault="000548D0">
      <w:pPr>
        <w:pStyle w:val="17"/>
      </w:pPr>
      <w:r>
        <w:t>5.   Zhodnocení, zda návrh právního předpisu neobsahuje ustanovení, které by bylo svou povahou technickým předpisem podle právního předpisu upravujícího technické požadavky na výrobky</w:t>
      </w:r>
    </w:p>
    <w:p w14:paraId="740E5EA0" w14:textId="77777777" w:rsidR="00A77B3E" w:rsidRDefault="000548D0">
      <w:pPr>
        <w:pStyle w:val="220"/>
      </w:pPr>
      <w:r>
        <w:t>Návrh nařízení vlády neobsahuje ustanovení, které by bylo svou povahou technickým předpisem podle právního předpisu upravujícího technické požadavky na výrobky.</w:t>
      </w:r>
    </w:p>
    <w:p w14:paraId="665104FA" w14:textId="77777777" w:rsidR="00A77B3E" w:rsidRDefault="000548D0">
      <w:pPr>
        <w:pStyle w:val="17"/>
      </w:pPr>
      <w:r>
        <w:t>6.   Informace o konzultaci návrhu právního předpisu s Evropskou centrální bankou a výsledku konzultace, podléhá-li návrh právního předpisu takové konzultaci</w:t>
      </w:r>
    </w:p>
    <w:p w14:paraId="4D38D78A" w14:textId="77777777" w:rsidR="00A77B3E" w:rsidRDefault="000548D0">
      <w:pPr>
        <w:pStyle w:val="220"/>
      </w:pPr>
      <w:r>
        <w:t>Návrh nařízení vlády nepodléhá konzultaci s Evropskou centrální bankou.</w:t>
      </w:r>
    </w:p>
    <w:p w14:paraId="18B1B87B" w14:textId="77777777" w:rsidR="00A77B3E" w:rsidRDefault="000548D0">
      <w:pPr>
        <w:pStyle w:val="17"/>
      </w:pPr>
      <w:r>
        <w:t>7.   Předpokládaný hospodářský a finanční dopad návrhu právního předpisu na státní rozpočet a ostatní veřejné rozpočty</w:t>
      </w:r>
    </w:p>
    <w:p w14:paraId="74FEF702" w14:textId="77777777" w:rsidR="00A77B3E" w:rsidRDefault="000548D0">
      <w:pPr>
        <w:pStyle w:val="220"/>
      </w:pPr>
      <w:r>
        <w:t>Navrhovaná právní úprava v návaznosti na zákon o urychlení využívání obnovitelných zdrojů energie pouze stanoví, v jakých územích nesmí být vymezeny akcelerační oblasti, sama o sobě tedy nemá dopady na státní rozpočet, ostatní veřejné rozpočty a na podnikatelské prostředí České republiky.</w:t>
      </w:r>
    </w:p>
    <w:p w14:paraId="74570DFF" w14:textId="77777777" w:rsidR="00A77B3E" w:rsidRDefault="000548D0">
      <w:pPr>
        <w:pStyle w:val="17"/>
      </w:pPr>
      <w:r>
        <w:t>8.   Předpokládaný dopad návrhu právního předpisu na práva a povinnosti fyzických a právnických osob</w:t>
      </w:r>
    </w:p>
    <w:p w14:paraId="4AC0DCA8" w14:textId="77777777" w:rsidR="00A77B3E" w:rsidRDefault="000548D0">
      <w:pPr>
        <w:pStyle w:val="220"/>
      </w:pPr>
      <w:r>
        <w:t>Navrhovaná právní úprava provádí § 4 odst. 1 zákona o urychlení využívání obnovitelných zdrojů energie a pouze stanoví, v jakých územích nesmí být vymezeny akcelerační oblasti, ​tedy ​předloženým návrhem nejsou nově stanovovány ​práva a povinnosti fyzických a právnických osob.</w:t>
      </w:r>
    </w:p>
    <w:p w14:paraId="63DDFDF5" w14:textId="77777777" w:rsidR="00A77B3E" w:rsidRDefault="000548D0">
      <w:pPr>
        <w:pStyle w:val="17"/>
      </w:pPr>
      <w:r>
        <w:lastRenderedPageBreak/>
        <w:t>9.   Předpokládaný dopad návrhu právního předpisu na podnikatelské prostředí České republiky</w:t>
      </w:r>
    </w:p>
    <w:p w14:paraId="5664938B" w14:textId="77777777" w:rsidR="00A77B3E" w:rsidRDefault="000548D0">
      <w:pPr>
        <w:pStyle w:val="220"/>
      </w:pPr>
      <w:r>
        <w:t xml:space="preserve">​Navrhovaná právní úprava nemá dopad na </w:t>
      </w:r>
      <w:proofErr w:type="spellStart"/>
      <w:r>
        <w:t>podnikatetelské</w:t>
      </w:r>
      <w:proofErr w:type="spellEnd"/>
      <w:r>
        <w:t xml:space="preserve"> prostředí České republiky.</w:t>
      </w:r>
    </w:p>
    <w:p w14:paraId="6B7D18C8" w14:textId="77777777" w:rsidR="00A77B3E" w:rsidRDefault="000548D0">
      <w:pPr>
        <w:pStyle w:val="17"/>
      </w:pPr>
      <w:r>
        <w:t>10.   Předpokládaný sociální dopad návrhu právního předpisu, včetně dopadu na specifické skupiny obyvatel, především na osoby sociálně slabé, osoby se zdravotním postižením a národnostní menšiny</w:t>
      </w:r>
    </w:p>
    <w:p w14:paraId="392C8FF7" w14:textId="77777777" w:rsidR="00A77B3E" w:rsidRDefault="000548D0">
      <w:pPr>
        <w:pStyle w:val="220"/>
      </w:pPr>
      <w:r>
        <w:t>Navrhovaná právní úprava nemá sociální dopady, včetně dopadů na specifické skupiny obyvatel, zejména osoby sociálně slabé, osoby se zdravotním postižením a národnostní menšiny, ani dopady na ochranu práv dětí.</w:t>
      </w:r>
    </w:p>
    <w:p w14:paraId="7D9BD25D" w14:textId="77777777" w:rsidR="00A77B3E" w:rsidRDefault="000548D0">
      <w:pPr>
        <w:pStyle w:val="17"/>
      </w:pPr>
      <w:r>
        <w:t>11.   Předpokládaný dopad návrhu právního předpisu na rovnost mužů a žen, upravuje-li návrh právního předpisu postavení fyzických osob nebo se tohoto postavení dotýká</w:t>
      </w:r>
    </w:p>
    <w:p w14:paraId="5DE23F9B" w14:textId="77777777" w:rsidR="00A77B3E" w:rsidRDefault="000548D0">
      <w:pPr>
        <w:pStyle w:val="220"/>
      </w:pPr>
      <w:r>
        <w:t>Navrhovaná právní úprava nebude mít žádné dopady ve vztahu k zákazu diskriminace ani ve vztahu k rovnosti mužů a žen.</w:t>
      </w:r>
    </w:p>
    <w:p w14:paraId="4BAF0708" w14:textId="77777777" w:rsidR="00A77B3E" w:rsidRDefault="000548D0">
      <w:pPr>
        <w:pStyle w:val="17"/>
      </w:pPr>
      <w:r>
        <w:t>12.   Předpokládaný dopad návrhu právního předpisu na životní prostředí</w:t>
      </w:r>
    </w:p>
    <w:p w14:paraId="14ADA310" w14:textId="77777777" w:rsidR="00A77B3E" w:rsidRDefault="000548D0">
      <w:pPr>
        <w:pStyle w:val="25"/>
      </w:pPr>
      <w:r>
        <w:t xml:space="preserve">Navrhovaná právní úprava nemá nepříznivé dopady na životní prostředí. Úprava zavedená zákonem o urychlení využívání obnovitelných zdrojů energie navazuje na požadavky směrnice RED III a má za cíl přispět k usnadnění a urychlení využívání OZE a tím k omezení produkce skleníkových plynů (tj. k </w:t>
      </w:r>
      <w:proofErr w:type="spellStart"/>
      <w:r>
        <w:t>mitigaci</w:t>
      </w:r>
      <w:proofErr w:type="spellEnd"/>
      <w:r>
        <w:t xml:space="preserve"> změn klimatu), a tedy i omezení dopadů klimatických změn, které se nepříznivě projevují také na stavu životního prostředí. Nástrojem pro toto urychlení je zejména vymezení akceleračních oblastí, při kterém je kladen velký důraz mj. na omezení dopadů záměrů pro využití OZE, které v nich budou umisťovány, na životní prostředí. K tomu slouží také limity stanovené tímto nařízení vlády.</w:t>
      </w:r>
    </w:p>
    <w:p w14:paraId="64555887" w14:textId="77777777" w:rsidR="00A77B3E" w:rsidRDefault="000548D0">
      <w:pPr>
        <w:pStyle w:val="26"/>
      </w:pPr>
      <w:r>
        <w:t>Navrženou úpravou bude zajištěna ochrana vybraných území, na kterých není vhodné přednostně (ve zjednodušeném režimu) provádět záměry pro využití OZE. Vedle lokalit soustavy Natura 2000 a zvláště chráněných území (o kterých to stanoví přímo zákon o urychlení využívání obnovitelných zdrojů energie) se jedná o ochranná pásma zvláště chráněných území, nadregionální biocentra územních systémů ekologické stability, biotopy vybraných zvláště chráněných druhů rostlin a živočichů, oblasti stanovené na základě mapov</w:t>
      </w:r>
      <w:r>
        <w:t xml:space="preserve">ání citlivosti volně žijících živočichů, mokřady chráněné podle </w:t>
      </w:r>
      <w:proofErr w:type="spellStart"/>
      <w:r>
        <w:t>Ramsarské</w:t>
      </w:r>
      <w:proofErr w:type="spellEnd"/>
      <w:r>
        <w:t xml:space="preserve"> úmluvy, aktivní zóny záplavových území a ochranná pásma vodních zdrojů 1. stupně. V případě fotovoltaických elektráren se dále jedná také o zemědělskou půdu nejvyšší kvality (I. a II. třídy ochrany) a o všechny pozemky určené k plnění funkcí lesa. V případě větrných elektráren se dále jedná také o lesy ochranné a lesy zvláštního určení.</w:t>
      </w:r>
    </w:p>
    <w:p w14:paraId="39322A54" w14:textId="77777777" w:rsidR="00A77B3E" w:rsidRDefault="000548D0">
      <w:pPr>
        <w:pStyle w:val="17"/>
      </w:pPr>
      <w:r>
        <w:t>13.   Předpokládaný dopad návrhu právního předpisu na ochranu práv dětí</w:t>
      </w:r>
    </w:p>
    <w:p w14:paraId="548EB8F3" w14:textId="77777777" w:rsidR="00A77B3E" w:rsidRDefault="000548D0">
      <w:pPr>
        <w:pStyle w:val="220"/>
      </w:pPr>
      <w:r>
        <w:t>Navrhovaná právní úprava nebude mít žádné dopady na rodiny.</w:t>
      </w:r>
    </w:p>
    <w:p w14:paraId="025A135B" w14:textId="77777777" w:rsidR="00A77B3E" w:rsidRDefault="000548D0">
      <w:pPr>
        <w:pStyle w:val="17"/>
      </w:pPr>
      <w:r>
        <w:t>14.   Předpokládaný dopad návrhu právního předpisu na bezpečnost nebo obranu státu</w:t>
      </w:r>
    </w:p>
    <w:p w14:paraId="54A52BB3" w14:textId="77777777" w:rsidR="00A77B3E" w:rsidRDefault="000548D0">
      <w:pPr>
        <w:pStyle w:val="25"/>
      </w:pPr>
      <w:r>
        <w:lastRenderedPageBreak/>
        <w:t xml:space="preserve">Vojenská technika disponuje unikátními schopnostmi detekce široké škály kooperujících i nekooperujících vzdušných cílů včetně </w:t>
      </w:r>
      <w:proofErr w:type="spellStart"/>
      <w:r>
        <w:t>malorozměrných</w:t>
      </w:r>
      <w:proofErr w:type="spellEnd"/>
      <w:r>
        <w:t xml:space="preserve"> a nízkoletících cílů, mezi něž patří taktéž detekce raketové, dělostřelecké a minometné munice, které musí zůstat zachovány za všech okolností. Další komplexní oblastí spadající do obrany státu i plnění mezinárodních závazků vůči NATO, je monitoring realizovaný speciálními zařízeními využívajícími anténní systémy pro realizaci radiokomunikačního provozu, monitoringu rádiového spektra nebo rádiového průzkumu. Funkčnost těchto zařízení může být v důsledku staveb výroben energie z OZE ohrožena z</w:t>
      </w:r>
      <w:r>
        <w:t xml:space="preserve"> několika důvodů. FVE a VTE nacházející se v blízkosti zařízení, která slouží k zajištění přehledu o situaci ve vzdušném prostoru v rámci České republiky a jejím okolí nebo k zajištění přehledu o situaci v elektromagnetickém spektru, mohou způsobovat jak vyšší úroveň elektromagnetického rušení, tak i zvýšení hodnot šumového pozadí. Dále přítomností více menších zdrojů, a tím i sčítáním jejich vyzařování, může dojít ke kumulovanému efektu nárůstu šumu, který taktéž může vést k zásadnímu ovlivnění speciálních</w:t>
      </w:r>
      <w:r>
        <w:t xml:space="preserve"> senzorů. Někdy dokonce již pouhá přítomnost tohoto typu infrastruktury i bez aktivního provozování způsobuje ovlivnění zásadních parametrů měřených signálů. Obrana bezpečnostních zájmů ČR a plnění závazků vůči NATO vyžaduje, aby všechna chráněná zařízení fungovala spolehlivě a bezchybně.</w:t>
      </w:r>
    </w:p>
    <w:p w14:paraId="5F8A6139" w14:textId="77777777" w:rsidR="00A77B3E" w:rsidRDefault="000548D0">
      <w:pPr>
        <w:pStyle w:val="27"/>
      </w:pPr>
      <w:r>
        <w:t>S rozvojem moderních technologií je trendem snižování energetického výkonu za současné snahy udržení stejných nebo dosažení lepších parametrů. Nicméně vzhledem k tomuto trendu je z fyzikálního hlediska jasné, že přijímače jsou a musí být mnohem citlivější, a tudíž veškeré překážky v cestě šíření radiolokačního signálu mnohem více ovlivňují schopnosti radiolokační techniky zejména s ohledem na terénní překážky a fyzikální jevy, které jsou popsány v odborných studiích. Cílem všech opatření je zajistit bezpečn</w:t>
      </w:r>
      <w:r>
        <w:t>ost ČR, i jako integrální součásti prostoru států NATO, a budovat a udržovat schopnost ochrany vzdušného prostoru, přehledu o vzdušné situaci nad územím ČR všemi silami a prostředky. Stejně tak je nezbytné zachovat dosavadní schopnost monitoringu rádiového spektra a rádiového průzkumu prostředky umístěnými na území ČR i na základě plnění dohod v rámci NATO.</w:t>
      </w:r>
    </w:p>
    <w:p w14:paraId="5AC0A777" w14:textId="77777777" w:rsidR="00A77B3E" w:rsidRDefault="000548D0">
      <w:pPr>
        <w:pStyle w:val="26"/>
      </w:pPr>
      <w:r>
        <w:t>Nástroje zajišťující bezpečnost a obranu státu v souvislosti s vymezováním akceleračních oblastí a povolování záměrů pro využití OZE v nich stanoví primárně přímo zákon urychlení využívání obnovitelných zdrojů energie. Nařízení vlády tyto nástroje doplňuje tím, že stanoví dva limity zcela zakazující vymezování akceleračních oblastí (1) ve vojenských újezdech a (2) v oblastech stanovených nařízením vlády č. 359/2024 Sb., o stanovení vymezených území s dopadem na stavby pro výrobu energie z obnovitelných zdro</w:t>
      </w:r>
      <w:r>
        <w:t>jů s celkovým instalovaným výkonem do 50 kW. Navrhovaná právní úprava proto nebude mít nepříznivé dopady na bezpečnost nebo obranu státu.</w:t>
      </w:r>
    </w:p>
    <w:p w14:paraId="2BE55F51" w14:textId="77777777" w:rsidR="00A77B3E" w:rsidRDefault="000548D0">
      <w:pPr>
        <w:pStyle w:val="17"/>
      </w:pPr>
      <w:r>
        <w:t>15.   Předpokládaný dopad návrhu právního předpisu ve vztahu k ochraně soukromí a osobních údajů</w:t>
      </w:r>
    </w:p>
    <w:p w14:paraId="19866D29" w14:textId="77777777" w:rsidR="00A77B3E" w:rsidRDefault="000548D0">
      <w:pPr>
        <w:pStyle w:val="29"/>
      </w:pPr>
      <w:r>
        <w:t>Navrhovaná právní úprava nebude mít žádné dopady ve vztahu k ochraně soukromí a osobních údajů.</w:t>
      </w:r>
    </w:p>
    <w:p w14:paraId="5516835A" w14:textId="77777777" w:rsidR="00A77B3E" w:rsidRDefault="000548D0">
      <w:pPr>
        <w:pStyle w:val="17"/>
      </w:pPr>
      <w:r>
        <w:t>16.   Zhodnocení, zda návrhem právního předpisu není zakládána veřejná podpora</w:t>
      </w:r>
    </w:p>
    <w:p w14:paraId="5BB9FC25" w14:textId="77777777" w:rsidR="00A77B3E" w:rsidRDefault="000548D0">
      <w:pPr>
        <w:pStyle w:val="29"/>
      </w:pPr>
      <w:r>
        <w:t>Předložený návrh nařízení vlády se netýká veřejné podpory.</w:t>
      </w:r>
    </w:p>
    <w:p w14:paraId="090AF93A" w14:textId="77777777" w:rsidR="00A77B3E" w:rsidRDefault="000548D0">
      <w:pPr>
        <w:pStyle w:val="17"/>
      </w:pPr>
      <w:r>
        <w:t>17.   Zhodnocení korupčních rizik návrhu právního předpisu</w:t>
      </w:r>
    </w:p>
    <w:p w14:paraId="0507DB20" w14:textId="77777777" w:rsidR="00A77B3E" w:rsidRDefault="000548D0">
      <w:pPr>
        <w:pStyle w:val="29"/>
      </w:pPr>
      <w:r>
        <w:t>S navrhovanou právní úpravou nejsou spojena žádná korupční rizika.</w:t>
      </w:r>
    </w:p>
    <w:p w14:paraId="196DFED1" w14:textId="77777777" w:rsidR="00A77B3E" w:rsidRDefault="00A77B3E">
      <w:pPr>
        <w:pStyle w:val="30"/>
      </w:pPr>
    </w:p>
    <w:p w14:paraId="2BD56780" w14:textId="77777777" w:rsidR="00A77B3E" w:rsidRDefault="000548D0">
      <w:pPr>
        <w:pStyle w:val="13"/>
      </w:pPr>
      <w:r>
        <w:lastRenderedPageBreak/>
        <w:t>II. Zvláštní část</w:t>
      </w:r>
    </w:p>
    <w:p w14:paraId="34F06F98" w14:textId="77777777" w:rsidR="00A77B3E" w:rsidRDefault="000548D0">
      <w:pPr>
        <w:pStyle w:val="31"/>
      </w:pPr>
      <w:r>
        <w:t>K § 1</w:t>
      </w:r>
    </w:p>
    <w:p w14:paraId="06F5E8BF" w14:textId="77777777" w:rsidR="00A77B3E" w:rsidRDefault="000548D0">
      <w:pPr>
        <w:pStyle w:val="25"/>
      </w:pPr>
      <w:r>
        <w:t>Nařízení vlády stanoví v souladu se zmocněním uvedeným v § 4 odst. 1 zákona o urychlení využívání obnovitelných zdrojů energie další území, na kterých se s ohledem na ochranu životního prostředí, státní památkovou péči, obranu a bezpečnost státu, lázeňství, letectví nebo veřejnou meteorologickou službu nesmí vymezovat akcelerační oblasti. Zákon o urychlení využívání obnovitelných zdrojů energie sám stanoví, že akcelerační oblasti nesmí být vymezovány na území evropsky významných lokalit, ptačích oblastí a z</w:t>
      </w:r>
      <w:r>
        <w:t>vláště chráněných území. Nařízení vlády pak stanoví další území, kde nelze akcelerační oblasti vymezovat.</w:t>
      </w:r>
    </w:p>
    <w:p w14:paraId="22EEA8A7" w14:textId="77777777" w:rsidR="00A77B3E" w:rsidRDefault="000548D0">
      <w:pPr>
        <w:pStyle w:val="26"/>
      </w:pPr>
      <w:r>
        <w:t>V § 2 jsou stanovena území, na kterých se nesmí nacházet žádné akcelerační oblasti (tj. bez ohledu na druh OZE, pro který jsou vymezovány). V § 3 a § 4 jsou nad rámec těchto území stanovena další území, ve kterých se nesmí nacházet akcelerační oblasti vymezované pro fotovoltaické elektrárny (§ 3) a větrné elektrárny (§ 4).</w:t>
      </w:r>
    </w:p>
    <w:p w14:paraId="38C8CA29" w14:textId="77777777" w:rsidR="00A77B3E" w:rsidRDefault="000548D0">
      <w:pPr>
        <w:pStyle w:val="31"/>
      </w:pPr>
      <w:r>
        <w:t>K § 2</w:t>
      </w:r>
    </w:p>
    <w:p w14:paraId="0A006947" w14:textId="77777777" w:rsidR="00A77B3E" w:rsidRDefault="000548D0">
      <w:pPr>
        <w:pStyle w:val="29"/>
      </w:pPr>
      <w:r>
        <w:t>Nařízení vlády stanoví, že akcelerační oblasti (bez ohledu na druh OZE, pro který jsou vymezovány) se nesmí nacházet na následujících územích:</w:t>
      </w:r>
    </w:p>
    <w:p w14:paraId="4CD38F3A" w14:textId="77777777" w:rsidR="00A77B3E" w:rsidRDefault="000548D0">
      <w:pPr>
        <w:pStyle w:val="31"/>
      </w:pPr>
      <w:r>
        <w:t>K § 2 písm. a)</w:t>
      </w:r>
    </w:p>
    <w:p w14:paraId="6B2A7404" w14:textId="77777777" w:rsidR="00A77B3E" w:rsidRDefault="000548D0">
      <w:pPr>
        <w:pStyle w:val="25"/>
      </w:pPr>
      <w:r>
        <w:rPr>
          <w:i/>
          <w:iCs/>
        </w:rPr>
        <w:t>a) ochranná pásma zvláště chráněných území</w:t>
      </w:r>
    </w:p>
    <w:p w14:paraId="56B1B663" w14:textId="77777777" w:rsidR="00A77B3E" w:rsidRDefault="000548D0">
      <w:pPr>
        <w:pStyle w:val="27"/>
      </w:pPr>
      <w:r>
        <w:t>Zvláště chráněná území jsou s výjimkou chráněných krajinných oblastí zpravidla zabezpečována před rušivými vlivy z okolí svým ochranným pásmem (§ 37 zákona o ochraně přírody a krajiny). V ochranných pásmech lze vymezit činnosti a zásahy, které jsou vázány na předchozí souhlas orgánu ochrany přírody. Ochranné pásmo vyhlašuje orgán, který vyhlásil příslušné zvláště chráněné území, a to stejným způsobem. Pokud se ochranné pásmo národní přírodní rezervace, národní přírodní památky, přírodní rezervace nebo příro</w:t>
      </w:r>
      <w:r>
        <w:t>dní památky nevyhlásí, je jím ze zákona území do vzdálenosti 50 m od hranic zvláště chráněného území. Orgán ochrany přírody může při vyhlášení zvláště chráněného území stanovit, že se zvláště chráněné území vyhlašuje bez ochranného pásma.</w:t>
      </w:r>
    </w:p>
    <w:p w14:paraId="7AAED465" w14:textId="77777777" w:rsidR="00A77B3E" w:rsidRDefault="000548D0">
      <w:pPr>
        <w:pStyle w:val="27"/>
      </w:pPr>
      <w:r>
        <w:t>Ochranná pásma zvláště chráněných území jsou sledovaným jevem databáze územně analytických podkladů (viz položka č. 15 přílohy č. 1 vyhlášky č. 157/2024 Sb., o územně analytických podkladech, územně plánovací dokumentaci a jednotném standardu, dále jen „vyhláška č. 157/2024 Sb.“).</w:t>
      </w:r>
    </w:p>
    <w:p w14:paraId="20171E21" w14:textId="77777777" w:rsidR="00A77B3E" w:rsidRDefault="000548D0">
      <w:pPr>
        <w:pStyle w:val="26"/>
      </w:pPr>
      <w:r>
        <w:t>V závislosti na konkrétní kategorii zvláště chráněného území jsou určeny cíle jejich ochrany a v souladu s plánovací dokumentací a jejich předměty ochrany je v nich s ohledem na tyto cíle plánována péče. Všechny kategorie zvláště chráněných území jsou územím mimořádných soustředěných hodnot přírody a krajiny (specifikované jejich vyhlašovacím předpisem; resp. v případě ochranných pásem se jedná o jejich funkci, která tyto hodnoty zabezpečuje před negativními vlivy z okolí) a zvýšené intenzity veřejného zájm</w:t>
      </w:r>
      <w:r>
        <w:t>u na ochraně přírody a krajiny (§ 58 odst. 1 zákona o ochraně přírody a krajiny), s jejichž cíli a režimem ochrany jsou principy vymezování akceleračních zón v rozporu. Současně je velká část ochranných pásem zvláště chráněných území v územním překryvu s lokalitami soustavy Natura 2000, které směrnice RED III vylučuje, což v zásadě poukazuje na ekvivalentní hodnotu území.</w:t>
      </w:r>
    </w:p>
    <w:p w14:paraId="31EBA025" w14:textId="77777777" w:rsidR="00A77B3E" w:rsidRDefault="000548D0">
      <w:pPr>
        <w:pStyle w:val="31"/>
      </w:pPr>
      <w:r>
        <w:t>K § 2 písm. b)</w:t>
      </w:r>
    </w:p>
    <w:p w14:paraId="376B8236" w14:textId="77777777" w:rsidR="00A77B3E" w:rsidRDefault="000548D0">
      <w:pPr>
        <w:pStyle w:val="25"/>
      </w:pPr>
      <w:r>
        <w:rPr>
          <w:i/>
          <w:iCs/>
        </w:rPr>
        <w:t>b) nadregionální biocentra územních systémů ekologické stability</w:t>
      </w:r>
    </w:p>
    <w:p w14:paraId="326F1222" w14:textId="77777777" w:rsidR="00A77B3E" w:rsidRDefault="000548D0">
      <w:pPr>
        <w:pStyle w:val="27"/>
      </w:pPr>
      <w:r>
        <w:lastRenderedPageBreak/>
        <w:t xml:space="preserve">Mezi oblasti určené v rámci vnitrostátních systémů ochrany přírody a zachování biologické rozmanitosti ve smyslu článku 15c odst. 1 písm. a) bodu </w:t>
      </w:r>
      <w:proofErr w:type="spellStart"/>
      <w:r>
        <w:t>ii</w:t>
      </w:r>
      <w:proofErr w:type="spellEnd"/>
      <w:r>
        <w:t>) směrnice RED III lze vedle výše uvedených nástrojů zvláštní ochrany přírody a krajiny dále řadit také nadregionální biocentra územních systémů ekologické stability jakožto jeden z nástrojů ochrany obecné.</w:t>
      </w:r>
    </w:p>
    <w:p w14:paraId="6A1764E3" w14:textId="77777777" w:rsidR="00A77B3E" w:rsidRDefault="000548D0">
      <w:pPr>
        <w:pStyle w:val="27"/>
      </w:pPr>
      <w:r>
        <w:t>Územní systémy ekologické stability (dále jen „ÚSES“) představují vzájemně propojený soubor přirozených i pozměněných, avšak přírodě blízkých ekosystémů, které udržují přírodní rovnováhu. Jsou vymezovány jako plány ÚSES na podkladě ZOPK, přičemž v případě nadregionálních ÚSES je vymezuje MŽP. ÚSES jsou sledovanými jevy databáze územně analytických podkladů (položka č. 12 přílohy č. 1 vyhlášky č. 157/2024 Sb.). Podle zákona č. 283/2021 Sb., stavebního zákona jsou ÚSES součástí zelené infrastruktury (tj. část</w:t>
      </w:r>
      <w:r>
        <w:t xml:space="preserve"> veřejné infrastruktury podle § 10 stavebního zákona). V současné době jsou v rámci územně plánovací dokumentace nadregionální ÚSES vymezovány v územním rozvojovém plánu a jsou přebírány do dalších územně plánovacích dokumentací (ZÚR, ÚP), kde jsou doplňovány o ÚSES regionální a místní úrovně. Režim ochrany ÚSES je dán limity stavebního zákona pro vymezené prvky veřejné, resp. zelené infrastruktury.</w:t>
      </w:r>
    </w:p>
    <w:p w14:paraId="1E863DB2" w14:textId="77777777" w:rsidR="00A77B3E" w:rsidRDefault="000548D0">
      <w:pPr>
        <w:pStyle w:val="26"/>
      </w:pPr>
      <w:r>
        <w:t>Nadregionální ÚSES představují nejvýznamnější část ÚSES, která je vymezená jednotným a koncepčním způsobem a představuje souvislý systém, jehož zásadní složky (biocentra) jsou nevhodná pro cílené vymezování akceleračních oblastí a realizaci záměrů pro využití OZE, neboť jejich primární účel spočívá v zachování a zvýšení ekologické stability krajiny.</w:t>
      </w:r>
    </w:p>
    <w:p w14:paraId="1EF9985A" w14:textId="77777777" w:rsidR="00A77B3E" w:rsidRDefault="000548D0">
      <w:pPr>
        <w:pStyle w:val="31"/>
      </w:pPr>
      <w:r>
        <w:t>K § 2 písm. c)</w:t>
      </w:r>
    </w:p>
    <w:p w14:paraId="6856817F" w14:textId="77777777" w:rsidR="00A77B3E" w:rsidRDefault="000548D0">
      <w:pPr>
        <w:pStyle w:val="25"/>
      </w:pPr>
      <w:r>
        <w:rPr>
          <w:i/>
          <w:iCs/>
        </w:rPr>
        <w:t>c) biotop vybraných zvláště chráněných druhů rostlin a živočichů</w:t>
      </w:r>
    </w:p>
    <w:p w14:paraId="59B2C5F1" w14:textId="77777777" w:rsidR="00A77B3E" w:rsidRDefault="000548D0">
      <w:pPr>
        <w:pStyle w:val="27"/>
      </w:pPr>
      <w:r>
        <w:t xml:space="preserve">Jako oblasti či území, která podle článku 15c odst. 1 písm. a) bodu </w:t>
      </w:r>
      <w:proofErr w:type="spellStart"/>
      <w:r>
        <w:t>ii</w:t>
      </w:r>
      <w:proofErr w:type="spellEnd"/>
      <w:r>
        <w:t>) směrnice RED III nemají být vedle lokalit soustavy Natura 2000 a ZCHÚ zahrnována do akceleračních oblastí, patří také další oblasti nezbytné pro zachování biologické rozmanitosti. Pro jejich stanovení je využito vymezení „biotopu vybraných zvláště chráněných druhů rostlin a živočichů“ jako jevu poskytovaného již v současnosti pro účely územního plánování podle vyhlášky č. 157/2024 Sb. (jev ÚAP č. 20). Jedná se o vrstvu vymezující místa výskytu vybraných zvláště chráněných druhů, resp. jejich biotopu, př</w:t>
      </w:r>
      <w:r>
        <w:t>ičemž tento výběr zahrnuje nejvíce ohrožené druhy s plošně omezeným výskytem, včetně řady druhů chráněných dle směrnice o stanovištích a směrnice o ptácích. Zahrnuty jsou zde zejména druhy, pro něž byly schváleny záchranné programy dle § 52 ZOPK (a je tedy vynakládáno úsilí a prostředky na zlepšení stavu jejich populací) a další významně ohrožené druhy u nichž je s ohledem na specifické požadavky na biotop a plošně omezené rozšíření zřejmá priorita zachování stavu jednotlivých lokalit. Jde tedy o oblasti vý</w:t>
      </w:r>
      <w:r>
        <w:t>znamné z hlediska zachování biologické rozmanitosti, jak o tom hovoří směrnice RED III.</w:t>
      </w:r>
    </w:p>
    <w:p w14:paraId="3A60A277" w14:textId="77777777" w:rsidR="00A77B3E" w:rsidRDefault="000548D0">
      <w:pPr>
        <w:pStyle w:val="26"/>
      </w:pPr>
      <w:r>
        <w:t xml:space="preserve">Zvláště chráněné druhy rostlin a živočichů jsou chráněny dle § 49 a 50 ZOPK, přičemž zákon stanoví, že jsou chráněny ve všech svých vývojových stádiích, v případě živočichů jsou chráněna jimi užívaná sídla (hnízda, nory atp.) a také jejich biotop. K jejich ochraně zákon stanoví zákaz škodlivě zasahovat do jejich přirozeného vývoje, zejména je usmrcovat, zraňovat a ničit, rušit atp. Poskytovaná vrstva biotopu vybraných zvláště chráněných druhů rostlina živočichů přispívá k uplatnění této ochrany již v rámci </w:t>
      </w:r>
      <w:r>
        <w:t>procesu územního plánování a v rámci tohoto nařízení tedy i v případě vymezování akceleračních oblastí. Tato vrstva se do určité míry, s ohledem na výskyt druhů v přírodě zachovalých lokalitách, překrývá s územím lokalit soustavy Natura 2000 a ZCHÚ, takže plošně nepřináší významně vyšší omezení.</w:t>
      </w:r>
    </w:p>
    <w:p w14:paraId="284588FF" w14:textId="77777777" w:rsidR="00A77B3E" w:rsidRDefault="000548D0">
      <w:pPr>
        <w:pStyle w:val="31"/>
      </w:pPr>
      <w:r>
        <w:t>K § 2 písm. d)</w:t>
      </w:r>
    </w:p>
    <w:p w14:paraId="0EA56958" w14:textId="77777777" w:rsidR="00A77B3E" w:rsidRDefault="000548D0">
      <w:pPr>
        <w:pStyle w:val="25"/>
      </w:pPr>
      <w:r>
        <w:rPr>
          <w:i/>
          <w:iCs/>
        </w:rPr>
        <w:t>d) oblasti stanovené na základě mapování citlivosti volně žijících živočichů</w:t>
      </w:r>
    </w:p>
    <w:p w14:paraId="7AC70C1D" w14:textId="77777777" w:rsidR="00A77B3E" w:rsidRDefault="000548D0">
      <w:pPr>
        <w:pStyle w:val="27"/>
      </w:pPr>
      <w:r>
        <w:lastRenderedPageBreak/>
        <w:t xml:space="preserve">Mezi území, v nichž má být vyloučeno vymezování akceleračních oblastí se podle článku 15c odst. 1 písm. a) bodu </w:t>
      </w:r>
      <w:proofErr w:type="spellStart"/>
      <w:r>
        <w:t>ii</w:t>
      </w:r>
      <w:proofErr w:type="spellEnd"/>
      <w:r>
        <w:t>) směrnice RED III se řadí také oblasti hlavních migračních tras ptáků (a mořských savců), jakož i další oblasti stanovené na základě map citlivosti volně žijících živočichů a planě rostoucích rostlin. Vzhledem k tomu, že vybrané druhy rostlin a živočichů, které by byly „citlivé“ z hlediska vymezování akceleračních oblastí z důvodu vzácnosti a úzké vazby na jejich prostředí, byly zahrnuty již do předchozího limitu, byla v rámci mapování citlivosti zaměřena pozornost na ptáky. Při zpracování map citlivosti</w:t>
      </w:r>
      <w:r>
        <w:t xml:space="preserve"> se vycházelo z metodiky stanovené Evropskou komisí (</w:t>
      </w:r>
      <w:proofErr w:type="spellStart"/>
      <w:r>
        <w:rPr>
          <w:i/>
          <w:iCs/>
        </w:rPr>
        <w:t>The</w:t>
      </w:r>
      <w:proofErr w:type="spellEnd"/>
      <w:r>
        <w:rPr>
          <w:i/>
          <w:iCs/>
        </w:rPr>
        <w:t xml:space="preserve"> </w:t>
      </w:r>
      <w:proofErr w:type="spellStart"/>
      <w:r>
        <w:rPr>
          <w:i/>
          <w:iCs/>
        </w:rPr>
        <w:t>wildlife</w:t>
      </w:r>
      <w:proofErr w:type="spellEnd"/>
      <w:r>
        <w:rPr>
          <w:i/>
          <w:iCs/>
        </w:rPr>
        <w:t xml:space="preserve"> sensitivity </w:t>
      </w:r>
      <w:proofErr w:type="spellStart"/>
      <w:r>
        <w:rPr>
          <w:i/>
          <w:iCs/>
        </w:rPr>
        <w:t>mapping</w:t>
      </w:r>
      <w:proofErr w:type="spellEnd"/>
      <w:r>
        <w:rPr>
          <w:i/>
          <w:iCs/>
        </w:rPr>
        <w:t xml:space="preserve"> </w:t>
      </w:r>
      <w:proofErr w:type="spellStart"/>
      <w:r>
        <w:rPr>
          <w:i/>
          <w:iCs/>
        </w:rPr>
        <w:t>manual</w:t>
      </w:r>
      <w:proofErr w:type="spellEnd"/>
      <w:r>
        <w:rPr>
          <w:i/>
          <w:iCs/>
        </w:rPr>
        <w:t xml:space="preserve">: </w:t>
      </w:r>
      <w:proofErr w:type="spellStart"/>
      <w:r>
        <w:rPr>
          <w:i/>
          <w:iCs/>
        </w:rPr>
        <w:t>Practical</w:t>
      </w:r>
      <w:proofErr w:type="spellEnd"/>
      <w:r>
        <w:rPr>
          <w:i/>
          <w:iCs/>
        </w:rPr>
        <w:t xml:space="preserve"> </w:t>
      </w:r>
      <w:proofErr w:type="spellStart"/>
      <w:r>
        <w:rPr>
          <w:i/>
          <w:iCs/>
        </w:rPr>
        <w:t>guidance</w:t>
      </w:r>
      <w:proofErr w:type="spellEnd"/>
      <w:r>
        <w:rPr>
          <w:i/>
          <w:iCs/>
        </w:rPr>
        <w:t xml:space="preserve"> </w:t>
      </w:r>
      <w:proofErr w:type="spellStart"/>
      <w:r>
        <w:rPr>
          <w:i/>
          <w:iCs/>
        </w:rPr>
        <w:t>for</w:t>
      </w:r>
      <w:proofErr w:type="spellEnd"/>
      <w:r>
        <w:rPr>
          <w:i/>
          <w:iCs/>
        </w:rPr>
        <w:t xml:space="preserve"> </w:t>
      </w:r>
      <w:proofErr w:type="spellStart"/>
      <w:r>
        <w:rPr>
          <w:i/>
          <w:iCs/>
        </w:rPr>
        <w:t>renewable</w:t>
      </w:r>
      <w:proofErr w:type="spellEnd"/>
      <w:r>
        <w:rPr>
          <w:i/>
          <w:iCs/>
        </w:rPr>
        <w:t xml:space="preserve"> </w:t>
      </w:r>
      <w:proofErr w:type="spellStart"/>
      <w:r>
        <w:rPr>
          <w:i/>
          <w:iCs/>
        </w:rPr>
        <w:t>energy</w:t>
      </w:r>
      <w:proofErr w:type="spellEnd"/>
      <w:r>
        <w:rPr>
          <w:i/>
          <w:iCs/>
        </w:rPr>
        <w:t xml:space="preserve"> </w:t>
      </w:r>
      <w:proofErr w:type="spellStart"/>
      <w:r>
        <w:rPr>
          <w:i/>
          <w:iCs/>
        </w:rPr>
        <w:t>planning</w:t>
      </w:r>
      <w:proofErr w:type="spellEnd"/>
      <w:r>
        <w:rPr>
          <w:i/>
          <w:iCs/>
        </w:rPr>
        <w:t xml:space="preserve"> in </w:t>
      </w:r>
      <w:proofErr w:type="spellStart"/>
      <w:r>
        <w:rPr>
          <w:i/>
          <w:iCs/>
        </w:rPr>
        <w:t>the</w:t>
      </w:r>
      <w:proofErr w:type="spellEnd"/>
      <w:r>
        <w:rPr>
          <w:i/>
          <w:iCs/>
        </w:rPr>
        <w:t xml:space="preserve"> </w:t>
      </w:r>
      <w:proofErr w:type="spellStart"/>
      <w:r>
        <w:rPr>
          <w:i/>
          <w:iCs/>
        </w:rPr>
        <w:t>European</w:t>
      </w:r>
      <w:proofErr w:type="spellEnd"/>
      <w:r>
        <w:rPr>
          <w:i/>
          <w:iCs/>
        </w:rPr>
        <w:t xml:space="preserve"> Union</w:t>
      </w:r>
      <w:r>
        <w:t>) a pozornost byla zaměřena konkrétně na druhy ptáků citlivé k umisťování větrných elektráren. V rámci tohoto hodnocení citlivosti byly zohledněny údaje o výskytu citlivých druhů ptáků, hnízdištích, významných shromaždištích ptáků (včetně využití dat Mezinárodního sčítání vodních ptáků) a také místech soustředěné migrace ptáků (horská sedla atp.)</w:t>
      </w:r>
      <w:r>
        <w:t xml:space="preserve">. Vzhledem ke skutečnosti, že v ČR kromě takovýchto vybraných míst nelze identifikovat specifické migrační trasy ptáků, nebyla již samostatně vymezována vrstva migračních koridorů, jak o ní hovoří čl. 15c odst. 1 písm. a) bodu </w:t>
      </w:r>
      <w:proofErr w:type="spellStart"/>
      <w:r>
        <w:t>ii</w:t>
      </w:r>
      <w:proofErr w:type="spellEnd"/>
      <w:r>
        <w:t>) směrnice RED III.</w:t>
      </w:r>
    </w:p>
    <w:p w14:paraId="4128A8C0" w14:textId="77777777" w:rsidR="00A77B3E" w:rsidRDefault="000548D0">
      <w:pPr>
        <w:pStyle w:val="26"/>
      </w:pPr>
      <w:r>
        <w:t>Stanovení oblastí na základě mapování citlivosti volně žijících živočichů (ptáků) umožní přispět k naplňování principu stanoveného v článku 15c odst. 1 písm. a) směrnice RED III, podle kterého by vymezování akceleračních oblastí mělo být prováděno tak, aby v důsledku realizace záměrů pro využití OZE v těchto oblastech nedošlo k významným dopadům na životní prostředí.</w:t>
      </w:r>
    </w:p>
    <w:p w14:paraId="4FDE9D19" w14:textId="77777777" w:rsidR="00A77B3E" w:rsidRDefault="000548D0">
      <w:pPr>
        <w:pStyle w:val="31"/>
      </w:pPr>
      <w:r>
        <w:t>K § 2 písm. e)</w:t>
      </w:r>
    </w:p>
    <w:p w14:paraId="2A3DAFA2" w14:textId="77777777" w:rsidR="00A77B3E" w:rsidRDefault="000548D0">
      <w:pPr>
        <w:pStyle w:val="25"/>
      </w:pPr>
      <w:r>
        <w:rPr>
          <w:i/>
          <w:iCs/>
        </w:rPr>
        <w:t xml:space="preserve">e) mokřady chráněné podle </w:t>
      </w:r>
      <w:proofErr w:type="spellStart"/>
      <w:r>
        <w:rPr>
          <w:i/>
          <w:iCs/>
        </w:rPr>
        <w:t>Ramsarské</w:t>
      </w:r>
      <w:proofErr w:type="spellEnd"/>
      <w:r>
        <w:rPr>
          <w:i/>
          <w:iCs/>
        </w:rPr>
        <w:t xml:space="preserve"> úmluvy</w:t>
      </w:r>
    </w:p>
    <w:p w14:paraId="1B87B4BE" w14:textId="77777777" w:rsidR="00A77B3E" w:rsidRDefault="000548D0">
      <w:pPr>
        <w:pStyle w:val="27"/>
      </w:pPr>
      <w:r>
        <w:t>Úmluvy o mokřadech majících mezinárodní význam především jako biotopy vodního ptactva (</w:t>
      </w:r>
      <w:proofErr w:type="spellStart"/>
      <w:r>
        <w:t>Ramsarská</w:t>
      </w:r>
      <w:proofErr w:type="spellEnd"/>
      <w:r>
        <w:t xml:space="preserve"> úmluva) byla sjednána dne 2. února 1971 v íránském městě </w:t>
      </w:r>
      <w:proofErr w:type="spellStart"/>
      <w:r>
        <w:t>Ramsar</w:t>
      </w:r>
      <w:proofErr w:type="spellEnd"/>
      <w:r>
        <w:t xml:space="preserve"> a ČR k ní přistoupila v roce 1990. Úmluva chrání především biotopy vodního ptactva, ale i další typy mokřadů, které jsou úmluvou definovány jako území s močály, slatinami, rašeliništi a vodami přirozenými nebo umělými, trvalými nebo dočasnými, stojatými i tekoucími, sladkými, brakickými nebo slanými, včetně území s mořskou vodou, jejíž hloubka při odlivu nepřesahuje 6 metrů.</w:t>
      </w:r>
    </w:p>
    <w:p w14:paraId="402D9D2A" w14:textId="77777777" w:rsidR="00A77B3E" w:rsidRDefault="000548D0">
      <w:pPr>
        <w:pStyle w:val="26"/>
      </w:pPr>
      <w:r>
        <w:t xml:space="preserve">Na základě kritérií přijatých v rámci úmluvy jsou v členských zemí vymezovány mokřady mezinárodního významu – v ČR se jedná o celkem 14 lokalit (zejména o oblasti rašelinišť, lužních lesů, významné rybniční oblasti a oblasti zdrojů vod). Ochrana mokřadů mezinárodního významu je v ČR zajištěna formou národních parků, chráněných krajinných oblastí nebo prostřednictvím maloplošných zvláště chráněných území, a to zcela nebo zčásti. Pro účely územního plánování je vymezení mokřadů podle </w:t>
      </w:r>
      <w:proofErr w:type="spellStart"/>
      <w:r>
        <w:t>Ramsarské</w:t>
      </w:r>
      <w:proofErr w:type="spellEnd"/>
      <w:r>
        <w:t xml:space="preserve"> úmluvy uváděno v příloze č. 1 vyhlášky č. 157/2024 Sb. jako jev databáze územně plánovacích podkladů č. 19.</w:t>
      </w:r>
    </w:p>
    <w:p w14:paraId="30F31A51" w14:textId="77777777" w:rsidR="00A77B3E" w:rsidRDefault="000548D0">
      <w:pPr>
        <w:pStyle w:val="31"/>
      </w:pPr>
      <w:r>
        <w:t>K § 2 písm. f)</w:t>
      </w:r>
    </w:p>
    <w:p w14:paraId="794568E5" w14:textId="77777777" w:rsidR="00A77B3E" w:rsidRDefault="000548D0">
      <w:pPr>
        <w:pStyle w:val="25"/>
      </w:pPr>
      <w:r>
        <w:rPr>
          <w:i/>
          <w:iCs/>
        </w:rPr>
        <w:t>f) aktivní zóny záplavových území</w:t>
      </w:r>
    </w:p>
    <w:p w14:paraId="76D6005D" w14:textId="77777777" w:rsidR="00A77B3E" w:rsidRDefault="000548D0">
      <w:pPr>
        <w:pStyle w:val="27"/>
      </w:pPr>
      <w:r>
        <w:t>Podle § 66 zákona č. 254/2001 Sb. o vodách a o změně některých zákonů (vodní zákon) jsou záplavová území administrativně určená území, která mohou být při výskytu přirozené povodně zaplavena vodou. Způsob a rozsah zpracovávání návrhu a stanovování záplavových území včetně jejich aktivních zón je upraven vyhláškou MŽP č. 79/2018 Sb., o způsobu a rozsahu zpracování návrhu a stanovování záplavových území a jejich dokumentace, v platném znění. Záplavové území včetně aktivní zóny je uvedeno mezi jevy databáze úz</w:t>
      </w:r>
      <w:r>
        <w:t>emně analytických podkladů (jev č. 38 v příloze č. 1 vyhlášky č. 157/2024 Sb.).</w:t>
      </w:r>
    </w:p>
    <w:p w14:paraId="0AD8F4A3" w14:textId="77777777" w:rsidR="00A77B3E" w:rsidRDefault="000548D0">
      <w:pPr>
        <w:pStyle w:val="26"/>
      </w:pPr>
      <w:r>
        <w:lastRenderedPageBreak/>
        <w:t>Aktivní zóna záplavového území je z hlediska povodňového ohrožení nejnebezpečnější oblastí záplavového území, kde může voda ohrozit život i majetek lidí. Z tohoto důvodu vodní zákon v aktivních zónách záplavových území zakazuje provádět řadu činností včetně umísťování, povolování a provádění staveb (§ 67 vodního zákona). Aktivní zóna záplavového území se stanovuje podle nebezpečnosti povodňového průtoku na základě zpracování map povodňového ohrožení. Povodňovým ohrožením se přitom rozumí vyhodnocení intenzi</w:t>
      </w:r>
      <w:r>
        <w:t>ty povodně na základě hydraulického výpočtu definované hloubkou a rychlostí proudění vody při povodních s různou dobou opakování. S ohledem na přísný režim aktivních zón záplavových území není toto území vhodné pro vymezení akcelerační oblasti.</w:t>
      </w:r>
    </w:p>
    <w:p w14:paraId="402DC6A4" w14:textId="77777777" w:rsidR="00A77B3E" w:rsidRDefault="000548D0">
      <w:pPr>
        <w:pStyle w:val="31"/>
      </w:pPr>
      <w:r>
        <w:t>K § 2 písm. g)</w:t>
      </w:r>
    </w:p>
    <w:p w14:paraId="372A489C" w14:textId="77777777" w:rsidR="00A77B3E" w:rsidRDefault="000548D0">
      <w:pPr>
        <w:pStyle w:val="25"/>
      </w:pPr>
      <w:r>
        <w:rPr>
          <w:i/>
          <w:iCs/>
        </w:rPr>
        <w:t>g) ochranná pásma vodních zdrojů 1. stupně</w:t>
      </w:r>
    </w:p>
    <w:p w14:paraId="6C306A00" w14:textId="77777777" w:rsidR="00A77B3E" w:rsidRDefault="000548D0">
      <w:pPr>
        <w:pStyle w:val="27"/>
      </w:pPr>
      <w:r>
        <w:t>Ochranná pásma vodních zdrojů jsou upravena v § 30 vodního zákona s tím, že bližší zásady pro stanovení a změny ochranných pásem vodních zdrojů dále upravuje vyhláška Ministerstva životního prostředí č. 137/1999 Sb. Ochranná pásma vodních zdrojů stanoví opatřením obecné povahy místně příslušný vodoprávní úřad obce s rozšířenou působností. Vodní zdroje pro zásobování pitnou vodou a jejich ochranná pásma jsou uvedeny mezi jevy databáze územně analytických podkladů (jev č. 30 v příloze č. 1 vyhlášky č. 157/202</w:t>
      </w:r>
      <w:r>
        <w:t>4 Sb.).</w:t>
      </w:r>
    </w:p>
    <w:p w14:paraId="185F8055" w14:textId="77777777" w:rsidR="00A77B3E" w:rsidRDefault="000548D0">
      <w:pPr>
        <w:pStyle w:val="26"/>
      </w:pPr>
      <w:r>
        <w:t>Ochranná pásma vodních zdrojů slouží k ochraně vydatnosti a k ochraně před vnikem závadných látek, které mohou ovlivnit jakost a zdravotní nezávadnost zdrojů podzemních nebo povrchových vod využívaných nebo využitelných pro zásobování pitnou vodou s průměrným odběrem více než 10 000 m</w:t>
      </w:r>
      <w:r>
        <w:rPr>
          <w:vertAlign w:val="superscript"/>
        </w:rPr>
        <w:t>3</w:t>
      </w:r>
      <w:r>
        <w:t xml:space="preserve"> za rok a zdrojů podzemní vody pro výrobu balené kojenecké vody nebo pramenité vody. Ochranná pásma vodních zdrojů jsou založena na principu dvoupásové ochrany, přičemž I. stupeň je stanoven jako souvislé území a slouží k ochraně v bezprostředním okolí jímacího nebo odběrného zařízení vodního zdroje. Z uvedených důvodů není ochranné pásmo vodního zdroje I. stupně vhodné pro vymezení akcelerační oblasti.</w:t>
      </w:r>
    </w:p>
    <w:p w14:paraId="22CAF9F3" w14:textId="77777777" w:rsidR="00A77B3E" w:rsidRDefault="000548D0">
      <w:pPr>
        <w:pStyle w:val="31"/>
      </w:pPr>
      <w:r>
        <w:t>K § 2 písm. h)</w:t>
      </w:r>
    </w:p>
    <w:p w14:paraId="5FE3942D" w14:textId="77777777" w:rsidR="00A77B3E" w:rsidRDefault="000548D0">
      <w:pPr>
        <w:pStyle w:val="25"/>
      </w:pPr>
      <w:r>
        <w:rPr>
          <w:i/>
          <w:iCs/>
        </w:rPr>
        <w:t>h) památkové rezervace</w:t>
      </w:r>
    </w:p>
    <w:p w14:paraId="38B86554" w14:textId="77777777" w:rsidR="00A77B3E" w:rsidRDefault="000548D0">
      <w:pPr>
        <w:pStyle w:val="27"/>
      </w:pPr>
      <w:r>
        <w:t>Území, jehož charakter a prostředí určuje soubor nemovitých kulturních památek, popřípadě archeologických nálezů, prohlašuje podle § 5 odst. 1 zákona o státní památkové péči vláda svým nařízením. Tato území patří mezi sledované jevy databáze územně analytických podkladů (viz položka č. 5 přílohy č. 1 vyhlášky č. 157/2024 Sb.).</w:t>
      </w:r>
    </w:p>
    <w:p w14:paraId="15141F56" w14:textId="77777777" w:rsidR="00A77B3E" w:rsidRDefault="000548D0">
      <w:pPr>
        <w:pStyle w:val="26"/>
      </w:pPr>
      <w:r>
        <w:t>Hustota kulturního dědictví, která je předpokladem ochrany památkové rezervace vylučuje paušální přístup k danému území. Současně pro tento typ území je charakteristická potřeba ochrany autentických hodnot, realizací kopie chybně odstraněné sice může optický dopad zpětně zmírnit, nicméně ochuzení o autentické hodnoty bylo nevratné. Z tohoto důvodu není toto území vhodné pro vymezení akcelerační oblasti.</w:t>
      </w:r>
    </w:p>
    <w:p w14:paraId="4002D539" w14:textId="77777777" w:rsidR="00A77B3E" w:rsidRDefault="000548D0">
      <w:pPr>
        <w:pStyle w:val="31"/>
      </w:pPr>
      <w:r>
        <w:t>K § 2 písm. i)</w:t>
      </w:r>
    </w:p>
    <w:p w14:paraId="47BAC146" w14:textId="77777777" w:rsidR="00A77B3E" w:rsidRDefault="000548D0">
      <w:pPr>
        <w:pStyle w:val="25"/>
      </w:pPr>
      <w:r>
        <w:rPr>
          <w:i/>
          <w:iCs/>
        </w:rPr>
        <w:t>i) památkové zóny</w:t>
      </w:r>
    </w:p>
    <w:p w14:paraId="629584E7" w14:textId="77777777" w:rsidR="00A77B3E" w:rsidRDefault="000548D0">
      <w:pPr>
        <w:pStyle w:val="27"/>
      </w:pPr>
      <w:r>
        <w:t>Území sídelního útvaru nebo jeho části s menším podílem kulturních památek, historické prostředí nebo část krajinného celku, které vykazují významné kulturní hodnoty, prohlašuje podle § 6 odst. 1 zákona o státní památkové péči Ministerstvo kultury svým opatřením obecné povahy. Tato území patří mezi sledované jevy databáze územně analytických podkladů (viz položka č. 5 přílohy č. 1 vyhlášky č. 157/2024 Sb.).</w:t>
      </w:r>
    </w:p>
    <w:p w14:paraId="1D187008" w14:textId="77777777" w:rsidR="00A77B3E" w:rsidRDefault="000548D0">
      <w:pPr>
        <w:pStyle w:val="26"/>
      </w:pPr>
      <w:r>
        <w:lastRenderedPageBreak/>
        <w:t>Charakter kulturního dědictví, které je předpokladem ochrany památkové zóny vylučuje paušální přístup k danému území. Současně pro tento typ území je charakteristická potřeba ochrany autentických hodnot, realizací kopie chybně odstraněné sice může otický dopad zpětně zmírnit, nicméně ochuzení o autentické hodnoty bylo nevratné. Na okraj je třeba připomenout, že převážná část statků, která byla v posledním období zapsána za Českou republiku na Seznam světového dědictví, byly právě památkové zóny [Hornický re</w:t>
      </w:r>
      <w:r>
        <w:t xml:space="preserve">gion </w:t>
      </w:r>
      <w:proofErr w:type="spellStart"/>
      <w:r>
        <w:t>Erzgebirge</w:t>
      </w:r>
      <w:proofErr w:type="spellEnd"/>
      <w:r>
        <w:t>/Krušnohoří – přeshraniční sériová památka se Saskem (2019), Krajina pro chov a výcvik ceremoniálních kočárových koní v Kladrubech nad Labem (2019) nebo Žatec a krajina žateckého chmele (2023)]. Památkové zóny tak nesporně představují na úseku ochrany kulturního dědictví fenomén, kterému je věnována i mezinárodní pozornost a který nabízí vysoký potenciál pro budoucí zápisy na Seznam světového dědictví, pokud bude u tohoto statku zachována stávající nejvyšší forma ochrany. Z tohoto důvodu není</w:t>
      </w:r>
      <w:r>
        <w:t xml:space="preserve"> toto území vhodné pro vymezení akcelerační oblasti.</w:t>
      </w:r>
    </w:p>
    <w:p w14:paraId="4D8E9BC7" w14:textId="77777777" w:rsidR="00A77B3E" w:rsidRDefault="000548D0">
      <w:pPr>
        <w:pStyle w:val="31"/>
      </w:pPr>
      <w:r>
        <w:t>K § 2 písm. j)</w:t>
      </w:r>
    </w:p>
    <w:p w14:paraId="72FAF5F6" w14:textId="77777777" w:rsidR="00A77B3E" w:rsidRDefault="000548D0">
      <w:pPr>
        <w:pStyle w:val="25"/>
      </w:pPr>
      <w:r>
        <w:rPr>
          <w:i/>
          <w:iCs/>
        </w:rPr>
        <w:t>j) statky zapsané na Seznamu světového dědictví a jejich nárazníkové zóny</w:t>
      </w:r>
    </w:p>
    <w:p w14:paraId="20BAC1F3" w14:textId="77777777" w:rsidR="00A77B3E" w:rsidRDefault="000548D0">
      <w:pPr>
        <w:pStyle w:val="27"/>
      </w:pPr>
      <w:r>
        <w:t>V roce 1972 byla zúčastněnými státy na Generální konferenci UNESCO jednomyslně schválena Úmluva o ochraně světového kulturního a přírodního dědictví (</w:t>
      </w:r>
      <w:proofErr w:type="spellStart"/>
      <w:r>
        <w:rPr>
          <w:i/>
          <w:iCs/>
        </w:rPr>
        <w:t>The</w:t>
      </w:r>
      <w:proofErr w:type="spellEnd"/>
      <w:r>
        <w:rPr>
          <w:i/>
          <w:iCs/>
        </w:rPr>
        <w:t xml:space="preserve"> </w:t>
      </w:r>
      <w:proofErr w:type="spellStart"/>
      <w:r>
        <w:rPr>
          <w:i/>
          <w:iCs/>
        </w:rPr>
        <w:t>Convention</w:t>
      </w:r>
      <w:proofErr w:type="spellEnd"/>
      <w:r>
        <w:rPr>
          <w:i/>
          <w:iCs/>
        </w:rPr>
        <w:t xml:space="preserve"> </w:t>
      </w:r>
      <w:proofErr w:type="spellStart"/>
      <w:r>
        <w:rPr>
          <w:i/>
          <w:iCs/>
        </w:rPr>
        <w:t>concerning</w:t>
      </w:r>
      <w:proofErr w:type="spellEnd"/>
      <w:r>
        <w:rPr>
          <w:i/>
          <w:iCs/>
        </w:rPr>
        <w:t xml:space="preserve"> </w:t>
      </w:r>
      <w:proofErr w:type="spellStart"/>
      <w:r>
        <w:rPr>
          <w:i/>
          <w:iCs/>
        </w:rPr>
        <w:t>the</w:t>
      </w:r>
      <w:proofErr w:type="spellEnd"/>
      <w:r>
        <w:rPr>
          <w:i/>
          <w:iCs/>
        </w:rPr>
        <w:t xml:space="preserve"> </w:t>
      </w:r>
      <w:proofErr w:type="spellStart"/>
      <w:r>
        <w:rPr>
          <w:i/>
          <w:iCs/>
        </w:rPr>
        <w:t>Protection</w:t>
      </w:r>
      <w:proofErr w:type="spellEnd"/>
      <w:r>
        <w:rPr>
          <w:i/>
          <w:iCs/>
        </w:rPr>
        <w:t xml:space="preserve"> </w:t>
      </w:r>
      <w:proofErr w:type="spellStart"/>
      <w:r>
        <w:rPr>
          <w:i/>
          <w:iCs/>
        </w:rPr>
        <w:t>of</w:t>
      </w:r>
      <w:proofErr w:type="spellEnd"/>
      <w:r>
        <w:rPr>
          <w:i/>
          <w:iCs/>
        </w:rPr>
        <w:t xml:space="preserve"> </w:t>
      </w:r>
      <w:proofErr w:type="spellStart"/>
      <w:r>
        <w:rPr>
          <w:i/>
          <w:iCs/>
        </w:rPr>
        <w:t>World</w:t>
      </w:r>
      <w:proofErr w:type="spellEnd"/>
      <w:r>
        <w:rPr>
          <w:i/>
          <w:iCs/>
        </w:rPr>
        <w:t xml:space="preserve"> </w:t>
      </w:r>
      <w:proofErr w:type="spellStart"/>
      <w:r>
        <w:rPr>
          <w:i/>
          <w:iCs/>
        </w:rPr>
        <w:t>Cultural</w:t>
      </w:r>
      <w:proofErr w:type="spellEnd"/>
      <w:r>
        <w:rPr>
          <w:i/>
          <w:iCs/>
        </w:rPr>
        <w:t xml:space="preserve"> and Natural </w:t>
      </w:r>
      <w:proofErr w:type="spellStart"/>
      <w:r>
        <w:rPr>
          <w:i/>
          <w:iCs/>
        </w:rPr>
        <w:t>Heritage</w:t>
      </w:r>
      <w:proofErr w:type="spellEnd"/>
      <w:r>
        <w:t>). Úmluvou byl mimo jiné založen Seznam světového dědictví a stanoveny povinnosti států k jeho položkám, tj. nejvýznamnějším památkám světa. V roce 1990 k ní přistoupila tehdejší Československá federativní republika; závaznou se pro ni stala dnem 15. 2. 1991. Na základě akceptování této Úmluvy byly postupně připravovány návrhy České republiky k zařazení statků na Seznam světového dědictví, z nichž Mezivládní výbor přijal již sedm</w:t>
      </w:r>
      <w:r>
        <w:t>náct návrhů (šestnáct kulturních statků, jeden přírodní statek). Tato činnost kontinuálně pokračuje, průběžně jsou zpracovávány podkladové materiály u těch statků, které by mohly být navrženy na zápis ve výběrovém cyklu.</w:t>
      </w:r>
    </w:p>
    <w:p w14:paraId="37AF4A30" w14:textId="77777777" w:rsidR="00A77B3E" w:rsidRDefault="000548D0">
      <w:pPr>
        <w:pStyle w:val="27"/>
      </w:pPr>
      <w:r>
        <w:t>Ačkoli nárazníková zóna není součástí zapsaného statku světového dědictví, hranice nárazníkové zóny jsou formálně zaregistrovány, a to buď v době zápisu statku, nebo v době, kdy jsou Výborem světového dědictví schváleny úpravy. Nárazníková zóna je nedílnou součástí závazku státu úmluvy zajistit ochranu, péči o zachování a správu statku. Jako taková by tedy jakákoli nárazníková zóna měla být součástí celkového systému řízení statku a mělo by být jasné, jak jsou subjekty odpovědné za správu statku rovněž scho</w:t>
      </w:r>
      <w:r>
        <w:t>pny poskytovat podněty a ovlivňovat správu činností v nárazníkových zónách. Statek zapsaný na Seznamu světového dědictví a jeho nárazníková zóna patří mezi sledované jevy databáze územně analytických podkladů (viz položka č. 7 přílohy č. 1 vyhlášky č. 157/2024 Sb.).</w:t>
      </w:r>
    </w:p>
    <w:p w14:paraId="5ABDF525" w14:textId="77777777" w:rsidR="00A77B3E" w:rsidRDefault="000548D0">
      <w:pPr>
        <w:pStyle w:val="26"/>
      </w:pPr>
      <w:r>
        <w:t>Přírodní a kulturní dědictví zapsané Seznam světového dědictví představuje mezinárodně uznanou kvalitu, k jejímž zachování se Česká republika zavázala. Součástí tohoto závazku je nejen ochrana vlastního území, ale i ochrana širších vztahů, která je garantována výše uvedenou nárazníkovou zónou. S ohledem na mezinárodní závazky ČR není toto území vhodné pro vymezení akcelerační oblasti.</w:t>
      </w:r>
    </w:p>
    <w:p w14:paraId="447260E3" w14:textId="77777777" w:rsidR="00A77B3E" w:rsidRDefault="000548D0">
      <w:pPr>
        <w:pStyle w:val="31"/>
      </w:pPr>
      <w:r>
        <w:t>K § 2 písm. k)</w:t>
      </w:r>
    </w:p>
    <w:p w14:paraId="72FBB323" w14:textId="77777777" w:rsidR="00A77B3E" w:rsidRDefault="000548D0">
      <w:pPr>
        <w:pStyle w:val="25"/>
      </w:pPr>
      <w:r>
        <w:rPr>
          <w:i/>
          <w:iCs/>
        </w:rPr>
        <w:t>k) nemovité národní kulturní památky a nemovité kulturní památky</w:t>
      </w:r>
    </w:p>
    <w:p w14:paraId="3D143B47" w14:textId="77777777" w:rsidR="00A77B3E" w:rsidRDefault="000548D0">
      <w:pPr>
        <w:pStyle w:val="27"/>
      </w:pPr>
      <w:r>
        <w:t xml:space="preserve">Nemovité kulturní památky jsou výtvory lidské činnosti, u nichž bylo rozhodnutím Ministerstva kultury deklarováno, že naplnily definiční znaky, které s tímto pojmem zákon o státní památkové péči spojuje. Nejhodnotnější kulturní památky může prohlásit za národní kulturní památky vláda svým nařízením. Nemovité kulturní památky a nemovité národní kulturní památky patří mezi </w:t>
      </w:r>
      <w:r>
        <w:lastRenderedPageBreak/>
        <w:t>sledované jevy databáze územně analytických podkladů (viz položka č. 4 přílohy č. 1 vyhlášky č. 157/2024 Sb.).</w:t>
      </w:r>
    </w:p>
    <w:p w14:paraId="4C32EC7B" w14:textId="77777777" w:rsidR="00A77B3E" w:rsidRDefault="000548D0">
      <w:pPr>
        <w:pStyle w:val="26"/>
      </w:pPr>
      <w:r>
        <w:t>Kulturní památky a tím spíše národní kulturní památky patří k dokladům lidské činnosti, u nichž stát deklaroval potřebu jejich zachování. Jejich charakter může být velmi rozdílný od drobné architektury v krajině až po rozsáhlé komponované areály. Může jít nejen o areály panských sídel, ale areály zahrnující industriální dědictví. Kulturní památkou může být stavba, která je postupně navracena do své předchozí podoby, ale kulturní památkou může i být i archeologická lokalita, u které je třeba v prvé řadě zabr</w:t>
      </w:r>
      <w:r>
        <w:t>ánit invazivní vstupu do terénu. Při takto rozdílném charakteru kulturního dědictví nelze zvolit obecné řešení, které by automaticky vyloučilo zásah do autentických hodnot té, které kulturní památky.</w:t>
      </w:r>
    </w:p>
    <w:p w14:paraId="58A714C8" w14:textId="77777777" w:rsidR="00A77B3E" w:rsidRDefault="000548D0">
      <w:pPr>
        <w:pStyle w:val="31"/>
      </w:pPr>
      <w:r>
        <w:t>K § 2 písm. l)</w:t>
      </w:r>
    </w:p>
    <w:p w14:paraId="1CD51E4A" w14:textId="77777777" w:rsidR="00A77B3E" w:rsidRDefault="000548D0">
      <w:pPr>
        <w:pStyle w:val="25"/>
      </w:pPr>
      <w:r>
        <w:rPr>
          <w:i/>
          <w:iCs/>
        </w:rPr>
        <w:t>l) vnitřní území lázeňských míst</w:t>
      </w:r>
    </w:p>
    <w:p w14:paraId="36F7CA5C" w14:textId="77777777" w:rsidR="00A77B3E" w:rsidRDefault="000548D0">
      <w:pPr>
        <w:pStyle w:val="27"/>
      </w:pPr>
      <w:r>
        <w:t>Lázeňským místem je území nebo část území obce nebo více obcí, v němž se nacházejí přírodní léčebné lázně, které jsou stanoveny za lázeňské místo podle zákona č. 164/2001 Sb., o přírodních léčivých zdrojích, zdrojích přírodních minerálních vod, přírodních léčebných lázních a lázeňských místech a o změně některých souvisejících zákonů (dále jen „lázeňský zákon“). Lázeňské místo a statut lázeňského místa stanoví vláda nařízením. Lázeňský statut přitom také vymezí vnitřní a vnější území lázeňského místa a v zá</w:t>
      </w:r>
      <w:r>
        <w:t xml:space="preserve">jmu ochrany léčebného režimu a zachování, popřípadě vytvoření lázeňského prostředí stanoví omezení související s výstavbou a rozvojem lázeňského místa, činnosti, které se v lázeňském místě omezují nebo zakazují, a zařízení, která se v něm nesmí zřizovat. Vnitřní území lázeňského místa zahrnuje ucelenou část území, v níž jsou soustředěna zařízení sloužící bezprostředně lázeňskému provozu. Lázeňské místo včetně vymezení vnitřního a vnějšího území je sledovaným jevem databáze územně analytických podkladů (viz </w:t>
      </w:r>
      <w:r>
        <w:t>položka č. 44 v příloze č. 1 vyhlášky č. 157/2024 Sb.).</w:t>
      </w:r>
    </w:p>
    <w:p w14:paraId="5B1AFE37" w14:textId="77777777" w:rsidR="00A77B3E" w:rsidRDefault="000548D0">
      <w:pPr>
        <w:pStyle w:val="26"/>
      </w:pPr>
      <w:r>
        <w:t>Primárním smyslem lázeňských míst je tedy ochrana léčebného režimu a zachování, popřípadě vytvoření lázeňského prostředí (tj. prostředí vhodného pro poskytování lázeňské léčebně rehabilitační péče). Ve vnitřním území lázeňského místa není možné vymezovat akcelerační oblasti zejména s ohledem na § 30 odst. 1 lázeňského zákona, protože by tím došlo k jeho porušení, tj. nebylo by možné vytvořit ucelenou část území, v níž jsou soustředěna zařízení sloužící bezprostředně lázeňskému provozu. Současně by docházelo</w:t>
      </w:r>
      <w:r>
        <w:t xml:space="preserve"> také k porušení statutů jednotlivých lázeňských míst, které v zásadě připouštějí pouze činnosti, které souvisí s lázeňskou léčebně rehabilitační péčí.</w:t>
      </w:r>
    </w:p>
    <w:p w14:paraId="3597792B" w14:textId="77777777" w:rsidR="00A77B3E" w:rsidRDefault="000548D0">
      <w:pPr>
        <w:pStyle w:val="31"/>
      </w:pPr>
      <w:r>
        <w:t>K § 2 písm. m)</w:t>
      </w:r>
    </w:p>
    <w:p w14:paraId="0F1043C3" w14:textId="77777777" w:rsidR="00A77B3E" w:rsidRDefault="000548D0">
      <w:pPr>
        <w:pStyle w:val="25"/>
      </w:pPr>
      <w:r>
        <w:rPr>
          <w:i/>
          <w:iCs/>
        </w:rPr>
        <w:t>m) přírodní léčivé zdroje a zdroje přírodní minerální vody a jejich ochranná pásma I. stupně</w:t>
      </w:r>
    </w:p>
    <w:p w14:paraId="7E043AD8" w14:textId="77777777" w:rsidR="00A77B3E" w:rsidRDefault="000548D0">
      <w:pPr>
        <w:pStyle w:val="27"/>
      </w:pPr>
      <w:r>
        <w:t>Přírodním léčivým zdrojem je podle lázeňského zákona přirozeně se vyskytující minerální voda, plyn nebo peloid, které mají vlastnost vhodnou pro léčebné využití, a o tomto zdroji je vydáno osvědčení podle tohoto zákona. Peloidem se rozumí rašelina, slatina nebo bahno. Minerální vodou pro léčebné využití se rozumí přirozeně se vyskytující podzemní voda původní čistoty s obsahem rozpuštěných pevných látek nejméně 1 g/l nebo s obsahem nejméně 1 g/l rozpuštěného oxidu uhličitého nebo s obsahem jiného pro zdraví</w:t>
      </w:r>
      <w:r>
        <w:t xml:space="preserve"> významného chemického prvku anebo která má u vývěru přirozenou teplotu vyšší než 20 °C nebo radioaktivitu radonu nad 1,5 </w:t>
      </w:r>
      <w:proofErr w:type="spellStart"/>
      <w:r>
        <w:t>kBq</w:t>
      </w:r>
      <w:proofErr w:type="spellEnd"/>
      <w:r>
        <w:t xml:space="preserve">/l. Zdrojem přírodní minerální vody je podle lázeňského zákona přirozeně se vyskytující podzemní voda původní čistoty, stálého složení a vlastností, která má z hlediska výživy fyziologické účinky dané obsahem minerálních látek, stopových prvků nebo jiných součástí, které umožňují její použití jako </w:t>
      </w:r>
      <w:r>
        <w:lastRenderedPageBreak/>
        <w:t>potraviny a k výrobě balených minerálních vod, a o tomto zdroji bylo vydáno osvědčení po</w:t>
      </w:r>
      <w:r>
        <w:t>dle tohoto zákona.</w:t>
      </w:r>
    </w:p>
    <w:p w14:paraId="03527AB7" w14:textId="77777777" w:rsidR="00A77B3E" w:rsidRDefault="000548D0">
      <w:pPr>
        <w:pStyle w:val="27"/>
      </w:pPr>
      <w:r>
        <w:t>Ministerstvo zdravotnictví stanoví vyhláškou ochranná pásma sloužící k ochraně výše uvedených zdrojů před činnostmi, které mohou nepříznivě ovlivnit chemické, fyzikální a mikrobiologické vlastnosti zdroje, jeho zdravotní nezávadnost, jakož i zásoby a vydatnost zdroje. Ochranné pásmo I. stupně se stanoví pro území zahrnující zpravidla okolí výstupu zdroje. U přírodního léčivého zdroje minerální vody a plynu a u zdroje přírodní minerální vody se ochranné pásmo stanovuje zpravidla pro území vymezené kruhem o p</w:t>
      </w:r>
      <w:r>
        <w:t>oloměru 50 m od zdroje, není-li na základě hydrogeologického šetření nutno stanovit jinak. V takovém případě se v ochranném pásmu I. stupně k zabezpečení bezprostřední ochrany jímání zdroje vymezí zpravidla v rozsahu 10 x 10 m okolo zdroje pásmo fyzické ochrany zdroje, v němž se mohou provádět jen činnosti spojené s ochranou a využitím zdroje. U přírodního léčivého zdroje peloidu se ochranné pásmo stanoví zpravidla pro území vymezené hranicemi ložiska peloidu. Přírodní léčivé zdroje a zdroje přírodní minerá</w:t>
      </w:r>
      <w:r>
        <w:t>lní vody a jejich ochranná pásma I. stupně jsou sledovaným jevem databáze územně analytických podkladů (viz jev č. 43 v příloze č. 1 vyhlášky č. 157/2024 Sb.).</w:t>
      </w:r>
    </w:p>
    <w:p w14:paraId="0E3A76E8" w14:textId="77777777" w:rsidR="00A77B3E" w:rsidRDefault="000548D0">
      <w:pPr>
        <w:pStyle w:val="27"/>
      </w:pPr>
      <w:r>
        <w:t>V ochranném pásmu stanoveném pro území vymezené kruhem o poloměru do 50 m od zdroje, v pásmu fyzické ochrany zdroje a v ochranném pásmu přírodního léčivého zdroje peloidu jsou zakázány všechny činnosti s výjimkou těch, které jsou nutné v zájmu ochrany a využívání zdroje. V ochranném pásmu stanoveném pro území větší než vymezené kruhem o poloměru 50 m od zdroje je zakázáno provádět činnosti, které mohou negativně ovlivnit chemické, fyzikální a mikrobiologické vlastnosti zdroje a jeho zdravotní nezávadnost, j</w:t>
      </w:r>
      <w:r>
        <w:t>akož i zásoby a vydatnost zdroje. Tyto činnosti a termín jejich ukončení v návaznosti na místní geologické podmínky stanoví vyhláška ministerstva, kterou se stanoví ochranné pásmo.</w:t>
      </w:r>
    </w:p>
    <w:p w14:paraId="73F04D24" w14:textId="77777777" w:rsidR="00A77B3E" w:rsidRDefault="000548D0">
      <w:pPr>
        <w:pStyle w:val="26"/>
      </w:pPr>
      <w:r>
        <w:t>V ochranných pásmech I. stupně přírodních léčivých zdrojů a zdrojů přírodních minerálních není možné vymezovat akcelerační oblasti, protože by to bylo v rozporu s § 22 odst. 4 a odst. 5 lázeňského zákona a s již vydanými vyhláškami ochranných pásem.</w:t>
      </w:r>
    </w:p>
    <w:p w14:paraId="64CC4B06" w14:textId="77777777" w:rsidR="00A77B3E" w:rsidRDefault="000548D0">
      <w:pPr>
        <w:pStyle w:val="31"/>
      </w:pPr>
      <w:r>
        <w:t>K § 2 písm. n)</w:t>
      </w:r>
    </w:p>
    <w:p w14:paraId="0C670338" w14:textId="77777777" w:rsidR="00A77B3E" w:rsidRDefault="000548D0">
      <w:pPr>
        <w:pStyle w:val="25"/>
      </w:pPr>
      <w:r>
        <w:rPr>
          <w:i/>
          <w:iCs/>
        </w:rPr>
        <w:t>n) vojenské újezdy</w:t>
      </w:r>
    </w:p>
    <w:p w14:paraId="66F32D3E" w14:textId="77777777" w:rsidR="00A77B3E" w:rsidRDefault="000548D0">
      <w:pPr>
        <w:pStyle w:val="27"/>
      </w:pPr>
      <w:r>
        <w:t>Vojenské újezdy jsou podle § 30 zákona č. 222/1999 Sb., o zajišťování obrany České republiky, vymezená část území státu určená k zajišťování obrany státu a k výcviku ozbrojených sil. Území jednotlivých vojenských újezdů jsou vymezena výčtem katastrálních území uvedených v § 6 zákona č. 15/2015 Sb., o zrušení vojenského újezdu Brdy, o stanovení hranic vojenských újezdů, o změně hranic krajů a o změně souvisejících zákonů (zákon o hranicích vojenských újezdů).</w:t>
      </w:r>
    </w:p>
    <w:p w14:paraId="1A1BA2AE" w14:textId="77777777" w:rsidR="00A77B3E" w:rsidRDefault="000548D0">
      <w:pPr>
        <w:pStyle w:val="26"/>
      </w:pPr>
      <w:r>
        <w:t>Z hlediska možného ohrožení fotovoltaických i větrných elektráren výcvikem vojsk, tak i hlediska ochrany života cvičících vojáků a majetku prováděným výcvikem, nejsou území vojenských újezdů vhodné pro vymezování akceleračních oblastí.</w:t>
      </w:r>
    </w:p>
    <w:p w14:paraId="313CAA0E" w14:textId="77777777" w:rsidR="00A77B3E" w:rsidRDefault="000548D0">
      <w:pPr>
        <w:pStyle w:val="31"/>
      </w:pPr>
      <w:r>
        <w:t>K § 2 písm. o)</w:t>
      </w:r>
    </w:p>
    <w:p w14:paraId="7F54A171" w14:textId="77777777" w:rsidR="00A77B3E" w:rsidRDefault="000548D0">
      <w:pPr>
        <w:pStyle w:val="25"/>
      </w:pPr>
      <w:r>
        <w:rPr>
          <w:i/>
          <w:iCs/>
        </w:rPr>
        <w:t>o) území stanovená nařízením vlády č. 359/2024 Sb., o stanovení vymezených území s dopadem na stavby pro výrobu energie z obnovitelných zdrojů s celkovým instalovaným výkonem do 50 kW</w:t>
      </w:r>
    </w:p>
    <w:p w14:paraId="6CC25B64" w14:textId="77777777" w:rsidR="00A77B3E" w:rsidRDefault="000548D0">
      <w:pPr>
        <w:pStyle w:val="27"/>
      </w:pPr>
      <w:r>
        <w:t>Nařízení vlády č. 359/2024 Sb. zahrnuje šest území, v nichž se nacházejí speciální zařízení důležitá pro obranu státu, která využívají anténní systémy pro realizaci radiokomunikačního provozu a monitoringu rádiového spektra a jejichž funkčnost může být v důsledku výroben elektřiny z OZE ohrožena.</w:t>
      </w:r>
    </w:p>
    <w:p w14:paraId="77390888" w14:textId="77777777" w:rsidR="00A77B3E" w:rsidRDefault="000548D0">
      <w:pPr>
        <w:pStyle w:val="26"/>
      </w:pPr>
      <w:r>
        <w:lastRenderedPageBreak/>
        <w:t>Výrobny elektřiny z OZE jsou z hlediska zajišťování obrany státu v těchto vymezených územích problematické z několika důvodů. Fotovoltaické elektrárny a větrné elektrárny nacházející se v blízkosti zařízení, která slouží k zajištění přehledu o situaci ve vzdušném prostoru v rámci ČR a jejím okolí nebo k zajištění přehledu o situaci v elektromagnetickém spektru, mohou způsobovat jak vyšší úroveň elektromagnetického rušení, tak i zvýšení hodnot šumového pozadí. Dále přítomností více menších zdrojů, a tím i sč</w:t>
      </w:r>
      <w:r>
        <w:t>ítáním jejich vyzařování, může dojít ke kumulovanému efektu nárůstu šumu, který taktéž může vést k zásadnímu ovlivnění speciálních senzorů. Někdy dokonce již pouhá přítomnost tohoto typu infrastruktury i bez aktivního provozování způsobuje ovlivnění zásadních parametrů měřených signálů. Není tedy vhodné v těchto oblastech vymezovat akcelerační oblasti.</w:t>
      </w:r>
    </w:p>
    <w:p w14:paraId="62093753" w14:textId="77777777" w:rsidR="00A77B3E" w:rsidRDefault="000548D0">
      <w:pPr>
        <w:pStyle w:val="31"/>
      </w:pPr>
      <w:r>
        <w:t>K § 3</w:t>
      </w:r>
    </w:p>
    <w:p w14:paraId="169C56FA" w14:textId="77777777" w:rsidR="00A77B3E" w:rsidRDefault="000548D0">
      <w:pPr>
        <w:pStyle w:val="29"/>
      </w:pPr>
      <w:r>
        <w:t>Nad rámec území uvedených v § 2 nařízení vlády stanoví, že akcelerační oblasti vymezované pro fotovoltaické elektrárny se dále nesmí nacházet na následujících územích:</w:t>
      </w:r>
    </w:p>
    <w:p w14:paraId="06C176E9" w14:textId="77777777" w:rsidR="00A77B3E" w:rsidRDefault="000548D0">
      <w:pPr>
        <w:pStyle w:val="31"/>
      </w:pPr>
      <w:r>
        <w:t>K § 3 písm. a)</w:t>
      </w:r>
    </w:p>
    <w:p w14:paraId="46FB8410" w14:textId="77777777" w:rsidR="00A77B3E" w:rsidRDefault="000548D0">
      <w:pPr>
        <w:pStyle w:val="25"/>
      </w:pPr>
      <w:r>
        <w:rPr>
          <w:i/>
          <w:iCs/>
        </w:rPr>
        <w:t>a) zemědělský půdní fond se zemědělskou půdou I. a II. třídy ochrany</w:t>
      </w:r>
    </w:p>
    <w:p w14:paraId="3A06353A" w14:textId="77777777" w:rsidR="00A77B3E" w:rsidRDefault="000548D0">
      <w:pPr>
        <w:pStyle w:val="27"/>
      </w:pPr>
      <w:r>
        <w:t>Zemědělský půdní fond tvoří zemědělská půda a další pozemky. Pod pojem „zemědělská půda“ jsou zákonem č. 334/1992 Sb., o ochraně zemědělského půdního fondu řazeny pozemky zemědělsky obhospodařované (tj. orná půda, chmelnice, vinice, zahrady, ovocné sady, trvalé travní porosty) a půda, která byla a má být nadále zemědělsky obhospodařována, ale dočasně obdělávána není. Součástí zemědělské půdy jsou také krajinné prvky, které se na ní nacházejí.</w:t>
      </w:r>
    </w:p>
    <w:p w14:paraId="1B34BCA0" w14:textId="77777777" w:rsidR="00A77B3E" w:rsidRDefault="000548D0">
      <w:pPr>
        <w:pStyle w:val="27"/>
      </w:pPr>
      <w:r>
        <w:t>Zemědělská půda se podle kvality rozděluje do 5 tříd ochrany vymezených vyhláškou č. 48/2011 Sb., o třídách ochrany. V I. třídě ochrany jsou pozemky s přiřazenými bonitovanými půdně ekologickými jednotkami uvedenými v tabulce č. 1 přílohy k této vyhlášce a ve II. třídě ochrany jsou pozemky s přiřazenými bonitovanými půdně ekologickými jednotkami uvedenými v tabulce č. 2 přílohy k této vyhlášce. Bonitované půdně ekologické jednotky jsou jednotně vedeny v celostátní databázi bonitovaných půdně ekologických je</w:t>
      </w:r>
      <w:r>
        <w:t>dnotek, kterou aktualizuje a vede Státní pozemkový úřad. Jedná se o pětimístné kódy, který slouží k hodnocení absolutní i relativní produkční schopnosti zemědělských půd. Zemědělská půda I. a II. třídy kvality představuje nejkvalitnější zemědělskou půdu. Bonitovaná půdně ekologická jednotka a třída ochrany zemědělského půdního fondu je uvedena mezi jevy databáze územně analytických podkladů podle bodu 26 přílohy č. 1 vyhlášky č. 157/2024 Sb.</w:t>
      </w:r>
    </w:p>
    <w:p w14:paraId="513515B3" w14:textId="77777777" w:rsidR="00A77B3E" w:rsidRDefault="000548D0">
      <w:pPr>
        <w:pStyle w:val="27"/>
      </w:pPr>
      <w:r>
        <w:t xml:space="preserve">Zákaz vymezování akceleračních oblastí určených pro výrobny elektřiny využívající energii slunečního záření (FVE) na zemědělské půdě I. a II. třídy ochrany (tj. na nejkvalitnější zemědělské půdě) navazuje na § 4 odst. 4 zákona o ochraně zemědělského půdního fondu, podle kterého nelze zemědělskou půdu zařazenou do I. a II. třídy ochrany odejmout ze zemědělského půdního fondu za účelem zřízení energetických zařízení pro přeměnu energie slunečního záření na elektřinu (s výjimkou </w:t>
      </w:r>
      <w:proofErr w:type="spellStart"/>
      <w:r>
        <w:t>agrovoltaických</w:t>
      </w:r>
      <w:proofErr w:type="spellEnd"/>
      <w:r>
        <w:t xml:space="preserve"> výroben elektřiny a dále s výjimkou záměrů podle zákona o urychlení výstavby strategicky významné infrastruktury).</w:t>
      </w:r>
    </w:p>
    <w:p w14:paraId="7C8E4A1E" w14:textId="77777777" w:rsidR="00A77B3E" w:rsidRDefault="000548D0">
      <w:pPr>
        <w:pStyle w:val="27"/>
      </w:pPr>
      <w:r>
        <w:t>Tento zákaz reflektuje celou řadu negativních dopadů spojených s instalací fotovoltaických elektráren na zemědělské půdě. Základní omezení spojené s umisťováním těchto zařízení na zemědělské půdě spočívá v tom, že dochází k dlouhodobému odejmutí půdy z jejího primárního účelu, tedy zemědělské výroby. Takový zásah často vede k úplnému zániku či výraznému omezení všech funkcí, které zemědělská půda plní, zejména produkční, ekologické a krajinotvorné. Nelze přitom přehlédnout, že fotovoltaická zařízení často v</w:t>
      </w:r>
      <w:r>
        <w:t xml:space="preserve">yžadují rozsáhlé plochy, přičemž jejich </w:t>
      </w:r>
      <w:r>
        <w:lastRenderedPageBreak/>
        <w:t>instalace znamená nejen přímou ztrátu zemědělské půdy, ale i negativní vlivy na okolní pozemky. Tyto vlivy zahrnují změny vodního režimu, mikroklimatu a možnou degradaci půdy vlivem dlouhodobého odstínění nebo zatížení záměrem. V některých případech může být narušena i možnost budoucího návratu půdy k původnímu zemědělskému využití.</w:t>
      </w:r>
    </w:p>
    <w:p w14:paraId="79BE55C9" w14:textId="77777777" w:rsidR="00A77B3E" w:rsidRDefault="000548D0">
      <w:pPr>
        <w:pStyle w:val="26"/>
      </w:pPr>
      <w:r>
        <w:t>Dále je nutné vzít v úvahu, že nejkvalitnější zemědělské půdy zařazené do vyšších tříd ochrany plní nenahraditelné funkce jak z hlediska zabezpečení potravinové soběstačnosti, tak z hlediska ochrany biodiverzity a stability krajiny. Umístění fotovoltaických elektráren na těchto pozemcích by proto vedlo k nevratným změnám v charakteru krajiny a její funkční stabilitě.</w:t>
      </w:r>
    </w:p>
    <w:p w14:paraId="15EDE7A6" w14:textId="77777777" w:rsidR="00A77B3E" w:rsidRDefault="000548D0">
      <w:pPr>
        <w:pStyle w:val="31"/>
      </w:pPr>
      <w:r>
        <w:t>K § 3 písm. b)</w:t>
      </w:r>
    </w:p>
    <w:p w14:paraId="62DC86DF" w14:textId="77777777" w:rsidR="00A77B3E" w:rsidRDefault="000548D0">
      <w:pPr>
        <w:pStyle w:val="25"/>
      </w:pPr>
      <w:r>
        <w:rPr>
          <w:i/>
          <w:iCs/>
        </w:rPr>
        <w:t>b) pozemky určené k plnění funkcí lesa</w:t>
      </w:r>
    </w:p>
    <w:p w14:paraId="412F025C" w14:textId="77777777" w:rsidR="00A77B3E" w:rsidRDefault="000548D0">
      <w:pPr>
        <w:pStyle w:val="27"/>
      </w:pPr>
      <w:r>
        <w:t>Pozemky určenými k plnění funkcí lesa se rozumí tzv. „lesní pozemky“ což jsou pozemky s lesními porosty a plochy, na nichž byly lesní porosty odstraněny za účelem obnovy, lesní průseky a nezpevněné lesní cesty, nejsou-li širší než 4 m, a pozemky, na nichž byly lesní porosty dočasně odstraněny na základě rozhodnutí orgánu státní správy lesů podle § 13 odst. 1 zákona č. 289/1995 Sb., o lesích (dále jen „lesní zákon“) a tzv. „jiné pozemky“ které představují zpevněné lesní cesty, drobné vodní plochy, ostatní pl</w:t>
      </w:r>
      <w:r>
        <w:t>ochy, pozemky nad horní hranicí dřevinné vegetace (hole), s výjimkou pozemků zastavěných a jejich příjezdních komunikací, a lesní pastviny a políčka pro zvěř, pokud nejsou součástí zemědělského půdního fondu a jestliže s lesem souvisejí nebo slouží lesnímu hospodářství. Způsob ochrany pozemků určených k plnění funkcí lesa je evidován v rámci veřejného seznamu katastru nemovitostí. Grafické znázornění pozemků určených k plnění funkcí lesa je volně přístupné v datovém skladu ústavu pro hospodářkou úpravu lesu</w:t>
      </w:r>
      <w:r>
        <w:t xml:space="preserve"> v sekci oblastní plány rozvoje lesů. Lesy, jejich kategorizace a vzdálenost 30 m od okraje lesa současně představují jeden ze sledovaných jevů databáze územně analytických podkladů (jev číslo 25 uvedený v příloze č. 1 vyhlášky č. 157/2024 Sb.).</w:t>
      </w:r>
    </w:p>
    <w:p w14:paraId="437A6C19" w14:textId="77777777" w:rsidR="00A77B3E" w:rsidRDefault="000548D0">
      <w:pPr>
        <w:pStyle w:val="26"/>
      </w:pPr>
      <w:r>
        <w:t>Zákaz umístění akceleračních oblastí vymezovaných pro výrobny elektřiny využívající energii slunečního záření reflektuje celou řadu záporných jevů, které sebou umisťování fotovoltaických elektráren přináší, a to především ve vztahu k stabilitě okolních lesních porostů a lesnickému hospodaření v nich. Základní omezení spojené s umisťováním fotovoltaických elektráren na lesní půdě představuje nezbytnost velkoplošného odlesnění lesních pozemků. Takový zásah vždy vede k úplnému zániku či alespoň výraznému naruš</w:t>
      </w:r>
      <w:r>
        <w:t>ení všech celospolečenských funkcí, které les jako nenahraditelná složka životního prostředí svou existencí zajišťuje. Nelze přitom opomenout, že odlesňovaná plocha by v takovém případě byla vždy významně větší než vlastní plocha s fotovoltaickými panely, a to z důvodu zajištění nezbytné odstupové vzdálenosti záměru od okolních porostních stěn (nutná eliminace zastínění, respektive rizika poškození stavby spojená s pádem stromů). Zánik lesních porostů na velké ploše obvykle vede k vytvoření nestabilních por</w:t>
      </w:r>
      <w:r>
        <w:t>ostních stěn v důsledku významného narušení porostního pláště. Stromy rostoucí uvnitř porostu jsou náhle situovány na jeho okraji, přičemž svým habitatem nejsou náležitě uzpůsobeny působení negativních vlivů škodlivých činitelů. Uvedená skutečnost mimo jiné významně zvyšuje riziko ohrožení okolních lesních porostů bořivými větry. Vyloučit nelze ani takové faktory jakými jsou změna vodního režimu a mikroklimatu v dané lokalitě či postupná degradace lesní půdy ve spojení s jejím dlouhodobým využíváním k jiným</w:t>
      </w:r>
      <w:r>
        <w:t xml:space="preserve"> účelům. Umístění fotovoltaických elektráren nelze realizovat ani na tzv. jiných pozemcích, respektive pozemcích sloužících lesnímu hospodaření, neboť jde zpravidla o pozemky zanedbatelné výměry plnící ve vztahu k okolním lesním pozemkům svoji nezastupitelnou roli (např. drobné vodní plochy, či políčka pro zvěř). V obecné rovině lze zároveň konstatovat, že s ohledem na významný plošný rozsah fotovoltaických elektráren by jejich </w:t>
      </w:r>
      <w:r>
        <w:lastRenderedPageBreak/>
        <w:t>realizace na pozemcích určených k plnění funkcí lesa nutně vedla k významnému na</w:t>
      </w:r>
      <w:r>
        <w:t>rušení cestní sítě, respektive lesního hospodaření na souvisejících pozemcích určených k plnění funkcí lesa.</w:t>
      </w:r>
    </w:p>
    <w:p w14:paraId="4A91CB68" w14:textId="77777777" w:rsidR="00A77B3E" w:rsidRDefault="000548D0">
      <w:pPr>
        <w:pStyle w:val="31"/>
      </w:pPr>
      <w:r>
        <w:t>K § 4</w:t>
      </w:r>
    </w:p>
    <w:p w14:paraId="563523D4" w14:textId="77777777" w:rsidR="00A77B3E" w:rsidRDefault="000548D0">
      <w:pPr>
        <w:pStyle w:val="29"/>
      </w:pPr>
      <w:r>
        <w:t>Nad rámec území uvedených v § 2 nařízení vlády stanoví, že akcelerační oblasti vymezované pro větrné elektrárny se dále nesmí nacházet na následujících územích:</w:t>
      </w:r>
    </w:p>
    <w:p w14:paraId="4FAC6E0E" w14:textId="77777777" w:rsidR="00A77B3E" w:rsidRDefault="000548D0">
      <w:pPr>
        <w:pStyle w:val="31"/>
      </w:pPr>
      <w:r>
        <w:t>K § 4 písm. a)</w:t>
      </w:r>
    </w:p>
    <w:p w14:paraId="2506FA76" w14:textId="77777777" w:rsidR="00A77B3E" w:rsidRDefault="000548D0">
      <w:pPr>
        <w:pStyle w:val="25"/>
      </w:pPr>
      <w:r>
        <w:rPr>
          <w:i/>
          <w:iCs/>
        </w:rPr>
        <w:t>a) pozemky určené k plnění funkcí lesa zařazené do kategorie lesů ochranných a lesů zvláštního určení</w:t>
      </w:r>
    </w:p>
    <w:p w14:paraId="17C33F83" w14:textId="77777777" w:rsidR="00A77B3E" w:rsidRDefault="000548D0">
      <w:pPr>
        <w:pStyle w:val="27"/>
      </w:pPr>
      <w:r>
        <w:t>Lesní ekosystémy plní ze své podstaty celou řadu nenahraditelných celospolečenských funkcí. V závislosti na významu jednotlivých funkcí byl zaveden systém tzv. kategorizace lesů dle něhož se lesy dělí do tří kategorií (lesy hospodářské, lesy ochranné a lesy zvláštního určení).</w:t>
      </w:r>
    </w:p>
    <w:p w14:paraId="3868325F" w14:textId="77777777" w:rsidR="00A77B3E" w:rsidRDefault="000548D0">
      <w:pPr>
        <w:pStyle w:val="27"/>
      </w:pPr>
      <w:r>
        <w:t>Za lesy ochranné se dle § 7 odst. 1 lesního zákona považují lesy na mimořádně nepříznivých stanovištích (sutě, kamenná moře, prudké svahy, strže, nestabilizované náplavy a písky, rašeliniště, odvaly a výsypky apod.), vysokohorské lesy pod hranicí stromové vegetace chránící níže položené lesy, lesy na exponovaných hřebenech a lesy v klečovém lesním vegetačním stupni. K zařazení i vyřazení lesů z kategorie lesů ochranných dochází na základě rozhodnutí orgánu státní správy lesa.</w:t>
      </w:r>
    </w:p>
    <w:p w14:paraId="10613FAE" w14:textId="77777777" w:rsidR="00A77B3E" w:rsidRDefault="000548D0">
      <w:pPr>
        <w:pStyle w:val="27"/>
      </w:pPr>
      <w:r>
        <w:t>Za lesy kategorie zvláštního určení jsou ze zákona považovány lesy, které nejsou lesy ochrannými a které se nacházejí v pásmech hygienické ochrany vodních zdrojů I. stupně, v ochranných pásmech zdrojů přírodních léčivých a stolních minerálních vod, nebo na území národních parků a národních přírodních rezervací. Na základě rozhodnutí orgánu státní správy lesů pak mohou být do kategorie lesů zvláštního určení zařazeny rovněž lesy v prvních zónách chráněných krajinných oblastí, lesy v přírodních rezervacích, n</w:t>
      </w:r>
      <w:r>
        <w:t xml:space="preserve">árodních přírodních památkách a přírodních památkách, lázeňské lesy, příměstské a další lesy se zvýšenou rekreační funkcí, lesy sloužící lesnickému výzkumu a lesnické výuce, lesy se zvýšenou funkcí </w:t>
      </w:r>
      <w:proofErr w:type="spellStart"/>
      <w:r>
        <w:t>půdoochrannou</w:t>
      </w:r>
      <w:proofErr w:type="spellEnd"/>
      <w:r>
        <w:t xml:space="preserve">, </w:t>
      </w:r>
      <w:proofErr w:type="spellStart"/>
      <w:r>
        <w:t>vodoochrannou</w:t>
      </w:r>
      <w:proofErr w:type="spellEnd"/>
      <w:r>
        <w:t>, klimatickou nebo krajinotvornou, lesy potřebné pro zachování biologické různorodosti, lesy v uznaných oborách a v samostatných bažantnicích nebo lesy v nichž jiný důležitý veřejný zájem vyžaduje odlišný způsob hospodaření (§ 8 odst. 1 a 2 lesního zákona).</w:t>
      </w:r>
    </w:p>
    <w:p w14:paraId="7DD4AF87" w14:textId="77777777" w:rsidR="00A77B3E" w:rsidRDefault="000548D0">
      <w:pPr>
        <w:pStyle w:val="27"/>
      </w:pPr>
      <w:r>
        <w:t>Grafický zákres kategorizace provádí Ústav pro hospodářskou úpravu lesů. Při zpracovaní mapových podkladů Ústav pro hospodářskou úpravu lesů vychází zejména z platných lesních hospodářských plánů a z pravomocných rozhodnutí orgánů státní správy lesů, která jsou mu za tímto účelem poskytována. Kategorizace lesů je zároveň jedním ze sledovaných jevů databáze územně analytických podkladů (jev číslo 25 uvedený v příloze č. 1 vyhlášky č. 157/2024 Sb.).</w:t>
      </w:r>
    </w:p>
    <w:p w14:paraId="635ECC85" w14:textId="77777777" w:rsidR="00A77B3E" w:rsidRDefault="000548D0">
      <w:pPr>
        <w:pStyle w:val="27"/>
      </w:pPr>
      <w:r>
        <w:t>Nevhodnost umisťování obnovitelných zdrojů energie využívající energii větru v ochranných lesích a lesích zvláštního určení je dána objektivní neslučitelností těchto technologií s účelem který je předmětnými kategoriemi lesa sledován.</w:t>
      </w:r>
    </w:p>
    <w:p w14:paraId="46D8FB88" w14:textId="77777777" w:rsidR="00A77B3E" w:rsidRDefault="000548D0">
      <w:pPr>
        <w:pStyle w:val="27"/>
      </w:pPr>
      <w:r>
        <w:t xml:space="preserve">Význam ochranných lesů je spojen s plněním řady významných ekologických funkcí, jakými jsou např. funkce </w:t>
      </w:r>
      <w:proofErr w:type="spellStart"/>
      <w:r>
        <w:t>půdoochranná</w:t>
      </w:r>
      <w:proofErr w:type="spellEnd"/>
      <w:r>
        <w:t>, klimatická či hydrická. Vedle obecného snižování negativních účinků větrné a vodní eroze na půdní prostředí, ochranné lesy zároveň zajišťují minimalizaci rizika škod v důsledku náhlých půdních sesuvů či sněhových lavin. Kategorie ochranných lesů je vázána zejména k vysokohorským lesům a lesům nacházejících se na extrémně nepříznivých stanovištích. Lesní porosty v těchto oblastech čelí extrémnímu působení škodlivých abiotických činitelů, což se odráží mimo jiné v nezbytnosti zachování co nejvyš</w:t>
      </w:r>
      <w:r>
        <w:t xml:space="preserve">šího stupně zápoje. Jakákoliv stavební činnost vedoucí k narušení tzv. porostního pláště je v těchto podmínkách vysloveně nežádoucí, neboť </w:t>
      </w:r>
      <w:r>
        <w:lastRenderedPageBreak/>
        <w:t>neúměrně zvyšuje riziko celkového rozvratu lesních porostů. Zároveň nelze opomenout, že nutnost vyloučení realizace zdrojů energie využívající energii větru v ochranných lesích je rovněž spojena s obecnou nestabilitou geologického podloží v těchto oblastech (nebezpečí půdních sesuvů).</w:t>
      </w:r>
    </w:p>
    <w:p w14:paraId="0D367BDB" w14:textId="77777777" w:rsidR="00A77B3E" w:rsidRDefault="000548D0">
      <w:pPr>
        <w:pStyle w:val="26"/>
      </w:pPr>
      <w:r>
        <w:t xml:space="preserve">V případě kategorií lesů zvláštního určení budou důvody svědčící pro vyloučení větrných elektráren v těchto oblastech v řadě případů obdobné jako u lesů ochranných. Zejména se jedná o neslučitelnost stavební činnosti s protierozními a </w:t>
      </w:r>
      <w:proofErr w:type="spellStart"/>
      <w:r>
        <w:t>vodoochranými</w:t>
      </w:r>
      <w:proofErr w:type="spellEnd"/>
      <w:r>
        <w:t xml:space="preserve"> funkcemi lesa (lesy se zvýšenou funkcí </w:t>
      </w:r>
      <w:proofErr w:type="spellStart"/>
      <w:r>
        <w:t>půdoochrannou</w:t>
      </w:r>
      <w:proofErr w:type="spellEnd"/>
      <w:r>
        <w:t xml:space="preserve">, </w:t>
      </w:r>
      <w:proofErr w:type="spellStart"/>
      <w:r>
        <w:t>vodoochrannou</w:t>
      </w:r>
      <w:proofErr w:type="spellEnd"/>
      <w:r>
        <w:t>, klimatickou nebo krajinotvornou, lesy v pásmech hygienické ochrany vodních zdrojů I. stupně, v ochranných pásmech zdrojů přírodních léčivých a stolních minerálních vod). U lesů zvláštního určení nacházejících se ve zvláště chráněných územích je pak realizace větrných elektráren omezena zejména v souvislosti se zvláštním režimem hospodaření v těchto lesích, kdy jsou veškeré činnosti primárně podřízeny existenci veřejného zájmu</w:t>
      </w:r>
      <w:r>
        <w:t xml:space="preserve"> na ochraně přírody. Ve zbytku je neslučitelnost umisťování větrných elektráren kromě obecného rozporu se sledovaným zvláštním účelem lesů limitována ochranou dalších veřejných zájmů (např. veřejný zájem na zachování bezpečnosti v lesích se zvýšeným pohybem osob – lesy rekreační a lesy lázeňské), či ochranou zájmů vlastníka lesa (lesy v uznaných oborách a samostatných bažantnicích).</w:t>
      </w:r>
      <w:r>
        <w:rPr>
          <w:i/>
          <w:iCs/>
        </w:rPr>
        <w:t xml:space="preserve"> </w:t>
      </w:r>
    </w:p>
    <w:p w14:paraId="7E3A462A" w14:textId="77777777" w:rsidR="00A77B3E" w:rsidRDefault="000548D0">
      <w:pPr>
        <w:pStyle w:val="31"/>
      </w:pPr>
      <w:r>
        <w:t>K § 4 písm. b)</w:t>
      </w:r>
    </w:p>
    <w:p w14:paraId="1CA2AFA6" w14:textId="77777777" w:rsidR="00A77B3E" w:rsidRDefault="000548D0">
      <w:pPr>
        <w:pStyle w:val="25"/>
      </w:pPr>
      <w:r>
        <w:rPr>
          <w:i/>
          <w:iCs/>
        </w:rPr>
        <w:t>b) civilní letiště a jejich ochranná pásma</w:t>
      </w:r>
    </w:p>
    <w:p w14:paraId="2839267C" w14:textId="77777777" w:rsidR="00A77B3E" w:rsidRDefault="000548D0">
      <w:pPr>
        <w:pStyle w:val="27"/>
      </w:pPr>
      <w:r>
        <w:t xml:space="preserve">Civilním letectvím se podle zákona č. 49/1997 Sb., o civilním letectví rozumí letecké činnosti provozované v ČR civilními letadly jakékoliv státní příslušnosti pro civilní účely, jakož i letecké činnosti provozované letadly státní příslušnosti ČR v cizině pro civilní účely a provozování civilních letišť a poskytování leteckých služeb na území ČR. Letištěm je územně vymezená a vhodným způsobem upravená plocha včetně souboru leteckých staveb a zařízení letiště, trvale určená ke vzletům a přistávání letadel a </w:t>
      </w:r>
      <w:r>
        <w:t>k pohybům letadel s tím souvisejícím. Vymezování ochranných pásem civilních letišť upravuje § 37 zákona o civilním letectví. Ochranná pásma zřizují stavební úřady opatřením obecné povahy. Ochranná pásma letišť se dělí na ochranná pásma se zákazem staveb, s výškovým omezením staveb, k ochraně před nebezpečnými a klamavými světly, se zákazem laserových zařízení, s omezením staveb vzdušných vedení vysokého napětí a velmi vysokého napětí, a dále na ochranná pásma hluková a ornitologická. Letiště a jejich ochran</w:t>
      </w:r>
      <w:r>
        <w:t>ná pásma jsou sledovaným jevem databáze územně analytických podkladů (viz položka č. 72 v příloze č. 1 vyhlášky č. 157/2024 Sb.).</w:t>
      </w:r>
    </w:p>
    <w:p w14:paraId="338618D9" w14:textId="77777777" w:rsidR="00A77B3E" w:rsidRDefault="000548D0">
      <w:pPr>
        <w:pStyle w:val="26"/>
      </w:pPr>
      <w:r>
        <w:t xml:space="preserve">U velkých civilních letišť je nutné zachovat příletové a odletové koridory v délce 15 km na obě strany od středu dráhy, a dále kružnice o poloměru 5 km pro </w:t>
      </w:r>
      <w:r>
        <w:rPr>
          <w:i/>
          <w:iCs/>
        </w:rPr>
        <w:t xml:space="preserve">go </w:t>
      </w:r>
      <w:proofErr w:type="spellStart"/>
      <w:r>
        <w:rPr>
          <w:i/>
          <w:iCs/>
        </w:rPr>
        <w:t>around</w:t>
      </w:r>
      <w:proofErr w:type="spellEnd"/>
      <w:r>
        <w:t xml:space="preserve"> či přiblížení z nestandardního směru. U malých letišť, který je v ČR zhruba 80, je nutné zachovat kruh o poloměru 5 km, do kterého se vejdou i koridory. Přibližovací aktivní radary se vejdou do kruhů o poloměru 5 km a přeletové radary do bodového pásma o poloměru cca 500 metrů. Tyto oblasti jsou proto obecně nevhodné pro vymezování akceleračních oblastí pro VTE.</w:t>
      </w:r>
    </w:p>
    <w:p w14:paraId="3A740058" w14:textId="77777777" w:rsidR="00A77B3E" w:rsidRDefault="000548D0">
      <w:pPr>
        <w:pStyle w:val="31"/>
      </w:pPr>
      <w:r>
        <w:t>K § 4 písm. c)</w:t>
      </w:r>
    </w:p>
    <w:p w14:paraId="0F3DFCB3" w14:textId="77777777" w:rsidR="00A77B3E" w:rsidRDefault="000548D0">
      <w:pPr>
        <w:pStyle w:val="25"/>
      </w:pPr>
      <w:r>
        <w:rPr>
          <w:i/>
          <w:iCs/>
        </w:rPr>
        <w:t xml:space="preserve">c) vnitřní ochranná pásma </w:t>
      </w:r>
      <w:proofErr w:type="spellStart"/>
      <w:r>
        <w:rPr>
          <w:i/>
          <w:iCs/>
        </w:rPr>
        <w:t>meteoradarů</w:t>
      </w:r>
      <w:proofErr w:type="spellEnd"/>
      <w:r>
        <w:rPr>
          <w:i/>
          <w:iCs/>
        </w:rPr>
        <w:t xml:space="preserve"> a profesionální měřicí stanice</w:t>
      </w:r>
    </w:p>
    <w:p w14:paraId="58141280" w14:textId="77777777" w:rsidR="00A77B3E" w:rsidRDefault="000548D0">
      <w:pPr>
        <w:pStyle w:val="27"/>
      </w:pPr>
      <w:r>
        <w:t>Český hydrometeorologický ústav (dále jen „ČHMÚ“) provozuje meteorologickou radiolokační síť CZRAD, která se skládá ze dvou radiolokátorů, které svým měřením pokrývají celé území ČR, a to:</w:t>
      </w:r>
    </w:p>
    <w:p w14:paraId="1516B08A" w14:textId="77777777" w:rsidR="00A77B3E" w:rsidRDefault="000548D0">
      <w:pPr>
        <w:pStyle w:val="27"/>
      </w:pPr>
      <w:r>
        <w:t xml:space="preserve">· Skalky (49,5011° s. š., 16,7885° v. d.), výška stanice 730 m n. m., výška osy antény 767 m n. m., k. </w:t>
      </w:r>
      <w:proofErr w:type="spellStart"/>
      <w:r>
        <w:t>ú.</w:t>
      </w:r>
      <w:proofErr w:type="spellEnd"/>
      <w:r>
        <w:t xml:space="preserve"> Buková u Protivanova 615803,</w:t>
      </w:r>
    </w:p>
    <w:p w14:paraId="227F5129" w14:textId="77777777" w:rsidR="00A77B3E" w:rsidRDefault="000548D0">
      <w:pPr>
        <w:pStyle w:val="27"/>
      </w:pPr>
      <w:r>
        <w:lastRenderedPageBreak/>
        <w:t xml:space="preserve">· Brdy-Praha (49,6583° s. š., 13,8178° v. d.), výška stanice 860 m n. m., výška osy antény 916 m n. m., k. </w:t>
      </w:r>
      <w:proofErr w:type="spellStart"/>
      <w:r>
        <w:t>ú.</w:t>
      </w:r>
      <w:proofErr w:type="spellEnd"/>
      <w:r>
        <w:t xml:space="preserve"> </w:t>
      </w:r>
      <w:proofErr w:type="spellStart"/>
      <w:r>
        <w:t>Záběhlá</w:t>
      </w:r>
      <w:proofErr w:type="spellEnd"/>
      <w:r>
        <w:t xml:space="preserve"> 990736.</w:t>
      </w:r>
    </w:p>
    <w:p w14:paraId="09596020" w14:textId="77777777" w:rsidR="00A77B3E" w:rsidRDefault="000548D0">
      <w:pPr>
        <w:pStyle w:val="27"/>
      </w:pPr>
      <w:r>
        <w:t>Meteorologická radiolokační síť CZRAD je důležitou součástí monitorování plošného rozložení a intenzity srážek a využívá se pro velmi krátkodobou předpověď srážek, nebezpečných konvektivních bouří a přívalových povodní na celém území ČR. Usnesením vlády ČR č. 934 ze dne 14. 12. 2011, byl ČHMÚ určen prvkem kritické infrastruktury s odpovědností pro zajišťování předpovědní, varovné a hlásné služby v oblastech vymezených v příloze k nařízení vlády č. 432/2010 Sb. Naměřená data z meteorologických radarů patří m</w:t>
      </w:r>
      <w:r>
        <w:t>ezi klíčové podklady, které ČHMÚ potřebuje pro zajištění svých činností a rovněž pro zajištění služeb uživatelům, včetně integrovaného záchranného systému, Řízení letového provozu ČR a Armády ČR.</w:t>
      </w:r>
    </w:p>
    <w:p w14:paraId="44C95104" w14:textId="77777777" w:rsidR="00A77B3E" w:rsidRDefault="000548D0">
      <w:pPr>
        <w:pStyle w:val="27"/>
      </w:pPr>
      <w:r>
        <w:t>Z dosavadních zkušeností i z doporučení mezinárodních meteorologických organizací vyplývá, že měření meteorologických radarů je negativně ovlivňováno větrnými elektrárnami, které znehodnocují měření dat dopplerovských rychlostí, vymazávání pozemních odrazů, popř. mohou též způsobovat útlum radarového paprsku a negativně ovlivňují další měřené radarové veličiny (tzv. polarimetrické veličiny), které jsou používány k filtraci, a tedy omezení rušení ze strany nemeteorologických cílů. Proto se navrhuje vymezit k</w:t>
      </w:r>
      <w:r>
        <w:t>olem každého z výše uvedených radarů ČHMÚ kruhovou oblast o poloměru 5 km, ve které nebude možné vymezit akcelerační oblasti vymezované pro větrné elektrárny.</w:t>
      </w:r>
    </w:p>
    <w:p w14:paraId="7A35D26D" w14:textId="77777777" w:rsidR="00A77B3E" w:rsidRDefault="000548D0">
      <w:pPr>
        <w:pStyle w:val="26"/>
      </w:pPr>
      <w:r>
        <w:t>Profesionální meteorologické stanice zajišťují měření základních meteorologických charakteristik, které jsou využívány pro přípravu a tvorbu předpovědi počasí, pro vstup do meteorologických modelů, data jsou taktéž odesílány do mezinárodní výměny meteorologických dat (např. pro zajištění leteckého provozu). Blízkost větrných elektráren může ovlivnit zejména měření rychlosti a směru větru, které patří mezi základní meteorologické prvky (Just, J.: Aerodynamika axiálních větrných turbín. VÚT Brno. 2013). Navrh</w:t>
      </w:r>
      <w:r>
        <w:t>uje se proto v okolí profesionálních meteorologických stanic vymezit kruhovou oblast o poloměru 1 km jako plochu, ve které nebude možné vymezit akcelerační oblasti vymezované pro větrné elektrárny.</w:t>
      </w:r>
    </w:p>
    <w:p w14:paraId="7DD6A6D7" w14:textId="77777777" w:rsidR="00A77B3E" w:rsidRDefault="000548D0">
      <w:pPr>
        <w:pStyle w:val="31"/>
      </w:pPr>
      <w:r>
        <w:t>K § 5</w:t>
      </w:r>
    </w:p>
    <w:p w14:paraId="2ECB8110" w14:textId="77777777" w:rsidR="00A77B3E" w:rsidRDefault="000548D0">
      <w:pPr>
        <w:pStyle w:val="29"/>
      </w:pPr>
      <w:r>
        <w:t>Nařízení vlády by mělo nabýt účinnosti nejdříve ve stejný den, jako zákon o urychlení využívání obnovitelných zdrojů energie, který je tímto nařízením vlády prováděn, který se v současné době nachází v legislativním procesu, v Poslanecké sněmovně.</w:t>
      </w:r>
    </w:p>
    <w:p w14:paraId="50231F80" w14:textId="77777777" w:rsidR="00A77B3E" w:rsidRDefault="000548D0">
      <w:pPr>
        <w:pStyle w:val="30"/>
        <w:sectPr w:rsidR="00A77B3E">
          <w:headerReference w:type="even" r:id="rId9"/>
          <w:headerReference w:type="default" r:id="rId10"/>
          <w:headerReference w:type="first" r:id="rId11"/>
          <w:pgSz w:w="12240" w:h="15840"/>
          <w:pgMar w:top="1417" w:right="1417" w:bottom="1417" w:left="1417" w:header="400" w:footer="708" w:gutter="0"/>
          <w:cols w:space="708"/>
          <w:docGrid w:linePitch="360"/>
        </w:sectPr>
      </w:pPr>
      <w:r>
        <w:br w:type="page"/>
      </w:r>
    </w:p>
    <w:p w14:paraId="6E7C3F6C" w14:textId="77777777" w:rsidR="00A77B3E" w:rsidRDefault="00A77B3E">
      <w:pPr>
        <w:pStyle w:val="Normal1"/>
      </w:pPr>
    </w:p>
    <w:p w14:paraId="2F9A0ED7" w14:textId="77777777" w:rsidR="00A77B3E" w:rsidRDefault="00A77B3E">
      <w:pPr>
        <w:pStyle w:val="11"/>
      </w:pPr>
    </w:p>
    <w:p w14:paraId="44382AA4" w14:textId="77777777" w:rsidR="00A77B3E" w:rsidRDefault="00A77B3E">
      <w:pPr>
        <w:pStyle w:val="11"/>
      </w:pPr>
    </w:p>
    <w:p w14:paraId="39C8BBEE" w14:textId="77777777" w:rsidR="00A77B3E" w:rsidRDefault="000548D0">
      <w:pPr>
        <w:pStyle w:val="4"/>
      </w:pPr>
      <w:r>
        <w:t>Stručný popis obsahu návrhu právního předpisu</w:t>
      </w:r>
    </w:p>
    <w:p w14:paraId="64DE77F2" w14:textId="77777777" w:rsidR="00A77B3E" w:rsidRDefault="00A77B3E">
      <w:pPr>
        <w:pStyle w:val="11"/>
      </w:pPr>
    </w:p>
    <w:p w14:paraId="45AC5AA0" w14:textId="77777777" w:rsidR="00A77B3E" w:rsidRDefault="000548D0">
      <w:pPr>
        <w:pStyle w:val="110"/>
      </w:pPr>
      <w:r>
        <w:t>Návrh nařízení vlády o stanovení území, na kterých nelze vymezovat akcelerační oblasti</w:t>
      </w:r>
    </w:p>
    <w:p w14:paraId="001D928E" w14:textId="77777777" w:rsidR="00A77B3E" w:rsidRDefault="00A77B3E">
      <w:pPr>
        <w:pStyle w:val="11"/>
      </w:pPr>
    </w:p>
    <w:p w14:paraId="098C10AE" w14:textId="77777777" w:rsidR="00A77B3E" w:rsidRDefault="000548D0">
      <w:pPr>
        <w:pStyle w:val="140"/>
      </w:pPr>
      <w:r>
        <w:t>V souladu s § 4 odst. 1 zákona o urychlení využívání obnovitelných zdrojů energie se akcelerační oblasti vymezují v nezbytné oblasti vymezené pro využití stejného druhu OZE a nelze je vymezit na území evropsky významné lokality, ptačí oblasti a zvláště chráněného území a na území, které stanoví vláda nařízením s ohledem na ochranu životního prostředí, státní památkovou péči, obranu a bezpečnost státu, lázeňství, letectví nebo veřejnou meteorologickou službu.</w:t>
      </w:r>
    </w:p>
    <w:p w14:paraId="5D689470" w14:textId="77777777" w:rsidR="00A77B3E" w:rsidRDefault="000548D0">
      <w:pPr>
        <w:pStyle w:val="180"/>
      </w:pPr>
      <w:r>
        <w:t>Nezbytné oblasti se vymezují jako specifické oblasti v politice územního rozvoje. Jedná se o oblasti, které lze z technického hlediska považovat za vhodné pro realizaci záměrů pro využití OZE, při jejich vymezování však nedochází k zohlednění jiných veřejných zájmů. Představují nadřazenou množinu oblastí, v jejímž rámci mají být následně vymezovány akcelerační oblasti, které se vymezují v územně plánovací dokumentaci (územní rozvojový plán, zásady územního rozvoje, územní plány). Vždy přitom musí být zachov</w:t>
      </w:r>
      <w:r>
        <w:t>ána jednota druhu OZE, pro které jsou vymezovány, tj. např. akcelerační oblasti vymezované pro fotovoltaické elektrárny mohou být vymezeny pouze v nezbytné oblasti vymezené pro fotovoltaické elektrárny.</w:t>
      </w:r>
    </w:p>
    <w:p w14:paraId="101381DF" w14:textId="77777777" w:rsidR="00A77B3E" w:rsidRDefault="000548D0">
      <w:pPr>
        <w:pStyle w:val="180"/>
      </w:pPr>
      <w:r>
        <w:t>Ochrana jiných veřejných zájmů je zajištěna primárně v procesu vymezování akceleračních oblastí (vymezovaných v rámci nezbytných oblastí). Podle článku 15c odst. 1 směrnice RED III by měla být jako akcelerační oblasti vymezována taková území, v nichž se neočekává, že zavedení určitého druhu OZE bude mít významný dopad na životní prostředí, přičemž stanovuje jednak vodítka, jaké plochy upřednostnit (umělé a zastavěné plochy, dopravní infrastruktura a její okolí, skládky, průmyslové areály, doly aj.) a pak li</w:t>
      </w:r>
      <w:r>
        <w:t>mity, jaké oblasti mají být vyloučeny, a to především ve vztahu k ochraně biodiverzity (vyloučení lokalit soustavy Natura 2000 a dalších vnitrostátně stanovených oblastí určených k ochrany přírody a zachování biologické rozmanitosti, migračních tras a míst stanovených na základě mapování citlivosti volně žijících živočichů a planě rostoucích rostlin).</w:t>
      </w:r>
    </w:p>
    <w:p w14:paraId="5769EF7F" w14:textId="77777777" w:rsidR="00A77B3E" w:rsidRDefault="000548D0">
      <w:pPr>
        <w:pStyle w:val="180"/>
      </w:pPr>
      <w:r>
        <w:t>V návaznosti na to je základním požadavkem při vymezování akceleračních oblastí podle § 4 odst. 1 zákona o urychlení využívání obnovitelných zdrojů energie, že se akcelerační oblasti nesmí nacházet na území evropsky významné lokality, ptačí oblasti a zvláště chráněného území a na územích, která stanoví vláda nařízením. Zákaz vymezování akceleračních oblastí na vybraných územích je primárním (nikoli však jediným) nástrojem, kterým je při vymezování akceleračních oblastí zajišťována ochrana jiných veřejných z</w:t>
      </w:r>
      <w:r>
        <w:t>ájmů než zájmu na podpoře využívání OZE. Jedná se o soubor limitů, které vyplývají z jiných právních předpisů v oblasti ochrany životního prostředí (mj. s ohledem na požadavky směrnice RED III), ale také o další veřejné zájmy zejména v oblasti obrany a bezpečnosti státu, státní památkové péče, lázeňství a dalších.</w:t>
      </w:r>
    </w:p>
    <w:p w14:paraId="1615D0C7" w14:textId="77777777" w:rsidR="00A77B3E" w:rsidRDefault="000548D0">
      <w:pPr>
        <w:pStyle w:val="210"/>
        <w:sectPr w:rsidR="00A77B3E">
          <w:headerReference w:type="even" r:id="rId12"/>
          <w:headerReference w:type="default" r:id="rId13"/>
          <w:headerReference w:type="first" r:id="rId14"/>
          <w:pgSz w:w="12240" w:h="15840"/>
          <w:pgMar w:top="1417" w:right="1417" w:bottom="1417" w:left="1417" w:header="400" w:footer="708" w:gutter="0"/>
          <w:cols w:space="708"/>
          <w:docGrid w:linePitch="360"/>
        </w:sectPr>
      </w:pPr>
      <w:r>
        <w:t xml:space="preserve">Bez stanovení území, ve kterých nemohou být vymezovány akcelerační oblasti, není možné tyto oblasti vymezovat. Přijetí navrhované právní úpravy je proto nezbytným předpokladem pro samotné vymezování akceleračních oblastí v územně plánovací dokumentaci. Ustanovení článku </w:t>
      </w:r>
      <w:r>
        <w:lastRenderedPageBreak/>
        <w:t>15c odst. 1 směrnice RED III stanoví, že k vymezení akceleračních oblastí (v rozsahu významném z hlediska plnění cílů stanovených v této směrnici) má dojít do 21. února 2026. Další akcelerační oblasti mohou být vymezovány i po tomto datu.</w:t>
      </w:r>
    </w:p>
    <w:p w14:paraId="5DF71C83" w14:textId="77777777" w:rsidR="00A77B3E" w:rsidRDefault="00A77B3E">
      <w:pPr>
        <w:pStyle w:val="Normal2"/>
      </w:pPr>
    </w:p>
    <w:p w14:paraId="6C0DAC99" w14:textId="77777777" w:rsidR="00A77B3E" w:rsidRDefault="00A77B3E">
      <w:pPr>
        <w:pStyle w:val="2"/>
      </w:pPr>
    </w:p>
    <w:p w14:paraId="63A34FB5" w14:textId="77777777" w:rsidR="00A77B3E" w:rsidRDefault="00A77B3E">
      <w:pPr>
        <w:pStyle w:val="12"/>
      </w:pPr>
    </w:p>
    <w:p w14:paraId="0B35C2C6" w14:textId="77777777" w:rsidR="00A77B3E" w:rsidRDefault="000548D0">
      <w:pPr>
        <w:pStyle w:val="5"/>
      </w:pPr>
      <w:r>
        <w:t>Informativní přehled veřejnoprávních povinností</w:t>
      </w:r>
    </w:p>
    <w:p w14:paraId="287DEE9D" w14:textId="77777777" w:rsidR="00A77B3E" w:rsidRDefault="000548D0">
      <w:pPr>
        <w:pStyle w:val="90"/>
      </w:pPr>
      <w:r>
        <w:t>Návrh nařízení vlády o stanovení území, na kterých nelze vymezovat akcelerační oblasti</w:t>
      </w:r>
    </w:p>
    <w:p w14:paraId="0237B7DC" w14:textId="77777777" w:rsidR="00A77B3E" w:rsidRDefault="000548D0">
      <w:pPr>
        <w:pStyle w:val="120"/>
      </w:pPr>
      <w:r>
        <w:t xml:space="preserve">1. Účinnost </w:t>
      </w:r>
    </w:p>
    <w:p w14:paraId="2E951697" w14:textId="77777777" w:rsidR="00A77B3E" w:rsidRDefault="000548D0">
      <w:pPr>
        <w:pStyle w:val="160"/>
      </w:pPr>
      <w:r>
        <w:t>Nebyla zadána žádná veřejnoprávní povinnost.</w:t>
      </w:r>
    </w:p>
    <w:sectPr w:rsidR="00A77B3E">
      <w:headerReference w:type="even" r:id="rId15"/>
      <w:headerReference w:type="default" r:id="rId16"/>
      <w:headerReference w:type="first" r:id="rId17"/>
      <w:pgSz w:w="12240" w:h="15840"/>
      <w:pgMar w:top="1417" w:right="1417" w:bottom="1417" w:left="1417" w:header="40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945C" w14:textId="77777777" w:rsidR="000548D0" w:rsidRDefault="000548D0">
      <w:r>
        <w:separator/>
      </w:r>
    </w:p>
  </w:endnote>
  <w:endnote w:type="continuationSeparator" w:id="0">
    <w:p w14:paraId="6225209E" w14:textId="77777777" w:rsidR="000548D0" w:rsidRDefault="0005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38CA" w14:textId="77777777" w:rsidR="000548D0" w:rsidRDefault="000548D0">
      <w:r>
        <w:separator/>
      </w:r>
    </w:p>
  </w:footnote>
  <w:footnote w:type="continuationSeparator" w:id="0">
    <w:p w14:paraId="674516BF" w14:textId="77777777" w:rsidR="000548D0" w:rsidRDefault="00054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881"/>
      <w:gridCol w:w="2822"/>
      <w:gridCol w:w="2822"/>
      <w:gridCol w:w="1881"/>
    </w:tblGrid>
    <w:tr w:rsidR="00260F6C" w14:paraId="3557088A" w14:textId="77777777">
      <w:tc>
        <w:tcPr>
          <w:tcW w:w="0" w:type="auto"/>
          <w:gridSpan w:val="4"/>
        </w:tcPr>
        <w:p w14:paraId="66D28577" w14:textId="77777777" w:rsidR="00260F6C" w:rsidRDefault="00260F6C">
          <w:pPr>
            <w:pStyle w:val="HlavickaZlutyText"/>
          </w:pPr>
        </w:p>
      </w:tc>
    </w:tr>
    <w:tr w:rsidR="00260F6C" w14:paraId="55A1AC17" w14:textId="77777777">
      <w:tblPrEx>
        <w:tblBorders>
          <w:bottom w:val="single" w:sz="12" w:space="0" w:color="000000"/>
        </w:tblBorders>
      </w:tblPrEx>
      <w:tc>
        <w:tcPr>
          <w:tcW w:w="1000" w:type="pct"/>
        </w:tcPr>
        <w:p w14:paraId="66EF5598" w14:textId="77777777" w:rsidR="00260F6C" w:rsidRDefault="000548D0">
          <w:pPr>
            <w:pStyle w:val="Hlavicka"/>
          </w:pPr>
          <w:r>
            <w:t xml:space="preserve">strana </w:t>
          </w:r>
          <w:r>
            <w:fldChar w:fldCharType="begin"/>
          </w:r>
          <w:r>
            <w:instrText>PAGE</w:instrText>
          </w:r>
          <w:r>
            <w:fldChar w:fldCharType="separate"/>
          </w:r>
          <w:r w:rsidR="00102BE2">
            <w:rPr>
              <w:noProof/>
            </w:rPr>
            <w:t>2</w:t>
          </w:r>
          <w:r>
            <w:fldChar w:fldCharType="end"/>
          </w:r>
        </w:p>
      </w:tc>
      <w:tc>
        <w:tcPr>
          <w:tcW w:w="3000" w:type="pct"/>
          <w:gridSpan w:val="2"/>
        </w:tcPr>
        <w:p w14:paraId="06B3A2A8" w14:textId="77777777" w:rsidR="00260F6C" w:rsidRDefault="000548D0">
          <w:pPr>
            <w:pStyle w:val="Hlavicka"/>
            <w:jc w:val="center"/>
          </w:pPr>
          <w:r>
            <w:t>Návrh aktu</w:t>
          </w:r>
        </w:p>
      </w:tc>
      <w:tc>
        <w:tcPr>
          <w:tcW w:w="1000" w:type="pct"/>
        </w:tcPr>
        <w:p w14:paraId="3473B2DE" w14:textId="77777777" w:rsidR="00260F6C" w:rsidRDefault="00260F6C">
          <w:pPr>
            <w:pStyle w:val="Hlavicka"/>
            <w:jc w:val="right"/>
          </w:pPr>
        </w:p>
      </w:tc>
    </w:tr>
    <w:tr w:rsidR="00260F6C" w14:paraId="20041132" w14:textId="77777777">
      <w:tc>
        <w:tcPr>
          <w:tcW w:w="2500" w:type="pct"/>
          <w:gridSpan w:val="2"/>
        </w:tcPr>
        <w:p w14:paraId="3653C619" w14:textId="77777777" w:rsidR="00260F6C" w:rsidRDefault="000548D0">
          <w:pPr>
            <w:pStyle w:val="Hlavicka"/>
          </w:pPr>
          <w:r>
            <w:t>Uzavřená verze: 2025-0086-001-TVO</w:t>
          </w:r>
        </w:p>
      </w:tc>
      <w:tc>
        <w:tcPr>
          <w:tcW w:w="2500" w:type="pct"/>
          <w:gridSpan w:val="2"/>
        </w:tcPr>
        <w:p w14:paraId="46E37B75" w14:textId="77777777" w:rsidR="00260F6C" w:rsidRDefault="00260F6C">
          <w:pPr>
            <w:pStyle w:val="Hlavicka"/>
            <w:jc w:val="right"/>
          </w:pPr>
        </w:p>
      </w:tc>
    </w:tr>
  </w:tbl>
  <w:p w14:paraId="57146EE6" w14:textId="77777777" w:rsidR="00260F6C" w:rsidRDefault="00260F6C">
    <w:pPr>
      <w:pStyle w:val="Hlavick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881"/>
      <w:gridCol w:w="2822"/>
      <w:gridCol w:w="2822"/>
      <w:gridCol w:w="1881"/>
    </w:tblGrid>
    <w:tr w:rsidR="00260F6C" w14:paraId="09618C9F" w14:textId="77777777">
      <w:tc>
        <w:tcPr>
          <w:tcW w:w="0" w:type="auto"/>
          <w:gridSpan w:val="4"/>
        </w:tcPr>
        <w:p w14:paraId="4B79593E" w14:textId="77777777" w:rsidR="00260F6C" w:rsidRDefault="00260F6C">
          <w:pPr>
            <w:pStyle w:val="HlavickaZlutyText2"/>
          </w:pPr>
        </w:p>
      </w:tc>
    </w:tr>
    <w:tr w:rsidR="00260F6C" w14:paraId="3A5AC433" w14:textId="77777777">
      <w:tblPrEx>
        <w:tblBorders>
          <w:bottom w:val="single" w:sz="12" w:space="0" w:color="000000"/>
        </w:tblBorders>
      </w:tblPrEx>
      <w:tc>
        <w:tcPr>
          <w:tcW w:w="1000" w:type="pct"/>
        </w:tcPr>
        <w:p w14:paraId="7E5C7537" w14:textId="77777777" w:rsidR="00260F6C" w:rsidRDefault="000548D0">
          <w:pPr>
            <w:pStyle w:val="Hlavicka2"/>
          </w:pPr>
          <w:r>
            <w:t xml:space="preserve">strana </w:t>
          </w:r>
          <w:r>
            <w:fldChar w:fldCharType="begin"/>
          </w:r>
          <w:r>
            <w:instrText>PAGE</w:instrText>
          </w:r>
          <w:r>
            <w:fldChar w:fldCharType="separate"/>
          </w:r>
          <w:r>
            <w:fldChar w:fldCharType="end"/>
          </w:r>
        </w:p>
      </w:tc>
      <w:tc>
        <w:tcPr>
          <w:tcW w:w="3000" w:type="pct"/>
          <w:gridSpan w:val="2"/>
        </w:tcPr>
        <w:p w14:paraId="3C09CDCB" w14:textId="77777777" w:rsidR="00260F6C" w:rsidRDefault="000548D0">
          <w:pPr>
            <w:pStyle w:val="Hlavicka2"/>
            <w:jc w:val="center"/>
          </w:pPr>
          <w:r>
            <w:t>Informativní přehled veřejnoprávních povinností</w:t>
          </w:r>
        </w:p>
      </w:tc>
      <w:tc>
        <w:tcPr>
          <w:tcW w:w="1000" w:type="pct"/>
        </w:tcPr>
        <w:p w14:paraId="5F28C6AD" w14:textId="77777777" w:rsidR="00260F6C" w:rsidRDefault="00260F6C">
          <w:pPr>
            <w:pStyle w:val="Hlavicka2"/>
            <w:jc w:val="right"/>
          </w:pPr>
        </w:p>
      </w:tc>
    </w:tr>
    <w:tr w:rsidR="00260F6C" w14:paraId="2EE11D03" w14:textId="77777777">
      <w:tc>
        <w:tcPr>
          <w:tcW w:w="2500" w:type="pct"/>
          <w:gridSpan w:val="2"/>
        </w:tcPr>
        <w:p w14:paraId="47259AD7" w14:textId="77777777" w:rsidR="00260F6C" w:rsidRDefault="000548D0">
          <w:pPr>
            <w:pStyle w:val="Hlavicka2"/>
          </w:pPr>
          <w:r>
            <w:t>Uzavřená verze: 2025-0086-001-TVO</w:t>
          </w:r>
        </w:p>
      </w:tc>
      <w:tc>
        <w:tcPr>
          <w:tcW w:w="2500" w:type="pct"/>
          <w:gridSpan w:val="2"/>
        </w:tcPr>
        <w:p w14:paraId="08B1FA6F" w14:textId="77777777" w:rsidR="00260F6C" w:rsidRDefault="00260F6C">
          <w:pPr>
            <w:pStyle w:val="Hlavicka2"/>
            <w:jc w:val="right"/>
          </w:pPr>
        </w:p>
      </w:tc>
    </w:tr>
  </w:tbl>
  <w:p w14:paraId="0D22C7C5" w14:textId="77777777" w:rsidR="00260F6C" w:rsidRDefault="00260F6C">
    <w:pPr>
      <w:pStyle w:val="Hlavicka2"/>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881"/>
      <w:gridCol w:w="2822"/>
      <w:gridCol w:w="2822"/>
      <w:gridCol w:w="1881"/>
    </w:tblGrid>
    <w:tr w:rsidR="00260F6C" w14:paraId="5AD022ED" w14:textId="77777777">
      <w:tc>
        <w:tcPr>
          <w:tcW w:w="2500" w:type="pct"/>
          <w:gridSpan w:val="4"/>
        </w:tcPr>
        <w:p w14:paraId="36B50D68" w14:textId="77777777" w:rsidR="00260F6C" w:rsidRDefault="00260F6C">
          <w:pPr>
            <w:pStyle w:val="HlavickaZlutyText2"/>
            <w:jc w:val="right"/>
          </w:pPr>
        </w:p>
      </w:tc>
    </w:tr>
    <w:tr w:rsidR="00260F6C" w14:paraId="58406168" w14:textId="77777777">
      <w:tblPrEx>
        <w:tblBorders>
          <w:bottom w:val="single" w:sz="12" w:space="0" w:color="000000"/>
        </w:tblBorders>
      </w:tblPrEx>
      <w:tc>
        <w:tcPr>
          <w:tcW w:w="1000" w:type="pct"/>
        </w:tcPr>
        <w:p w14:paraId="7DD8B742" w14:textId="77777777" w:rsidR="00260F6C" w:rsidRDefault="00260F6C">
          <w:pPr>
            <w:pStyle w:val="Hlavicka2"/>
          </w:pPr>
        </w:p>
      </w:tc>
      <w:tc>
        <w:tcPr>
          <w:tcW w:w="3000" w:type="pct"/>
          <w:gridSpan w:val="2"/>
        </w:tcPr>
        <w:p w14:paraId="7DFB6505" w14:textId="77777777" w:rsidR="00260F6C" w:rsidRDefault="000548D0">
          <w:pPr>
            <w:pStyle w:val="Hlavicka2"/>
            <w:jc w:val="center"/>
          </w:pPr>
          <w:r>
            <w:t>Informativní přehled veřejnoprávních povinností</w:t>
          </w:r>
        </w:p>
      </w:tc>
      <w:tc>
        <w:tcPr>
          <w:tcW w:w="1000" w:type="pct"/>
        </w:tcPr>
        <w:p w14:paraId="305F6F5F" w14:textId="510C7D1B" w:rsidR="00260F6C" w:rsidRDefault="000548D0">
          <w:pPr>
            <w:pStyle w:val="Hlavicka2"/>
            <w:jc w:val="right"/>
          </w:pPr>
          <w:r>
            <w:t xml:space="preserve">strana </w:t>
          </w:r>
          <w:r>
            <w:fldChar w:fldCharType="begin"/>
          </w:r>
          <w:r>
            <w:instrText>PAGE</w:instrText>
          </w:r>
          <w:r>
            <w:fldChar w:fldCharType="separate"/>
          </w:r>
          <w:r w:rsidR="00102BE2">
            <w:rPr>
              <w:noProof/>
            </w:rPr>
            <w:t>23</w:t>
          </w:r>
          <w:r>
            <w:fldChar w:fldCharType="end"/>
          </w:r>
        </w:p>
      </w:tc>
    </w:tr>
    <w:tr w:rsidR="00260F6C" w14:paraId="115264DE" w14:textId="77777777">
      <w:tc>
        <w:tcPr>
          <w:tcW w:w="2500" w:type="pct"/>
          <w:gridSpan w:val="2"/>
        </w:tcPr>
        <w:p w14:paraId="38E5C114" w14:textId="77777777" w:rsidR="00260F6C" w:rsidRDefault="00260F6C">
          <w:pPr>
            <w:pStyle w:val="Hlavicka2"/>
          </w:pPr>
        </w:p>
      </w:tc>
      <w:tc>
        <w:tcPr>
          <w:tcW w:w="2500" w:type="pct"/>
          <w:gridSpan w:val="2"/>
        </w:tcPr>
        <w:p w14:paraId="612CDE20" w14:textId="77777777" w:rsidR="00260F6C" w:rsidRDefault="000548D0">
          <w:pPr>
            <w:pStyle w:val="Hlavicka2"/>
            <w:jc w:val="right"/>
          </w:pPr>
          <w:r>
            <w:t>Uzavřená verze: 2025-0086-001-TVO</w:t>
          </w:r>
        </w:p>
      </w:tc>
    </w:tr>
  </w:tbl>
  <w:p w14:paraId="20F45A10" w14:textId="77777777" w:rsidR="00260F6C" w:rsidRDefault="00260F6C">
    <w:pPr>
      <w:pStyle w:val="Hlavicka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406"/>
    </w:tblGrid>
    <w:tr w:rsidR="00260F6C" w14:paraId="7A3DFDF0" w14:textId="77777777">
      <w:tc>
        <w:tcPr>
          <w:tcW w:w="0" w:type="auto"/>
        </w:tcPr>
        <w:p w14:paraId="1CE0E1AA" w14:textId="77777777" w:rsidR="00260F6C" w:rsidRDefault="00260F6C">
          <w:pPr>
            <w:pStyle w:val="HlavickaZlutyText2"/>
            <w:jc w:val="right"/>
          </w:pPr>
        </w:p>
      </w:tc>
    </w:tr>
    <w:tr w:rsidR="00260F6C" w14:paraId="3F7A8B4E" w14:textId="77777777">
      <w:tc>
        <w:tcPr>
          <w:tcW w:w="0" w:type="auto"/>
        </w:tcPr>
        <w:p w14:paraId="3743CF75" w14:textId="77777777" w:rsidR="00260F6C" w:rsidRDefault="00260F6C">
          <w:pPr>
            <w:pStyle w:val="Hlavicka2"/>
            <w:jc w:val="right"/>
          </w:pPr>
        </w:p>
      </w:tc>
    </w:tr>
  </w:tbl>
  <w:p w14:paraId="5B3EF3F8" w14:textId="77777777" w:rsidR="00260F6C" w:rsidRDefault="00260F6C">
    <w:pPr>
      <w:pStyle w:val="Hlavick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881"/>
      <w:gridCol w:w="2822"/>
      <w:gridCol w:w="2822"/>
      <w:gridCol w:w="1881"/>
    </w:tblGrid>
    <w:tr w:rsidR="00260F6C" w14:paraId="705F30CD" w14:textId="77777777">
      <w:tc>
        <w:tcPr>
          <w:tcW w:w="2500" w:type="pct"/>
          <w:gridSpan w:val="4"/>
        </w:tcPr>
        <w:p w14:paraId="08BDB1EB" w14:textId="77777777" w:rsidR="00260F6C" w:rsidRDefault="00260F6C">
          <w:pPr>
            <w:pStyle w:val="HlavickaZlutyText"/>
            <w:jc w:val="right"/>
          </w:pPr>
        </w:p>
      </w:tc>
    </w:tr>
    <w:tr w:rsidR="00260F6C" w14:paraId="7E1A212B" w14:textId="77777777">
      <w:tblPrEx>
        <w:tblBorders>
          <w:bottom w:val="single" w:sz="12" w:space="0" w:color="000000"/>
        </w:tblBorders>
      </w:tblPrEx>
      <w:tc>
        <w:tcPr>
          <w:tcW w:w="1000" w:type="pct"/>
        </w:tcPr>
        <w:p w14:paraId="0EE01DAA" w14:textId="77777777" w:rsidR="00260F6C" w:rsidRDefault="00260F6C">
          <w:pPr>
            <w:pStyle w:val="Hlavicka"/>
          </w:pPr>
        </w:p>
      </w:tc>
      <w:tc>
        <w:tcPr>
          <w:tcW w:w="3000" w:type="pct"/>
          <w:gridSpan w:val="2"/>
        </w:tcPr>
        <w:p w14:paraId="46DEB988" w14:textId="77777777" w:rsidR="00260F6C" w:rsidRDefault="000548D0">
          <w:pPr>
            <w:pStyle w:val="Hlavicka"/>
            <w:jc w:val="center"/>
          </w:pPr>
          <w:r>
            <w:t>Návrh aktu</w:t>
          </w:r>
        </w:p>
      </w:tc>
      <w:tc>
        <w:tcPr>
          <w:tcW w:w="1000" w:type="pct"/>
        </w:tcPr>
        <w:p w14:paraId="698067C7" w14:textId="77777777" w:rsidR="00260F6C" w:rsidRDefault="000548D0">
          <w:pPr>
            <w:pStyle w:val="Hlavicka"/>
            <w:jc w:val="right"/>
          </w:pPr>
          <w:r>
            <w:t xml:space="preserve">strana </w:t>
          </w:r>
          <w:r>
            <w:fldChar w:fldCharType="begin"/>
          </w:r>
          <w:r>
            <w:instrText>PAGE</w:instrText>
          </w:r>
          <w:r>
            <w:fldChar w:fldCharType="separate"/>
          </w:r>
          <w:r w:rsidR="00102BE2">
            <w:rPr>
              <w:noProof/>
            </w:rPr>
            <w:t>1</w:t>
          </w:r>
          <w:r>
            <w:fldChar w:fldCharType="end"/>
          </w:r>
        </w:p>
      </w:tc>
    </w:tr>
    <w:tr w:rsidR="00260F6C" w14:paraId="11BA3A70" w14:textId="77777777">
      <w:tc>
        <w:tcPr>
          <w:tcW w:w="2500" w:type="pct"/>
          <w:gridSpan w:val="2"/>
        </w:tcPr>
        <w:p w14:paraId="4B7773B2" w14:textId="77777777" w:rsidR="00260F6C" w:rsidRDefault="00260F6C">
          <w:pPr>
            <w:pStyle w:val="Hlavicka"/>
          </w:pPr>
        </w:p>
      </w:tc>
      <w:tc>
        <w:tcPr>
          <w:tcW w:w="2500" w:type="pct"/>
          <w:gridSpan w:val="2"/>
        </w:tcPr>
        <w:p w14:paraId="409E3DEB" w14:textId="77777777" w:rsidR="00260F6C" w:rsidRDefault="000548D0">
          <w:pPr>
            <w:pStyle w:val="Hlavicka"/>
            <w:jc w:val="right"/>
          </w:pPr>
          <w:r>
            <w:t>Uzavřená verze: 2025-0086-001-TVO</w:t>
          </w:r>
        </w:p>
      </w:tc>
    </w:tr>
  </w:tbl>
  <w:p w14:paraId="30609AE7" w14:textId="77777777" w:rsidR="00260F6C" w:rsidRDefault="00260F6C">
    <w:pPr>
      <w:pStyle w:val="Hlavic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406"/>
    </w:tblGrid>
    <w:tr w:rsidR="00260F6C" w14:paraId="0C6C14E5" w14:textId="77777777">
      <w:tc>
        <w:tcPr>
          <w:tcW w:w="0" w:type="auto"/>
        </w:tcPr>
        <w:p w14:paraId="38B17F44" w14:textId="77777777" w:rsidR="00260F6C" w:rsidRDefault="00260F6C">
          <w:pPr>
            <w:pStyle w:val="HlavickaZlutyText"/>
            <w:jc w:val="right"/>
          </w:pPr>
        </w:p>
      </w:tc>
    </w:tr>
    <w:tr w:rsidR="00260F6C" w14:paraId="6D9AD7FB" w14:textId="77777777">
      <w:tc>
        <w:tcPr>
          <w:tcW w:w="0" w:type="auto"/>
        </w:tcPr>
        <w:p w14:paraId="296A49B8" w14:textId="77777777" w:rsidR="00260F6C" w:rsidRDefault="00260F6C">
          <w:pPr>
            <w:pStyle w:val="Hlavicka"/>
            <w:jc w:val="right"/>
          </w:pPr>
        </w:p>
      </w:tc>
    </w:tr>
  </w:tbl>
  <w:p w14:paraId="685CA49A" w14:textId="77777777" w:rsidR="00260F6C" w:rsidRDefault="00260F6C">
    <w:pPr>
      <w:pStyle w:val="Hlavic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881"/>
      <w:gridCol w:w="2822"/>
      <w:gridCol w:w="2822"/>
      <w:gridCol w:w="1881"/>
    </w:tblGrid>
    <w:tr w:rsidR="00260F6C" w14:paraId="7536E1E4" w14:textId="77777777">
      <w:tc>
        <w:tcPr>
          <w:tcW w:w="0" w:type="auto"/>
          <w:gridSpan w:val="4"/>
        </w:tcPr>
        <w:p w14:paraId="03051658" w14:textId="77777777" w:rsidR="00260F6C" w:rsidRDefault="00260F6C">
          <w:pPr>
            <w:pStyle w:val="HlavickaZlutyText0"/>
          </w:pPr>
        </w:p>
      </w:tc>
    </w:tr>
    <w:tr w:rsidR="00260F6C" w14:paraId="5293AD4E" w14:textId="77777777">
      <w:tblPrEx>
        <w:tblBorders>
          <w:bottom w:val="single" w:sz="12" w:space="0" w:color="000000"/>
        </w:tblBorders>
      </w:tblPrEx>
      <w:tc>
        <w:tcPr>
          <w:tcW w:w="1000" w:type="pct"/>
        </w:tcPr>
        <w:p w14:paraId="5584E350" w14:textId="5CE011ED" w:rsidR="00260F6C" w:rsidRDefault="000548D0">
          <w:pPr>
            <w:pStyle w:val="Hlavicka0"/>
          </w:pPr>
          <w:r>
            <w:t xml:space="preserve">strana </w:t>
          </w:r>
          <w:r>
            <w:fldChar w:fldCharType="begin"/>
          </w:r>
          <w:r>
            <w:instrText>PAGE</w:instrText>
          </w:r>
          <w:r>
            <w:fldChar w:fldCharType="separate"/>
          </w:r>
          <w:r w:rsidR="00102BE2">
            <w:rPr>
              <w:noProof/>
            </w:rPr>
            <w:t>4</w:t>
          </w:r>
          <w:r>
            <w:fldChar w:fldCharType="end"/>
          </w:r>
        </w:p>
      </w:tc>
      <w:tc>
        <w:tcPr>
          <w:tcW w:w="3000" w:type="pct"/>
          <w:gridSpan w:val="2"/>
        </w:tcPr>
        <w:p w14:paraId="66114BCD" w14:textId="77777777" w:rsidR="00260F6C" w:rsidRDefault="000548D0">
          <w:pPr>
            <w:pStyle w:val="Hlavicka0"/>
            <w:jc w:val="center"/>
          </w:pPr>
          <w:r>
            <w:t>Důvodová zpráva</w:t>
          </w:r>
        </w:p>
      </w:tc>
      <w:tc>
        <w:tcPr>
          <w:tcW w:w="1000" w:type="pct"/>
        </w:tcPr>
        <w:p w14:paraId="4095EC36" w14:textId="77777777" w:rsidR="00260F6C" w:rsidRDefault="00260F6C">
          <w:pPr>
            <w:pStyle w:val="Hlavicka0"/>
            <w:jc w:val="right"/>
          </w:pPr>
        </w:p>
      </w:tc>
    </w:tr>
    <w:tr w:rsidR="00260F6C" w14:paraId="3F69667B" w14:textId="77777777">
      <w:tc>
        <w:tcPr>
          <w:tcW w:w="2500" w:type="pct"/>
          <w:gridSpan w:val="2"/>
        </w:tcPr>
        <w:p w14:paraId="066C7370" w14:textId="77777777" w:rsidR="00260F6C" w:rsidRDefault="000548D0">
          <w:pPr>
            <w:pStyle w:val="Hlavicka0"/>
          </w:pPr>
          <w:r>
            <w:t>Uzavřená verze: 2025-0086-001-TVO</w:t>
          </w:r>
        </w:p>
      </w:tc>
      <w:tc>
        <w:tcPr>
          <w:tcW w:w="2500" w:type="pct"/>
          <w:gridSpan w:val="2"/>
        </w:tcPr>
        <w:p w14:paraId="09954AF6" w14:textId="77777777" w:rsidR="00260F6C" w:rsidRDefault="00260F6C">
          <w:pPr>
            <w:pStyle w:val="Hlavicka0"/>
            <w:jc w:val="right"/>
          </w:pPr>
        </w:p>
      </w:tc>
    </w:tr>
  </w:tbl>
  <w:p w14:paraId="498D4F7B" w14:textId="77777777" w:rsidR="00260F6C" w:rsidRDefault="00260F6C">
    <w:pPr>
      <w:pStyle w:val="Hlavicka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881"/>
      <w:gridCol w:w="2822"/>
      <w:gridCol w:w="2822"/>
      <w:gridCol w:w="1881"/>
    </w:tblGrid>
    <w:tr w:rsidR="00260F6C" w14:paraId="13F52929" w14:textId="77777777">
      <w:tc>
        <w:tcPr>
          <w:tcW w:w="2500" w:type="pct"/>
          <w:gridSpan w:val="4"/>
        </w:tcPr>
        <w:p w14:paraId="1CCD885D" w14:textId="77777777" w:rsidR="00260F6C" w:rsidRDefault="00260F6C">
          <w:pPr>
            <w:pStyle w:val="HlavickaZlutyText0"/>
            <w:jc w:val="right"/>
          </w:pPr>
        </w:p>
      </w:tc>
    </w:tr>
    <w:tr w:rsidR="00260F6C" w14:paraId="297A21A1" w14:textId="77777777">
      <w:tblPrEx>
        <w:tblBorders>
          <w:bottom w:val="single" w:sz="12" w:space="0" w:color="000000"/>
        </w:tblBorders>
      </w:tblPrEx>
      <w:tc>
        <w:tcPr>
          <w:tcW w:w="1000" w:type="pct"/>
        </w:tcPr>
        <w:p w14:paraId="3F38C769" w14:textId="77777777" w:rsidR="00260F6C" w:rsidRDefault="00260F6C">
          <w:pPr>
            <w:pStyle w:val="Hlavicka0"/>
          </w:pPr>
        </w:p>
      </w:tc>
      <w:tc>
        <w:tcPr>
          <w:tcW w:w="3000" w:type="pct"/>
          <w:gridSpan w:val="2"/>
        </w:tcPr>
        <w:p w14:paraId="0046E5DC" w14:textId="77777777" w:rsidR="00260F6C" w:rsidRDefault="000548D0">
          <w:pPr>
            <w:pStyle w:val="Hlavicka0"/>
            <w:jc w:val="center"/>
          </w:pPr>
          <w:r>
            <w:t>Důvodová zpráva</w:t>
          </w:r>
        </w:p>
      </w:tc>
      <w:tc>
        <w:tcPr>
          <w:tcW w:w="1000" w:type="pct"/>
        </w:tcPr>
        <w:p w14:paraId="3AECCCD0" w14:textId="41FE8924" w:rsidR="00260F6C" w:rsidRDefault="000548D0">
          <w:pPr>
            <w:pStyle w:val="Hlavicka0"/>
            <w:jc w:val="right"/>
          </w:pPr>
          <w:r>
            <w:t xml:space="preserve">strana </w:t>
          </w:r>
          <w:r>
            <w:fldChar w:fldCharType="begin"/>
          </w:r>
          <w:r>
            <w:instrText>PAGE</w:instrText>
          </w:r>
          <w:r>
            <w:fldChar w:fldCharType="separate"/>
          </w:r>
          <w:r w:rsidR="00102BE2">
            <w:rPr>
              <w:noProof/>
            </w:rPr>
            <w:t>3</w:t>
          </w:r>
          <w:r>
            <w:fldChar w:fldCharType="end"/>
          </w:r>
        </w:p>
      </w:tc>
    </w:tr>
    <w:tr w:rsidR="00260F6C" w14:paraId="2A41B63B" w14:textId="77777777">
      <w:tc>
        <w:tcPr>
          <w:tcW w:w="2500" w:type="pct"/>
          <w:gridSpan w:val="2"/>
        </w:tcPr>
        <w:p w14:paraId="4D68EC16" w14:textId="77777777" w:rsidR="00260F6C" w:rsidRDefault="00260F6C">
          <w:pPr>
            <w:pStyle w:val="Hlavicka0"/>
          </w:pPr>
        </w:p>
      </w:tc>
      <w:tc>
        <w:tcPr>
          <w:tcW w:w="2500" w:type="pct"/>
          <w:gridSpan w:val="2"/>
        </w:tcPr>
        <w:p w14:paraId="4D35F696" w14:textId="77777777" w:rsidR="00260F6C" w:rsidRDefault="000548D0">
          <w:pPr>
            <w:pStyle w:val="Hlavicka0"/>
            <w:jc w:val="right"/>
          </w:pPr>
          <w:r>
            <w:t>Uzavřená verze: 2025-0086-001-TVO</w:t>
          </w:r>
        </w:p>
      </w:tc>
    </w:tr>
  </w:tbl>
  <w:p w14:paraId="35F8B1D4" w14:textId="77777777" w:rsidR="00260F6C" w:rsidRDefault="00260F6C">
    <w:pPr>
      <w:pStyle w:val="Hlavicka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406"/>
    </w:tblGrid>
    <w:tr w:rsidR="00260F6C" w14:paraId="5482D847" w14:textId="77777777">
      <w:tc>
        <w:tcPr>
          <w:tcW w:w="0" w:type="auto"/>
        </w:tcPr>
        <w:p w14:paraId="205769CE" w14:textId="77777777" w:rsidR="00260F6C" w:rsidRDefault="00260F6C">
          <w:pPr>
            <w:pStyle w:val="HlavickaZlutyText0"/>
            <w:jc w:val="right"/>
          </w:pPr>
        </w:p>
      </w:tc>
    </w:tr>
    <w:tr w:rsidR="00260F6C" w14:paraId="0F828A95" w14:textId="77777777">
      <w:tc>
        <w:tcPr>
          <w:tcW w:w="0" w:type="auto"/>
        </w:tcPr>
        <w:p w14:paraId="3AB010D5" w14:textId="77777777" w:rsidR="00260F6C" w:rsidRDefault="00260F6C">
          <w:pPr>
            <w:pStyle w:val="Hlavicka0"/>
            <w:jc w:val="right"/>
          </w:pPr>
        </w:p>
      </w:tc>
    </w:tr>
  </w:tbl>
  <w:p w14:paraId="1E0B2962" w14:textId="77777777" w:rsidR="00260F6C" w:rsidRDefault="00260F6C">
    <w:pPr>
      <w:pStyle w:val="Hlavicka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881"/>
      <w:gridCol w:w="2822"/>
      <w:gridCol w:w="2822"/>
      <w:gridCol w:w="1881"/>
    </w:tblGrid>
    <w:tr w:rsidR="00260F6C" w14:paraId="29C23305" w14:textId="77777777">
      <w:tc>
        <w:tcPr>
          <w:tcW w:w="0" w:type="auto"/>
          <w:gridSpan w:val="4"/>
        </w:tcPr>
        <w:p w14:paraId="712168E6" w14:textId="77777777" w:rsidR="00260F6C" w:rsidRDefault="00260F6C">
          <w:pPr>
            <w:pStyle w:val="HlavickaZlutyText1"/>
          </w:pPr>
        </w:p>
      </w:tc>
    </w:tr>
    <w:tr w:rsidR="00260F6C" w14:paraId="054EB58F" w14:textId="77777777">
      <w:tblPrEx>
        <w:tblBorders>
          <w:bottom w:val="single" w:sz="12" w:space="0" w:color="000000"/>
        </w:tblBorders>
      </w:tblPrEx>
      <w:tc>
        <w:tcPr>
          <w:tcW w:w="1000" w:type="pct"/>
        </w:tcPr>
        <w:p w14:paraId="1A2C1D36" w14:textId="356078F1" w:rsidR="00260F6C" w:rsidRDefault="000548D0">
          <w:pPr>
            <w:pStyle w:val="Hlavicka1"/>
          </w:pPr>
          <w:r>
            <w:t xml:space="preserve">strana </w:t>
          </w:r>
          <w:r>
            <w:fldChar w:fldCharType="begin"/>
          </w:r>
          <w:r>
            <w:instrText>PAGE</w:instrText>
          </w:r>
          <w:r>
            <w:fldChar w:fldCharType="separate"/>
          </w:r>
          <w:r w:rsidR="00102BE2">
            <w:rPr>
              <w:noProof/>
            </w:rPr>
            <w:t>22</w:t>
          </w:r>
          <w:r>
            <w:fldChar w:fldCharType="end"/>
          </w:r>
        </w:p>
      </w:tc>
      <w:tc>
        <w:tcPr>
          <w:tcW w:w="3000" w:type="pct"/>
          <w:gridSpan w:val="2"/>
        </w:tcPr>
        <w:p w14:paraId="296964A7" w14:textId="77777777" w:rsidR="00260F6C" w:rsidRDefault="000548D0">
          <w:pPr>
            <w:pStyle w:val="Hlavicka1"/>
            <w:jc w:val="center"/>
          </w:pPr>
          <w:r>
            <w:t>Stručný popis obsahu návrhu právního předpisu</w:t>
          </w:r>
        </w:p>
      </w:tc>
      <w:tc>
        <w:tcPr>
          <w:tcW w:w="1000" w:type="pct"/>
        </w:tcPr>
        <w:p w14:paraId="4B4731CF" w14:textId="77777777" w:rsidR="00260F6C" w:rsidRDefault="00260F6C">
          <w:pPr>
            <w:pStyle w:val="Hlavicka1"/>
            <w:jc w:val="right"/>
          </w:pPr>
        </w:p>
      </w:tc>
    </w:tr>
    <w:tr w:rsidR="00260F6C" w14:paraId="4E38318C" w14:textId="77777777">
      <w:tc>
        <w:tcPr>
          <w:tcW w:w="2500" w:type="pct"/>
          <w:gridSpan w:val="2"/>
        </w:tcPr>
        <w:p w14:paraId="3797DCE2" w14:textId="77777777" w:rsidR="00260F6C" w:rsidRDefault="000548D0">
          <w:pPr>
            <w:pStyle w:val="Hlavicka1"/>
          </w:pPr>
          <w:r>
            <w:t>Uzavřená verze: 2025-0086-001-TVO</w:t>
          </w:r>
        </w:p>
      </w:tc>
      <w:tc>
        <w:tcPr>
          <w:tcW w:w="2500" w:type="pct"/>
          <w:gridSpan w:val="2"/>
        </w:tcPr>
        <w:p w14:paraId="58018AD7" w14:textId="77777777" w:rsidR="00260F6C" w:rsidRDefault="00260F6C">
          <w:pPr>
            <w:pStyle w:val="Hlavicka1"/>
            <w:jc w:val="right"/>
          </w:pPr>
        </w:p>
      </w:tc>
    </w:tr>
  </w:tbl>
  <w:p w14:paraId="5CD1A0B9" w14:textId="77777777" w:rsidR="00260F6C" w:rsidRDefault="00260F6C">
    <w:pPr>
      <w:pStyle w:val="Hlavicka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881"/>
      <w:gridCol w:w="2822"/>
      <w:gridCol w:w="2822"/>
      <w:gridCol w:w="1881"/>
    </w:tblGrid>
    <w:tr w:rsidR="00260F6C" w14:paraId="6C422975" w14:textId="77777777">
      <w:tc>
        <w:tcPr>
          <w:tcW w:w="2500" w:type="pct"/>
          <w:gridSpan w:val="4"/>
        </w:tcPr>
        <w:p w14:paraId="04C748D8" w14:textId="77777777" w:rsidR="00260F6C" w:rsidRDefault="00260F6C">
          <w:pPr>
            <w:pStyle w:val="HlavickaZlutyText1"/>
            <w:jc w:val="right"/>
          </w:pPr>
        </w:p>
      </w:tc>
    </w:tr>
    <w:tr w:rsidR="00260F6C" w14:paraId="3949BA05" w14:textId="77777777">
      <w:tblPrEx>
        <w:tblBorders>
          <w:bottom w:val="single" w:sz="12" w:space="0" w:color="000000"/>
        </w:tblBorders>
      </w:tblPrEx>
      <w:tc>
        <w:tcPr>
          <w:tcW w:w="1000" w:type="pct"/>
        </w:tcPr>
        <w:p w14:paraId="413D670A" w14:textId="77777777" w:rsidR="00260F6C" w:rsidRDefault="00260F6C">
          <w:pPr>
            <w:pStyle w:val="Hlavicka1"/>
          </w:pPr>
        </w:p>
      </w:tc>
      <w:tc>
        <w:tcPr>
          <w:tcW w:w="3000" w:type="pct"/>
          <w:gridSpan w:val="2"/>
        </w:tcPr>
        <w:p w14:paraId="6BA6B615" w14:textId="77777777" w:rsidR="00260F6C" w:rsidRDefault="000548D0">
          <w:pPr>
            <w:pStyle w:val="Hlavicka1"/>
            <w:jc w:val="center"/>
          </w:pPr>
          <w:r>
            <w:t>Stručný popis obsahu návrhu právního předpisu</w:t>
          </w:r>
        </w:p>
      </w:tc>
      <w:tc>
        <w:tcPr>
          <w:tcW w:w="1000" w:type="pct"/>
        </w:tcPr>
        <w:p w14:paraId="75A44075" w14:textId="1B1CA7DD" w:rsidR="00260F6C" w:rsidRDefault="000548D0">
          <w:pPr>
            <w:pStyle w:val="Hlavicka1"/>
            <w:jc w:val="right"/>
          </w:pPr>
          <w:r>
            <w:t xml:space="preserve">strana </w:t>
          </w:r>
          <w:r>
            <w:fldChar w:fldCharType="begin"/>
          </w:r>
          <w:r>
            <w:instrText>PAGE</w:instrText>
          </w:r>
          <w:r>
            <w:fldChar w:fldCharType="separate"/>
          </w:r>
          <w:r w:rsidR="00102BE2">
            <w:rPr>
              <w:noProof/>
            </w:rPr>
            <w:t>21</w:t>
          </w:r>
          <w:r>
            <w:fldChar w:fldCharType="end"/>
          </w:r>
        </w:p>
      </w:tc>
    </w:tr>
    <w:tr w:rsidR="00260F6C" w14:paraId="6A739148" w14:textId="77777777">
      <w:tc>
        <w:tcPr>
          <w:tcW w:w="2500" w:type="pct"/>
          <w:gridSpan w:val="2"/>
        </w:tcPr>
        <w:p w14:paraId="5C7232D9" w14:textId="77777777" w:rsidR="00260F6C" w:rsidRDefault="00260F6C">
          <w:pPr>
            <w:pStyle w:val="Hlavicka1"/>
          </w:pPr>
        </w:p>
      </w:tc>
      <w:tc>
        <w:tcPr>
          <w:tcW w:w="2500" w:type="pct"/>
          <w:gridSpan w:val="2"/>
        </w:tcPr>
        <w:p w14:paraId="2415914A" w14:textId="77777777" w:rsidR="00260F6C" w:rsidRDefault="000548D0">
          <w:pPr>
            <w:pStyle w:val="Hlavicka1"/>
            <w:jc w:val="right"/>
          </w:pPr>
          <w:r>
            <w:t>Uzavřená verze: 2025-0086-001-TVO</w:t>
          </w:r>
        </w:p>
      </w:tc>
    </w:tr>
  </w:tbl>
  <w:p w14:paraId="6E996958" w14:textId="77777777" w:rsidR="00260F6C" w:rsidRDefault="00260F6C">
    <w:pPr>
      <w:pStyle w:val="Hlavicka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406"/>
    </w:tblGrid>
    <w:tr w:rsidR="00260F6C" w14:paraId="2C84BA5A" w14:textId="77777777">
      <w:tc>
        <w:tcPr>
          <w:tcW w:w="0" w:type="auto"/>
        </w:tcPr>
        <w:p w14:paraId="45A6D6A1" w14:textId="77777777" w:rsidR="00260F6C" w:rsidRDefault="00260F6C">
          <w:pPr>
            <w:pStyle w:val="HlavickaZlutyText1"/>
            <w:jc w:val="right"/>
          </w:pPr>
        </w:p>
      </w:tc>
    </w:tr>
    <w:tr w:rsidR="00260F6C" w14:paraId="123875E1" w14:textId="77777777">
      <w:tc>
        <w:tcPr>
          <w:tcW w:w="0" w:type="auto"/>
        </w:tcPr>
        <w:p w14:paraId="7AEDDCB1" w14:textId="77777777" w:rsidR="00260F6C" w:rsidRDefault="00260F6C">
          <w:pPr>
            <w:pStyle w:val="Hlavicka1"/>
            <w:jc w:val="right"/>
          </w:pPr>
        </w:p>
      </w:tc>
    </w:tr>
  </w:tbl>
  <w:p w14:paraId="1B0EEAB8" w14:textId="77777777" w:rsidR="00260F6C" w:rsidRDefault="00260F6C">
    <w:pPr>
      <w:pStyle w:val="Hlavicka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548D0"/>
    <w:rsid w:val="00102BE2"/>
    <w:rsid w:val="00260F6C"/>
    <w:rsid w:val="007C3670"/>
    <w:rsid w:val="009B66CA"/>
    <w:rsid w:val="00A77B3E"/>
    <w:rsid w:val="00C929BD"/>
    <w:rsid w:val="00CA1EA7"/>
    <w:rsid w:val="00CA2A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DD203"/>
  <w15:docId w15:val="{37D9B23A-C1C3-45C9-A32D-1A100F6F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cka">
    <w:name w:val="Hlavicka"/>
    <w:rPr>
      <w:i/>
    </w:rPr>
  </w:style>
  <w:style w:type="paragraph" w:customStyle="1" w:styleId="HlavickaZlutyText">
    <w:name w:val="HlavickaZlutyText"/>
    <w:rPr>
      <w:sz w:val="18"/>
    </w:rPr>
  </w:style>
  <w:style w:type="paragraph" w:customStyle="1" w:styleId="Variantastart">
    <w:name w:val="Varianta_start"/>
    <w:pPr>
      <w:pBdr>
        <w:top w:val="single" w:sz="8" w:space="0" w:color="800080"/>
      </w:pBdr>
      <w:spacing w:after="100"/>
    </w:pPr>
    <w:rPr>
      <w:b/>
      <w:i/>
      <w:color w:val="800080"/>
    </w:rPr>
  </w:style>
  <w:style w:type="paragraph" w:customStyle="1" w:styleId="Variantakonec">
    <w:name w:val="Varianta_konec"/>
    <w:pPr>
      <w:pBdr>
        <w:bottom w:val="single" w:sz="8" w:space="0" w:color="800080"/>
      </w:pBdr>
      <w:spacing w:after="100"/>
    </w:pPr>
    <w:rPr>
      <w:b/>
      <w:i/>
      <w:color w:val="800080"/>
    </w:rPr>
  </w:style>
  <w:style w:type="paragraph" w:customStyle="1" w:styleId="Ucinnoststart">
    <w:name w:val="Ucinnost_start"/>
    <w:pPr>
      <w:pBdr>
        <w:top w:val="single" w:sz="8" w:space="0" w:color="8B0000"/>
      </w:pBdr>
      <w:spacing w:after="100"/>
    </w:pPr>
    <w:rPr>
      <w:b/>
      <w:i/>
      <w:color w:val="8B0000"/>
    </w:rPr>
  </w:style>
  <w:style w:type="paragraph" w:customStyle="1" w:styleId="Ucinnostkonec">
    <w:name w:val="Ucinnost_konec"/>
    <w:pPr>
      <w:pBdr>
        <w:bottom w:val="single" w:sz="8" w:space="0" w:color="8B0000"/>
      </w:pBdr>
      <w:spacing w:after="100"/>
    </w:pPr>
    <w:rPr>
      <w:b/>
      <w:i/>
      <w:color w:val="8B0000"/>
    </w:rPr>
  </w:style>
  <w:style w:type="paragraph" w:customStyle="1" w:styleId="Celex">
    <w:name w:val="Celex"/>
    <w:pPr>
      <w:spacing w:before="120" w:after="120"/>
    </w:pPr>
    <w:rPr>
      <w:i/>
    </w:rPr>
  </w:style>
  <w:style w:type="paragraph" w:customStyle="1" w:styleId="Pripominkystart">
    <w:name w:val="Pripominky_start"/>
    <w:pPr>
      <w:pBdr>
        <w:top w:val="single" w:sz="8" w:space="0" w:color="87CEFA"/>
      </w:pBdr>
      <w:spacing w:after="100"/>
      <w:jc w:val="right"/>
    </w:pPr>
    <w:rPr>
      <w:b/>
      <w:i/>
      <w:color w:val="87CEFA"/>
    </w:rPr>
  </w:style>
  <w:style w:type="paragraph" w:customStyle="1" w:styleId="1">
    <w:name w:val="1"/>
    <w:pPr>
      <w:spacing w:before="11"/>
    </w:pPr>
    <w:rPr>
      <w:sz w:val="0"/>
    </w:rPr>
  </w:style>
  <w:style w:type="paragraph" w:customStyle="1" w:styleId="3">
    <w:name w:val="3"/>
    <w:pPr>
      <w:spacing w:before="57" w:after="227"/>
      <w:jc w:val="center"/>
    </w:pPr>
    <w:rPr>
      <w:b/>
      <w:sz w:val="32"/>
    </w:rPr>
  </w:style>
  <w:style w:type="paragraph" w:customStyle="1" w:styleId="7">
    <w:name w:val="7"/>
    <w:pPr>
      <w:ind w:left="680" w:right="680"/>
      <w:jc w:val="center"/>
    </w:pPr>
    <w:rPr>
      <w:b/>
      <w:caps/>
      <w:sz w:val="32"/>
    </w:rPr>
  </w:style>
  <w:style w:type="paragraph" w:customStyle="1" w:styleId="10">
    <w:name w:val="10"/>
    <w:pPr>
      <w:spacing w:after="170"/>
      <w:ind w:left="850" w:right="850"/>
      <w:jc w:val="center"/>
    </w:pPr>
    <w:rPr>
      <w:b/>
      <w:sz w:val="28"/>
    </w:rPr>
  </w:style>
  <w:style w:type="paragraph" w:customStyle="1" w:styleId="9">
    <w:name w:val="9"/>
    <w:pPr>
      <w:spacing w:before="340" w:after="113"/>
      <w:ind w:left="850" w:right="850"/>
      <w:jc w:val="center"/>
    </w:pPr>
    <w:rPr>
      <w:b/>
      <w:sz w:val="34"/>
    </w:rPr>
  </w:style>
  <w:style w:type="paragraph" w:customStyle="1" w:styleId="15">
    <w:name w:val="15"/>
    <w:pPr>
      <w:spacing w:before="283" w:after="340"/>
    </w:pPr>
    <w:rPr>
      <w:sz w:val="30"/>
    </w:rPr>
  </w:style>
  <w:style w:type="paragraph" w:customStyle="1" w:styleId="19">
    <w:name w:val="19"/>
    <w:pPr>
      <w:spacing w:before="227" w:after="113"/>
      <w:jc w:val="center"/>
    </w:pPr>
    <w:rPr>
      <w:sz w:val="28"/>
    </w:rPr>
  </w:style>
  <w:style w:type="paragraph" w:customStyle="1" w:styleId="20">
    <w:name w:val="20"/>
    <w:pPr>
      <w:spacing w:after="57"/>
      <w:ind w:left="850" w:right="850"/>
      <w:jc w:val="center"/>
    </w:pPr>
    <w:rPr>
      <w:b/>
      <w:sz w:val="28"/>
    </w:rPr>
  </w:style>
  <w:style w:type="paragraph" w:customStyle="1" w:styleId="16">
    <w:name w:val="16"/>
    <w:pPr>
      <w:spacing w:after="57"/>
      <w:jc w:val="both"/>
    </w:pPr>
    <w:rPr>
      <w:sz w:val="24"/>
    </w:rPr>
  </w:style>
  <w:style w:type="paragraph" w:customStyle="1" w:styleId="22">
    <w:name w:val="22"/>
    <w:pPr>
      <w:spacing w:after="57"/>
      <w:jc w:val="both"/>
    </w:pPr>
    <w:rPr>
      <w:sz w:val="24"/>
    </w:rPr>
  </w:style>
  <w:style w:type="paragraph" w:customStyle="1" w:styleId="23">
    <w:name w:val="23"/>
    <w:pPr>
      <w:spacing w:after="57"/>
      <w:ind w:left="680" w:hanging="340"/>
      <w:jc w:val="both"/>
    </w:pPr>
    <w:rPr>
      <w:sz w:val="24"/>
    </w:rPr>
  </w:style>
  <w:style w:type="paragraph" w:customStyle="1" w:styleId="Varianta23start">
    <w:name w:val="Varianta_23_start"/>
    <w:pPr>
      <w:pBdr>
        <w:top w:val="single" w:sz="8" w:space="0" w:color="800080"/>
      </w:pBdr>
      <w:spacing w:after="100"/>
      <w:ind w:left="680"/>
    </w:pPr>
    <w:rPr>
      <w:b/>
      <w:i/>
      <w:color w:val="800080"/>
    </w:rPr>
  </w:style>
  <w:style w:type="paragraph" w:customStyle="1" w:styleId="Varianta23konec">
    <w:name w:val="Varianta_23_konec"/>
    <w:pPr>
      <w:pBdr>
        <w:bottom w:val="single" w:sz="8" w:space="0" w:color="800080"/>
      </w:pBdr>
      <w:spacing w:after="100"/>
      <w:ind w:left="680"/>
    </w:pPr>
    <w:rPr>
      <w:b/>
      <w:i/>
      <w:color w:val="800080"/>
    </w:rPr>
  </w:style>
  <w:style w:type="paragraph" w:customStyle="1" w:styleId="Ucinnost23start">
    <w:name w:val="Ucinnost_23_start"/>
    <w:pPr>
      <w:pBdr>
        <w:top w:val="single" w:sz="8" w:space="0" w:color="8B0000"/>
      </w:pBdr>
      <w:spacing w:after="100"/>
      <w:ind w:left="680"/>
    </w:pPr>
    <w:rPr>
      <w:b/>
      <w:i/>
      <w:color w:val="8B0000"/>
    </w:rPr>
  </w:style>
  <w:style w:type="paragraph" w:customStyle="1" w:styleId="Ucinnost23konec">
    <w:name w:val="Ucinnost_23_konec"/>
    <w:pPr>
      <w:pBdr>
        <w:bottom w:val="single" w:sz="8" w:space="0" w:color="8B0000"/>
      </w:pBdr>
      <w:spacing w:after="100"/>
      <w:ind w:left="680"/>
    </w:pPr>
    <w:rPr>
      <w:b/>
      <w:i/>
      <w:color w:val="8B0000"/>
    </w:rPr>
  </w:style>
  <w:style w:type="paragraph" w:customStyle="1" w:styleId="Pripominky23start">
    <w:name w:val="Pripominky_23_start"/>
    <w:pPr>
      <w:pBdr>
        <w:top w:val="single" w:sz="8" w:space="0" w:color="87CEFA"/>
      </w:pBdr>
      <w:spacing w:after="100"/>
      <w:ind w:left="680"/>
      <w:jc w:val="right"/>
    </w:pPr>
    <w:rPr>
      <w:b/>
      <w:i/>
      <w:color w:val="87CEFA"/>
    </w:rPr>
  </w:style>
  <w:style w:type="paragraph" w:customStyle="1" w:styleId="24">
    <w:name w:val="24"/>
    <w:pPr>
      <w:spacing w:before="57" w:after="57"/>
      <w:ind w:left="680" w:hanging="340"/>
      <w:jc w:val="both"/>
    </w:pPr>
    <w:rPr>
      <w:sz w:val="24"/>
    </w:rPr>
  </w:style>
  <w:style w:type="paragraph" w:customStyle="1" w:styleId="Varianta24start">
    <w:name w:val="Varianta_24_start"/>
    <w:pPr>
      <w:pBdr>
        <w:top w:val="single" w:sz="8" w:space="0" w:color="800080"/>
      </w:pBdr>
      <w:spacing w:after="100"/>
      <w:ind w:left="680"/>
    </w:pPr>
    <w:rPr>
      <w:b/>
      <w:i/>
      <w:color w:val="800080"/>
    </w:rPr>
  </w:style>
  <w:style w:type="paragraph" w:customStyle="1" w:styleId="Varianta24konec">
    <w:name w:val="Varianta_24_konec"/>
    <w:pPr>
      <w:pBdr>
        <w:bottom w:val="single" w:sz="8" w:space="0" w:color="800080"/>
      </w:pBdr>
      <w:spacing w:after="100"/>
      <w:ind w:left="680"/>
    </w:pPr>
    <w:rPr>
      <w:b/>
      <w:i/>
      <w:color w:val="800080"/>
    </w:rPr>
  </w:style>
  <w:style w:type="paragraph" w:customStyle="1" w:styleId="Ucinnost24start">
    <w:name w:val="Ucinnost_24_start"/>
    <w:pPr>
      <w:pBdr>
        <w:top w:val="single" w:sz="8" w:space="0" w:color="8B0000"/>
      </w:pBdr>
      <w:spacing w:after="100"/>
      <w:ind w:left="680"/>
    </w:pPr>
    <w:rPr>
      <w:b/>
      <w:i/>
      <w:color w:val="8B0000"/>
    </w:rPr>
  </w:style>
  <w:style w:type="paragraph" w:customStyle="1" w:styleId="Ucinnost24konec">
    <w:name w:val="Ucinnost_24_konec"/>
    <w:pPr>
      <w:pBdr>
        <w:bottom w:val="single" w:sz="8" w:space="0" w:color="8B0000"/>
      </w:pBdr>
      <w:spacing w:after="100"/>
      <w:ind w:left="680"/>
    </w:pPr>
    <w:rPr>
      <w:b/>
      <w:i/>
      <w:color w:val="8B0000"/>
    </w:rPr>
  </w:style>
  <w:style w:type="paragraph" w:customStyle="1" w:styleId="Pripominky24start">
    <w:name w:val="Pripominky_24_start"/>
    <w:pPr>
      <w:pBdr>
        <w:top w:val="single" w:sz="8" w:space="0" w:color="87CEFA"/>
      </w:pBdr>
      <w:spacing w:after="100"/>
      <w:ind w:left="680"/>
      <w:jc w:val="right"/>
    </w:pPr>
    <w:rPr>
      <w:b/>
      <w:i/>
      <w:color w:val="87CEFA"/>
    </w:rPr>
  </w:style>
  <w:style w:type="paragraph" w:customStyle="1" w:styleId="28">
    <w:name w:val="28"/>
    <w:pPr>
      <w:spacing w:before="57" w:after="227"/>
      <w:ind w:left="680" w:hanging="340"/>
      <w:jc w:val="both"/>
    </w:pPr>
    <w:rPr>
      <w:sz w:val="24"/>
    </w:rPr>
  </w:style>
  <w:style w:type="paragraph" w:customStyle="1" w:styleId="Varianta28start">
    <w:name w:val="Varianta_28_start"/>
    <w:pPr>
      <w:pBdr>
        <w:top w:val="single" w:sz="8" w:space="0" w:color="800080"/>
      </w:pBdr>
      <w:spacing w:after="100"/>
      <w:ind w:left="680"/>
    </w:pPr>
    <w:rPr>
      <w:b/>
      <w:i/>
      <w:color w:val="800080"/>
    </w:rPr>
  </w:style>
  <w:style w:type="paragraph" w:customStyle="1" w:styleId="Varianta28konec">
    <w:name w:val="Varianta_28_konec"/>
    <w:pPr>
      <w:pBdr>
        <w:bottom w:val="single" w:sz="8" w:space="0" w:color="800080"/>
      </w:pBdr>
      <w:spacing w:after="100"/>
      <w:ind w:left="680"/>
    </w:pPr>
    <w:rPr>
      <w:b/>
      <w:i/>
      <w:color w:val="800080"/>
    </w:rPr>
  </w:style>
  <w:style w:type="paragraph" w:customStyle="1" w:styleId="Ucinnost28start">
    <w:name w:val="Ucinnost_28_start"/>
    <w:pPr>
      <w:pBdr>
        <w:top w:val="single" w:sz="8" w:space="0" w:color="8B0000"/>
      </w:pBdr>
      <w:spacing w:after="100"/>
      <w:ind w:left="680"/>
    </w:pPr>
    <w:rPr>
      <w:b/>
      <w:i/>
      <w:color w:val="8B0000"/>
    </w:rPr>
  </w:style>
  <w:style w:type="paragraph" w:customStyle="1" w:styleId="Ucinnost28konec">
    <w:name w:val="Ucinnost_28_konec"/>
    <w:pPr>
      <w:pBdr>
        <w:bottom w:val="single" w:sz="8" w:space="0" w:color="8B0000"/>
      </w:pBdr>
      <w:spacing w:after="100"/>
      <w:ind w:left="680"/>
    </w:pPr>
    <w:rPr>
      <w:b/>
      <w:i/>
      <w:color w:val="8B0000"/>
    </w:rPr>
  </w:style>
  <w:style w:type="paragraph" w:customStyle="1" w:styleId="Pripominky28start">
    <w:name w:val="Pripominky_28_start"/>
    <w:pPr>
      <w:pBdr>
        <w:top w:val="single" w:sz="8" w:space="0" w:color="87CEFA"/>
      </w:pBdr>
      <w:spacing w:after="100"/>
      <w:ind w:left="680"/>
      <w:jc w:val="right"/>
    </w:pPr>
    <w:rPr>
      <w:b/>
      <w:i/>
      <w:color w:val="87CEFA"/>
    </w:rPr>
  </w:style>
  <w:style w:type="character" w:styleId="Hypertextovodkaz">
    <w:name w:val="Hyperlink"/>
    <w:basedOn w:val="Standardnpsmoodstavce"/>
    <w:rsid w:val="00EF7B96"/>
    <w:rPr>
      <w:color w:val="0000FF"/>
      <w:u w:val="single"/>
    </w:rPr>
  </w:style>
  <w:style w:type="paragraph" w:customStyle="1" w:styleId="HlavickaZlutyText0">
    <w:name w:val="HlavickaZlutyText_0"/>
    <w:rPr>
      <w:sz w:val="18"/>
    </w:rPr>
  </w:style>
  <w:style w:type="paragraph" w:customStyle="1" w:styleId="Hlavicka0">
    <w:name w:val="Hlavicka_0"/>
    <w:rPr>
      <w:i/>
    </w:rPr>
  </w:style>
  <w:style w:type="paragraph" w:customStyle="1" w:styleId="Normal0">
    <w:name w:val="Normal_0"/>
    <w:qFormat/>
    <w:rPr>
      <w:sz w:val="24"/>
      <w:szCs w:val="24"/>
    </w:rPr>
  </w:style>
  <w:style w:type="paragraph" w:customStyle="1" w:styleId="100">
    <w:name w:val="1_0"/>
    <w:pPr>
      <w:spacing w:before="11"/>
    </w:pPr>
    <w:rPr>
      <w:sz w:val="0"/>
    </w:rPr>
  </w:style>
  <w:style w:type="paragraph" w:customStyle="1" w:styleId="6">
    <w:name w:val="6"/>
    <w:pPr>
      <w:spacing w:after="340"/>
      <w:ind w:left="680" w:right="680"/>
      <w:jc w:val="center"/>
    </w:pPr>
    <w:rPr>
      <w:b/>
      <w:sz w:val="44"/>
    </w:rPr>
  </w:style>
  <w:style w:type="paragraph" w:customStyle="1" w:styleId="8">
    <w:name w:val="8"/>
    <w:pPr>
      <w:spacing w:before="340" w:after="113"/>
      <w:ind w:left="850" w:right="850"/>
      <w:jc w:val="center"/>
    </w:pPr>
    <w:rPr>
      <w:b/>
      <w:sz w:val="34"/>
    </w:rPr>
  </w:style>
  <w:style w:type="paragraph" w:customStyle="1" w:styleId="13">
    <w:name w:val="13"/>
    <w:pPr>
      <w:spacing w:before="510"/>
      <w:ind w:left="850" w:right="850"/>
      <w:jc w:val="center"/>
    </w:pPr>
    <w:rPr>
      <w:b/>
      <w:sz w:val="32"/>
    </w:rPr>
  </w:style>
  <w:style w:type="paragraph" w:customStyle="1" w:styleId="17">
    <w:name w:val="17"/>
    <w:pPr>
      <w:spacing w:before="283" w:after="113"/>
      <w:ind w:left="340" w:hanging="340"/>
    </w:pPr>
    <w:rPr>
      <w:b/>
      <w:sz w:val="26"/>
    </w:rPr>
  </w:style>
  <w:style w:type="paragraph" w:customStyle="1" w:styleId="14">
    <w:name w:val="14"/>
    <w:pPr>
      <w:spacing w:after="113"/>
      <w:jc w:val="both"/>
    </w:pPr>
    <w:rPr>
      <w:sz w:val="24"/>
    </w:rPr>
  </w:style>
  <w:style w:type="paragraph" w:customStyle="1" w:styleId="18">
    <w:name w:val="18"/>
    <w:pPr>
      <w:spacing w:before="113" w:after="113"/>
      <w:jc w:val="both"/>
    </w:pPr>
    <w:rPr>
      <w:sz w:val="24"/>
    </w:rPr>
  </w:style>
  <w:style w:type="paragraph" w:customStyle="1" w:styleId="21">
    <w:name w:val="21"/>
    <w:pPr>
      <w:spacing w:before="113" w:after="57"/>
      <w:jc w:val="both"/>
    </w:pPr>
    <w:rPr>
      <w:sz w:val="24"/>
    </w:rPr>
  </w:style>
  <w:style w:type="paragraph" w:customStyle="1" w:styleId="220">
    <w:name w:val="22_0"/>
    <w:pPr>
      <w:spacing w:after="57"/>
      <w:jc w:val="both"/>
    </w:pPr>
    <w:rPr>
      <w:sz w:val="24"/>
    </w:rPr>
  </w:style>
  <w:style w:type="paragraph" w:customStyle="1" w:styleId="25">
    <w:name w:val="25"/>
    <w:pPr>
      <w:spacing w:after="113"/>
      <w:jc w:val="both"/>
    </w:pPr>
    <w:rPr>
      <w:sz w:val="24"/>
    </w:rPr>
  </w:style>
  <w:style w:type="paragraph" w:customStyle="1" w:styleId="26">
    <w:name w:val="26"/>
    <w:pPr>
      <w:spacing w:before="113" w:after="57"/>
      <w:jc w:val="both"/>
    </w:pPr>
    <w:rPr>
      <w:sz w:val="24"/>
    </w:rPr>
  </w:style>
  <w:style w:type="paragraph" w:customStyle="1" w:styleId="27">
    <w:name w:val="27"/>
    <w:pPr>
      <w:spacing w:before="113" w:after="113"/>
      <w:jc w:val="both"/>
    </w:pPr>
    <w:rPr>
      <w:sz w:val="24"/>
    </w:rPr>
  </w:style>
  <w:style w:type="paragraph" w:customStyle="1" w:styleId="29">
    <w:name w:val="29"/>
    <w:pPr>
      <w:spacing w:after="57"/>
      <w:jc w:val="both"/>
    </w:pPr>
    <w:rPr>
      <w:sz w:val="24"/>
    </w:rPr>
  </w:style>
  <w:style w:type="paragraph" w:customStyle="1" w:styleId="30">
    <w:name w:val="30"/>
    <w:pPr>
      <w:spacing w:before="11"/>
    </w:pPr>
    <w:rPr>
      <w:sz w:val="0"/>
    </w:rPr>
  </w:style>
  <w:style w:type="paragraph" w:customStyle="1" w:styleId="31">
    <w:name w:val="31"/>
    <w:pPr>
      <w:spacing w:before="57"/>
    </w:pPr>
    <w:rPr>
      <w:b/>
      <w:sz w:val="28"/>
    </w:rPr>
  </w:style>
  <w:style w:type="paragraph" w:customStyle="1" w:styleId="HlavickaZlutyText1">
    <w:name w:val="HlavickaZlutyText_1"/>
    <w:rPr>
      <w:sz w:val="18"/>
    </w:rPr>
  </w:style>
  <w:style w:type="paragraph" w:customStyle="1" w:styleId="Hlavicka1">
    <w:name w:val="Hlavicka_1"/>
    <w:rPr>
      <w:i/>
    </w:rPr>
  </w:style>
  <w:style w:type="paragraph" w:customStyle="1" w:styleId="Normal1">
    <w:name w:val="Normal_1"/>
    <w:qFormat/>
    <w:rPr>
      <w:sz w:val="24"/>
      <w:szCs w:val="24"/>
    </w:rPr>
  </w:style>
  <w:style w:type="paragraph" w:customStyle="1" w:styleId="11">
    <w:name w:val="1_1"/>
    <w:pPr>
      <w:spacing w:before="11"/>
    </w:pPr>
    <w:rPr>
      <w:sz w:val="0"/>
    </w:rPr>
  </w:style>
  <w:style w:type="paragraph" w:customStyle="1" w:styleId="4">
    <w:name w:val="4"/>
    <w:pPr>
      <w:spacing w:after="340"/>
      <w:ind w:left="680" w:right="680"/>
      <w:jc w:val="center"/>
    </w:pPr>
    <w:rPr>
      <w:b/>
      <w:sz w:val="44"/>
    </w:rPr>
  </w:style>
  <w:style w:type="paragraph" w:customStyle="1" w:styleId="110">
    <w:name w:val="11"/>
    <w:pPr>
      <w:spacing w:before="340" w:after="113"/>
      <w:ind w:left="850" w:right="850"/>
      <w:jc w:val="center"/>
    </w:pPr>
    <w:rPr>
      <w:b/>
      <w:sz w:val="34"/>
    </w:rPr>
  </w:style>
  <w:style w:type="paragraph" w:customStyle="1" w:styleId="140">
    <w:name w:val="14_0"/>
    <w:pPr>
      <w:spacing w:after="113"/>
      <w:jc w:val="both"/>
    </w:pPr>
    <w:rPr>
      <w:sz w:val="24"/>
    </w:rPr>
  </w:style>
  <w:style w:type="paragraph" w:customStyle="1" w:styleId="180">
    <w:name w:val="18_0"/>
    <w:pPr>
      <w:spacing w:before="113" w:after="113"/>
      <w:jc w:val="both"/>
    </w:pPr>
    <w:rPr>
      <w:sz w:val="24"/>
    </w:rPr>
  </w:style>
  <w:style w:type="paragraph" w:customStyle="1" w:styleId="210">
    <w:name w:val="21_0"/>
    <w:pPr>
      <w:spacing w:before="113" w:after="57"/>
      <w:jc w:val="both"/>
    </w:pPr>
    <w:rPr>
      <w:sz w:val="24"/>
    </w:rPr>
  </w:style>
  <w:style w:type="paragraph" w:customStyle="1" w:styleId="HlavickaZlutyText2">
    <w:name w:val="HlavickaZlutyText_2"/>
    <w:rPr>
      <w:sz w:val="18"/>
    </w:rPr>
  </w:style>
  <w:style w:type="paragraph" w:customStyle="1" w:styleId="Hlavicka2">
    <w:name w:val="Hlavicka_2"/>
    <w:rPr>
      <w:i/>
    </w:rPr>
  </w:style>
  <w:style w:type="paragraph" w:customStyle="1" w:styleId="Normal2">
    <w:name w:val="Normal_2"/>
    <w:qFormat/>
    <w:rPr>
      <w:sz w:val="24"/>
      <w:szCs w:val="24"/>
    </w:rPr>
  </w:style>
  <w:style w:type="paragraph" w:customStyle="1" w:styleId="2">
    <w:name w:val="2"/>
    <w:pPr>
      <w:spacing w:before="11"/>
    </w:pPr>
    <w:rPr>
      <w:sz w:val="0"/>
    </w:rPr>
  </w:style>
  <w:style w:type="paragraph" w:customStyle="1" w:styleId="12">
    <w:name w:val="1_2"/>
    <w:pPr>
      <w:spacing w:before="11"/>
    </w:pPr>
    <w:rPr>
      <w:sz w:val="0"/>
    </w:rPr>
  </w:style>
  <w:style w:type="paragraph" w:customStyle="1" w:styleId="5">
    <w:name w:val="5"/>
    <w:pPr>
      <w:spacing w:after="340"/>
      <w:ind w:left="680" w:right="680"/>
      <w:jc w:val="center"/>
    </w:pPr>
    <w:rPr>
      <w:b/>
      <w:sz w:val="44"/>
    </w:rPr>
  </w:style>
  <w:style w:type="paragraph" w:customStyle="1" w:styleId="90">
    <w:name w:val="9_0"/>
    <w:pPr>
      <w:spacing w:before="340" w:after="113"/>
      <w:ind w:left="850" w:right="850"/>
      <w:jc w:val="center"/>
    </w:pPr>
    <w:rPr>
      <w:b/>
      <w:sz w:val="34"/>
    </w:rPr>
  </w:style>
  <w:style w:type="paragraph" w:customStyle="1" w:styleId="120">
    <w:name w:val="12"/>
    <w:pPr>
      <w:spacing w:before="283" w:after="113"/>
    </w:pPr>
    <w:rPr>
      <w:b/>
      <w:sz w:val="26"/>
    </w:rPr>
  </w:style>
  <w:style w:type="paragraph" w:customStyle="1" w:styleId="160">
    <w:name w:val="16_0"/>
    <w:pPr>
      <w:spacing w:after="5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 Type="http://schemas.openxmlformats.org/officeDocument/2006/relationships/settings" Target="settings.xml"/><Relationship Id="rId16" Type="http://schemas.openxmlformats.org/officeDocument/2006/relationships/header" Target="header1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9817</Words>
  <Characters>57922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Dalešická</dc:creator>
  <cp:lastModifiedBy>Olga Hodinová</cp:lastModifiedBy>
  <cp:revision>2</cp:revision>
  <dcterms:created xsi:type="dcterms:W3CDTF">2026-05-28T08:57:00Z</dcterms:created>
  <dcterms:modified xsi:type="dcterms:W3CDTF">2026-05-28T08:57:00Z</dcterms:modified>
</cp:coreProperties>
</file>