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07C" w:rsidRPr="00637DB5" w:rsidRDefault="005F6EB5" w:rsidP="005F6EB5">
      <w:pPr>
        <w:widowControl w:val="0"/>
        <w:jc w:val="right"/>
        <w:rPr>
          <w:rFonts w:cs="Arial"/>
          <w:sz w:val="28"/>
          <w:szCs w:val="28"/>
        </w:rPr>
      </w:pPr>
      <w:bookmarkStart w:id="0" w:name="_Toc237322671"/>
      <w:r w:rsidRPr="00637DB5">
        <w:rPr>
          <w:rFonts w:cs="Arial"/>
          <w:sz w:val="28"/>
          <w:szCs w:val="28"/>
        </w:rPr>
        <w:t>IV.</w:t>
      </w:r>
    </w:p>
    <w:p w:rsidR="00303B93" w:rsidRDefault="00303B93" w:rsidP="003E4A5D">
      <w:pPr>
        <w:widowControl w:val="0"/>
        <w:rPr>
          <w:b/>
          <w:sz w:val="36"/>
          <w:szCs w:val="36"/>
        </w:rPr>
      </w:pPr>
      <w:bookmarkStart w:id="1" w:name="_GoBack"/>
      <w:bookmarkEnd w:id="1"/>
    </w:p>
    <w:p w:rsidR="00577762" w:rsidRPr="00F17D93" w:rsidRDefault="00577762" w:rsidP="003E4A5D">
      <w:pPr>
        <w:widowControl w:val="0"/>
        <w:rPr>
          <w:rFonts w:ascii="Arial" w:hAnsi="Arial" w:cs="Arial"/>
          <w:b/>
          <w:bCs/>
          <w:sz w:val="40"/>
          <w:szCs w:val="40"/>
        </w:rPr>
      </w:pPr>
    </w:p>
    <w:p w:rsidR="008003E2" w:rsidRPr="00637DB5" w:rsidRDefault="005C58EA" w:rsidP="003E4A5D">
      <w:pPr>
        <w:widowControl w:val="0"/>
        <w:jc w:val="center"/>
        <w:rPr>
          <w:rFonts w:eastAsia="Times New Roman" w:cs="Arial"/>
          <w:b/>
          <w:smallCaps/>
          <w:sz w:val="48"/>
          <w:szCs w:val="48"/>
          <w:lang w:eastAsia="cs-CZ"/>
        </w:rPr>
      </w:pPr>
      <w:bookmarkStart w:id="2" w:name="_Toc238494946"/>
      <w:bookmarkStart w:id="3" w:name="_Toc264270689"/>
      <w:bookmarkStart w:id="4" w:name="_Toc261792506"/>
      <w:r w:rsidRPr="00637DB5">
        <w:rPr>
          <w:rFonts w:eastAsia="Times New Roman" w:cs="Arial"/>
          <w:b/>
          <w:smallCaps/>
          <w:sz w:val="48"/>
          <w:szCs w:val="48"/>
          <w:lang w:eastAsia="cs-CZ"/>
        </w:rPr>
        <w:t xml:space="preserve">hodnocení dopadů regulace (RIA) </w:t>
      </w:r>
      <w:r w:rsidR="008D1952" w:rsidRPr="00637DB5">
        <w:rPr>
          <w:rFonts w:eastAsia="Times New Roman" w:cs="Arial"/>
          <w:b/>
          <w:smallCaps/>
          <w:sz w:val="48"/>
          <w:szCs w:val="48"/>
          <w:lang w:eastAsia="cs-CZ"/>
        </w:rPr>
        <w:t>k věcnému</w:t>
      </w:r>
      <w:r w:rsidRPr="00637DB5">
        <w:rPr>
          <w:rFonts w:eastAsia="Times New Roman" w:cs="Arial"/>
          <w:b/>
          <w:smallCaps/>
          <w:sz w:val="48"/>
          <w:szCs w:val="48"/>
          <w:lang w:eastAsia="cs-CZ"/>
        </w:rPr>
        <w:t xml:space="preserve"> záměru </w:t>
      </w:r>
    </w:p>
    <w:p w:rsidR="00C873B4" w:rsidRPr="00637DB5" w:rsidRDefault="007F4CC5" w:rsidP="003E4A5D">
      <w:pPr>
        <w:widowControl w:val="0"/>
        <w:jc w:val="center"/>
        <w:rPr>
          <w:rFonts w:eastAsia="Times New Roman" w:cs="Arial"/>
          <w:b/>
          <w:smallCaps/>
          <w:sz w:val="48"/>
          <w:szCs w:val="48"/>
          <w:lang w:eastAsia="cs-CZ"/>
        </w:rPr>
      </w:pPr>
      <w:r w:rsidRPr="00637DB5">
        <w:rPr>
          <w:rFonts w:eastAsia="Times New Roman" w:cs="Arial"/>
          <w:b/>
          <w:smallCaps/>
          <w:sz w:val="48"/>
          <w:szCs w:val="48"/>
          <w:lang w:eastAsia="cs-CZ"/>
        </w:rPr>
        <w:t xml:space="preserve">STAVEBNÍHO </w:t>
      </w:r>
      <w:r w:rsidR="008003E2" w:rsidRPr="00637DB5">
        <w:rPr>
          <w:rFonts w:eastAsia="Times New Roman" w:cs="Arial"/>
          <w:b/>
          <w:smallCaps/>
          <w:sz w:val="48"/>
          <w:szCs w:val="48"/>
          <w:lang w:eastAsia="cs-CZ"/>
        </w:rPr>
        <w:t>ZÁKONA</w:t>
      </w:r>
    </w:p>
    <w:p w:rsidR="00C873B4" w:rsidRDefault="00C873B4">
      <w:pPr>
        <w:spacing w:before="0" w:after="0"/>
        <w:jc w:val="left"/>
        <w:rPr>
          <w:rFonts w:ascii="Arial" w:eastAsia="Times New Roman" w:hAnsi="Arial" w:cs="Arial"/>
          <w:b/>
          <w:smallCaps/>
          <w:sz w:val="48"/>
          <w:szCs w:val="48"/>
          <w:lang w:eastAsia="cs-CZ"/>
        </w:rPr>
      </w:pPr>
      <w:r>
        <w:rPr>
          <w:rFonts w:ascii="Arial" w:eastAsia="Times New Roman" w:hAnsi="Arial" w:cs="Arial"/>
          <w:b/>
          <w:smallCaps/>
          <w:sz w:val="48"/>
          <w:szCs w:val="48"/>
          <w:lang w:eastAsia="cs-CZ"/>
        </w:rPr>
        <w:br w:type="page"/>
      </w:r>
    </w:p>
    <w:p w:rsidR="00C873B4" w:rsidRPr="00637DB5" w:rsidRDefault="00C873B4" w:rsidP="00C873B4">
      <w:pPr>
        <w:widowControl w:val="0"/>
        <w:tabs>
          <w:tab w:val="left" w:pos="6660"/>
        </w:tabs>
        <w:jc w:val="center"/>
        <w:rPr>
          <w:b/>
          <w:bCs/>
        </w:rPr>
      </w:pPr>
      <w:r w:rsidRPr="00637DB5">
        <w:rPr>
          <w:b/>
          <w:bCs/>
        </w:rPr>
        <w:lastRenderedPageBreak/>
        <w:t>SHRNUTÍ ZÁVĚREČNÉ ZPRÁVY RIA</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45"/>
      </w:tblGrid>
      <w:tr w:rsidR="00C873B4" w:rsidRPr="00637DB5" w:rsidTr="00434DC3">
        <w:trPr>
          <w:trHeight w:val="187"/>
          <w:jc w:val="center"/>
        </w:trPr>
        <w:tc>
          <w:tcPr>
            <w:tcW w:w="9645" w:type="dxa"/>
            <w:tcBorders>
              <w:top w:val="single" w:sz="4" w:space="0" w:color="auto"/>
              <w:left w:val="single" w:sz="4" w:space="0" w:color="auto"/>
              <w:bottom w:val="single" w:sz="4" w:space="0" w:color="auto"/>
              <w:right w:val="single" w:sz="4" w:space="0" w:color="auto"/>
            </w:tcBorders>
            <w:shd w:val="clear" w:color="auto" w:fill="C6D9F1"/>
            <w:vAlign w:val="bottom"/>
            <w:hideMark/>
          </w:tcPr>
          <w:p w:rsidR="00C873B4" w:rsidRPr="00637DB5" w:rsidRDefault="00C873B4">
            <w:pPr>
              <w:widowControl w:val="0"/>
              <w:tabs>
                <w:tab w:val="left" w:pos="6660"/>
              </w:tabs>
              <w:rPr>
                <w:bCs/>
                <w:i/>
                <w:iCs/>
                <w:sz w:val="22"/>
              </w:rPr>
            </w:pPr>
            <w:r w:rsidRPr="00637DB5">
              <w:rPr>
                <w:bCs/>
                <w:sz w:val="22"/>
              </w:rPr>
              <w:t>1. Základní identifikační údaje</w:t>
            </w:r>
          </w:p>
        </w:tc>
      </w:tr>
      <w:tr w:rsidR="00C873B4" w:rsidRPr="00637DB5" w:rsidTr="00434DC3">
        <w:trPr>
          <w:trHeight w:val="979"/>
          <w:jc w:val="center"/>
        </w:trPr>
        <w:tc>
          <w:tcPr>
            <w:tcW w:w="9645" w:type="dxa"/>
            <w:tcBorders>
              <w:top w:val="single" w:sz="4" w:space="0" w:color="auto"/>
              <w:left w:val="single" w:sz="4" w:space="0" w:color="auto"/>
              <w:bottom w:val="single" w:sz="4" w:space="0" w:color="auto"/>
              <w:right w:val="single" w:sz="4" w:space="0" w:color="auto"/>
            </w:tcBorders>
            <w:vAlign w:val="center"/>
            <w:hideMark/>
          </w:tcPr>
          <w:p w:rsidR="00C873B4" w:rsidRPr="001A2D13" w:rsidRDefault="00C873B4" w:rsidP="005115A5">
            <w:pPr>
              <w:widowControl w:val="0"/>
              <w:tabs>
                <w:tab w:val="left" w:pos="6660"/>
              </w:tabs>
              <w:spacing w:after="0"/>
              <w:jc w:val="center"/>
              <w:rPr>
                <w:bCs/>
                <w:sz w:val="28"/>
                <w:szCs w:val="28"/>
              </w:rPr>
            </w:pPr>
            <w:r w:rsidRPr="001A2D13">
              <w:rPr>
                <w:bCs/>
                <w:sz w:val="28"/>
                <w:szCs w:val="28"/>
              </w:rPr>
              <w:t xml:space="preserve">Název: </w:t>
            </w:r>
            <w:r w:rsidR="005115A5" w:rsidRPr="001A2D13">
              <w:rPr>
                <w:b/>
                <w:bCs/>
                <w:sz w:val="28"/>
                <w:szCs w:val="28"/>
              </w:rPr>
              <w:t>Věcný záměr stavebního zákona</w:t>
            </w:r>
          </w:p>
        </w:tc>
      </w:tr>
      <w:tr w:rsidR="00C873B4" w:rsidRPr="00637DB5" w:rsidTr="00434DC3">
        <w:trPr>
          <w:trHeight w:val="1080"/>
          <w:jc w:val="center"/>
        </w:trPr>
        <w:tc>
          <w:tcPr>
            <w:tcW w:w="9645" w:type="dxa"/>
            <w:tcBorders>
              <w:top w:val="single" w:sz="4" w:space="0" w:color="auto"/>
              <w:left w:val="single" w:sz="4" w:space="0" w:color="auto"/>
              <w:bottom w:val="single" w:sz="4" w:space="0" w:color="auto"/>
              <w:right w:val="single" w:sz="4" w:space="0" w:color="auto"/>
            </w:tcBorders>
            <w:vAlign w:val="center"/>
            <w:hideMark/>
          </w:tcPr>
          <w:p w:rsidR="00C873B4" w:rsidRPr="00637DB5" w:rsidRDefault="00C873B4">
            <w:pPr>
              <w:widowControl w:val="0"/>
              <w:tabs>
                <w:tab w:val="left" w:pos="6660"/>
              </w:tabs>
              <w:spacing w:before="100" w:beforeAutospacing="1" w:after="0"/>
              <w:rPr>
                <w:bCs/>
                <w:sz w:val="22"/>
              </w:rPr>
            </w:pPr>
            <w:r w:rsidRPr="00637DB5">
              <w:rPr>
                <w:bCs/>
                <w:sz w:val="22"/>
              </w:rPr>
              <w:t xml:space="preserve">Implementace práva EU: </w:t>
            </w:r>
            <w:r w:rsidRPr="00637DB5">
              <w:rPr>
                <w:bCs/>
                <w:i/>
                <w:sz w:val="22"/>
              </w:rPr>
              <w:t>Ne</w:t>
            </w:r>
            <w:r w:rsidRPr="00637DB5">
              <w:rPr>
                <w:sz w:val="22"/>
              </w:rPr>
              <w:t xml:space="preserve"> (p</w:t>
            </w:r>
            <w:r w:rsidRPr="00637DB5">
              <w:rPr>
                <w:bCs/>
                <w:sz w:val="22"/>
              </w:rPr>
              <w:t>okud zvolíte Ano):</w:t>
            </w:r>
          </w:p>
          <w:p w:rsidR="00C873B4" w:rsidRPr="00637DB5" w:rsidRDefault="00C873B4">
            <w:pPr>
              <w:widowControl w:val="0"/>
              <w:tabs>
                <w:tab w:val="left" w:pos="6660"/>
              </w:tabs>
              <w:rPr>
                <w:i/>
                <w:iCs/>
                <w:sz w:val="22"/>
              </w:rPr>
            </w:pPr>
            <w:r w:rsidRPr="00637DB5">
              <w:rPr>
                <w:bCs/>
                <w:sz w:val="22"/>
              </w:rPr>
              <w:t xml:space="preserve">- uveďte termín stanovený pro implementaci: </w:t>
            </w:r>
            <w:r w:rsidRPr="00637DB5">
              <w:rPr>
                <w:bCs/>
                <w:i/>
                <w:iCs/>
                <w:sz w:val="22"/>
              </w:rPr>
              <w:t>---</w:t>
            </w:r>
          </w:p>
          <w:p w:rsidR="00C873B4" w:rsidRPr="00637DB5" w:rsidRDefault="00C873B4">
            <w:pPr>
              <w:widowControl w:val="0"/>
              <w:tabs>
                <w:tab w:val="left" w:pos="6660"/>
              </w:tabs>
              <w:rPr>
                <w:i/>
                <w:iCs/>
                <w:sz w:val="22"/>
                <w:u w:val="single"/>
              </w:rPr>
            </w:pPr>
            <w:r w:rsidRPr="00637DB5">
              <w:rPr>
                <w:bCs/>
                <w:sz w:val="22"/>
              </w:rPr>
              <w:t xml:space="preserve">- uveďte, zda jde návrh nad rámec požadavků stanovených předpisem EU: </w:t>
            </w:r>
            <w:r w:rsidRPr="00637DB5">
              <w:rPr>
                <w:bCs/>
                <w:i/>
                <w:sz w:val="22"/>
              </w:rPr>
              <w:t>---</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6660"/>
              </w:tabs>
              <w:rPr>
                <w:bCs/>
                <w:sz w:val="22"/>
              </w:rPr>
            </w:pPr>
            <w:r w:rsidRPr="00637DB5">
              <w:rPr>
                <w:bCs/>
                <w:sz w:val="22"/>
              </w:rPr>
              <w:t xml:space="preserve">2. Cíl návrhu </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hideMark/>
          </w:tcPr>
          <w:p w:rsidR="00C873B4" w:rsidRPr="00637DB5" w:rsidRDefault="00C873B4">
            <w:pPr>
              <w:widowControl w:val="0"/>
              <w:tabs>
                <w:tab w:val="left" w:pos="1037"/>
              </w:tabs>
              <w:rPr>
                <w:bCs/>
                <w:sz w:val="22"/>
              </w:rPr>
            </w:pPr>
            <w:r w:rsidRPr="00637DB5">
              <w:rPr>
                <w:bCs/>
                <w:sz w:val="22"/>
              </w:rPr>
              <w:t>Cílem návrhu rekodifikace veřejného stavebního práva je zásadní zvýšení kvality a rychlosti výkonu státní správy na úseku územního plánování a povolování staveb, které dnes trpí enormní roztříštěností, komplikovaností, průtahy a právní nejistotou pro všechny zúčastněné subjekty, což snižuje hospodářský potenciál celé České republiky i kvalitu života jejích obyvatel. Cílovým stavem je minimalizace ztrát plynoucích z oddalování realizace staveb, zefektivnění procesu územního plánování a povolovacího řízení se současným zachováním adekvátní možnosti prosadit oprávněn</w:t>
            </w:r>
            <w:r w:rsidR="005115A5" w:rsidRPr="00637DB5">
              <w:rPr>
                <w:bCs/>
                <w:sz w:val="22"/>
              </w:rPr>
              <w:t>é zájmy všem dotčeným subjektům,</w:t>
            </w:r>
            <w:r w:rsidRPr="00637DB5">
              <w:rPr>
                <w:bCs/>
                <w:sz w:val="22"/>
              </w:rPr>
              <w:t xml:space="preserve"> eliminace systémové podjatosti, korupčního potenciálu a posílení konkurenceschopnosti ČR v rámci evropského prostoru. Toto zefektivnění se projeví celkovým zkrácením povolovacího procesu, eliminací nežádoucích jevů, zvýšením transparentnosti, předvídatelnosti a vymahatelnosti práva a poklesem nákladovosti celého procesu a také významným nárůstem multiplikačního efektu stavebnictví pro národní hospodářství.</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t xml:space="preserve">3. </w:t>
            </w:r>
            <w:r w:rsidRPr="00637DB5">
              <w:rPr>
                <w:sz w:val="22"/>
              </w:rPr>
              <w:t>Agregované</w:t>
            </w:r>
            <w:r w:rsidRPr="00637DB5">
              <w:rPr>
                <w:bCs/>
                <w:sz w:val="22"/>
              </w:rPr>
              <w:t xml:space="preserve"> dopady návrhu zákona</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t xml:space="preserve">3.1 Dopady na státní rozpočet a ostatní veřejné rozpočty: </w:t>
            </w:r>
            <w:r w:rsidRPr="00637DB5">
              <w:rPr>
                <w:bCs/>
                <w:sz w:val="22"/>
              </w:rPr>
              <w:fldChar w:fldCharType="begin">
                <w:ffData>
                  <w:name w:val=""/>
                  <w:enabled/>
                  <w:calcOnExit w:val="0"/>
                  <w:ddList>
                    <w:listEntry w:val="Ano"/>
                    <w:listEntry w:val="Vyberte Ano / Ne"/>
                    <w:listEntry w:val="Ne"/>
                  </w:ddList>
                </w:ffData>
              </w:fldChar>
            </w:r>
            <w:r w:rsidRPr="00637DB5">
              <w:rPr>
                <w:bCs/>
                <w:sz w:val="22"/>
              </w:rPr>
              <w:instrText xml:space="preserve"> FORMDROPDOWN </w:instrText>
            </w:r>
            <w:r w:rsidRPr="00637DB5">
              <w:rPr>
                <w:bCs/>
                <w:sz w:val="22"/>
              </w:rPr>
            </w:r>
            <w:r w:rsidRPr="00637DB5">
              <w:rPr>
                <w:bCs/>
                <w:sz w:val="22"/>
              </w:rPr>
              <w:fldChar w:fldCharType="end"/>
            </w:r>
            <w:r w:rsidRPr="00637DB5">
              <w:rPr>
                <w:bCs/>
                <w:sz w:val="22"/>
              </w:rPr>
              <w:t xml:space="preserve"> </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hideMark/>
          </w:tcPr>
          <w:p w:rsidR="00C873B4" w:rsidRPr="00637DB5" w:rsidRDefault="00C873B4">
            <w:pPr>
              <w:widowControl w:val="0"/>
              <w:tabs>
                <w:tab w:val="left" w:pos="1037"/>
              </w:tabs>
              <w:rPr>
                <w:bCs/>
                <w:sz w:val="22"/>
              </w:rPr>
            </w:pPr>
            <w:r w:rsidRPr="00637DB5">
              <w:rPr>
                <w:bCs/>
                <w:sz w:val="22"/>
              </w:rPr>
              <w:t xml:space="preserve">Nejvýraznější náklady mohou vzniknout při tvorbě nové institucionální struktury, tj. po vytvoření Nejvyššího stavebního úřadu (NSÚ), přesunu zaměstnanců a najmutí dalších, zajištění potřebného vybavení atp. Tyto náklady se odhadují při předpokladech stanovených v RIA na 1,4 mld. Kč ročně a 0,2 mld. Kč jednorázově. Tyto hodnoty nezahrnují výstavbu nových objektů a náklady na pořízení ICT na ústřední úrovni (evidenční systém atp.), jehož cena se může pohybovat od </w:t>
            </w:r>
            <w:r w:rsidR="00702F6A" w:rsidRPr="00637DB5">
              <w:rPr>
                <w:bCs/>
                <w:sz w:val="22"/>
              </w:rPr>
              <w:t xml:space="preserve">cca </w:t>
            </w:r>
            <w:r w:rsidRPr="00637DB5">
              <w:rPr>
                <w:bCs/>
                <w:sz w:val="22"/>
              </w:rPr>
              <w:t xml:space="preserve">10 mil. do </w:t>
            </w:r>
            <w:r w:rsidR="00702F6A" w:rsidRPr="00637DB5">
              <w:rPr>
                <w:bCs/>
                <w:sz w:val="22"/>
              </w:rPr>
              <w:t xml:space="preserve">cca </w:t>
            </w:r>
            <w:r w:rsidRPr="00637DB5">
              <w:rPr>
                <w:bCs/>
                <w:sz w:val="22"/>
              </w:rPr>
              <w:t xml:space="preserve">100 mil. dle funkcionalit, které budou ústřední úrovní požadovány. Dalším nákladem mohou být výdaje na pořízení vozového parku. V maximu, tj. v případě, že žádné automobily nebudou na nový stavební úřad převedeny z obcí, </w:t>
            </w:r>
            <w:r w:rsidR="00702F6A" w:rsidRPr="00637DB5">
              <w:rPr>
                <w:bCs/>
                <w:sz w:val="22"/>
              </w:rPr>
              <w:t>lze uvažovat o částce</w:t>
            </w:r>
            <w:r w:rsidRPr="00637DB5">
              <w:rPr>
                <w:bCs/>
                <w:sz w:val="22"/>
              </w:rPr>
              <w:t xml:space="preserve"> 780 mil. Kč. </w:t>
            </w:r>
          </w:p>
          <w:p w:rsidR="00C873B4" w:rsidRPr="00637DB5" w:rsidRDefault="00C873B4">
            <w:pPr>
              <w:widowControl w:val="0"/>
              <w:tabs>
                <w:tab w:val="left" w:pos="1037"/>
              </w:tabs>
              <w:rPr>
                <w:bCs/>
                <w:sz w:val="22"/>
              </w:rPr>
            </w:pPr>
            <w:r w:rsidRPr="00637DB5">
              <w:rPr>
                <w:bCs/>
                <w:sz w:val="22"/>
              </w:rPr>
              <w:t>Při vytvoření struktury na „zelené louce“ by provozní náklady mohl</w:t>
            </w:r>
            <w:r w:rsidR="00702F6A" w:rsidRPr="00637DB5">
              <w:rPr>
                <w:bCs/>
                <w:sz w:val="22"/>
              </w:rPr>
              <w:t>y dosáhnout řádově 3 – 4 ml</w:t>
            </w:r>
            <w:r w:rsidRPr="00637DB5">
              <w:rPr>
                <w:bCs/>
                <w:sz w:val="22"/>
              </w:rPr>
              <w:t>d</w:t>
            </w:r>
            <w:r w:rsidR="00702F6A" w:rsidRPr="00637DB5">
              <w:rPr>
                <w:bCs/>
                <w:sz w:val="22"/>
              </w:rPr>
              <w:t>.</w:t>
            </w:r>
            <w:r w:rsidRPr="00637DB5">
              <w:rPr>
                <w:bCs/>
                <w:sz w:val="22"/>
              </w:rPr>
              <w:t xml:space="preserve"> Kč. Varianta vytvoření struktury na „zelené louce“ je však nepravděpodobná a je zde uvedena pouze jako ta nejpesimističtější. Věcný záměr nepracuje s návrhem na vytvoření paralelní nebo nové další struktury. Není důvod předpokládat, že by se úřady měly v podstatě duplikovat. Naopak se očekává dosažení značných úspor v řádu miliard Kč, které vyplynou z lepšího procesního řízení a využití a profesionalizace lidských zdrojů a cílenějšího modelu financování po vytvoření NSÚ. </w:t>
            </w:r>
            <w:r w:rsidR="002A583F" w:rsidRPr="00637DB5">
              <w:rPr>
                <w:bCs/>
                <w:sz w:val="22"/>
              </w:rPr>
              <w:t>Na plnění úkolů vyplývajících z </w:t>
            </w:r>
            <w:r w:rsidRPr="00637DB5">
              <w:rPr>
                <w:bCs/>
                <w:sz w:val="22"/>
              </w:rPr>
              <w:t xml:space="preserve">přenesené působnosti v současné době dostávají obce příspěvek ze státního rozpočtu. Jeho výše je závislá od počtu obyvatel obce a rozsahu působnosti. Tento příspěvek je poskytován na výkon přenesené působnosti jako celek, tj. není určeno, jaká část má pokrývat výdaje spojené s jednotlivými agendami. V současné době to není možné i z toho titulu, že počet úvazků a výše dalších nákladů spojených s jednotlivými agendami není sledován. </w:t>
            </w:r>
          </w:p>
          <w:p w:rsidR="00C873B4" w:rsidRPr="00637DB5" w:rsidRDefault="00C873B4">
            <w:pPr>
              <w:widowControl w:val="0"/>
              <w:tabs>
                <w:tab w:val="left" w:pos="1037"/>
              </w:tabs>
              <w:rPr>
                <w:bCs/>
                <w:sz w:val="22"/>
              </w:rPr>
            </w:pPr>
            <w:r w:rsidRPr="00637DB5">
              <w:rPr>
                <w:bCs/>
                <w:sz w:val="22"/>
              </w:rPr>
              <w:t>U ostatních nákladů samosprávy a státní správy předpokládáme, že se navzájem přibližně vykompenzují.</w:t>
            </w:r>
          </w:p>
          <w:p w:rsidR="00C873B4" w:rsidRPr="00637DB5" w:rsidRDefault="00C873B4">
            <w:pPr>
              <w:widowControl w:val="0"/>
              <w:tabs>
                <w:tab w:val="left" w:pos="1037"/>
              </w:tabs>
              <w:rPr>
                <w:bCs/>
                <w:sz w:val="22"/>
              </w:rPr>
            </w:pPr>
            <w:r w:rsidRPr="00637DB5">
              <w:rPr>
                <w:bCs/>
                <w:sz w:val="22"/>
              </w:rPr>
              <w:t>Další úspory na straně státu přinese redukce počtu odvolacích, příp. následných soudních řízení, což může v konečném důsledku snížit tlak na potřebu tvorby dalších nových pracovních míst ve státní správě a v soudnictví.</w:t>
            </w:r>
          </w:p>
          <w:p w:rsidR="00C873B4" w:rsidRPr="00637DB5" w:rsidRDefault="00C873B4">
            <w:pPr>
              <w:widowControl w:val="0"/>
              <w:tabs>
                <w:tab w:val="left" w:pos="1037"/>
              </w:tabs>
              <w:rPr>
                <w:bCs/>
                <w:sz w:val="22"/>
              </w:rPr>
            </w:pPr>
            <w:r w:rsidRPr="00637DB5">
              <w:rPr>
                <w:bCs/>
                <w:sz w:val="22"/>
              </w:rPr>
              <w:t xml:space="preserve">Obecně z pohledu veřejných rozpočtů je možné očekávat efektivnější přípravu a realizaci veřejných stavebních zakázek, které z důvodu složitosti přípravy jsou řadu let odkládány. Rekodifikace tak umožní lépe a přesněji </w:t>
            </w:r>
            <w:r w:rsidRPr="00637DB5">
              <w:rPr>
                <w:bCs/>
                <w:sz w:val="22"/>
              </w:rPr>
              <w:lastRenderedPageBreak/>
              <w:t>plánovat zdroje a veřejné finance veřejných investic, které přímo podmiňují konkurenceschopnost ČR a další rozvoj hospodářství a podnikatelského prostředí. De facto může být zahájeno čerpání prostředků, které se projeví nárůstem přímých rozpočtových investičních výdajů (v tomto případě často pouze ve formě spoluúčasti na projektu financovaném z evropských prostředků), nicméně protože půjde o investiční výdaje, celkový dopad bude (díky multiplikačnímu efektu) kladný a umožní efektivněji čerpat evropské fondy.</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lastRenderedPageBreak/>
              <w:t xml:space="preserve">3.2 Dopady na mezinárodní konkurenceschopnost ČR: </w:t>
            </w:r>
            <w:r w:rsidRPr="00637DB5">
              <w:rPr>
                <w:bCs/>
                <w:sz w:val="22"/>
              </w:rPr>
              <w:fldChar w:fldCharType="begin">
                <w:ffData>
                  <w:name w:val=""/>
                  <w:enabled/>
                  <w:calcOnExit w:val="0"/>
                  <w:ddList>
                    <w:listEntry w:val="Ano"/>
                    <w:listEntry w:val="Vyberte Ano / Ne"/>
                    <w:listEntry w:val="Ne"/>
                  </w:ddList>
                </w:ffData>
              </w:fldChar>
            </w:r>
            <w:r w:rsidRPr="00637DB5">
              <w:rPr>
                <w:bCs/>
                <w:sz w:val="22"/>
              </w:rPr>
              <w:instrText xml:space="preserve"> FORMDROPDOWN </w:instrText>
            </w:r>
            <w:r w:rsidRPr="00637DB5">
              <w:rPr>
                <w:bCs/>
                <w:sz w:val="22"/>
              </w:rPr>
            </w:r>
            <w:r w:rsidRPr="00637DB5">
              <w:rPr>
                <w:bCs/>
                <w:sz w:val="22"/>
              </w:rPr>
              <w:fldChar w:fldCharType="end"/>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hideMark/>
          </w:tcPr>
          <w:p w:rsidR="00C873B4" w:rsidRPr="00637DB5" w:rsidRDefault="00C873B4">
            <w:pPr>
              <w:widowControl w:val="0"/>
              <w:tabs>
                <w:tab w:val="left" w:pos="1037"/>
              </w:tabs>
              <w:rPr>
                <w:bCs/>
                <w:sz w:val="22"/>
              </w:rPr>
            </w:pPr>
            <w:r w:rsidRPr="00637DB5">
              <w:rPr>
                <w:bCs/>
                <w:sz w:val="22"/>
              </w:rPr>
              <w:t>Zvýšení právní jistoty v oblasti územního plánování, povolování staveb, jejich realizace a stavebnictví obecně přispěje k akceleraci ekonomické aktivity a podpoří ekonomický růst v ČR. Akcelerace ekonomické aktivity bude výsledkem zjednodušení procedur, snížení transakčních nákladů a zvýšení právní jistoty při přípravě i realizaci staveb. Veřejné i soukromé investice domácího i zahraničního charakteru bude možné efektivněji ekonomicky plánovat, využívat standardní modely plánování výnosů v čase, což umožní efektivně a s péčí řádného hospodáře nakládat s veřejnými prostředky a současně se pozitivně projeví na ochotě soukromých subjektů investovat na území ČR. Zvýšení investic pak ovlivní i ostatní subjekty a dodavatele v celém hodnotovém řetězci, čímž dojde ke zvýšení výkonnosti celé ekonomiky a posílení její konkurenceschopnosti.</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t xml:space="preserve">3.3 Dopady na podnikatelské prostředí: </w:t>
            </w:r>
            <w:r w:rsidRPr="00637DB5">
              <w:rPr>
                <w:bCs/>
                <w:sz w:val="22"/>
              </w:rPr>
              <w:fldChar w:fldCharType="begin">
                <w:ffData>
                  <w:name w:val=""/>
                  <w:enabled/>
                  <w:calcOnExit w:val="0"/>
                  <w:ddList>
                    <w:listEntry w:val="Ano"/>
                    <w:listEntry w:val="Vyberte Ano / Ne"/>
                    <w:listEntry w:val="Ne"/>
                  </w:ddList>
                </w:ffData>
              </w:fldChar>
            </w:r>
            <w:r w:rsidRPr="00637DB5">
              <w:rPr>
                <w:bCs/>
                <w:sz w:val="22"/>
              </w:rPr>
              <w:instrText xml:space="preserve"> FORMDROPDOWN </w:instrText>
            </w:r>
            <w:r w:rsidRPr="00637DB5">
              <w:rPr>
                <w:bCs/>
                <w:sz w:val="22"/>
              </w:rPr>
            </w:r>
            <w:r w:rsidRPr="00637DB5">
              <w:rPr>
                <w:bCs/>
                <w:sz w:val="22"/>
              </w:rPr>
              <w:fldChar w:fldCharType="end"/>
            </w:r>
            <w:r w:rsidRPr="00637DB5">
              <w:rPr>
                <w:bCs/>
                <w:sz w:val="22"/>
              </w:rPr>
              <w:t xml:space="preserve"> </w:t>
            </w:r>
          </w:p>
        </w:tc>
      </w:tr>
      <w:tr w:rsidR="00C873B4" w:rsidRPr="00637DB5" w:rsidTr="00434DC3">
        <w:trPr>
          <w:trHeight w:val="369"/>
          <w:jc w:val="center"/>
        </w:trPr>
        <w:tc>
          <w:tcPr>
            <w:tcW w:w="9645" w:type="dxa"/>
            <w:tcBorders>
              <w:top w:val="single" w:sz="4" w:space="0" w:color="auto"/>
              <w:left w:val="single" w:sz="4" w:space="0" w:color="auto"/>
              <w:bottom w:val="single" w:sz="4" w:space="0" w:color="auto"/>
              <w:right w:val="single" w:sz="4" w:space="0" w:color="auto"/>
            </w:tcBorders>
            <w:hideMark/>
          </w:tcPr>
          <w:p w:rsidR="00C873B4" w:rsidRPr="00637DB5" w:rsidRDefault="00C873B4">
            <w:pPr>
              <w:widowControl w:val="0"/>
              <w:tabs>
                <w:tab w:val="left" w:pos="1037"/>
              </w:tabs>
              <w:rPr>
                <w:bCs/>
                <w:sz w:val="22"/>
              </w:rPr>
            </w:pPr>
            <w:r w:rsidRPr="00637DB5">
              <w:rPr>
                <w:bCs/>
                <w:sz w:val="22"/>
              </w:rPr>
              <w:t>Po rekodifikaci jsou konzervativně očekávány přínosy v roční výši 6,88 mld. Kč z titulu zkrácení povolovacího řízení (vč. případného přezkumu, resp. i soudních řízení) v průměru na 1 rok, což znamená oproti současnému průměru úsporu 4,4 let odpovídající 30,3 mld. Kč. (Je zřejmé, že oblast výstavby má své kapacitní limity, tj. nelze zastavět vše. Nicméně roční hodnota stavebních záměrů ve výši 88 mld. Kč, ze které výpočet vychází, je velmi konzervativním odhadem. Odhad úspor tak lze brát jako relevantní</w:t>
            </w:r>
            <w:r w:rsidR="00C95B6C" w:rsidRPr="00637DB5">
              <w:rPr>
                <w:bCs/>
                <w:sz w:val="22"/>
              </w:rPr>
              <w:t>.)</w:t>
            </w:r>
          </w:p>
          <w:p w:rsidR="00C873B4" w:rsidRPr="00637DB5" w:rsidRDefault="00C873B4">
            <w:pPr>
              <w:widowControl w:val="0"/>
              <w:tabs>
                <w:tab w:val="left" w:pos="1037"/>
              </w:tabs>
              <w:rPr>
                <w:bCs/>
                <w:sz w:val="22"/>
              </w:rPr>
            </w:pPr>
            <w:r w:rsidRPr="00637DB5">
              <w:rPr>
                <w:bCs/>
                <w:sz w:val="22"/>
              </w:rPr>
              <w:t xml:space="preserve">Přínosy vzniknou z </w:t>
            </w:r>
            <w:r w:rsidR="00C95B6C" w:rsidRPr="00637DB5">
              <w:rPr>
                <w:bCs/>
                <w:sz w:val="22"/>
              </w:rPr>
              <w:t>důvodu</w:t>
            </w:r>
            <w:r w:rsidRPr="00637DB5">
              <w:rPr>
                <w:bCs/>
                <w:sz w:val="22"/>
              </w:rPr>
              <w:t>:</w:t>
            </w:r>
          </w:p>
          <w:p w:rsidR="00C873B4" w:rsidRPr="00637DB5" w:rsidRDefault="00C873B4" w:rsidP="00C873B4">
            <w:pPr>
              <w:widowControl w:val="0"/>
              <w:numPr>
                <w:ilvl w:val="0"/>
                <w:numId w:val="79"/>
              </w:numPr>
              <w:rPr>
                <w:bCs/>
                <w:sz w:val="22"/>
              </w:rPr>
            </w:pPr>
            <w:r w:rsidRPr="00637DB5">
              <w:rPr>
                <w:bCs/>
                <w:sz w:val="22"/>
              </w:rPr>
              <w:t>kvalitní územně plánovací dokumentace;</w:t>
            </w:r>
          </w:p>
          <w:p w:rsidR="00C873B4" w:rsidRPr="00637DB5" w:rsidRDefault="00C873B4" w:rsidP="00C873B4">
            <w:pPr>
              <w:widowControl w:val="0"/>
              <w:numPr>
                <w:ilvl w:val="0"/>
                <w:numId w:val="79"/>
              </w:numPr>
              <w:rPr>
                <w:bCs/>
                <w:sz w:val="22"/>
              </w:rPr>
            </w:pPr>
            <w:r w:rsidRPr="00637DB5">
              <w:rPr>
                <w:bCs/>
                <w:sz w:val="22"/>
              </w:rPr>
              <w:t>stanovení veřejných zájmů chráněných a koordinovaných v oboru stavebního práva jak v oblasti územního plánování, tak v oblasti povolování staveb;</w:t>
            </w:r>
          </w:p>
          <w:p w:rsidR="00C873B4" w:rsidRPr="00637DB5" w:rsidRDefault="00C873B4" w:rsidP="00C873B4">
            <w:pPr>
              <w:widowControl w:val="0"/>
              <w:numPr>
                <w:ilvl w:val="0"/>
                <w:numId w:val="79"/>
              </w:numPr>
              <w:rPr>
                <w:bCs/>
                <w:sz w:val="22"/>
              </w:rPr>
            </w:pPr>
            <w:r w:rsidRPr="00637DB5">
              <w:rPr>
                <w:bCs/>
                <w:sz w:val="22"/>
              </w:rPr>
              <w:t xml:space="preserve">nastavení pravidel a stabilizace územního plánování formou změny nebo úpravy právní formy územních plánů, která umožní při respektování evropské legislativy zvýšit stabilitu a předvídatelnost právního prostředí; </w:t>
            </w:r>
          </w:p>
          <w:p w:rsidR="00C873B4" w:rsidRPr="00637DB5" w:rsidRDefault="00C873B4" w:rsidP="00C873B4">
            <w:pPr>
              <w:widowControl w:val="0"/>
              <w:numPr>
                <w:ilvl w:val="0"/>
                <w:numId w:val="79"/>
              </w:numPr>
              <w:rPr>
                <w:bCs/>
                <w:sz w:val="22"/>
              </w:rPr>
            </w:pPr>
            <w:r w:rsidRPr="00637DB5">
              <w:rPr>
                <w:bCs/>
                <w:sz w:val="22"/>
              </w:rPr>
              <w:t>efektivního procesu územního plánování a povolování staveb díky nové struktuře stavebních úřadů umožňující vzájemnou koordinaci a komunikaci;</w:t>
            </w:r>
          </w:p>
          <w:p w:rsidR="00C873B4" w:rsidRPr="00637DB5" w:rsidRDefault="00C873B4" w:rsidP="00C873B4">
            <w:pPr>
              <w:widowControl w:val="0"/>
              <w:numPr>
                <w:ilvl w:val="0"/>
                <w:numId w:val="79"/>
              </w:numPr>
              <w:rPr>
                <w:bCs/>
                <w:sz w:val="22"/>
              </w:rPr>
            </w:pPr>
            <w:r w:rsidRPr="00637DB5">
              <w:rPr>
                <w:bCs/>
                <w:sz w:val="22"/>
              </w:rPr>
              <w:t>začlenění dotčených orgánů pod NSÚ a zefektivnění procesu jejich vyjadřování a v důsledku toho profesionalizace, koordinace a komplexnost činnosti NSÚ;</w:t>
            </w:r>
          </w:p>
          <w:p w:rsidR="00C873B4" w:rsidRPr="00637DB5" w:rsidRDefault="00C873B4" w:rsidP="00C873B4">
            <w:pPr>
              <w:widowControl w:val="0"/>
              <w:numPr>
                <w:ilvl w:val="0"/>
                <w:numId w:val="79"/>
              </w:numPr>
              <w:rPr>
                <w:bCs/>
                <w:sz w:val="22"/>
              </w:rPr>
            </w:pPr>
            <w:r w:rsidRPr="00637DB5">
              <w:rPr>
                <w:bCs/>
                <w:sz w:val="22"/>
              </w:rPr>
              <w:t xml:space="preserve">vedení pouze jednoho integrovaného řízení a vydání jednoho konečného rozhodnutí, proti kterému se bude možné odvolat a podat žalobu; </w:t>
            </w:r>
          </w:p>
          <w:p w:rsidR="00C873B4" w:rsidRPr="00637DB5" w:rsidRDefault="00C873B4" w:rsidP="00C873B4">
            <w:pPr>
              <w:widowControl w:val="0"/>
              <w:numPr>
                <w:ilvl w:val="0"/>
                <w:numId w:val="79"/>
              </w:numPr>
              <w:rPr>
                <w:bCs/>
                <w:sz w:val="22"/>
              </w:rPr>
            </w:pPr>
            <w:r w:rsidRPr="00637DB5">
              <w:rPr>
                <w:bCs/>
                <w:sz w:val="22"/>
              </w:rPr>
              <w:t>zavedení vymahatelných lhůt;</w:t>
            </w:r>
          </w:p>
          <w:p w:rsidR="00C873B4" w:rsidRPr="00637DB5" w:rsidRDefault="00AC5C3D" w:rsidP="00C873B4">
            <w:pPr>
              <w:widowControl w:val="0"/>
              <w:numPr>
                <w:ilvl w:val="0"/>
                <w:numId w:val="79"/>
              </w:numPr>
              <w:rPr>
                <w:bCs/>
                <w:sz w:val="22"/>
              </w:rPr>
            </w:pPr>
            <w:r w:rsidRPr="00637DB5">
              <w:rPr>
                <w:bCs/>
                <w:sz w:val="22"/>
              </w:rPr>
              <w:t>zrychlení a zvýšení</w:t>
            </w:r>
            <w:r w:rsidR="00C873B4" w:rsidRPr="00637DB5">
              <w:rPr>
                <w:bCs/>
                <w:sz w:val="22"/>
              </w:rPr>
              <w:t xml:space="preserve"> odbornosti v soudním řízení a zavedení apelačního principu;</w:t>
            </w:r>
          </w:p>
          <w:p w:rsidR="00C873B4" w:rsidRPr="00637DB5" w:rsidRDefault="00C873B4" w:rsidP="00C873B4">
            <w:pPr>
              <w:widowControl w:val="0"/>
              <w:numPr>
                <w:ilvl w:val="0"/>
                <w:numId w:val="79"/>
              </w:numPr>
              <w:rPr>
                <w:bCs/>
                <w:sz w:val="22"/>
              </w:rPr>
            </w:pPr>
            <w:r w:rsidRPr="00637DB5">
              <w:rPr>
                <w:bCs/>
                <w:sz w:val="22"/>
              </w:rPr>
              <w:t>eliminace problému systémové podjatosti;</w:t>
            </w:r>
          </w:p>
          <w:p w:rsidR="00C873B4" w:rsidRPr="00637DB5" w:rsidRDefault="00730F87" w:rsidP="00730F87">
            <w:pPr>
              <w:widowControl w:val="0"/>
              <w:numPr>
                <w:ilvl w:val="0"/>
                <w:numId w:val="79"/>
              </w:numPr>
              <w:rPr>
                <w:bCs/>
                <w:sz w:val="22"/>
              </w:rPr>
            </w:pPr>
            <w:r w:rsidRPr="00637DB5">
              <w:rPr>
                <w:bCs/>
                <w:sz w:val="22"/>
              </w:rPr>
              <w:t>významného</w:t>
            </w:r>
            <w:r w:rsidR="00C873B4" w:rsidRPr="00637DB5">
              <w:rPr>
                <w:bCs/>
                <w:sz w:val="22"/>
              </w:rPr>
              <w:t xml:space="preserve"> omez</w:t>
            </w:r>
            <w:r w:rsidRPr="00637DB5">
              <w:rPr>
                <w:bCs/>
                <w:sz w:val="22"/>
              </w:rPr>
              <w:t>en</w:t>
            </w:r>
            <w:r w:rsidR="00C873B4" w:rsidRPr="00637DB5">
              <w:rPr>
                <w:bCs/>
                <w:sz w:val="22"/>
              </w:rPr>
              <w:t>í možnost</w:t>
            </w:r>
            <w:r w:rsidRPr="00637DB5">
              <w:rPr>
                <w:bCs/>
                <w:sz w:val="22"/>
              </w:rPr>
              <w:t>i</w:t>
            </w:r>
            <w:r w:rsidR="00C873B4" w:rsidRPr="00637DB5">
              <w:rPr>
                <w:bCs/>
                <w:sz w:val="22"/>
              </w:rPr>
              <w:t xml:space="preserve"> korupčního jednání.</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t xml:space="preserve">3.4 Dopady na územní samosprávné celky (obce, kraje): </w:t>
            </w:r>
            <w:r w:rsidRPr="00637DB5">
              <w:rPr>
                <w:bCs/>
                <w:sz w:val="22"/>
              </w:rPr>
              <w:fldChar w:fldCharType="begin">
                <w:ffData>
                  <w:name w:val=""/>
                  <w:enabled/>
                  <w:calcOnExit w:val="0"/>
                  <w:ddList>
                    <w:listEntry w:val="Ano"/>
                    <w:listEntry w:val="Vyberte Ano / Ne"/>
                    <w:listEntry w:val="Ne"/>
                  </w:ddList>
                </w:ffData>
              </w:fldChar>
            </w:r>
            <w:r w:rsidRPr="00637DB5">
              <w:rPr>
                <w:bCs/>
                <w:sz w:val="22"/>
              </w:rPr>
              <w:instrText xml:space="preserve"> FORMDROPDOWN </w:instrText>
            </w:r>
            <w:r w:rsidRPr="00637DB5">
              <w:rPr>
                <w:bCs/>
                <w:sz w:val="22"/>
              </w:rPr>
            </w:r>
            <w:r w:rsidRPr="00637DB5">
              <w:rPr>
                <w:bCs/>
                <w:sz w:val="22"/>
              </w:rPr>
              <w:fldChar w:fldCharType="end"/>
            </w:r>
            <w:r w:rsidRPr="00637DB5">
              <w:rPr>
                <w:bCs/>
                <w:sz w:val="22"/>
              </w:rPr>
              <w:t xml:space="preserve"> </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hideMark/>
          </w:tcPr>
          <w:p w:rsidR="00C873B4" w:rsidRPr="00637DB5" w:rsidRDefault="00C873B4">
            <w:pPr>
              <w:widowControl w:val="0"/>
              <w:tabs>
                <w:tab w:val="left" w:pos="1037"/>
              </w:tabs>
              <w:rPr>
                <w:bCs/>
                <w:sz w:val="22"/>
              </w:rPr>
            </w:pPr>
            <w:r w:rsidRPr="00637DB5">
              <w:rPr>
                <w:bCs/>
                <w:sz w:val="22"/>
              </w:rPr>
              <w:t xml:space="preserve">Náklady mohou samosprávám vzrůst, pokud by si ponechaly část zaměstnanců, kteří vykonávají přenesenou působnost pro vlastní potřebu obce, které ale řada obcí již dnes zaměstnává. Pokud by si ponechaly cca 20 % zaměstnanců stavebních úřadů a úřadů územního plánování, je nárůst nákladů na takovou potřebu nových úvazků na NSÚ započítán v části 3.1 této tabulky. U ostatních nákladů samosprávy a státní správy se předpokládá, že se navzájem přibližně vykompenzují. Příkladem může být platba nájemného za kancelářské </w:t>
            </w:r>
            <w:r w:rsidRPr="00637DB5">
              <w:rPr>
                <w:bCs/>
                <w:sz w:val="22"/>
              </w:rPr>
              <w:lastRenderedPageBreak/>
              <w:t>prostory pro NSÚ. Pokud jde o úředníky řešící agendy dotčených orgánů, zde dle odhadů Ministerstva vnitra se dá předpokládat převod 60 % těchto úředníků vykonávajících přenesenou působnost, neboť na obcích zůstane ještě 40 % zaměstnanců, kteří mohou dále řešit záležitosti samosprávy (tj. půjde pouze o přesun beze změny na celkový součet pozitivních a negativních dopadů).</w:t>
            </w:r>
          </w:p>
          <w:p w:rsidR="00C873B4" w:rsidRPr="00637DB5" w:rsidRDefault="00C873B4">
            <w:pPr>
              <w:widowControl w:val="0"/>
              <w:tabs>
                <w:tab w:val="left" w:pos="1037"/>
              </w:tabs>
              <w:rPr>
                <w:bCs/>
                <w:sz w:val="22"/>
              </w:rPr>
            </w:pPr>
            <w:r w:rsidRPr="00637DB5">
              <w:rPr>
                <w:bCs/>
                <w:sz w:val="22"/>
              </w:rPr>
              <w:t>Úspory samospráv plynoucí z rekodifikace mohou mít stejnou formu jako v případě části 3.1. Z obcí se částečně sejme břemeno výkonu státní správy v přenesené působnosti a budou se tak moci více věnovat samosprávným aktivitám. Pozitivní přímý finanční efekt bude mít rekodifikace na samosprávy i v případě, že v současnosti dokrývají náklady na výkon přenesené působnosti ze zdrojů, z nichž má být financována samosprávná činnost. Samosprávám nadále zůstanou zachovány dosavadní kompetence v rámci územního plánování a účastenství v rámci povolování staveb.</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 w:val="left" w:pos="3970"/>
              </w:tabs>
              <w:rPr>
                <w:bCs/>
                <w:sz w:val="22"/>
              </w:rPr>
            </w:pPr>
            <w:r w:rsidRPr="00637DB5">
              <w:rPr>
                <w:bCs/>
                <w:sz w:val="22"/>
              </w:rPr>
              <w:lastRenderedPageBreak/>
              <w:t xml:space="preserve">3.5 Sociální dopady: </w:t>
            </w:r>
            <w:r w:rsidRPr="00637DB5">
              <w:rPr>
                <w:bCs/>
                <w:sz w:val="22"/>
              </w:rPr>
              <w:fldChar w:fldCharType="begin">
                <w:ffData>
                  <w:name w:val=""/>
                  <w:enabled/>
                  <w:calcOnExit w:val="0"/>
                  <w:ddList>
                    <w:listEntry w:val="Ano"/>
                    <w:listEntry w:val="Vyberte Ano / Ne"/>
                    <w:listEntry w:val="Ne"/>
                  </w:ddList>
                </w:ffData>
              </w:fldChar>
            </w:r>
            <w:r w:rsidRPr="00637DB5">
              <w:rPr>
                <w:bCs/>
                <w:sz w:val="22"/>
              </w:rPr>
              <w:instrText xml:space="preserve"> FORMDROPDOWN </w:instrText>
            </w:r>
            <w:r w:rsidRPr="00637DB5">
              <w:rPr>
                <w:bCs/>
                <w:sz w:val="22"/>
              </w:rPr>
            </w:r>
            <w:r w:rsidRPr="00637DB5">
              <w:rPr>
                <w:bCs/>
                <w:sz w:val="22"/>
              </w:rPr>
              <w:fldChar w:fldCharType="end"/>
            </w:r>
            <w:r w:rsidRPr="00637DB5">
              <w:rPr>
                <w:bCs/>
                <w:sz w:val="22"/>
              </w:rPr>
              <w:t xml:space="preserve"> </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hideMark/>
          </w:tcPr>
          <w:p w:rsidR="00C873B4" w:rsidRPr="00637DB5" w:rsidRDefault="00C873B4">
            <w:pPr>
              <w:widowControl w:val="0"/>
              <w:tabs>
                <w:tab w:val="left" w:pos="1037"/>
              </w:tabs>
              <w:rPr>
                <w:bCs/>
                <w:sz w:val="22"/>
              </w:rPr>
            </w:pPr>
            <w:r w:rsidRPr="00637DB5">
              <w:rPr>
                <w:bCs/>
                <w:sz w:val="22"/>
              </w:rPr>
              <w:t>Lze předpokládat, že v případě potřeby a zájmu obcí může dojít ke zjednodušení přípravy a realizace výstavby sociálních bytů, naplnění vládního programu Výstavba, dojde k opětovnému nastartování samoregulační schopnosti trhu, který se sekundárně projeví na dostupnosti bydlení jak ve formě vlastnického, tak nájemního bydlení</w:t>
            </w:r>
            <w:r w:rsidR="005E5C56" w:rsidRPr="00637DB5">
              <w:rPr>
                <w:bCs/>
                <w:sz w:val="22"/>
              </w:rPr>
              <w:t>.</w:t>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rsidP="00A63FAA">
            <w:pPr>
              <w:widowControl w:val="0"/>
              <w:tabs>
                <w:tab w:val="left" w:pos="1037"/>
              </w:tabs>
              <w:rPr>
                <w:bCs/>
                <w:sz w:val="22"/>
              </w:rPr>
            </w:pPr>
            <w:r w:rsidRPr="00637DB5">
              <w:rPr>
                <w:bCs/>
                <w:sz w:val="22"/>
              </w:rPr>
              <w:t xml:space="preserve">3.6 Dopady na spotřebitele: </w:t>
            </w:r>
            <w:r w:rsidR="00A63FAA" w:rsidRPr="00637DB5">
              <w:rPr>
                <w:bCs/>
                <w:sz w:val="22"/>
              </w:rPr>
              <w:fldChar w:fldCharType="begin">
                <w:ffData>
                  <w:name w:val=""/>
                  <w:enabled/>
                  <w:calcOnExit w:val="0"/>
                  <w:ddList>
                    <w:listEntry w:val="Ne"/>
                    <w:listEntry w:val="Ano"/>
                    <w:listEntry w:val="Vyberte Ano / Ne"/>
                  </w:ddList>
                </w:ffData>
              </w:fldChar>
            </w:r>
            <w:r w:rsidR="00A63FAA" w:rsidRPr="00637DB5">
              <w:rPr>
                <w:bCs/>
                <w:sz w:val="22"/>
              </w:rPr>
              <w:instrText xml:space="preserve"> FORMDROPDOWN </w:instrText>
            </w:r>
            <w:r w:rsidR="00A63FAA" w:rsidRPr="00637DB5">
              <w:rPr>
                <w:bCs/>
                <w:sz w:val="22"/>
              </w:rPr>
            </w:r>
            <w:r w:rsidR="00A63FAA" w:rsidRPr="00637DB5">
              <w:rPr>
                <w:bCs/>
                <w:sz w:val="22"/>
              </w:rPr>
              <w:fldChar w:fldCharType="end"/>
            </w:r>
          </w:p>
        </w:tc>
      </w:tr>
      <w:tr w:rsidR="00C873B4" w:rsidRPr="00637DB5" w:rsidTr="00434DC3">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t xml:space="preserve">3.7 Dopady na životní prostředí: </w:t>
            </w:r>
            <w:r w:rsidRPr="00637DB5">
              <w:rPr>
                <w:bCs/>
                <w:sz w:val="22"/>
              </w:rPr>
              <w:fldChar w:fldCharType="begin">
                <w:ffData>
                  <w:name w:val=""/>
                  <w:enabled/>
                  <w:calcOnExit w:val="0"/>
                  <w:ddList>
                    <w:listEntry w:val="Ne"/>
                    <w:listEntry w:val="Vyberte Ano / Ne"/>
                    <w:listEntry w:val="Ano"/>
                  </w:ddList>
                </w:ffData>
              </w:fldChar>
            </w:r>
            <w:r w:rsidRPr="00637DB5">
              <w:rPr>
                <w:bCs/>
                <w:sz w:val="22"/>
              </w:rPr>
              <w:instrText xml:space="preserve"> FORMDROPDOWN </w:instrText>
            </w:r>
            <w:r w:rsidRPr="00637DB5">
              <w:rPr>
                <w:bCs/>
                <w:sz w:val="22"/>
              </w:rPr>
            </w:r>
            <w:r w:rsidRPr="00637DB5">
              <w:rPr>
                <w:bCs/>
                <w:sz w:val="22"/>
              </w:rPr>
              <w:fldChar w:fldCharType="end"/>
            </w:r>
            <w:r w:rsidRPr="00637DB5">
              <w:rPr>
                <w:bCs/>
                <w:sz w:val="22"/>
              </w:rPr>
              <w:t xml:space="preserve"> </w:t>
            </w:r>
          </w:p>
        </w:tc>
      </w:tr>
      <w:tr w:rsidR="00C873B4" w:rsidRPr="00637DB5" w:rsidTr="00434DC3">
        <w:trPr>
          <w:trHeight w:val="411"/>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sz w:val="22"/>
              </w:rPr>
              <w:t>3.8 Dopady ve vztahu k zákazu diskriminace a ve vztahu k rovnosti žen a mužů</w:t>
            </w:r>
            <w:r w:rsidRPr="00637DB5">
              <w:rPr>
                <w:bCs/>
                <w:sz w:val="22"/>
              </w:rPr>
              <w:t xml:space="preserve">: </w:t>
            </w:r>
            <w:r w:rsidRPr="00637DB5">
              <w:rPr>
                <w:bCs/>
                <w:sz w:val="22"/>
              </w:rPr>
              <w:fldChar w:fldCharType="begin">
                <w:ffData>
                  <w:name w:val=""/>
                  <w:enabled/>
                  <w:calcOnExit w:val="0"/>
                  <w:ddList>
                    <w:listEntry w:val="Ne"/>
                    <w:listEntry w:val="Vyberte Ano / Ne"/>
                    <w:listEntry w:val="Ano"/>
                  </w:ddList>
                </w:ffData>
              </w:fldChar>
            </w:r>
            <w:r w:rsidRPr="00637DB5">
              <w:rPr>
                <w:bCs/>
                <w:sz w:val="22"/>
              </w:rPr>
              <w:instrText xml:space="preserve"> FORMDROPDOWN </w:instrText>
            </w:r>
            <w:r w:rsidRPr="00637DB5">
              <w:rPr>
                <w:bCs/>
                <w:sz w:val="22"/>
              </w:rPr>
            </w:r>
            <w:r w:rsidRPr="00637DB5">
              <w:rPr>
                <w:bCs/>
                <w:sz w:val="22"/>
              </w:rPr>
              <w:fldChar w:fldCharType="end"/>
            </w:r>
          </w:p>
        </w:tc>
      </w:tr>
      <w:tr w:rsidR="00C873B4" w:rsidRPr="00637DB5" w:rsidTr="00434DC3">
        <w:trPr>
          <w:trHeight w:val="411"/>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t xml:space="preserve">3.9 Dopady na výkon státní statistické služby: </w:t>
            </w:r>
            <w:r w:rsidRPr="00637DB5">
              <w:rPr>
                <w:bCs/>
                <w:sz w:val="22"/>
              </w:rPr>
              <w:fldChar w:fldCharType="begin">
                <w:ffData>
                  <w:name w:val=""/>
                  <w:enabled/>
                  <w:calcOnExit w:val="0"/>
                  <w:ddList>
                    <w:listEntry w:val="Ne"/>
                    <w:listEntry w:val="Vyberte Ano / Ne"/>
                    <w:listEntry w:val="Ano"/>
                  </w:ddList>
                </w:ffData>
              </w:fldChar>
            </w:r>
            <w:r w:rsidRPr="00637DB5">
              <w:rPr>
                <w:bCs/>
                <w:sz w:val="22"/>
              </w:rPr>
              <w:instrText xml:space="preserve"> FORMDROPDOWN </w:instrText>
            </w:r>
            <w:r w:rsidRPr="00637DB5">
              <w:rPr>
                <w:bCs/>
                <w:sz w:val="22"/>
              </w:rPr>
            </w:r>
            <w:r w:rsidRPr="00637DB5">
              <w:rPr>
                <w:bCs/>
                <w:sz w:val="22"/>
              </w:rPr>
              <w:fldChar w:fldCharType="end"/>
            </w:r>
          </w:p>
        </w:tc>
      </w:tr>
      <w:tr w:rsidR="00C873B4" w:rsidRPr="00637DB5" w:rsidTr="00434DC3">
        <w:trPr>
          <w:trHeight w:val="411"/>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t xml:space="preserve">3.10 Korupční rizika: </w:t>
            </w:r>
            <w:r w:rsidRPr="00637DB5">
              <w:rPr>
                <w:bCs/>
                <w:sz w:val="22"/>
              </w:rPr>
              <w:fldChar w:fldCharType="begin">
                <w:ffData>
                  <w:name w:val=""/>
                  <w:enabled/>
                  <w:calcOnExit w:val="0"/>
                  <w:ddList>
                    <w:listEntry w:val="Ano"/>
                    <w:listEntry w:val="Vyberte Ano / Ne"/>
                    <w:listEntry w:val="Ne"/>
                  </w:ddList>
                </w:ffData>
              </w:fldChar>
            </w:r>
            <w:r w:rsidRPr="00637DB5">
              <w:rPr>
                <w:bCs/>
                <w:sz w:val="22"/>
              </w:rPr>
              <w:instrText xml:space="preserve"> FORMDROPDOWN </w:instrText>
            </w:r>
            <w:r w:rsidRPr="00637DB5">
              <w:rPr>
                <w:bCs/>
                <w:sz w:val="22"/>
              </w:rPr>
            </w:r>
            <w:r w:rsidRPr="00637DB5">
              <w:rPr>
                <w:bCs/>
                <w:sz w:val="22"/>
              </w:rPr>
              <w:fldChar w:fldCharType="end"/>
            </w:r>
          </w:p>
        </w:tc>
      </w:tr>
      <w:tr w:rsidR="00C873B4" w:rsidRPr="00637DB5" w:rsidTr="00434DC3">
        <w:trPr>
          <w:trHeight w:val="411"/>
          <w:jc w:val="center"/>
        </w:trPr>
        <w:tc>
          <w:tcPr>
            <w:tcW w:w="9645" w:type="dxa"/>
            <w:tcBorders>
              <w:top w:val="single" w:sz="4" w:space="0" w:color="auto"/>
              <w:left w:val="single" w:sz="4" w:space="0" w:color="auto"/>
              <w:bottom w:val="single" w:sz="4" w:space="0" w:color="auto"/>
              <w:right w:val="single" w:sz="4" w:space="0" w:color="auto"/>
            </w:tcBorders>
            <w:hideMark/>
          </w:tcPr>
          <w:p w:rsidR="00C873B4" w:rsidRPr="00637DB5" w:rsidRDefault="00C873B4">
            <w:pPr>
              <w:widowControl w:val="0"/>
              <w:tabs>
                <w:tab w:val="left" w:pos="1037"/>
              </w:tabs>
              <w:rPr>
                <w:bCs/>
                <w:sz w:val="22"/>
              </w:rPr>
            </w:pPr>
            <w:r w:rsidRPr="00637DB5">
              <w:rPr>
                <w:bCs/>
                <w:sz w:val="22"/>
              </w:rPr>
              <w:t>Rekodifikace stavebního práva by z hlediska korupčních rizik měla mít několik pozitivních dopadů:</w:t>
            </w:r>
          </w:p>
          <w:p w:rsidR="00C873B4" w:rsidRPr="00637DB5" w:rsidRDefault="00C873B4" w:rsidP="00C873B4">
            <w:pPr>
              <w:widowControl w:val="0"/>
              <w:numPr>
                <w:ilvl w:val="0"/>
                <w:numId w:val="80"/>
              </w:numPr>
              <w:rPr>
                <w:bCs/>
                <w:sz w:val="22"/>
              </w:rPr>
            </w:pPr>
            <w:r w:rsidRPr="00637DB5">
              <w:rPr>
                <w:bCs/>
                <w:sz w:val="22"/>
              </w:rPr>
              <w:t xml:space="preserve">snížení korupčního potenciálu díky obecně vyšší profesionalizaci úředníků stavebních úřadů, </w:t>
            </w:r>
          </w:p>
          <w:p w:rsidR="00C873B4" w:rsidRPr="00637DB5" w:rsidRDefault="00C873B4" w:rsidP="00C873B4">
            <w:pPr>
              <w:widowControl w:val="0"/>
              <w:numPr>
                <w:ilvl w:val="0"/>
                <w:numId w:val="80"/>
              </w:numPr>
              <w:rPr>
                <w:bCs/>
                <w:sz w:val="22"/>
              </w:rPr>
            </w:pPr>
            <w:r w:rsidRPr="00637DB5">
              <w:rPr>
                <w:bCs/>
                <w:sz w:val="22"/>
              </w:rPr>
              <w:t xml:space="preserve">snížení korupčního potenciálu díky eliminaci rizik podjatosti a koncentraci posouzení veškerých aspektů staveb a dopadů záměru v rámci jediného rozhodnutí připraveného kompletním týmem odborně způsobilých úředníků, </w:t>
            </w:r>
          </w:p>
          <w:p w:rsidR="00C873B4" w:rsidRPr="00637DB5" w:rsidRDefault="00C873B4" w:rsidP="00C873B4">
            <w:pPr>
              <w:widowControl w:val="0"/>
              <w:numPr>
                <w:ilvl w:val="0"/>
                <w:numId w:val="80"/>
              </w:numPr>
              <w:rPr>
                <w:bCs/>
                <w:sz w:val="22"/>
              </w:rPr>
            </w:pPr>
            <w:r w:rsidRPr="00637DB5">
              <w:rPr>
                <w:bCs/>
                <w:sz w:val="22"/>
              </w:rPr>
              <w:t>snížení korupčního potenciálu u nečinných úředních osob v případě stanovení určitých zákonem předvídaných fikcí následujících při nedodržení závazných lhůt.</w:t>
            </w:r>
          </w:p>
        </w:tc>
      </w:tr>
      <w:tr w:rsidR="00C873B4" w:rsidRPr="00637DB5" w:rsidTr="00434DC3">
        <w:trPr>
          <w:trHeight w:val="411"/>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rsidR="00C873B4" w:rsidRPr="00637DB5" w:rsidRDefault="00C873B4">
            <w:pPr>
              <w:widowControl w:val="0"/>
              <w:tabs>
                <w:tab w:val="left" w:pos="1037"/>
              </w:tabs>
              <w:rPr>
                <w:bCs/>
                <w:sz w:val="22"/>
              </w:rPr>
            </w:pPr>
            <w:r w:rsidRPr="00637DB5">
              <w:rPr>
                <w:bCs/>
                <w:sz w:val="22"/>
              </w:rPr>
              <w:t xml:space="preserve">3.11 Dopady na bezpečnost nebo obranu státu: </w:t>
            </w:r>
            <w:r w:rsidRPr="00637DB5">
              <w:rPr>
                <w:bCs/>
                <w:sz w:val="22"/>
              </w:rPr>
              <w:fldChar w:fldCharType="begin">
                <w:ffData>
                  <w:name w:val=""/>
                  <w:enabled/>
                  <w:calcOnExit w:val="0"/>
                  <w:ddList>
                    <w:listEntry w:val="Ne"/>
                    <w:listEntry w:val="Vyberte Ano / Ne"/>
                    <w:listEntry w:val="Ano"/>
                  </w:ddList>
                </w:ffData>
              </w:fldChar>
            </w:r>
            <w:r w:rsidRPr="00637DB5">
              <w:rPr>
                <w:bCs/>
                <w:sz w:val="22"/>
              </w:rPr>
              <w:instrText xml:space="preserve"> FORMDROPDOWN </w:instrText>
            </w:r>
            <w:r w:rsidRPr="00637DB5">
              <w:rPr>
                <w:bCs/>
                <w:sz w:val="22"/>
              </w:rPr>
            </w:r>
            <w:r w:rsidRPr="00637DB5">
              <w:rPr>
                <w:bCs/>
                <w:sz w:val="22"/>
              </w:rPr>
              <w:fldChar w:fldCharType="end"/>
            </w:r>
          </w:p>
        </w:tc>
      </w:tr>
    </w:tbl>
    <w:p w:rsidR="00C873B4" w:rsidRPr="00637DB5" w:rsidRDefault="00C873B4" w:rsidP="00C873B4">
      <w:pPr>
        <w:widowControl w:val="0"/>
        <w:rPr>
          <w:b/>
          <w:u w:val="single"/>
        </w:rPr>
      </w:pPr>
    </w:p>
    <w:p w:rsidR="005C58EA" w:rsidRPr="00593FD7" w:rsidRDefault="005C58EA" w:rsidP="003E4A5D">
      <w:pPr>
        <w:widowControl w:val="0"/>
        <w:jc w:val="center"/>
        <w:rPr>
          <w:rFonts w:ascii="Arial" w:eastAsia="Times New Roman" w:hAnsi="Arial" w:cs="Arial"/>
          <w:b/>
          <w:smallCaps/>
          <w:sz w:val="48"/>
          <w:szCs w:val="48"/>
          <w:lang w:eastAsia="cs-CZ"/>
        </w:rPr>
      </w:pPr>
    </w:p>
    <w:p w:rsidR="0089559F" w:rsidRDefault="00681705" w:rsidP="0089559F">
      <w:pPr>
        <w:widowControl w:val="0"/>
      </w:pPr>
      <w:r w:rsidRPr="00F17D93">
        <w:br w:type="page"/>
      </w:r>
      <w:bookmarkEnd w:id="2"/>
      <w:bookmarkEnd w:id="3"/>
      <w:bookmarkEnd w:id="4"/>
    </w:p>
    <w:p w:rsidR="0089559F" w:rsidRDefault="00F1317B" w:rsidP="0089559F">
      <w:pPr>
        <w:widowControl w:val="0"/>
        <w:rPr>
          <w:rFonts w:ascii="Cambria" w:eastAsia="Times New Roman" w:hAnsi="Cambria"/>
          <w:b/>
          <w:bCs/>
          <w:color w:val="B6B002"/>
          <w:sz w:val="28"/>
          <w:szCs w:val="28"/>
        </w:rPr>
      </w:pPr>
      <w:r w:rsidRPr="00F17D93">
        <w:rPr>
          <w:rFonts w:ascii="Cambria" w:eastAsia="Times New Roman" w:hAnsi="Cambria"/>
          <w:b/>
          <w:bCs/>
          <w:color w:val="B6B002"/>
          <w:sz w:val="28"/>
          <w:szCs w:val="28"/>
        </w:rPr>
        <w:lastRenderedPageBreak/>
        <w:t>Obsah</w:t>
      </w:r>
    </w:p>
    <w:bookmarkEnd w:id="0"/>
    <w:p w:rsidR="000066CE" w:rsidRDefault="00AB65E9">
      <w:pPr>
        <w:pStyle w:val="Obsah1"/>
        <w:rPr>
          <w:rFonts w:eastAsiaTheme="minorEastAsia" w:cstheme="minorBidi"/>
          <w:b w:val="0"/>
          <w:bCs w:val="0"/>
          <w:caps w:val="0"/>
          <w:noProof/>
          <w:sz w:val="22"/>
          <w:szCs w:val="22"/>
          <w:lang w:eastAsia="cs-CZ"/>
        </w:rPr>
      </w:pPr>
      <w:r>
        <w:rPr>
          <w:rFonts w:ascii="Calibri" w:hAnsi="Calibri"/>
          <w:lang w:eastAsia="cs-CZ"/>
        </w:rPr>
        <w:fldChar w:fldCharType="begin"/>
      </w:r>
      <w:r w:rsidR="00866D93">
        <w:rPr>
          <w:rFonts w:ascii="Calibri" w:hAnsi="Calibri"/>
          <w:lang w:eastAsia="cs-CZ"/>
        </w:rPr>
        <w:instrText xml:space="preserve"> TOC \o "1-6" \h \z \t "Nadpis (3a);3" </w:instrText>
      </w:r>
      <w:r>
        <w:rPr>
          <w:rFonts w:ascii="Calibri" w:hAnsi="Calibri"/>
          <w:lang w:eastAsia="cs-CZ"/>
        </w:rPr>
        <w:fldChar w:fldCharType="separate"/>
      </w:r>
      <w:hyperlink w:anchor="_Toc536553881" w:history="1">
        <w:r w:rsidR="000066CE" w:rsidRPr="00174ABC">
          <w:rPr>
            <w:rStyle w:val="Hypertextovodkaz"/>
            <w:rFonts w:asciiTheme="majorHAnsi" w:hAnsiTheme="majorHAnsi"/>
            <w:noProof/>
          </w:rPr>
          <w:t>1</w:t>
        </w:r>
        <w:r w:rsidR="000066CE">
          <w:rPr>
            <w:rFonts w:eastAsiaTheme="minorEastAsia" w:cstheme="minorBidi"/>
            <w:b w:val="0"/>
            <w:bCs w:val="0"/>
            <w:caps w:val="0"/>
            <w:noProof/>
            <w:sz w:val="22"/>
            <w:szCs w:val="22"/>
            <w:lang w:eastAsia="cs-CZ"/>
          </w:rPr>
          <w:tab/>
        </w:r>
        <w:r w:rsidR="000066CE" w:rsidRPr="00174ABC">
          <w:rPr>
            <w:rStyle w:val="Hypertextovodkaz"/>
            <w:noProof/>
          </w:rPr>
          <w:t>Důvod předložení a cíle</w:t>
        </w:r>
        <w:r w:rsidR="000066CE">
          <w:rPr>
            <w:noProof/>
            <w:webHidden/>
          </w:rPr>
          <w:tab/>
        </w:r>
        <w:r w:rsidR="000066CE">
          <w:rPr>
            <w:noProof/>
            <w:webHidden/>
          </w:rPr>
          <w:fldChar w:fldCharType="begin"/>
        </w:r>
        <w:r w:rsidR="000066CE">
          <w:rPr>
            <w:noProof/>
            <w:webHidden/>
          </w:rPr>
          <w:instrText xml:space="preserve"> PAGEREF _Toc536553881 \h </w:instrText>
        </w:r>
        <w:r w:rsidR="000066CE">
          <w:rPr>
            <w:noProof/>
            <w:webHidden/>
          </w:rPr>
        </w:r>
        <w:r w:rsidR="000066CE">
          <w:rPr>
            <w:noProof/>
            <w:webHidden/>
          </w:rPr>
          <w:fldChar w:fldCharType="separate"/>
        </w:r>
        <w:r w:rsidR="00263A1B">
          <w:rPr>
            <w:noProof/>
            <w:webHidden/>
          </w:rPr>
          <w:t>7</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882" w:history="1">
        <w:r w:rsidR="000066CE" w:rsidRPr="00174ABC">
          <w:rPr>
            <w:rStyle w:val="Hypertextovodkaz"/>
            <w:noProof/>
          </w:rPr>
          <w:t>1.1</w:t>
        </w:r>
        <w:r w:rsidR="000066CE">
          <w:rPr>
            <w:rFonts w:eastAsiaTheme="minorEastAsia" w:cstheme="minorBidi"/>
            <w:smallCaps w:val="0"/>
            <w:noProof/>
            <w:sz w:val="22"/>
            <w:szCs w:val="22"/>
            <w:lang w:eastAsia="cs-CZ"/>
          </w:rPr>
          <w:tab/>
        </w:r>
        <w:r w:rsidR="000066CE" w:rsidRPr="00174ABC">
          <w:rPr>
            <w:rStyle w:val="Hypertextovodkaz"/>
            <w:noProof/>
          </w:rPr>
          <w:t>Název</w:t>
        </w:r>
        <w:r w:rsidR="000066CE">
          <w:rPr>
            <w:noProof/>
            <w:webHidden/>
          </w:rPr>
          <w:tab/>
        </w:r>
        <w:r w:rsidR="000066CE">
          <w:rPr>
            <w:noProof/>
            <w:webHidden/>
          </w:rPr>
          <w:fldChar w:fldCharType="begin"/>
        </w:r>
        <w:r w:rsidR="000066CE">
          <w:rPr>
            <w:noProof/>
            <w:webHidden/>
          </w:rPr>
          <w:instrText xml:space="preserve"> PAGEREF _Toc536553882 \h </w:instrText>
        </w:r>
        <w:r w:rsidR="000066CE">
          <w:rPr>
            <w:noProof/>
            <w:webHidden/>
          </w:rPr>
        </w:r>
        <w:r w:rsidR="000066CE">
          <w:rPr>
            <w:noProof/>
            <w:webHidden/>
          </w:rPr>
          <w:fldChar w:fldCharType="separate"/>
        </w:r>
        <w:r w:rsidR="00263A1B">
          <w:rPr>
            <w:noProof/>
            <w:webHidden/>
          </w:rPr>
          <w:t>7</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883" w:history="1">
        <w:r w:rsidR="000066CE" w:rsidRPr="00174ABC">
          <w:rPr>
            <w:rStyle w:val="Hypertextovodkaz"/>
            <w:noProof/>
          </w:rPr>
          <w:t>1.2</w:t>
        </w:r>
        <w:r w:rsidR="000066CE">
          <w:rPr>
            <w:rFonts w:eastAsiaTheme="minorEastAsia" w:cstheme="minorBidi"/>
            <w:smallCaps w:val="0"/>
            <w:noProof/>
            <w:sz w:val="22"/>
            <w:szCs w:val="22"/>
            <w:lang w:eastAsia="cs-CZ"/>
          </w:rPr>
          <w:tab/>
        </w:r>
        <w:r w:rsidR="000066CE" w:rsidRPr="00174ABC">
          <w:rPr>
            <w:rStyle w:val="Hypertextovodkaz"/>
            <w:noProof/>
          </w:rPr>
          <w:t>Definice problému</w:t>
        </w:r>
        <w:r w:rsidR="000066CE">
          <w:rPr>
            <w:noProof/>
            <w:webHidden/>
          </w:rPr>
          <w:tab/>
        </w:r>
        <w:r w:rsidR="000066CE">
          <w:rPr>
            <w:noProof/>
            <w:webHidden/>
          </w:rPr>
          <w:fldChar w:fldCharType="begin"/>
        </w:r>
        <w:r w:rsidR="000066CE">
          <w:rPr>
            <w:noProof/>
            <w:webHidden/>
          </w:rPr>
          <w:instrText xml:space="preserve"> PAGEREF _Toc536553883 \h </w:instrText>
        </w:r>
        <w:r w:rsidR="000066CE">
          <w:rPr>
            <w:noProof/>
            <w:webHidden/>
          </w:rPr>
        </w:r>
        <w:r w:rsidR="000066CE">
          <w:rPr>
            <w:noProof/>
            <w:webHidden/>
          </w:rPr>
          <w:fldChar w:fldCharType="separate"/>
        </w:r>
        <w:r w:rsidR="00263A1B">
          <w:rPr>
            <w:noProof/>
            <w:webHidden/>
          </w:rPr>
          <w:t>7</w:t>
        </w:r>
        <w:r w:rsidR="000066CE">
          <w:rPr>
            <w:noProof/>
            <w:webHidden/>
          </w:rPr>
          <w:fldChar w:fldCharType="end"/>
        </w:r>
      </w:hyperlink>
    </w:p>
    <w:p w:rsidR="000066CE" w:rsidRDefault="00CE1110">
      <w:pPr>
        <w:pStyle w:val="Obsah3"/>
        <w:tabs>
          <w:tab w:val="left" w:pos="1200"/>
          <w:tab w:val="right" w:leader="dot" w:pos="9060"/>
        </w:tabs>
        <w:rPr>
          <w:rFonts w:eastAsiaTheme="minorEastAsia" w:cstheme="minorBidi"/>
          <w:i w:val="0"/>
          <w:iCs w:val="0"/>
          <w:noProof/>
          <w:sz w:val="22"/>
          <w:szCs w:val="22"/>
          <w:lang w:eastAsia="cs-CZ"/>
        </w:rPr>
      </w:pPr>
      <w:hyperlink w:anchor="_Toc536553884" w:history="1">
        <w:r w:rsidR="000066CE" w:rsidRPr="00174ABC">
          <w:rPr>
            <w:rStyle w:val="Hypertextovodkaz"/>
            <w:noProof/>
          </w:rPr>
          <w:t>1.2.1</w:t>
        </w:r>
        <w:r w:rsidR="000066CE">
          <w:rPr>
            <w:rFonts w:eastAsiaTheme="minorEastAsia" w:cstheme="minorBidi"/>
            <w:i w:val="0"/>
            <w:iCs w:val="0"/>
            <w:noProof/>
            <w:sz w:val="22"/>
            <w:szCs w:val="22"/>
            <w:lang w:eastAsia="cs-CZ"/>
          </w:rPr>
          <w:tab/>
        </w:r>
        <w:r w:rsidR="000066CE" w:rsidRPr="00174ABC">
          <w:rPr>
            <w:rStyle w:val="Hypertextovodkaz"/>
            <w:noProof/>
          </w:rPr>
          <w:t>Popis současného stavu</w:t>
        </w:r>
        <w:r w:rsidR="000066CE">
          <w:rPr>
            <w:noProof/>
            <w:webHidden/>
          </w:rPr>
          <w:tab/>
        </w:r>
        <w:r w:rsidR="000066CE">
          <w:rPr>
            <w:noProof/>
            <w:webHidden/>
          </w:rPr>
          <w:fldChar w:fldCharType="begin"/>
        </w:r>
        <w:r w:rsidR="000066CE">
          <w:rPr>
            <w:noProof/>
            <w:webHidden/>
          </w:rPr>
          <w:instrText xml:space="preserve"> PAGEREF _Toc536553884 \h </w:instrText>
        </w:r>
        <w:r w:rsidR="000066CE">
          <w:rPr>
            <w:noProof/>
            <w:webHidden/>
          </w:rPr>
        </w:r>
        <w:r w:rsidR="000066CE">
          <w:rPr>
            <w:noProof/>
            <w:webHidden/>
          </w:rPr>
          <w:fldChar w:fldCharType="separate"/>
        </w:r>
        <w:r w:rsidR="00263A1B">
          <w:rPr>
            <w:noProof/>
            <w:webHidden/>
          </w:rPr>
          <w:t>7</w:t>
        </w:r>
        <w:r w:rsidR="000066CE">
          <w:rPr>
            <w:noProof/>
            <w:webHidden/>
          </w:rPr>
          <w:fldChar w:fldCharType="end"/>
        </w:r>
      </w:hyperlink>
    </w:p>
    <w:p w:rsidR="000066CE" w:rsidRDefault="00CE1110">
      <w:pPr>
        <w:pStyle w:val="Obsah4"/>
        <w:tabs>
          <w:tab w:val="left" w:pos="1440"/>
          <w:tab w:val="right" w:leader="dot" w:pos="9060"/>
        </w:tabs>
        <w:rPr>
          <w:rFonts w:eastAsiaTheme="minorEastAsia" w:cstheme="minorBidi"/>
          <w:noProof/>
          <w:sz w:val="22"/>
          <w:szCs w:val="22"/>
          <w:lang w:eastAsia="cs-CZ"/>
        </w:rPr>
      </w:pPr>
      <w:hyperlink w:anchor="_Toc536553885" w:history="1">
        <w:r w:rsidR="000066CE" w:rsidRPr="00174ABC">
          <w:rPr>
            <w:rStyle w:val="Hypertextovodkaz"/>
            <w:rFonts w:ascii="Garamond" w:hAnsi="Garamond"/>
            <w:noProof/>
          </w:rPr>
          <w:t>1.2.1.1</w:t>
        </w:r>
        <w:r w:rsidR="000066CE">
          <w:rPr>
            <w:rFonts w:eastAsiaTheme="minorEastAsia" w:cstheme="minorBidi"/>
            <w:noProof/>
            <w:sz w:val="22"/>
            <w:szCs w:val="22"/>
            <w:lang w:eastAsia="cs-CZ"/>
          </w:rPr>
          <w:tab/>
        </w:r>
        <w:r w:rsidR="000066CE" w:rsidRPr="00174ABC">
          <w:rPr>
            <w:rStyle w:val="Hypertextovodkaz"/>
            <w:noProof/>
          </w:rPr>
          <w:t>Stavebnictví, jeho vývoj a souvislosti s právní úpravou stavebního práva</w:t>
        </w:r>
        <w:r w:rsidR="000066CE">
          <w:rPr>
            <w:noProof/>
            <w:webHidden/>
          </w:rPr>
          <w:tab/>
        </w:r>
        <w:r w:rsidR="000066CE">
          <w:rPr>
            <w:noProof/>
            <w:webHidden/>
          </w:rPr>
          <w:fldChar w:fldCharType="begin"/>
        </w:r>
        <w:r w:rsidR="000066CE">
          <w:rPr>
            <w:noProof/>
            <w:webHidden/>
          </w:rPr>
          <w:instrText xml:space="preserve"> PAGEREF _Toc536553885 \h </w:instrText>
        </w:r>
        <w:r w:rsidR="000066CE">
          <w:rPr>
            <w:noProof/>
            <w:webHidden/>
          </w:rPr>
        </w:r>
        <w:r w:rsidR="000066CE">
          <w:rPr>
            <w:noProof/>
            <w:webHidden/>
          </w:rPr>
          <w:fldChar w:fldCharType="separate"/>
        </w:r>
        <w:r w:rsidR="00263A1B">
          <w:rPr>
            <w:noProof/>
            <w:webHidden/>
          </w:rPr>
          <w:t>7</w:t>
        </w:r>
        <w:r w:rsidR="000066CE">
          <w:rPr>
            <w:noProof/>
            <w:webHidden/>
          </w:rPr>
          <w:fldChar w:fldCharType="end"/>
        </w:r>
      </w:hyperlink>
    </w:p>
    <w:p w:rsidR="000066CE" w:rsidRDefault="00CE1110">
      <w:pPr>
        <w:pStyle w:val="Obsah3"/>
        <w:tabs>
          <w:tab w:val="left" w:pos="1200"/>
          <w:tab w:val="right" w:leader="dot" w:pos="9060"/>
        </w:tabs>
        <w:rPr>
          <w:rFonts w:eastAsiaTheme="minorEastAsia" w:cstheme="minorBidi"/>
          <w:i w:val="0"/>
          <w:iCs w:val="0"/>
          <w:noProof/>
          <w:sz w:val="22"/>
          <w:szCs w:val="22"/>
          <w:lang w:eastAsia="cs-CZ"/>
        </w:rPr>
      </w:pPr>
      <w:hyperlink w:anchor="_Toc536553886" w:history="1">
        <w:r w:rsidR="000066CE" w:rsidRPr="00174ABC">
          <w:rPr>
            <w:rStyle w:val="Hypertextovodkaz"/>
            <w:noProof/>
          </w:rPr>
          <w:t>1.2.2</w:t>
        </w:r>
        <w:r w:rsidR="000066CE">
          <w:rPr>
            <w:rFonts w:eastAsiaTheme="minorEastAsia" w:cstheme="minorBidi"/>
            <w:i w:val="0"/>
            <w:iCs w:val="0"/>
            <w:noProof/>
            <w:sz w:val="22"/>
            <w:szCs w:val="22"/>
            <w:lang w:eastAsia="cs-CZ"/>
          </w:rPr>
          <w:tab/>
        </w:r>
        <w:r w:rsidR="000066CE" w:rsidRPr="00174ABC">
          <w:rPr>
            <w:rStyle w:val="Hypertextovodkaz"/>
            <w:noProof/>
          </w:rPr>
          <w:t>Definice problému</w:t>
        </w:r>
        <w:r w:rsidR="000066CE">
          <w:rPr>
            <w:noProof/>
            <w:webHidden/>
          </w:rPr>
          <w:tab/>
        </w:r>
        <w:r w:rsidR="000066CE">
          <w:rPr>
            <w:noProof/>
            <w:webHidden/>
          </w:rPr>
          <w:fldChar w:fldCharType="begin"/>
        </w:r>
        <w:r w:rsidR="000066CE">
          <w:rPr>
            <w:noProof/>
            <w:webHidden/>
          </w:rPr>
          <w:instrText xml:space="preserve"> PAGEREF _Toc536553886 \h </w:instrText>
        </w:r>
        <w:r w:rsidR="000066CE">
          <w:rPr>
            <w:noProof/>
            <w:webHidden/>
          </w:rPr>
        </w:r>
        <w:r w:rsidR="000066CE">
          <w:rPr>
            <w:noProof/>
            <w:webHidden/>
          </w:rPr>
          <w:fldChar w:fldCharType="separate"/>
        </w:r>
        <w:r w:rsidR="00263A1B">
          <w:rPr>
            <w:noProof/>
            <w:webHidden/>
          </w:rPr>
          <w:t>16</w:t>
        </w:r>
        <w:r w:rsidR="000066CE">
          <w:rPr>
            <w:noProof/>
            <w:webHidden/>
          </w:rPr>
          <w:fldChar w:fldCharType="end"/>
        </w:r>
      </w:hyperlink>
    </w:p>
    <w:p w:rsidR="000066CE" w:rsidRDefault="00CE1110">
      <w:pPr>
        <w:pStyle w:val="Obsah4"/>
        <w:tabs>
          <w:tab w:val="left" w:pos="1680"/>
          <w:tab w:val="right" w:leader="dot" w:pos="9060"/>
        </w:tabs>
        <w:rPr>
          <w:rFonts w:eastAsiaTheme="minorEastAsia" w:cstheme="minorBidi"/>
          <w:noProof/>
          <w:sz w:val="22"/>
          <w:szCs w:val="22"/>
          <w:lang w:eastAsia="cs-CZ"/>
        </w:rPr>
      </w:pPr>
      <w:hyperlink w:anchor="_Toc536553887" w:history="1">
        <w:r w:rsidR="000066CE" w:rsidRPr="00174ABC">
          <w:rPr>
            <w:rStyle w:val="Hypertextovodkaz"/>
            <w:noProof/>
          </w:rPr>
          <w:t>1.2.2.1</w:t>
        </w:r>
        <w:r w:rsidR="000066CE">
          <w:rPr>
            <w:rFonts w:eastAsiaTheme="minorEastAsia" w:cstheme="minorBidi"/>
            <w:noProof/>
            <w:sz w:val="22"/>
            <w:szCs w:val="22"/>
            <w:lang w:eastAsia="cs-CZ"/>
          </w:rPr>
          <w:tab/>
        </w:r>
        <w:r w:rsidR="000066CE" w:rsidRPr="00174ABC">
          <w:rPr>
            <w:rStyle w:val="Hypertextovodkaz"/>
            <w:noProof/>
          </w:rPr>
          <w:t>Ztráta makroekonomického výstupu z oddalování realizace výstavby</w:t>
        </w:r>
        <w:r w:rsidR="000066CE">
          <w:rPr>
            <w:noProof/>
            <w:webHidden/>
          </w:rPr>
          <w:tab/>
        </w:r>
        <w:r w:rsidR="000066CE">
          <w:rPr>
            <w:noProof/>
            <w:webHidden/>
          </w:rPr>
          <w:fldChar w:fldCharType="begin"/>
        </w:r>
        <w:r w:rsidR="000066CE">
          <w:rPr>
            <w:noProof/>
            <w:webHidden/>
          </w:rPr>
          <w:instrText xml:space="preserve"> PAGEREF _Toc536553887 \h </w:instrText>
        </w:r>
        <w:r w:rsidR="000066CE">
          <w:rPr>
            <w:noProof/>
            <w:webHidden/>
          </w:rPr>
        </w:r>
        <w:r w:rsidR="000066CE">
          <w:rPr>
            <w:noProof/>
            <w:webHidden/>
          </w:rPr>
          <w:fldChar w:fldCharType="separate"/>
        </w:r>
        <w:r w:rsidR="00263A1B">
          <w:rPr>
            <w:noProof/>
            <w:webHidden/>
          </w:rPr>
          <w:t>16</w:t>
        </w:r>
        <w:r w:rsidR="000066CE">
          <w:rPr>
            <w:noProof/>
            <w:webHidden/>
          </w:rPr>
          <w:fldChar w:fldCharType="end"/>
        </w:r>
      </w:hyperlink>
    </w:p>
    <w:p w:rsidR="000066CE" w:rsidRDefault="00CE1110">
      <w:pPr>
        <w:pStyle w:val="Obsah4"/>
        <w:tabs>
          <w:tab w:val="left" w:pos="1680"/>
          <w:tab w:val="right" w:leader="dot" w:pos="9060"/>
        </w:tabs>
        <w:rPr>
          <w:rFonts w:eastAsiaTheme="minorEastAsia" w:cstheme="minorBidi"/>
          <w:noProof/>
          <w:sz w:val="22"/>
          <w:szCs w:val="22"/>
          <w:lang w:eastAsia="cs-CZ"/>
        </w:rPr>
      </w:pPr>
      <w:hyperlink w:anchor="_Toc536553888" w:history="1">
        <w:r w:rsidR="000066CE" w:rsidRPr="00174ABC">
          <w:rPr>
            <w:rStyle w:val="Hypertextovodkaz"/>
            <w:noProof/>
          </w:rPr>
          <w:t>1.2.2.2</w:t>
        </w:r>
        <w:r w:rsidR="000066CE">
          <w:rPr>
            <w:rFonts w:eastAsiaTheme="minorEastAsia" w:cstheme="minorBidi"/>
            <w:noProof/>
            <w:sz w:val="22"/>
            <w:szCs w:val="22"/>
            <w:lang w:eastAsia="cs-CZ"/>
          </w:rPr>
          <w:tab/>
        </w:r>
        <w:r w:rsidR="000066CE" w:rsidRPr="00174ABC">
          <w:rPr>
            <w:rStyle w:val="Hypertextovodkaz"/>
            <w:noProof/>
          </w:rPr>
          <w:t>Konkrétní problémy spojené s oddalováním realizace výstavby</w:t>
        </w:r>
        <w:r w:rsidR="000066CE">
          <w:rPr>
            <w:noProof/>
            <w:webHidden/>
          </w:rPr>
          <w:tab/>
        </w:r>
        <w:r w:rsidR="000066CE">
          <w:rPr>
            <w:noProof/>
            <w:webHidden/>
          </w:rPr>
          <w:fldChar w:fldCharType="begin"/>
        </w:r>
        <w:r w:rsidR="000066CE">
          <w:rPr>
            <w:noProof/>
            <w:webHidden/>
          </w:rPr>
          <w:instrText xml:space="preserve"> PAGEREF _Toc536553888 \h </w:instrText>
        </w:r>
        <w:r w:rsidR="000066CE">
          <w:rPr>
            <w:noProof/>
            <w:webHidden/>
          </w:rPr>
        </w:r>
        <w:r w:rsidR="000066CE">
          <w:rPr>
            <w:noProof/>
            <w:webHidden/>
          </w:rPr>
          <w:fldChar w:fldCharType="separate"/>
        </w:r>
        <w:r w:rsidR="00263A1B">
          <w:rPr>
            <w:noProof/>
            <w:webHidden/>
          </w:rPr>
          <w:t>23</w:t>
        </w:r>
        <w:r w:rsidR="000066CE">
          <w:rPr>
            <w:noProof/>
            <w:webHidden/>
          </w:rPr>
          <w:fldChar w:fldCharType="end"/>
        </w:r>
      </w:hyperlink>
    </w:p>
    <w:p w:rsidR="000066CE" w:rsidRDefault="00CE1110">
      <w:pPr>
        <w:pStyle w:val="Obsah4"/>
        <w:tabs>
          <w:tab w:val="left" w:pos="1680"/>
          <w:tab w:val="right" w:leader="dot" w:pos="9060"/>
        </w:tabs>
        <w:rPr>
          <w:rFonts w:eastAsiaTheme="minorEastAsia" w:cstheme="minorBidi"/>
          <w:noProof/>
          <w:sz w:val="22"/>
          <w:szCs w:val="22"/>
          <w:lang w:eastAsia="cs-CZ"/>
        </w:rPr>
      </w:pPr>
      <w:hyperlink w:anchor="_Toc536553889" w:history="1">
        <w:r w:rsidR="000066CE" w:rsidRPr="00174ABC">
          <w:rPr>
            <w:rStyle w:val="Hypertextovodkaz"/>
            <w:noProof/>
            <w:lang w:eastAsia="cs-CZ"/>
          </w:rPr>
          <w:t>1.2.2.3</w:t>
        </w:r>
        <w:r w:rsidR="000066CE">
          <w:rPr>
            <w:rFonts w:eastAsiaTheme="minorEastAsia" w:cstheme="minorBidi"/>
            <w:noProof/>
            <w:sz w:val="22"/>
            <w:szCs w:val="22"/>
            <w:lang w:eastAsia="cs-CZ"/>
          </w:rPr>
          <w:tab/>
        </w:r>
        <w:r w:rsidR="000066CE" w:rsidRPr="00174ABC">
          <w:rPr>
            <w:rStyle w:val="Hypertextovodkaz"/>
            <w:noProof/>
            <w:lang w:eastAsia="cs-CZ"/>
          </w:rPr>
          <w:t>Problémy dle jednotlivých věcných okruhů</w:t>
        </w:r>
        <w:r w:rsidR="000066CE">
          <w:rPr>
            <w:noProof/>
            <w:webHidden/>
          </w:rPr>
          <w:tab/>
        </w:r>
        <w:r w:rsidR="000066CE">
          <w:rPr>
            <w:noProof/>
            <w:webHidden/>
          </w:rPr>
          <w:fldChar w:fldCharType="begin"/>
        </w:r>
        <w:r w:rsidR="000066CE">
          <w:rPr>
            <w:noProof/>
            <w:webHidden/>
          </w:rPr>
          <w:instrText xml:space="preserve"> PAGEREF _Toc536553889 \h </w:instrText>
        </w:r>
        <w:r w:rsidR="000066CE">
          <w:rPr>
            <w:noProof/>
            <w:webHidden/>
          </w:rPr>
        </w:r>
        <w:r w:rsidR="000066CE">
          <w:rPr>
            <w:noProof/>
            <w:webHidden/>
          </w:rPr>
          <w:fldChar w:fldCharType="separate"/>
        </w:r>
        <w:r w:rsidR="00263A1B">
          <w:rPr>
            <w:noProof/>
            <w:webHidden/>
          </w:rPr>
          <w:t>25</w:t>
        </w:r>
        <w:r w:rsidR="000066CE">
          <w:rPr>
            <w:noProof/>
            <w:webHidden/>
          </w:rPr>
          <w:fldChar w:fldCharType="end"/>
        </w:r>
      </w:hyperlink>
    </w:p>
    <w:p w:rsidR="000066CE" w:rsidRDefault="00CE1110">
      <w:pPr>
        <w:pStyle w:val="Obsah5"/>
        <w:tabs>
          <w:tab w:val="left" w:pos="1920"/>
          <w:tab w:val="right" w:leader="dot" w:pos="9060"/>
        </w:tabs>
        <w:rPr>
          <w:rFonts w:eastAsiaTheme="minorEastAsia" w:cstheme="minorBidi"/>
          <w:noProof/>
          <w:sz w:val="22"/>
          <w:szCs w:val="22"/>
          <w:lang w:eastAsia="cs-CZ"/>
        </w:rPr>
      </w:pPr>
      <w:hyperlink w:anchor="_Toc536553890" w:history="1">
        <w:r w:rsidR="000066CE" w:rsidRPr="00174ABC">
          <w:rPr>
            <w:rStyle w:val="Hypertextovodkaz"/>
            <w:noProof/>
          </w:rPr>
          <w:t>1.2.2.3.1</w:t>
        </w:r>
        <w:r w:rsidR="000066CE">
          <w:rPr>
            <w:rFonts w:eastAsiaTheme="minorEastAsia" w:cstheme="minorBidi"/>
            <w:noProof/>
            <w:sz w:val="22"/>
            <w:szCs w:val="22"/>
            <w:lang w:eastAsia="cs-CZ"/>
          </w:rPr>
          <w:tab/>
        </w:r>
        <w:r w:rsidR="000066CE" w:rsidRPr="00174ABC">
          <w:rPr>
            <w:rStyle w:val="Hypertextovodkaz"/>
            <w:noProof/>
          </w:rPr>
          <w:t>Územní plánování</w:t>
        </w:r>
        <w:r w:rsidR="000066CE">
          <w:rPr>
            <w:noProof/>
            <w:webHidden/>
          </w:rPr>
          <w:tab/>
        </w:r>
        <w:r w:rsidR="000066CE">
          <w:rPr>
            <w:noProof/>
            <w:webHidden/>
          </w:rPr>
          <w:fldChar w:fldCharType="begin"/>
        </w:r>
        <w:r w:rsidR="000066CE">
          <w:rPr>
            <w:noProof/>
            <w:webHidden/>
          </w:rPr>
          <w:instrText xml:space="preserve"> PAGEREF _Toc536553890 \h </w:instrText>
        </w:r>
        <w:r w:rsidR="000066CE">
          <w:rPr>
            <w:noProof/>
            <w:webHidden/>
          </w:rPr>
        </w:r>
        <w:r w:rsidR="000066CE">
          <w:rPr>
            <w:noProof/>
            <w:webHidden/>
          </w:rPr>
          <w:fldChar w:fldCharType="separate"/>
        </w:r>
        <w:r w:rsidR="00263A1B">
          <w:rPr>
            <w:noProof/>
            <w:webHidden/>
          </w:rPr>
          <w:t>25</w:t>
        </w:r>
        <w:r w:rsidR="000066CE">
          <w:rPr>
            <w:noProof/>
            <w:webHidden/>
          </w:rPr>
          <w:fldChar w:fldCharType="end"/>
        </w:r>
      </w:hyperlink>
    </w:p>
    <w:p w:rsidR="000066CE" w:rsidRDefault="00CE1110">
      <w:pPr>
        <w:pStyle w:val="Obsah6"/>
        <w:tabs>
          <w:tab w:val="left" w:pos="2195"/>
          <w:tab w:val="right" w:leader="dot" w:pos="9060"/>
        </w:tabs>
        <w:rPr>
          <w:rFonts w:eastAsiaTheme="minorEastAsia" w:cstheme="minorBidi"/>
          <w:noProof/>
          <w:sz w:val="22"/>
          <w:szCs w:val="22"/>
          <w:lang w:eastAsia="cs-CZ"/>
        </w:rPr>
      </w:pPr>
      <w:hyperlink w:anchor="_Toc536553891" w:history="1">
        <w:r w:rsidR="000066CE" w:rsidRPr="00174ABC">
          <w:rPr>
            <w:rStyle w:val="Hypertextovodkaz"/>
            <w:noProof/>
          </w:rPr>
          <w:t>1.2.2.3.1.1</w:t>
        </w:r>
        <w:r w:rsidR="000066CE">
          <w:rPr>
            <w:rFonts w:eastAsiaTheme="minorEastAsia" w:cstheme="minorBidi"/>
            <w:noProof/>
            <w:sz w:val="22"/>
            <w:szCs w:val="22"/>
            <w:lang w:eastAsia="cs-CZ"/>
          </w:rPr>
          <w:tab/>
        </w:r>
        <w:r w:rsidR="000066CE" w:rsidRPr="00174ABC">
          <w:rPr>
            <w:rStyle w:val="Hypertextovodkaz"/>
            <w:noProof/>
          </w:rPr>
          <w:t>Politika územního rozvoje (PÚR)</w:t>
        </w:r>
        <w:r w:rsidR="000066CE">
          <w:rPr>
            <w:noProof/>
            <w:webHidden/>
          </w:rPr>
          <w:tab/>
        </w:r>
        <w:r w:rsidR="000066CE">
          <w:rPr>
            <w:noProof/>
            <w:webHidden/>
          </w:rPr>
          <w:fldChar w:fldCharType="begin"/>
        </w:r>
        <w:r w:rsidR="000066CE">
          <w:rPr>
            <w:noProof/>
            <w:webHidden/>
          </w:rPr>
          <w:instrText xml:space="preserve"> PAGEREF _Toc536553891 \h </w:instrText>
        </w:r>
        <w:r w:rsidR="000066CE">
          <w:rPr>
            <w:noProof/>
            <w:webHidden/>
          </w:rPr>
        </w:r>
        <w:r w:rsidR="000066CE">
          <w:rPr>
            <w:noProof/>
            <w:webHidden/>
          </w:rPr>
          <w:fldChar w:fldCharType="separate"/>
        </w:r>
        <w:r w:rsidR="00263A1B">
          <w:rPr>
            <w:noProof/>
            <w:webHidden/>
          </w:rPr>
          <w:t>25</w:t>
        </w:r>
        <w:r w:rsidR="000066CE">
          <w:rPr>
            <w:noProof/>
            <w:webHidden/>
          </w:rPr>
          <w:fldChar w:fldCharType="end"/>
        </w:r>
      </w:hyperlink>
    </w:p>
    <w:p w:rsidR="000066CE" w:rsidRDefault="00CE1110">
      <w:pPr>
        <w:pStyle w:val="Obsah6"/>
        <w:tabs>
          <w:tab w:val="left" w:pos="2195"/>
          <w:tab w:val="right" w:leader="dot" w:pos="9060"/>
        </w:tabs>
        <w:rPr>
          <w:rFonts w:eastAsiaTheme="minorEastAsia" w:cstheme="minorBidi"/>
          <w:noProof/>
          <w:sz w:val="22"/>
          <w:szCs w:val="22"/>
          <w:lang w:eastAsia="cs-CZ"/>
        </w:rPr>
      </w:pPr>
      <w:hyperlink w:anchor="_Toc536553892" w:history="1">
        <w:r w:rsidR="000066CE" w:rsidRPr="00174ABC">
          <w:rPr>
            <w:rStyle w:val="Hypertextovodkaz"/>
            <w:noProof/>
          </w:rPr>
          <w:t>1.2.2.3.1.2</w:t>
        </w:r>
        <w:r w:rsidR="000066CE">
          <w:rPr>
            <w:rFonts w:eastAsiaTheme="minorEastAsia" w:cstheme="minorBidi"/>
            <w:noProof/>
            <w:sz w:val="22"/>
            <w:szCs w:val="22"/>
            <w:lang w:eastAsia="cs-CZ"/>
          </w:rPr>
          <w:tab/>
        </w:r>
        <w:r w:rsidR="000066CE" w:rsidRPr="00174ABC">
          <w:rPr>
            <w:rStyle w:val="Hypertextovodkaz"/>
            <w:noProof/>
          </w:rPr>
          <w:t>Zásady územního rozvoje (ZÚR)</w:t>
        </w:r>
        <w:r w:rsidR="000066CE">
          <w:rPr>
            <w:noProof/>
            <w:webHidden/>
          </w:rPr>
          <w:tab/>
        </w:r>
        <w:r w:rsidR="000066CE">
          <w:rPr>
            <w:noProof/>
            <w:webHidden/>
          </w:rPr>
          <w:fldChar w:fldCharType="begin"/>
        </w:r>
        <w:r w:rsidR="000066CE">
          <w:rPr>
            <w:noProof/>
            <w:webHidden/>
          </w:rPr>
          <w:instrText xml:space="preserve"> PAGEREF _Toc536553892 \h </w:instrText>
        </w:r>
        <w:r w:rsidR="000066CE">
          <w:rPr>
            <w:noProof/>
            <w:webHidden/>
          </w:rPr>
        </w:r>
        <w:r w:rsidR="000066CE">
          <w:rPr>
            <w:noProof/>
            <w:webHidden/>
          </w:rPr>
          <w:fldChar w:fldCharType="separate"/>
        </w:r>
        <w:r w:rsidR="00263A1B">
          <w:rPr>
            <w:noProof/>
            <w:webHidden/>
          </w:rPr>
          <w:t>26</w:t>
        </w:r>
        <w:r w:rsidR="000066CE">
          <w:rPr>
            <w:noProof/>
            <w:webHidden/>
          </w:rPr>
          <w:fldChar w:fldCharType="end"/>
        </w:r>
      </w:hyperlink>
    </w:p>
    <w:p w:rsidR="000066CE" w:rsidRDefault="00CE1110">
      <w:pPr>
        <w:pStyle w:val="Obsah6"/>
        <w:tabs>
          <w:tab w:val="left" w:pos="2195"/>
          <w:tab w:val="right" w:leader="dot" w:pos="9060"/>
        </w:tabs>
        <w:rPr>
          <w:rFonts w:eastAsiaTheme="minorEastAsia" w:cstheme="minorBidi"/>
          <w:noProof/>
          <w:sz w:val="22"/>
          <w:szCs w:val="22"/>
          <w:lang w:eastAsia="cs-CZ"/>
        </w:rPr>
      </w:pPr>
      <w:hyperlink w:anchor="_Toc536553893" w:history="1">
        <w:r w:rsidR="000066CE" w:rsidRPr="00174ABC">
          <w:rPr>
            <w:rStyle w:val="Hypertextovodkaz"/>
            <w:noProof/>
          </w:rPr>
          <w:t>1.2.2.3.1.3</w:t>
        </w:r>
        <w:r w:rsidR="000066CE">
          <w:rPr>
            <w:rFonts w:eastAsiaTheme="minorEastAsia" w:cstheme="minorBidi"/>
            <w:noProof/>
            <w:sz w:val="22"/>
            <w:szCs w:val="22"/>
            <w:lang w:eastAsia="cs-CZ"/>
          </w:rPr>
          <w:tab/>
        </w:r>
        <w:r w:rsidR="000066CE" w:rsidRPr="00174ABC">
          <w:rPr>
            <w:rStyle w:val="Hypertextovodkaz"/>
            <w:noProof/>
          </w:rPr>
          <w:t>Územní plány (ÚP)</w:t>
        </w:r>
        <w:r w:rsidR="000066CE">
          <w:rPr>
            <w:noProof/>
            <w:webHidden/>
          </w:rPr>
          <w:tab/>
        </w:r>
        <w:r w:rsidR="000066CE">
          <w:rPr>
            <w:noProof/>
            <w:webHidden/>
          </w:rPr>
          <w:fldChar w:fldCharType="begin"/>
        </w:r>
        <w:r w:rsidR="000066CE">
          <w:rPr>
            <w:noProof/>
            <w:webHidden/>
          </w:rPr>
          <w:instrText xml:space="preserve"> PAGEREF _Toc536553893 \h </w:instrText>
        </w:r>
        <w:r w:rsidR="000066CE">
          <w:rPr>
            <w:noProof/>
            <w:webHidden/>
          </w:rPr>
        </w:r>
        <w:r w:rsidR="000066CE">
          <w:rPr>
            <w:noProof/>
            <w:webHidden/>
          </w:rPr>
          <w:fldChar w:fldCharType="separate"/>
        </w:r>
        <w:r w:rsidR="00263A1B">
          <w:rPr>
            <w:noProof/>
            <w:webHidden/>
          </w:rPr>
          <w:t>27</w:t>
        </w:r>
        <w:r w:rsidR="000066CE">
          <w:rPr>
            <w:noProof/>
            <w:webHidden/>
          </w:rPr>
          <w:fldChar w:fldCharType="end"/>
        </w:r>
      </w:hyperlink>
    </w:p>
    <w:p w:rsidR="000066CE" w:rsidRDefault="00CE1110">
      <w:pPr>
        <w:pStyle w:val="Obsah6"/>
        <w:tabs>
          <w:tab w:val="left" w:pos="2195"/>
          <w:tab w:val="right" w:leader="dot" w:pos="9060"/>
        </w:tabs>
        <w:rPr>
          <w:rFonts w:eastAsiaTheme="minorEastAsia" w:cstheme="minorBidi"/>
          <w:noProof/>
          <w:sz w:val="22"/>
          <w:szCs w:val="22"/>
          <w:lang w:eastAsia="cs-CZ"/>
        </w:rPr>
      </w:pPr>
      <w:hyperlink w:anchor="_Toc536553894" w:history="1">
        <w:r w:rsidR="000066CE" w:rsidRPr="00174ABC">
          <w:rPr>
            <w:rStyle w:val="Hypertextovodkaz"/>
            <w:noProof/>
          </w:rPr>
          <w:t>1.2.2.3.1.4</w:t>
        </w:r>
        <w:r w:rsidR="000066CE">
          <w:rPr>
            <w:rFonts w:eastAsiaTheme="minorEastAsia" w:cstheme="minorBidi"/>
            <w:noProof/>
            <w:sz w:val="22"/>
            <w:szCs w:val="22"/>
            <w:lang w:eastAsia="cs-CZ"/>
          </w:rPr>
          <w:tab/>
        </w:r>
        <w:r w:rsidR="000066CE" w:rsidRPr="00174ABC">
          <w:rPr>
            <w:rStyle w:val="Hypertextovodkaz"/>
            <w:noProof/>
          </w:rPr>
          <w:t>Regulační plán (RP)</w:t>
        </w:r>
        <w:r w:rsidR="000066CE">
          <w:rPr>
            <w:noProof/>
            <w:webHidden/>
          </w:rPr>
          <w:tab/>
        </w:r>
        <w:r w:rsidR="000066CE">
          <w:rPr>
            <w:noProof/>
            <w:webHidden/>
          </w:rPr>
          <w:fldChar w:fldCharType="begin"/>
        </w:r>
        <w:r w:rsidR="000066CE">
          <w:rPr>
            <w:noProof/>
            <w:webHidden/>
          </w:rPr>
          <w:instrText xml:space="preserve"> PAGEREF _Toc536553894 \h </w:instrText>
        </w:r>
        <w:r w:rsidR="000066CE">
          <w:rPr>
            <w:noProof/>
            <w:webHidden/>
          </w:rPr>
        </w:r>
        <w:r w:rsidR="000066CE">
          <w:rPr>
            <w:noProof/>
            <w:webHidden/>
          </w:rPr>
          <w:fldChar w:fldCharType="separate"/>
        </w:r>
        <w:r w:rsidR="00263A1B">
          <w:rPr>
            <w:noProof/>
            <w:webHidden/>
          </w:rPr>
          <w:t>29</w:t>
        </w:r>
        <w:r w:rsidR="000066CE">
          <w:rPr>
            <w:noProof/>
            <w:webHidden/>
          </w:rPr>
          <w:fldChar w:fldCharType="end"/>
        </w:r>
      </w:hyperlink>
    </w:p>
    <w:p w:rsidR="000066CE" w:rsidRDefault="00CE1110">
      <w:pPr>
        <w:pStyle w:val="Obsah6"/>
        <w:tabs>
          <w:tab w:val="left" w:pos="2195"/>
          <w:tab w:val="right" w:leader="dot" w:pos="9060"/>
        </w:tabs>
        <w:rPr>
          <w:rFonts w:eastAsiaTheme="minorEastAsia" w:cstheme="minorBidi"/>
          <w:noProof/>
          <w:sz w:val="22"/>
          <w:szCs w:val="22"/>
          <w:lang w:eastAsia="cs-CZ"/>
        </w:rPr>
      </w:pPr>
      <w:hyperlink w:anchor="_Toc536553895" w:history="1">
        <w:r w:rsidR="000066CE" w:rsidRPr="00174ABC">
          <w:rPr>
            <w:rStyle w:val="Hypertextovodkaz"/>
            <w:noProof/>
          </w:rPr>
          <w:t>1.2.2.3.1.5</w:t>
        </w:r>
        <w:r w:rsidR="000066CE">
          <w:rPr>
            <w:rFonts w:eastAsiaTheme="minorEastAsia" w:cstheme="minorBidi"/>
            <w:noProof/>
            <w:sz w:val="22"/>
            <w:szCs w:val="22"/>
            <w:lang w:eastAsia="cs-CZ"/>
          </w:rPr>
          <w:tab/>
        </w:r>
        <w:r w:rsidR="000066CE" w:rsidRPr="00174ABC">
          <w:rPr>
            <w:rStyle w:val="Hypertextovodkaz"/>
            <w:noProof/>
          </w:rPr>
          <w:t>Stávající problémy územního plánování</w:t>
        </w:r>
        <w:r w:rsidR="000066CE">
          <w:rPr>
            <w:noProof/>
            <w:webHidden/>
          </w:rPr>
          <w:tab/>
        </w:r>
        <w:r w:rsidR="000066CE">
          <w:rPr>
            <w:noProof/>
            <w:webHidden/>
          </w:rPr>
          <w:fldChar w:fldCharType="begin"/>
        </w:r>
        <w:r w:rsidR="000066CE">
          <w:rPr>
            <w:noProof/>
            <w:webHidden/>
          </w:rPr>
          <w:instrText xml:space="preserve"> PAGEREF _Toc536553895 \h </w:instrText>
        </w:r>
        <w:r w:rsidR="000066CE">
          <w:rPr>
            <w:noProof/>
            <w:webHidden/>
          </w:rPr>
        </w:r>
        <w:r w:rsidR="000066CE">
          <w:rPr>
            <w:noProof/>
            <w:webHidden/>
          </w:rPr>
          <w:fldChar w:fldCharType="separate"/>
        </w:r>
        <w:r w:rsidR="00263A1B">
          <w:rPr>
            <w:noProof/>
            <w:webHidden/>
          </w:rPr>
          <w:t>29</w:t>
        </w:r>
        <w:r w:rsidR="000066CE">
          <w:rPr>
            <w:noProof/>
            <w:webHidden/>
          </w:rPr>
          <w:fldChar w:fldCharType="end"/>
        </w:r>
      </w:hyperlink>
    </w:p>
    <w:p w:rsidR="000066CE" w:rsidRDefault="00CE1110">
      <w:pPr>
        <w:pStyle w:val="Obsah6"/>
        <w:tabs>
          <w:tab w:val="left" w:pos="2195"/>
          <w:tab w:val="right" w:leader="dot" w:pos="9060"/>
        </w:tabs>
        <w:rPr>
          <w:rFonts w:eastAsiaTheme="minorEastAsia" w:cstheme="minorBidi"/>
          <w:noProof/>
          <w:sz w:val="22"/>
          <w:szCs w:val="22"/>
          <w:lang w:eastAsia="cs-CZ"/>
        </w:rPr>
      </w:pPr>
      <w:hyperlink w:anchor="_Toc536553896" w:history="1">
        <w:r w:rsidR="000066CE" w:rsidRPr="00174ABC">
          <w:rPr>
            <w:rStyle w:val="Hypertextovodkaz"/>
            <w:noProof/>
          </w:rPr>
          <w:t>1.2.2.3.1.6</w:t>
        </w:r>
        <w:r w:rsidR="000066CE">
          <w:rPr>
            <w:rFonts w:eastAsiaTheme="minorEastAsia" w:cstheme="minorBidi"/>
            <w:noProof/>
            <w:sz w:val="22"/>
            <w:szCs w:val="22"/>
            <w:lang w:eastAsia="cs-CZ"/>
          </w:rPr>
          <w:tab/>
        </w:r>
        <w:r w:rsidR="000066CE" w:rsidRPr="00174ABC">
          <w:rPr>
            <w:rStyle w:val="Hypertextovodkaz"/>
            <w:noProof/>
          </w:rPr>
          <w:t>Stávající problémy právní formy opatření obecné povahy a jejich přezkumu soudem</w:t>
        </w:r>
        <w:r w:rsidR="000066CE">
          <w:rPr>
            <w:noProof/>
            <w:webHidden/>
          </w:rPr>
          <w:tab/>
        </w:r>
        <w:r w:rsidR="000066CE">
          <w:rPr>
            <w:noProof/>
            <w:webHidden/>
          </w:rPr>
          <w:fldChar w:fldCharType="begin"/>
        </w:r>
        <w:r w:rsidR="000066CE">
          <w:rPr>
            <w:noProof/>
            <w:webHidden/>
          </w:rPr>
          <w:instrText xml:space="preserve"> PAGEREF _Toc536553896 \h </w:instrText>
        </w:r>
        <w:r w:rsidR="000066CE">
          <w:rPr>
            <w:noProof/>
            <w:webHidden/>
          </w:rPr>
        </w:r>
        <w:r w:rsidR="000066CE">
          <w:rPr>
            <w:noProof/>
            <w:webHidden/>
          </w:rPr>
          <w:fldChar w:fldCharType="separate"/>
        </w:r>
        <w:r w:rsidR="00263A1B">
          <w:rPr>
            <w:noProof/>
            <w:webHidden/>
          </w:rPr>
          <w:t>31</w:t>
        </w:r>
        <w:r w:rsidR="000066CE">
          <w:rPr>
            <w:noProof/>
            <w:webHidden/>
          </w:rPr>
          <w:fldChar w:fldCharType="end"/>
        </w:r>
      </w:hyperlink>
    </w:p>
    <w:p w:rsidR="000066CE" w:rsidRDefault="00CE1110">
      <w:pPr>
        <w:pStyle w:val="Obsah5"/>
        <w:tabs>
          <w:tab w:val="left" w:pos="1920"/>
          <w:tab w:val="right" w:leader="dot" w:pos="9060"/>
        </w:tabs>
        <w:rPr>
          <w:rFonts w:eastAsiaTheme="minorEastAsia" w:cstheme="minorBidi"/>
          <w:noProof/>
          <w:sz w:val="22"/>
          <w:szCs w:val="22"/>
          <w:lang w:eastAsia="cs-CZ"/>
        </w:rPr>
      </w:pPr>
      <w:hyperlink w:anchor="_Toc536553897" w:history="1">
        <w:r w:rsidR="000066CE" w:rsidRPr="00174ABC">
          <w:rPr>
            <w:rStyle w:val="Hypertextovodkaz"/>
            <w:noProof/>
          </w:rPr>
          <w:t>1.2.2.3.2</w:t>
        </w:r>
        <w:r w:rsidR="000066CE">
          <w:rPr>
            <w:rFonts w:eastAsiaTheme="minorEastAsia" w:cstheme="minorBidi"/>
            <w:noProof/>
            <w:sz w:val="22"/>
            <w:szCs w:val="22"/>
            <w:lang w:eastAsia="cs-CZ"/>
          </w:rPr>
          <w:tab/>
        </w:r>
        <w:r w:rsidR="000066CE" w:rsidRPr="00174ABC">
          <w:rPr>
            <w:rStyle w:val="Hypertextovodkaz"/>
            <w:noProof/>
          </w:rPr>
          <w:t>Posuzování vlivů na životní prostředí</w:t>
        </w:r>
        <w:r w:rsidR="000066CE">
          <w:rPr>
            <w:noProof/>
            <w:webHidden/>
          </w:rPr>
          <w:tab/>
        </w:r>
        <w:r w:rsidR="000066CE">
          <w:rPr>
            <w:noProof/>
            <w:webHidden/>
          </w:rPr>
          <w:fldChar w:fldCharType="begin"/>
        </w:r>
        <w:r w:rsidR="000066CE">
          <w:rPr>
            <w:noProof/>
            <w:webHidden/>
          </w:rPr>
          <w:instrText xml:space="preserve"> PAGEREF _Toc536553897 \h </w:instrText>
        </w:r>
        <w:r w:rsidR="000066CE">
          <w:rPr>
            <w:noProof/>
            <w:webHidden/>
          </w:rPr>
        </w:r>
        <w:r w:rsidR="000066CE">
          <w:rPr>
            <w:noProof/>
            <w:webHidden/>
          </w:rPr>
          <w:fldChar w:fldCharType="separate"/>
        </w:r>
        <w:r w:rsidR="00263A1B">
          <w:rPr>
            <w:noProof/>
            <w:webHidden/>
          </w:rPr>
          <w:t>31</w:t>
        </w:r>
        <w:r w:rsidR="000066CE">
          <w:rPr>
            <w:noProof/>
            <w:webHidden/>
          </w:rPr>
          <w:fldChar w:fldCharType="end"/>
        </w:r>
      </w:hyperlink>
    </w:p>
    <w:p w:rsidR="000066CE" w:rsidRDefault="00CE1110">
      <w:pPr>
        <w:pStyle w:val="Obsah5"/>
        <w:tabs>
          <w:tab w:val="left" w:pos="1920"/>
          <w:tab w:val="right" w:leader="dot" w:pos="9060"/>
        </w:tabs>
        <w:rPr>
          <w:rFonts w:eastAsiaTheme="minorEastAsia" w:cstheme="minorBidi"/>
          <w:noProof/>
          <w:sz w:val="22"/>
          <w:szCs w:val="22"/>
          <w:lang w:eastAsia="cs-CZ"/>
        </w:rPr>
      </w:pPr>
      <w:hyperlink w:anchor="_Toc536553898" w:history="1">
        <w:r w:rsidR="000066CE" w:rsidRPr="00174ABC">
          <w:rPr>
            <w:rStyle w:val="Hypertextovodkaz"/>
            <w:noProof/>
          </w:rPr>
          <w:t>1.2.2.3.3</w:t>
        </w:r>
        <w:r w:rsidR="000066CE">
          <w:rPr>
            <w:rFonts w:eastAsiaTheme="minorEastAsia" w:cstheme="minorBidi"/>
            <w:noProof/>
            <w:sz w:val="22"/>
            <w:szCs w:val="22"/>
            <w:lang w:eastAsia="cs-CZ"/>
          </w:rPr>
          <w:tab/>
        </w:r>
        <w:r w:rsidR="000066CE" w:rsidRPr="00174ABC">
          <w:rPr>
            <w:rStyle w:val="Hypertextovodkaz"/>
            <w:noProof/>
          </w:rPr>
          <w:t>Územní rozhodování a povolování staveb</w:t>
        </w:r>
        <w:r w:rsidR="000066CE">
          <w:rPr>
            <w:noProof/>
            <w:webHidden/>
          </w:rPr>
          <w:tab/>
        </w:r>
        <w:r w:rsidR="000066CE">
          <w:rPr>
            <w:noProof/>
            <w:webHidden/>
          </w:rPr>
          <w:fldChar w:fldCharType="begin"/>
        </w:r>
        <w:r w:rsidR="000066CE">
          <w:rPr>
            <w:noProof/>
            <w:webHidden/>
          </w:rPr>
          <w:instrText xml:space="preserve"> PAGEREF _Toc536553898 \h </w:instrText>
        </w:r>
        <w:r w:rsidR="000066CE">
          <w:rPr>
            <w:noProof/>
            <w:webHidden/>
          </w:rPr>
        </w:r>
        <w:r w:rsidR="000066CE">
          <w:rPr>
            <w:noProof/>
            <w:webHidden/>
          </w:rPr>
          <w:fldChar w:fldCharType="separate"/>
        </w:r>
        <w:r w:rsidR="00263A1B">
          <w:rPr>
            <w:noProof/>
            <w:webHidden/>
          </w:rPr>
          <w:t>32</w:t>
        </w:r>
        <w:r w:rsidR="000066CE">
          <w:rPr>
            <w:noProof/>
            <w:webHidden/>
          </w:rPr>
          <w:fldChar w:fldCharType="end"/>
        </w:r>
      </w:hyperlink>
    </w:p>
    <w:p w:rsidR="000066CE" w:rsidRDefault="00CE1110">
      <w:pPr>
        <w:pStyle w:val="Obsah6"/>
        <w:tabs>
          <w:tab w:val="left" w:pos="2195"/>
          <w:tab w:val="right" w:leader="dot" w:pos="9060"/>
        </w:tabs>
        <w:rPr>
          <w:rFonts w:eastAsiaTheme="minorEastAsia" w:cstheme="minorBidi"/>
          <w:noProof/>
          <w:sz w:val="22"/>
          <w:szCs w:val="22"/>
          <w:lang w:eastAsia="cs-CZ"/>
        </w:rPr>
      </w:pPr>
      <w:hyperlink w:anchor="_Toc536553899" w:history="1">
        <w:r w:rsidR="000066CE" w:rsidRPr="00174ABC">
          <w:rPr>
            <w:rStyle w:val="Hypertextovodkaz"/>
            <w:noProof/>
          </w:rPr>
          <w:t>1.2.2.3.3.1</w:t>
        </w:r>
        <w:r w:rsidR="000066CE">
          <w:rPr>
            <w:rFonts w:eastAsiaTheme="minorEastAsia" w:cstheme="minorBidi"/>
            <w:noProof/>
            <w:sz w:val="22"/>
            <w:szCs w:val="22"/>
            <w:lang w:eastAsia="cs-CZ"/>
          </w:rPr>
          <w:tab/>
        </w:r>
        <w:r w:rsidR="000066CE" w:rsidRPr="00174ABC">
          <w:rPr>
            <w:rStyle w:val="Hypertextovodkaz"/>
            <w:noProof/>
          </w:rPr>
          <w:t>Územní řízení</w:t>
        </w:r>
        <w:r w:rsidR="000066CE">
          <w:rPr>
            <w:noProof/>
            <w:webHidden/>
          </w:rPr>
          <w:tab/>
        </w:r>
        <w:r w:rsidR="000066CE">
          <w:rPr>
            <w:noProof/>
            <w:webHidden/>
          </w:rPr>
          <w:fldChar w:fldCharType="begin"/>
        </w:r>
        <w:r w:rsidR="000066CE">
          <w:rPr>
            <w:noProof/>
            <w:webHidden/>
          </w:rPr>
          <w:instrText xml:space="preserve"> PAGEREF _Toc536553899 \h </w:instrText>
        </w:r>
        <w:r w:rsidR="000066CE">
          <w:rPr>
            <w:noProof/>
            <w:webHidden/>
          </w:rPr>
        </w:r>
        <w:r w:rsidR="000066CE">
          <w:rPr>
            <w:noProof/>
            <w:webHidden/>
          </w:rPr>
          <w:fldChar w:fldCharType="separate"/>
        </w:r>
        <w:r w:rsidR="00263A1B">
          <w:rPr>
            <w:noProof/>
            <w:webHidden/>
          </w:rPr>
          <w:t>32</w:t>
        </w:r>
        <w:r w:rsidR="000066CE">
          <w:rPr>
            <w:noProof/>
            <w:webHidden/>
          </w:rPr>
          <w:fldChar w:fldCharType="end"/>
        </w:r>
      </w:hyperlink>
    </w:p>
    <w:p w:rsidR="000066CE" w:rsidRDefault="00CE1110">
      <w:pPr>
        <w:pStyle w:val="Obsah6"/>
        <w:tabs>
          <w:tab w:val="left" w:pos="2195"/>
          <w:tab w:val="right" w:leader="dot" w:pos="9060"/>
        </w:tabs>
        <w:rPr>
          <w:rFonts w:eastAsiaTheme="minorEastAsia" w:cstheme="minorBidi"/>
          <w:noProof/>
          <w:sz w:val="22"/>
          <w:szCs w:val="22"/>
          <w:lang w:eastAsia="cs-CZ"/>
        </w:rPr>
      </w:pPr>
      <w:hyperlink w:anchor="_Toc536553900" w:history="1">
        <w:r w:rsidR="000066CE" w:rsidRPr="00174ABC">
          <w:rPr>
            <w:rStyle w:val="Hypertextovodkaz"/>
            <w:noProof/>
          </w:rPr>
          <w:t>1.2.2.3.3.2</w:t>
        </w:r>
        <w:r w:rsidR="000066CE">
          <w:rPr>
            <w:rFonts w:eastAsiaTheme="minorEastAsia" w:cstheme="minorBidi"/>
            <w:noProof/>
            <w:sz w:val="22"/>
            <w:szCs w:val="22"/>
            <w:lang w:eastAsia="cs-CZ"/>
          </w:rPr>
          <w:tab/>
        </w:r>
        <w:r w:rsidR="000066CE" w:rsidRPr="00174ABC">
          <w:rPr>
            <w:rStyle w:val="Hypertextovodkaz"/>
            <w:noProof/>
          </w:rPr>
          <w:t>Stavební řízení</w:t>
        </w:r>
        <w:r w:rsidR="000066CE">
          <w:rPr>
            <w:noProof/>
            <w:webHidden/>
          </w:rPr>
          <w:tab/>
        </w:r>
        <w:r w:rsidR="000066CE">
          <w:rPr>
            <w:noProof/>
            <w:webHidden/>
          </w:rPr>
          <w:fldChar w:fldCharType="begin"/>
        </w:r>
        <w:r w:rsidR="000066CE">
          <w:rPr>
            <w:noProof/>
            <w:webHidden/>
          </w:rPr>
          <w:instrText xml:space="preserve"> PAGEREF _Toc536553900 \h </w:instrText>
        </w:r>
        <w:r w:rsidR="000066CE">
          <w:rPr>
            <w:noProof/>
            <w:webHidden/>
          </w:rPr>
        </w:r>
        <w:r w:rsidR="000066CE">
          <w:rPr>
            <w:noProof/>
            <w:webHidden/>
          </w:rPr>
          <w:fldChar w:fldCharType="separate"/>
        </w:r>
        <w:r w:rsidR="00263A1B">
          <w:rPr>
            <w:noProof/>
            <w:webHidden/>
          </w:rPr>
          <w:t>33</w:t>
        </w:r>
        <w:r w:rsidR="000066CE">
          <w:rPr>
            <w:noProof/>
            <w:webHidden/>
          </w:rPr>
          <w:fldChar w:fldCharType="end"/>
        </w:r>
      </w:hyperlink>
    </w:p>
    <w:p w:rsidR="000066CE" w:rsidRDefault="00CE1110">
      <w:pPr>
        <w:pStyle w:val="Obsah6"/>
        <w:tabs>
          <w:tab w:val="left" w:pos="2195"/>
          <w:tab w:val="right" w:leader="dot" w:pos="9060"/>
        </w:tabs>
        <w:rPr>
          <w:rFonts w:eastAsiaTheme="minorEastAsia" w:cstheme="minorBidi"/>
          <w:noProof/>
          <w:sz w:val="22"/>
          <w:szCs w:val="22"/>
          <w:lang w:eastAsia="cs-CZ"/>
        </w:rPr>
      </w:pPr>
      <w:hyperlink w:anchor="_Toc536553901" w:history="1">
        <w:r w:rsidR="000066CE" w:rsidRPr="00174ABC">
          <w:rPr>
            <w:rStyle w:val="Hypertextovodkaz"/>
            <w:noProof/>
          </w:rPr>
          <w:t>1.2.2.3.3.3</w:t>
        </w:r>
        <w:r w:rsidR="000066CE">
          <w:rPr>
            <w:rFonts w:eastAsiaTheme="minorEastAsia" w:cstheme="minorBidi"/>
            <w:noProof/>
            <w:sz w:val="22"/>
            <w:szCs w:val="22"/>
            <w:lang w:eastAsia="cs-CZ"/>
          </w:rPr>
          <w:tab/>
        </w:r>
        <w:r w:rsidR="000066CE" w:rsidRPr="00174ABC">
          <w:rPr>
            <w:rStyle w:val="Hypertextovodkaz"/>
            <w:noProof/>
          </w:rPr>
          <w:t>Kolaudační řízení</w:t>
        </w:r>
        <w:r w:rsidR="000066CE">
          <w:rPr>
            <w:noProof/>
            <w:webHidden/>
          </w:rPr>
          <w:tab/>
        </w:r>
        <w:r w:rsidR="000066CE">
          <w:rPr>
            <w:noProof/>
            <w:webHidden/>
          </w:rPr>
          <w:fldChar w:fldCharType="begin"/>
        </w:r>
        <w:r w:rsidR="000066CE">
          <w:rPr>
            <w:noProof/>
            <w:webHidden/>
          </w:rPr>
          <w:instrText xml:space="preserve"> PAGEREF _Toc536553901 \h </w:instrText>
        </w:r>
        <w:r w:rsidR="000066CE">
          <w:rPr>
            <w:noProof/>
            <w:webHidden/>
          </w:rPr>
        </w:r>
        <w:r w:rsidR="000066CE">
          <w:rPr>
            <w:noProof/>
            <w:webHidden/>
          </w:rPr>
          <w:fldChar w:fldCharType="separate"/>
        </w:r>
        <w:r w:rsidR="00263A1B">
          <w:rPr>
            <w:noProof/>
            <w:webHidden/>
          </w:rPr>
          <w:t>34</w:t>
        </w:r>
        <w:r w:rsidR="000066CE">
          <w:rPr>
            <w:noProof/>
            <w:webHidden/>
          </w:rPr>
          <w:fldChar w:fldCharType="end"/>
        </w:r>
      </w:hyperlink>
    </w:p>
    <w:p w:rsidR="000066CE" w:rsidRDefault="00CE1110">
      <w:pPr>
        <w:pStyle w:val="Obsah6"/>
        <w:tabs>
          <w:tab w:val="left" w:pos="2195"/>
          <w:tab w:val="right" w:leader="dot" w:pos="9060"/>
        </w:tabs>
        <w:rPr>
          <w:rFonts w:eastAsiaTheme="minorEastAsia" w:cstheme="minorBidi"/>
          <w:noProof/>
          <w:sz w:val="22"/>
          <w:szCs w:val="22"/>
          <w:lang w:eastAsia="cs-CZ"/>
        </w:rPr>
      </w:pPr>
      <w:hyperlink w:anchor="_Toc536553902" w:history="1">
        <w:r w:rsidR="000066CE" w:rsidRPr="00174ABC">
          <w:rPr>
            <w:rStyle w:val="Hypertextovodkaz"/>
            <w:noProof/>
          </w:rPr>
          <w:t>1.2.2.3.3.4</w:t>
        </w:r>
        <w:r w:rsidR="000066CE">
          <w:rPr>
            <w:rFonts w:eastAsiaTheme="minorEastAsia" w:cstheme="minorBidi"/>
            <w:noProof/>
            <w:sz w:val="22"/>
            <w:szCs w:val="22"/>
            <w:lang w:eastAsia="cs-CZ"/>
          </w:rPr>
          <w:tab/>
        </w:r>
        <w:r w:rsidR="000066CE" w:rsidRPr="00174ABC">
          <w:rPr>
            <w:rStyle w:val="Hypertextovodkaz"/>
            <w:noProof/>
          </w:rPr>
          <w:t>Stávající problémy povolování staveb</w:t>
        </w:r>
        <w:r w:rsidR="000066CE">
          <w:rPr>
            <w:noProof/>
            <w:webHidden/>
          </w:rPr>
          <w:tab/>
        </w:r>
        <w:r w:rsidR="000066CE">
          <w:rPr>
            <w:noProof/>
            <w:webHidden/>
          </w:rPr>
          <w:fldChar w:fldCharType="begin"/>
        </w:r>
        <w:r w:rsidR="000066CE">
          <w:rPr>
            <w:noProof/>
            <w:webHidden/>
          </w:rPr>
          <w:instrText xml:space="preserve"> PAGEREF _Toc536553902 \h </w:instrText>
        </w:r>
        <w:r w:rsidR="000066CE">
          <w:rPr>
            <w:noProof/>
            <w:webHidden/>
          </w:rPr>
        </w:r>
        <w:r w:rsidR="000066CE">
          <w:rPr>
            <w:noProof/>
            <w:webHidden/>
          </w:rPr>
          <w:fldChar w:fldCharType="separate"/>
        </w:r>
        <w:r w:rsidR="00263A1B">
          <w:rPr>
            <w:noProof/>
            <w:webHidden/>
          </w:rPr>
          <w:t>35</w:t>
        </w:r>
        <w:r w:rsidR="000066CE">
          <w:rPr>
            <w:noProof/>
            <w:webHidden/>
          </w:rPr>
          <w:fldChar w:fldCharType="end"/>
        </w:r>
      </w:hyperlink>
    </w:p>
    <w:p w:rsidR="000066CE" w:rsidRDefault="00CE1110">
      <w:pPr>
        <w:pStyle w:val="Obsah5"/>
        <w:tabs>
          <w:tab w:val="left" w:pos="1920"/>
          <w:tab w:val="right" w:leader="dot" w:pos="9060"/>
        </w:tabs>
        <w:rPr>
          <w:rFonts w:eastAsiaTheme="minorEastAsia" w:cstheme="minorBidi"/>
          <w:noProof/>
          <w:sz w:val="22"/>
          <w:szCs w:val="22"/>
          <w:lang w:eastAsia="cs-CZ"/>
        </w:rPr>
      </w:pPr>
      <w:hyperlink w:anchor="_Toc536553903" w:history="1">
        <w:r w:rsidR="000066CE" w:rsidRPr="00174ABC">
          <w:rPr>
            <w:rStyle w:val="Hypertextovodkaz"/>
            <w:noProof/>
          </w:rPr>
          <w:t>1.2.2.3.4</w:t>
        </w:r>
        <w:r w:rsidR="000066CE">
          <w:rPr>
            <w:rFonts w:eastAsiaTheme="minorEastAsia" w:cstheme="minorBidi"/>
            <w:noProof/>
            <w:sz w:val="22"/>
            <w:szCs w:val="22"/>
            <w:lang w:eastAsia="cs-CZ"/>
          </w:rPr>
          <w:tab/>
        </w:r>
        <w:r w:rsidR="000066CE" w:rsidRPr="00174ABC">
          <w:rPr>
            <w:rStyle w:val="Hypertextovodkaz"/>
            <w:noProof/>
          </w:rPr>
          <w:t>Řízení o vyvlastnění</w:t>
        </w:r>
        <w:r w:rsidR="000066CE">
          <w:rPr>
            <w:noProof/>
            <w:webHidden/>
          </w:rPr>
          <w:tab/>
        </w:r>
        <w:r w:rsidR="000066CE">
          <w:rPr>
            <w:noProof/>
            <w:webHidden/>
          </w:rPr>
          <w:fldChar w:fldCharType="begin"/>
        </w:r>
        <w:r w:rsidR="000066CE">
          <w:rPr>
            <w:noProof/>
            <w:webHidden/>
          </w:rPr>
          <w:instrText xml:space="preserve"> PAGEREF _Toc536553903 \h </w:instrText>
        </w:r>
        <w:r w:rsidR="000066CE">
          <w:rPr>
            <w:noProof/>
            <w:webHidden/>
          </w:rPr>
        </w:r>
        <w:r w:rsidR="000066CE">
          <w:rPr>
            <w:noProof/>
            <w:webHidden/>
          </w:rPr>
          <w:fldChar w:fldCharType="separate"/>
        </w:r>
        <w:r w:rsidR="00263A1B">
          <w:rPr>
            <w:noProof/>
            <w:webHidden/>
          </w:rPr>
          <w:t>36</w:t>
        </w:r>
        <w:r w:rsidR="000066CE">
          <w:rPr>
            <w:noProof/>
            <w:webHidden/>
          </w:rPr>
          <w:fldChar w:fldCharType="end"/>
        </w:r>
      </w:hyperlink>
    </w:p>
    <w:p w:rsidR="000066CE" w:rsidRDefault="00CE1110">
      <w:pPr>
        <w:pStyle w:val="Obsah5"/>
        <w:tabs>
          <w:tab w:val="left" w:pos="1920"/>
          <w:tab w:val="right" w:leader="dot" w:pos="9060"/>
        </w:tabs>
        <w:rPr>
          <w:rFonts w:eastAsiaTheme="minorEastAsia" w:cstheme="minorBidi"/>
          <w:noProof/>
          <w:sz w:val="22"/>
          <w:szCs w:val="22"/>
          <w:lang w:eastAsia="cs-CZ"/>
        </w:rPr>
      </w:pPr>
      <w:hyperlink w:anchor="_Toc536553904" w:history="1">
        <w:r w:rsidR="000066CE" w:rsidRPr="00174ABC">
          <w:rPr>
            <w:rStyle w:val="Hypertextovodkaz"/>
            <w:noProof/>
          </w:rPr>
          <w:t>1.2.2.3.5</w:t>
        </w:r>
        <w:r w:rsidR="000066CE">
          <w:rPr>
            <w:rFonts w:eastAsiaTheme="minorEastAsia" w:cstheme="minorBidi"/>
            <w:noProof/>
            <w:sz w:val="22"/>
            <w:szCs w:val="22"/>
            <w:lang w:eastAsia="cs-CZ"/>
          </w:rPr>
          <w:tab/>
        </w:r>
        <w:r w:rsidR="000066CE" w:rsidRPr="00174ABC">
          <w:rPr>
            <w:rStyle w:val="Hypertextovodkaz"/>
            <w:noProof/>
          </w:rPr>
          <w:t>Problém systémové podjatosti</w:t>
        </w:r>
        <w:r w:rsidR="000066CE">
          <w:rPr>
            <w:noProof/>
            <w:webHidden/>
          </w:rPr>
          <w:tab/>
        </w:r>
        <w:r w:rsidR="000066CE">
          <w:rPr>
            <w:noProof/>
            <w:webHidden/>
          </w:rPr>
          <w:fldChar w:fldCharType="begin"/>
        </w:r>
        <w:r w:rsidR="000066CE">
          <w:rPr>
            <w:noProof/>
            <w:webHidden/>
          </w:rPr>
          <w:instrText xml:space="preserve"> PAGEREF _Toc536553904 \h </w:instrText>
        </w:r>
        <w:r w:rsidR="000066CE">
          <w:rPr>
            <w:noProof/>
            <w:webHidden/>
          </w:rPr>
        </w:r>
        <w:r w:rsidR="000066CE">
          <w:rPr>
            <w:noProof/>
            <w:webHidden/>
          </w:rPr>
          <w:fldChar w:fldCharType="separate"/>
        </w:r>
        <w:r w:rsidR="00263A1B">
          <w:rPr>
            <w:noProof/>
            <w:webHidden/>
          </w:rPr>
          <w:t>37</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05" w:history="1">
        <w:r w:rsidR="000066CE" w:rsidRPr="00174ABC">
          <w:rPr>
            <w:rStyle w:val="Hypertextovodkaz"/>
            <w:noProof/>
          </w:rPr>
          <w:t>1.3</w:t>
        </w:r>
        <w:r w:rsidR="000066CE">
          <w:rPr>
            <w:rFonts w:eastAsiaTheme="minorEastAsia" w:cstheme="minorBidi"/>
            <w:smallCaps w:val="0"/>
            <w:noProof/>
            <w:sz w:val="22"/>
            <w:szCs w:val="22"/>
            <w:lang w:eastAsia="cs-CZ"/>
          </w:rPr>
          <w:tab/>
        </w:r>
        <w:r w:rsidR="000066CE" w:rsidRPr="00174ABC">
          <w:rPr>
            <w:rStyle w:val="Hypertextovodkaz"/>
            <w:noProof/>
          </w:rPr>
          <w:t>Popis existujícího právního stavu v dané oblasti</w:t>
        </w:r>
        <w:r w:rsidR="000066CE">
          <w:rPr>
            <w:noProof/>
            <w:webHidden/>
          </w:rPr>
          <w:tab/>
        </w:r>
        <w:r w:rsidR="000066CE">
          <w:rPr>
            <w:noProof/>
            <w:webHidden/>
          </w:rPr>
          <w:fldChar w:fldCharType="begin"/>
        </w:r>
        <w:r w:rsidR="000066CE">
          <w:rPr>
            <w:noProof/>
            <w:webHidden/>
          </w:rPr>
          <w:instrText xml:space="preserve"> PAGEREF _Toc536553905 \h </w:instrText>
        </w:r>
        <w:r w:rsidR="000066CE">
          <w:rPr>
            <w:noProof/>
            <w:webHidden/>
          </w:rPr>
        </w:r>
        <w:r w:rsidR="000066CE">
          <w:rPr>
            <w:noProof/>
            <w:webHidden/>
          </w:rPr>
          <w:fldChar w:fldCharType="separate"/>
        </w:r>
        <w:r w:rsidR="00263A1B">
          <w:rPr>
            <w:noProof/>
            <w:webHidden/>
          </w:rPr>
          <w:t>38</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06" w:history="1">
        <w:r w:rsidR="000066CE" w:rsidRPr="00174ABC">
          <w:rPr>
            <w:rStyle w:val="Hypertextovodkaz"/>
            <w:noProof/>
          </w:rPr>
          <w:t>1.4</w:t>
        </w:r>
        <w:r w:rsidR="000066CE">
          <w:rPr>
            <w:rFonts w:eastAsiaTheme="minorEastAsia" w:cstheme="minorBidi"/>
            <w:smallCaps w:val="0"/>
            <w:noProof/>
            <w:sz w:val="22"/>
            <w:szCs w:val="22"/>
            <w:lang w:eastAsia="cs-CZ"/>
          </w:rPr>
          <w:tab/>
        </w:r>
        <w:r w:rsidR="000066CE" w:rsidRPr="00174ABC">
          <w:rPr>
            <w:rStyle w:val="Hypertextovodkaz"/>
            <w:noProof/>
          </w:rPr>
          <w:t>Identifikace dotčených subjektů</w:t>
        </w:r>
        <w:r w:rsidR="000066CE">
          <w:rPr>
            <w:noProof/>
            <w:webHidden/>
          </w:rPr>
          <w:tab/>
        </w:r>
        <w:r w:rsidR="000066CE">
          <w:rPr>
            <w:noProof/>
            <w:webHidden/>
          </w:rPr>
          <w:fldChar w:fldCharType="begin"/>
        </w:r>
        <w:r w:rsidR="000066CE">
          <w:rPr>
            <w:noProof/>
            <w:webHidden/>
          </w:rPr>
          <w:instrText xml:space="preserve"> PAGEREF _Toc536553906 \h </w:instrText>
        </w:r>
        <w:r w:rsidR="000066CE">
          <w:rPr>
            <w:noProof/>
            <w:webHidden/>
          </w:rPr>
        </w:r>
        <w:r w:rsidR="000066CE">
          <w:rPr>
            <w:noProof/>
            <w:webHidden/>
          </w:rPr>
          <w:fldChar w:fldCharType="separate"/>
        </w:r>
        <w:r w:rsidR="00263A1B">
          <w:rPr>
            <w:noProof/>
            <w:webHidden/>
          </w:rPr>
          <w:t>40</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07" w:history="1">
        <w:r w:rsidR="000066CE" w:rsidRPr="00174ABC">
          <w:rPr>
            <w:rStyle w:val="Hypertextovodkaz"/>
            <w:noProof/>
          </w:rPr>
          <w:t>1.5</w:t>
        </w:r>
        <w:r w:rsidR="000066CE">
          <w:rPr>
            <w:rFonts w:eastAsiaTheme="minorEastAsia" w:cstheme="minorBidi"/>
            <w:smallCaps w:val="0"/>
            <w:noProof/>
            <w:sz w:val="22"/>
            <w:szCs w:val="22"/>
            <w:lang w:eastAsia="cs-CZ"/>
          </w:rPr>
          <w:tab/>
        </w:r>
        <w:r w:rsidR="000066CE" w:rsidRPr="00174ABC">
          <w:rPr>
            <w:rStyle w:val="Hypertextovodkaz"/>
            <w:noProof/>
          </w:rPr>
          <w:t>Popis cílového stavu</w:t>
        </w:r>
        <w:r w:rsidR="000066CE">
          <w:rPr>
            <w:noProof/>
            <w:webHidden/>
          </w:rPr>
          <w:tab/>
        </w:r>
        <w:r w:rsidR="000066CE">
          <w:rPr>
            <w:noProof/>
            <w:webHidden/>
          </w:rPr>
          <w:fldChar w:fldCharType="begin"/>
        </w:r>
        <w:r w:rsidR="000066CE">
          <w:rPr>
            <w:noProof/>
            <w:webHidden/>
          </w:rPr>
          <w:instrText xml:space="preserve"> PAGEREF _Toc536553907 \h </w:instrText>
        </w:r>
        <w:r w:rsidR="000066CE">
          <w:rPr>
            <w:noProof/>
            <w:webHidden/>
          </w:rPr>
        </w:r>
        <w:r w:rsidR="000066CE">
          <w:rPr>
            <w:noProof/>
            <w:webHidden/>
          </w:rPr>
          <w:fldChar w:fldCharType="separate"/>
        </w:r>
        <w:r w:rsidR="00263A1B">
          <w:rPr>
            <w:noProof/>
            <w:webHidden/>
          </w:rPr>
          <w:t>43</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08" w:history="1">
        <w:r w:rsidR="000066CE" w:rsidRPr="00174ABC">
          <w:rPr>
            <w:rStyle w:val="Hypertextovodkaz"/>
            <w:noProof/>
          </w:rPr>
          <w:t>1.6</w:t>
        </w:r>
        <w:r w:rsidR="000066CE">
          <w:rPr>
            <w:rFonts w:eastAsiaTheme="minorEastAsia" w:cstheme="minorBidi"/>
            <w:smallCaps w:val="0"/>
            <w:noProof/>
            <w:sz w:val="22"/>
            <w:szCs w:val="22"/>
            <w:lang w:eastAsia="cs-CZ"/>
          </w:rPr>
          <w:tab/>
        </w:r>
        <w:r w:rsidR="000066CE" w:rsidRPr="00174ABC">
          <w:rPr>
            <w:rStyle w:val="Hypertextovodkaz"/>
            <w:noProof/>
          </w:rPr>
          <w:t>Zhodnocení rizik</w:t>
        </w:r>
        <w:r w:rsidR="000066CE">
          <w:rPr>
            <w:noProof/>
            <w:webHidden/>
          </w:rPr>
          <w:tab/>
        </w:r>
        <w:r w:rsidR="000066CE">
          <w:rPr>
            <w:noProof/>
            <w:webHidden/>
          </w:rPr>
          <w:fldChar w:fldCharType="begin"/>
        </w:r>
        <w:r w:rsidR="000066CE">
          <w:rPr>
            <w:noProof/>
            <w:webHidden/>
          </w:rPr>
          <w:instrText xml:space="preserve"> PAGEREF _Toc536553908 \h </w:instrText>
        </w:r>
        <w:r w:rsidR="000066CE">
          <w:rPr>
            <w:noProof/>
            <w:webHidden/>
          </w:rPr>
        </w:r>
        <w:r w:rsidR="000066CE">
          <w:rPr>
            <w:noProof/>
            <w:webHidden/>
          </w:rPr>
          <w:fldChar w:fldCharType="separate"/>
        </w:r>
        <w:r w:rsidR="00263A1B">
          <w:rPr>
            <w:noProof/>
            <w:webHidden/>
          </w:rPr>
          <w:t>43</w:t>
        </w:r>
        <w:r w:rsidR="000066CE">
          <w:rPr>
            <w:noProof/>
            <w:webHidden/>
          </w:rPr>
          <w:fldChar w:fldCharType="end"/>
        </w:r>
      </w:hyperlink>
    </w:p>
    <w:p w:rsidR="000066CE" w:rsidRDefault="00CE1110">
      <w:pPr>
        <w:pStyle w:val="Obsah1"/>
        <w:rPr>
          <w:rFonts w:eastAsiaTheme="minorEastAsia" w:cstheme="minorBidi"/>
          <w:b w:val="0"/>
          <w:bCs w:val="0"/>
          <w:caps w:val="0"/>
          <w:noProof/>
          <w:sz w:val="22"/>
          <w:szCs w:val="22"/>
          <w:lang w:eastAsia="cs-CZ"/>
        </w:rPr>
      </w:pPr>
      <w:hyperlink w:anchor="_Toc536553909" w:history="1">
        <w:r w:rsidR="000066CE" w:rsidRPr="00174ABC">
          <w:rPr>
            <w:rStyle w:val="Hypertextovodkaz"/>
            <w:noProof/>
          </w:rPr>
          <w:t>2 - 3 Návrh variant řešení, vyhodnocení nákladů a přínosů - hodnocení dopadů opatření jednotlivých věcně souvisejících okruhů</w:t>
        </w:r>
        <w:r w:rsidR="000066CE">
          <w:rPr>
            <w:noProof/>
            <w:webHidden/>
          </w:rPr>
          <w:tab/>
        </w:r>
        <w:r w:rsidR="000066CE">
          <w:rPr>
            <w:noProof/>
            <w:webHidden/>
          </w:rPr>
          <w:fldChar w:fldCharType="begin"/>
        </w:r>
        <w:r w:rsidR="000066CE">
          <w:rPr>
            <w:noProof/>
            <w:webHidden/>
          </w:rPr>
          <w:instrText xml:space="preserve"> PAGEREF _Toc536553909 \h </w:instrText>
        </w:r>
        <w:r w:rsidR="000066CE">
          <w:rPr>
            <w:noProof/>
            <w:webHidden/>
          </w:rPr>
        </w:r>
        <w:r w:rsidR="000066CE">
          <w:rPr>
            <w:noProof/>
            <w:webHidden/>
          </w:rPr>
          <w:fldChar w:fldCharType="separate"/>
        </w:r>
        <w:r w:rsidR="00263A1B">
          <w:rPr>
            <w:noProof/>
            <w:webHidden/>
          </w:rPr>
          <w:t>45</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10" w:history="1">
        <w:r w:rsidR="000066CE" w:rsidRPr="00174ABC">
          <w:rPr>
            <w:rStyle w:val="Hypertextovodkaz"/>
            <w:noProof/>
          </w:rPr>
          <w:t>A.</w:t>
        </w:r>
        <w:r w:rsidR="000066CE">
          <w:rPr>
            <w:rFonts w:eastAsiaTheme="minorEastAsia" w:cstheme="minorBidi"/>
            <w:smallCaps w:val="0"/>
            <w:noProof/>
            <w:sz w:val="22"/>
            <w:szCs w:val="22"/>
            <w:lang w:eastAsia="cs-CZ"/>
          </w:rPr>
          <w:tab/>
        </w:r>
        <w:r w:rsidR="000066CE" w:rsidRPr="00174ABC">
          <w:rPr>
            <w:rStyle w:val="Hypertextovodkaz"/>
            <w:noProof/>
          </w:rPr>
          <w:t>INSTITUCIONÁLNÍ ZMĚNY</w:t>
        </w:r>
        <w:r w:rsidR="000066CE">
          <w:rPr>
            <w:noProof/>
            <w:webHidden/>
          </w:rPr>
          <w:tab/>
        </w:r>
        <w:r w:rsidR="000066CE">
          <w:rPr>
            <w:noProof/>
            <w:webHidden/>
          </w:rPr>
          <w:fldChar w:fldCharType="begin"/>
        </w:r>
        <w:r w:rsidR="000066CE">
          <w:rPr>
            <w:noProof/>
            <w:webHidden/>
          </w:rPr>
          <w:instrText xml:space="preserve"> PAGEREF _Toc536553910 \h </w:instrText>
        </w:r>
        <w:r w:rsidR="000066CE">
          <w:rPr>
            <w:noProof/>
            <w:webHidden/>
          </w:rPr>
        </w:r>
        <w:r w:rsidR="000066CE">
          <w:rPr>
            <w:noProof/>
            <w:webHidden/>
          </w:rPr>
          <w:fldChar w:fldCharType="separate"/>
        </w:r>
        <w:r w:rsidR="00263A1B">
          <w:rPr>
            <w:noProof/>
            <w:webHidden/>
          </w:rPr>
          <w:t>46</w:t>
        </w:r>
        <w:r w:rsidR="000066CE">
          <w:rPr>
            <w:noProof/>
            <w:webHidden/>
          </w:rPr>
          <w:fldChar w:fldCharType="end"/>
        </w:r>
      </w:hyperlink>
    </w:p>
    <w:p w:rsidR="000066CE" w:rsidRDefault="00CE1110">
      <w:pPr>
        <w:pStyle w:val="Obsah3"/>
        <w:tabs>
          <w:tab w:val="left" w:pos="960"/>
          <w:tab w:val="right" w:leader="dot" w:pos="9060"/>
        </w:tabs>
        <w:rPr>
          <w:rFonts w:eastAsiaTheme="minorEastAsia" w:cstheme="minorBidi"/>
          <w:i w:val="0"/>
          <w:iCs w:val="0"/>
          <w:noProof/>
          <w:sz w:val="22"/>
          <w:szCs w:val="22"/>
          <w:lang w:eastAsia="cs-CZ"/>
        </w:rPr>
      </w:pPr>
      <w:hyperlink w:anchor="_Toc536553911" w:history="1">
        <w:r w:rsidR="000066CE" w:rsidRPr="00174ABC">
          <w:rPr>
            <w:rStyle w:val="Hypertextovodkaz"/>
            <w:rFonts w:asciiTheme="majorHAnsi" w:hAnsiTheme="majorHAnsi"/>
            <w:noProof/>
          </w:rPr>
          <w:t>A.1</w:t>
        </w:r>
        <w:r w:rsidR="000066CE">
          <w:rPr>
            <w:rFonts w:eastAsiaTheme="minorEastAsia" w:cstheme="minorBidi"/>
            <w:i w:val="0"/>
            <w:iCs w:val="0"/>
            <w:noProof/>
            <w:sz w:val="22"/>
            <w:szCs w:val="22"/>
            <w:lang w:eastAsia="cs-CZ"/>
          </w:rPr>
          <w:tab/>
        </w:r>
        <w:r w:rsidR="000066CE" w:rsidRPr="00174ABC">
          <w:rPr>
            <w:rStyle w:val="Hypertextovodkaz"/>
            <w:noProof/>
          </w:rPr>
          <w:t>Struktura orgánů územního plánování a stavebních úřadů</w:t>
        </w:r>
        <w:r w:rsidR="000066CE">
          <w:rPr>
            <w:noProof/>
            <w:webHidden/>
          </w:rPr>
          <w:tab/>
        </w:r>
        <w:r w:rsidR="000066CE">
          <w:rPr>
            <w:noProof/>
            <w:webHidden/>
          </w:rPr>
          <w:fldChar w:fldCharType="begin"/>
        </w:r>
        <w:r w:rsidR="000066CE">
          <w:rPr>
            <w:noProof/>
            <w:webHidden/>
          </w:rPr>
          <w:instrText xml:space="preserve"> PAGEREF _Toc536553911 \h </w:instrText>
        </w:r>
        <w:r w:rsidR="000066CE">
          <w:rPr>
            <w:noProof/>
            <w:webHidden/>
          </w:rPr>
        </w:r>
        <w:r w:rsidR="000066CE">
          <w:rPr>
            <w:noProof/>
            <w:webHidden/>
          </w:rPr>
          <w:fldChar w:fldCharType="separate"/>
        </w:r>
        <w:r w:rsidR="00263A1B">
          <w:rPr>
            <w:noProof/>
            <w:webHidden/>
          </w:rPr>
          <w:t>46</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12" w:history="1">
        <w:r w:rsidR="000066CE" w:rsidRPr="00174ABC">
          <w:rPr>
            <w:rStyle w:val="Hypertextovodkaz"/>
            <w:noProof/>
          </w:rPr>
          <w:t>A.1.1 Popis současného stavu</w:t>
        </w:r>
        <w:r w:rsidR="000066CE">
          <w:rPr>
            <w:noProof/>
            <w:webHidden/>
          </w:rPr>
          <w:tab/>
        </w:r>
        <w:r w:rsidR="000066CE">
          <w:rPr>
            <w:noProof/>
            <w:webHidden/>
          </w:rPr>
          <w:fldChar w:fldCharType="begin"/>
        </w:r>
        <w:r w:rsidR="000066CE">
          <w:rPr>
            <w:noProof/>
            <w:webHidden/>
          </w:rPr>
          <w:instrText xml:space="preserve"> PAGEREF _Toc536553912 \h </w:instrText>
        </w:r>
        <w:r w:rsidR="000066CE">
          <w:rPr>
            <w:noProof/>
            <w:webHidden/>
          </w:rPr>
        </w:r>
        <w:r w:rsidR="000066CE">
          <w:rPr>
            <w:noProof/>
            <w:webHidden/>
          </w:rPr>
          <w:fldChar w:fldCharType="separate"/>
        </w:r>
        <w:r w:rsidR="00263A1B">
          <w:rPr>
            <w:noProof/>
            <w:webHidden/>
          </w:rPr>
          <w:t>46</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13" w:history="1">
        <w:r w:rsidR="000066CE" w:rsidRPr="00174ABC">
          <w:rPr>
            <w:rStyle w:val="Hypertextovodkaz"/>
            <w:noProof/>
          </w:rPr>
          <w:t>A.1.1.1 Úřady územního plánování</w:t>
        </w:r>
        <w:r w:rsidR="000066CE">
          <w:rPr>
            <w:noProof/>
            <w:webHidden/>
          </w:rPr>
          <w:tab/>
        </w:r>
        <w:r w:rsidR="000066CE">
          <w:rPr>
            <w:noProof/>
            <w:webHidden/>
          </w:rPr>
          <w:fldChar w:fldCharType="begin"/>
        </w:r>
        <w:r w:rsidR="000066CE">
          <w:rPr>
            <w:noProof/>
            <w:webHidden/>
          </w:rPr>
          <w:instrText xml:space="preserve"> PAGEREF _Toc536553913 \h </w:instrText>
        </w:r>
        <w:r w:rsidR="000066CE">
          <w:rPr>
            <w:noProof/>
            <w:webHidden/>
          </w:rPr>
        </w:r>
        <w:r w:rsidR="000066CE">
          <w:rPr>
            <w:noProof/>
            <w:webHidden/>
          </w:rPr>
          <w:fldChar w:fldCharType="separate"/>
        </w:r>
        <w:r w:rsidR="00263A1B">
          <w:rPr>
            <w:noProof/>
            <w:webHidden/>
          </w:rPr>
          <w:t>47</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14" w:history="1">
        <w:r w:rsidR="000066CE" w:rsidRPr="00174ABC">
          <w:rPr>
            <w:rStyle w:val="Hypertextovodkaz"/>
            <w:noProof/>
          </w:rPr>
          <w:t>A.1.1.2 Obecné stavební úřady (OSÚ)</w:t>
        </w:r>
        <w:r w:rsidR="000066CE">
          <w:rPr>
            <w:noProof/>
            <w:webHidden/>
          </w:rPr>
          <w:tab/>
        </w:r>
        <w:r w:rsidR="000066CE">
          <w:rPr>
            <w:noProof/>
            <w:webHidden/>
          </w:rPr>
          <w:fldChar w:fldCharType="begin"/>
        </w:r>
        <w:r w:rsidR="000066CE">
          <w:rPr>
            <w:noProof/>
            <w:webHidden/>
          </w:rPr>
          <w:instrText xml:space="preserve"> PAGEREF _Toc536553914 \h </w:instrText>
        </w:r>
        <w:r w:rsidR="000066CE">
          <w:rPr>
            <w:noProof/>
            <w:webHidden/>
          </w:rPr>
        </w:r>
        <w:r w:rsidR="000066CE">
          <w:rPr>
            <w:noProof/>
            <w:webHidden/>
          </w:rPr>
          <w:fldChar w:fldCharType="separate"/>
        </w:r>
        <w:r w:rsidR="00263A1B">
          <w:rPr>
            <w:noProof/>
            <w:webHidden/>
          </w:rPr>
          <w:t>49</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15" w:history="1">
        <w:r w:rsidR="000066CE" w:rsidRPr="00174ABC">
          <w:rPr>
            <w:rStyle w:val="Hypertextovodkaz"/>
            <w:noProof/>
          </w:rPr>
          <w:t>A.1.1.3 Speciální stavební úřady (SSÚ)</w:t>
        </w:r>
        <w:r w:rsidR="000066CE">
          <w:rPr>
            <w:noProof/>
            <w:webHidden/>
          </w:rPr>
          <w:tab/>
        </w:r>
        <w:r w:rsidR="000066CE">
          <w:rPr>
            <w:noProof/>
            <w:webHidden/>
          </w:rPr>
          <w:fldChar w:fldCharType="begin"/>
        </w:r>
        <w:r w:rsidR="000066CE">
          <w:rPr>
            <w:noProof/>
            <w:webHidden/>
          </w:rPr>
          <w:instrText xml:space="preserve"> PAGEREF _Toc536553915 \h </w:instrText>
        </w:r>
        <w:r w:rsidR="000066CE">
          <w:rPr>
            <w:noProof/>
            <w:webHidden/>
          </w:rPr>
        </w:r>
        <w:r w:rsidR="000066CE">
          <w:rPr>
            <w:noProof/>
            <w:webHidden/>
          </w:rPr>
          <w:fldChar w:fldCharType="separate"/>
        </w:r>
        <w:r w:rsidR="00263A1B">
          <w:rPr>
            <w:noProof/>
            <w:webHidden/>
          </w:rPr>
          <w:t>54</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16" w:history="1">
        <w:r w:rsidR="000066CE" w:rsidRPr="00174ABC">
          <w:rPr>
            <w:rStyle w:val="Hypertextovodkaz"/>
            <w:noProof/>
          </w:rPr>
          <w:t>A.1.2 Definice problémů spojených se současnou institucionální strukturou</w:t>
        </w:r>
        <w:r w:rsidR="000066CE">
          <w:rPr>
            <w:noProof/>
            <w:webHidden/>
          </w:rPr>
          <w:tab/>
        </w:r>
        <w:r w:rsidR="000066CE">
          <w:rPr>
            <w:noProof/>
            <w:webHidden/>
          </w:rPr>
          <w:fldChar w:fldCharType="begin"/>
        </w:r>
        <w:r w:rsidR="000066CE">
          <w:rPr>
            <w:noProof/>
            <w:webHidden/>
          </w:rPr>
          <w:instrText xml:space="preserve"> PAGEREF _Toc536553916 \h </w:instrText>
        </w:r>
        <w:r w:rsidR="000066CE">
          <w:rPr>
            <w:noProof/>
            <w:webHidden/>
          </w:rPr>
        </w:r>
        <w:r w:rsidR="000066CE">
          <w:rPr>
            <w:noProof/>
            <w:webHidden/>
          </w:rPr>
          <w:fldChar w:fldCharType="separate"/>
        </w:r>
        <w:r w:rsidR="00263A1B">
          <w:rPr>
            <w:noProof/>
            <w:webHidden/>
          </w:rPr>
          <w:t>56</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17" w:history="1">
        <w:r w:rsidR="000066CE" w:rsidRPr="00174ABC">
          <w:rPr>
            <w:rStyle w:val="Hypertextovodkaz"/>
            <w:noProof/>
          </w:rPr>
          <w:t>A.1.3 Hodnocení řešeného věcného okruhu</w:t>
        </w:r>
        <w:r w:rsidR="000066CE">
          <w:rPr>
            <w:noProof/>
            <w:webHidden/>
          </w:rPr>
          <w:tab/>
        </w:r>
        <w:r w:rsidR="000066CE">
          <w:rPr>
            <w:noProof/>
            <w:webHidden/>
          </w:rPr>
          <w:fldChar w:fldCharType="begin"/>
        </w:r>
        <w:r w:rsidR="000066CE">
          <w:rPr>
            <w:noProof/>
            <w:webHidden/>
          </w:rPr>
          <w:instrText xml:space="preserve"> PAGEREF _Toc536553917 \h </w:instrText>
        </w:r>
        <w:r w:rsidR="000066CE">
          <w:rPr>
            <w:noProof/>
            <w:webHidden/>
          </w:rPr>
        </w:r>
        <w:r w:rsidR="000066CE">
          <w:rPr>
            <w:noProof/>
            <w:webHidden/>
          </w:rPr>
          <w:fldChar w:fldCharType="separate"/>
        </w:r>
        <w:r w:rsidR="00263A1B">
          <w:rPr>
            <w:noProof/>
            <w:webHidden/>
          </w:rPr>
          <w:t>57</w:t>
        </w:r>
        <w:r w:rsidR="000066CE">
          <w:rPr>
            <w:noProof/>
            <w:webHidden/>
          </w:rPr>
          <w:fldChar w:fldCharType="end"/>
        </w:r>
      </w:hyperlink>
    </w:p>
    <w:p w:rsidR="000066CE" w:rsidRDefault="00CE1110">
      <w:pPr>
        <w:pStyle w:val="Obsah3"/>
        <w:tabs>
          <w:tab w:val="left" w:pos="960"/>
          <w:tab w:val="right" w:leader="dot" w:pos="9060"/>
        </w:tabs>
        <w:rPr>
          <w:rFonts w:eastAsiaTheme="minorEastAsia" w:cstheme="minorBidi"/>
          <w:i w:val="0"/>
          <w:iCs w:val="0"/>
          <w:noProof/>
          <w:sz w:val="22"/>
          <w:szCs w:val="22"/>
          <w:lang w:eastAsia="cs-CZ"/>
        </w:rPr>
      </w:pPr>
      <w:hyperlink w:anchor="_Toc536553918" w:history="1">
        <w:r w:rsidR="000066CE" w:rsidRPr="00174ABC">
          <w:rPr>
            <w:rStyle w:val="Hypertextovodkaz"/>
            <w:rFonts w:asciiTheme="majorHAnsi" w:hAnsiTheme="majorHAnsi"/>
            <w:noProof/>
          </w:rPr>
          <w:t>A.2</w:t>
        </w:r>
        <w:r w:rsidR="000066CE">
          <w:rPr>
            <w:rFonts w:eastAsiaTheme="minorEastAsia" w:cstheme="minorBidi"/>
            <w:i w:val="0"/>
            <w:iCs w:val="0"/>
            <w:noProof/>
            <w:sz w:val="22"/>
            <w:szCs w:val="22"/>
            <w:lang w:eastAsia="cs-CZ"/>
          </w:rPr>
          <w:tab/>
        </w:r>
        <w:r w:rsidR="000066CE" w:rsidRPr="00174ABC">
          <w:rPr>
            <w:rStyle w:val="Hypertextovodkaz"/>
            <w:noProof/>
          </w:rPr>
          <w:t>Dotčené orgány (DO)</w:t>
        </w:r>
        <w:r w:rsidR="000066CE">
          <w:rPr>
            <w:noProof/>
            <w:webHidden/>
          </w:rPr>
          <w:tab/>
        </w:r>
        <w:r w:rsidR="000066CE">
          <w:rPr>
            <w:noProof/>
            <w:webHidden/>
          </w:rPr>
          <w:fldChar w:fldCharType="begin"/>
        </w:r>
        <w:r w:rsidR="000066CE">
          <w:rPr>
            <w:noProof/>
            <w:webHidden/>
          </w:rPr>
          <w:instrText xml:space="preserve"> PAGEREF _Toc536553918 \h </w:instrText>
        </w:r>
        <w:r w:rsidR="000066CE">
          <w:rPr>
            <w:noProof/>
            <w:webHidden/>
          </w:rPr>
        </w:r>
        <w:r w:rsidR="000066CE">
          <w:rPr>
            <w:noProof/>
            <w:webHidden/>
          </w:rPr>
          <w:fldChar w:fldCharType="separate"/>
        </w:r>
        <w:r w:rsidR="00263A1B">
          <w:rPr>
            <w:noProof/>
            <w:webHidden/>
          </w:rPr>
          <w:t>71</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19" w:history="1">
        <w:r w:rsidR="000066CE" w:rsidRPr="00174ABC">
          <w:rPr>
            <w:rStyle w:val="Hypertextovodkaz"/>
            <w:noProof/>
          </w:rPr>
          <w:t>A.2.1. Popis současného stavu:</w:t>
        </w:r>
        <w:r w:rsidR="000066CE">
          <w:rPr>
            <w:noProof/>
            <w:webHidden/>
          </w:rPr>
          <w:tab/>
        </w:r>
        <w:r w:rsidR="000066CE">
          <w:rPr>
            <w:noProof/>
            <w:webHidden/>
          </w:rPr>
          <w:fldChar w:fldCharType="begin"/>
        </w:r>
        <w:r w:rsidR="000066CE">
          <w:rPr>
            <w:noProof/>
            <w:webHidden/>
          </w:rPr>
          <w:instrText xml:space="preserve"> PAGEREF _Toc536553919 \h </w:instrText>
        </w:r>
        <w:r w:rsidR="000066CE">
          <w:rPr>
            <w:noProof/>
            <w:webHidden/>
          </w:rPr>
        </w:r>
        <w:r w:rsidR="000066CE">
          <w:rPr>
            <w:noProof/>
            <w:webHidden/>
          </w:rPr>
          <w:fldChar w:fldCharType="separate"/>
        </w:r>
        <w:r w:rsidR="00263A1B">
          <w:rPr>
            <w:noProof/>
            <w:webHidden/>
          </w:rPr>
          <w:t>71</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20" w:history="1">
        <w:r w:rsidR="000066CE" w:rsidRPr="00174ABC">
          <w:rPr>
            <w:rStyle w:val="Hypertextovodkaz"/>
            <w:noProof/>
          </w:rPr>
          <w:t>A.2.2 Definice problému</w:t>
        </w:r>
        <w:r w:rsidR="000066CE">
          <w:rPr>
            <w:noProof/>
            <w:webHidden/>
          </w:rPr>
          <w:tab/>
        </w:r>
        <w:r w:rsidR="000066CE">
          <w:rPr>
            <w:noProof/>
            <w:webHidden/>
          </w:rPr>
          <w:fldChar w:fldCharType="begin"/>
        </w:r>
        <w:r w:rsidR="000066CE">
          <w:rPr>
            <w:noProof/>
            <w:webHidden/>
          </w:rPr>
          <w:instrText xml:space="preserve"> PAGEREF _Toc536553920 \h </w:instrText>
        </w:r>
        <w:r w:rsidR="000066CE">
          <w:rPr>
            <w:noProof/>
            <w:webHidden/>
          </w:rPr>
        </w:r>
        <w:r w:rsidR="000066CE">
          <w:rPr>
            <w:noProof/>
            <w:webHidden/>
          </w:rPr>
          <w:fldChar w:fldCharType="separate"/>
        </w:r>
        <w:r w:rsidR="00263A1B">
          <w:rPr>
            <w:noProof/>
            <w:webHidden/>
          </w:rPr>
          <w:t>72</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21" w:history="1">
        <w:r w:rsidR="000066CE" w:rsidRPr="00174ABC">
          <w:rPr>
            <w:rStyle w:val="Hypertextovodkaz"/>
            <w:noProof/>
          </w:rPr>
          <w:t>A.2.3 Hodnocení řešeného věcného okruhu</w:t>
        </w:r>
        <w:r w:rsidR="000066CE">
          <w:rPr>
            <w:noProof/>
            <w:webHidden/>
          </w:rPr>
          <w:tab/>
        </w:r>
        <w:r w:rsidR="000066CE">
          <w:rPr>
            <w:noProof/>
            <w:webHidden/>
          </w:rPr>
          <w:fldChar w:fldCharType="begin"/>
        </w:r>
        <w:r w:rsidR="000066CE">
          <w:rPr>
            <w:noProof/>
            <w:webHidden/>
          </w:rPr>
          <w:instrText xml:space="preserve"> PAGEREF _Toc536553921 \h </w:instrText>
        </w:r>
        <w:r w:rsidR="000066CE">
          <w:rPr>
            <w:noProof/>
            <w:webHidden/>
          </w:rPr>
        </w:r>
        <w:r w:rsidR="000066CE">
          <w:rPr>
            <w:noProof/>
            <w:webHidden/>
          </w:rPr>
          <w:fldChar w:fldCharType="separate"/>
        </w:r>
        <w:r w:rsidR="00263A1B">
          <w:rPr>
            <w:noProof/>
            <w:webHidden/>
          </w:rPr>
          <w:t>73</w:t>
        </w:r>
        <w:r w:rsidR="000066CE">
          <w:rPr>
            <w:noProof/>
            <w:webHidden/>
          </w:rPr>
          <w:fldChar w:fldCharType="end"/>
        </w:r>
      </w:hyperlink>
    </w:p>
    <w:p w:rsidR="000066CE" w:rsidRDefault="00CE1110">
      <w:pPr>
        <w:pStyle w:val="Obsah3"/>
        <w:tabs>
          <w:tab w:val="left" w:pos="960"/>
          <w:tab w:val="right" w:leader="dot" w:pos="9060"/>
        </w:tabs>
        <w:rPr>
          <w:rFonts w:eastAsiaTheme="minorEastAsia" w:cstheme="minorBidi"/>
          <w:i w:val="0"/>
          <w:iCs w:val="0"/>
          <w:noProof/>
          <w:sz w:val="22"/>
          <w:szCs w:val="22"/>
          <w:lang w:eastAsia="cs-CZ"/>
        </w:rPr>
      </w:pPr>
      <w:hyperlink w:anchor="_Toc536553922" w:history="1">
        <w:r w:rsidR="000066CE" w:rsidRPr="00174ABC">
          <w:rPr>
            <w:rStyle w:val="Hypertextovodkaz"/>
            <w:rFonts w:asciiTheme="majorHAnsi" w:hAnsiTheme="majorHAnsi"/>
            <w:noProof/>
          </w:rPr>
          <w:t>A.3</w:t>
        </w:r>
        <w:r w:rsidR="000066CE">
          <w:rPr>
            <w:rFonts w:eastAsiaTheme="minorEastAsia" w:cstheme="minorBidi"/>
            <w:i w:val="0"/>
            <w:iCs w:val="0"/>
            <w:noProof/>
            <w:sz w:val="22"/>
            <w:szCs w:val="22"/>
            <w:lang w:eastAsia="cs-CZ"/>
          </w:rPr>
          <w:tab/>
        </w:r>
        <w:r w:rsidR="000066CE" w:rsidRPr="00174ABC">
          <w:rPr>
            <w:rStyle w:val="Hypertextovodkaz"/>
            <w:noProof/>
          </w:rPr>
          <w:t>Elektronizace agendy stavebních úřadů</w:t>
        </w:r>
        <w:r w:rsidR="000066CE">
          <w:rPr>
            <w:noProof/>
            <w:webHidden/>
          </w:rPr>
          <w:tab/>
        </w:r>
        <w:r w:rsidR="000066CE">
          <w:rPr>
            <w:noProof/>
            <w:webHidden/>
          </w:rPr>
          <w:fldChar w:fldCharType="begin"/>
        </w:r>
        <w:r w:rsidR="000066CE">
          <w:rPr>
            <w:noProof/>
            <w:webHidden/>
          </w:rPr>
          <w:instrText xml:space="preserve"> PAGEREF _Toc536553922 \h </w:instrText>
        </w:r>
        <w:r w:rsidR="000066CE">
          <w:rPr>
            <w:noProof/>
            <w:webHidden/>
          </w:rPr>
        </w:r>
        <w:r w:rsidR="000066CE">
          <w:rPr>
            <w:noProof/>
            <w:webHidden/>
          </w:rPr>
          <w:fldChar w:fldCharType="separate"/>
        </w:r>
        <w:r w:rsidR="00263A1B">
          <w:rPr>
            <w:noProof/>
            <w:webHidden/>
          </w:rPr>
          <w:t>76</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23" w:history="1">
        <w:r w:rsidR="000066CE" w:rsidRPr="00174ABC">
          <w:rPr>
            <w:rStyle w:val="Hypertextovodkaz"/>
            <w:noProof/>
          </w:rPr>
          <w:t>A.3.1 Popis současného stavu a definice problému:</w:t>
        </w:r>
        <w:r w:rsidR="000066CE">
          <w:rPr>
            <w:noProof/>
            <w:webHidden/>
          </w:rPr>
          <w:tab/>
        </w:r>
        <w:r w:rsidR="000066CE">
          <w:rPr>
            <w:noProof/>
            <w:webHidden/>
          </w:rPr>
          <w:fldChar w:fldCharType="begin"/>
        </w:r>
        <w:r w:rsidR="000066CE">
          <w:rPr>
            <w:noProof/>
            <w:webHidden/>
          </w:rPr>
          <w:instrText xml:space="preserve"> PAGEREF _Toc536553923 \h </w:instrText>
        </w:r>
        <w:r w:rsidR="000066CE">
          <w:rPr>
            <w:noProof/>
            <w:webHidden/>
          </w:rPr>
        </w:r>
        <w:r w:rsidR="000066CE">
          <w:rPr>
            <w:noProof/>
            <w:webHidden/>
          </w:rPr>
          <w:fldChar w:fldCharType="separate"/>
        </w:r>
        <w:r w:rsidR="00263A1B">
          <w:rPr>
            <w:noProof/>
            <w:webHidden/>
          </w:rPr>
          <w:t>76</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24" w:history="1">
        <w:r w:rsidR="000066CE" w:rsidRPr="00174ABC">
          <w:rPr>
            <w:rStyle w:val="Hypertextovodkaz"/>
            <w:noProof/>
          </w:rPr>
          <w:t>A.3.2 Hodnocení řešeného věcného okruhu</w:t>
        </w:r>
        <w:r w:rsidR="000066CE">
          <w:rPr>
            <w:noProof/>
            <w:webHidden/>
          </w:rPr>
          <w:tab/>
        </w:r>
        <w:r w:rsidR="000066CE">
          <w:rPr>
            <w:noProof/>
            <w:webHidden/>
          </w:rPr>
          <w:fldChar w:fldCharType="begin"/>
        </w:r>
        <w:r w:rsidR="000066CE">
          <w:rPr>
            <w:noProof/>
            <w:webHidden/>
          </w:rPr>
          <w:instrText xml:space="preserve"> PAGEREF _Toc536553924 \h </w:instrText>
        </w:r>
        <w:r w:rsidR="000066CE">
          <w:rPr>
            <w:noProof/>
            <w:webHidden/>
          </w:rPr>
        </w:r>
        <w:r w:rsidR="000066CE">
          <w:rPr>
            <w:noProof/>
            <w:webHidden/>
          </w:rPr>
          <w:fldChar w:fldCharType="separate"/>
        </w:r>
        <w:r w:rsidR="00263A1B">
          <w:rPr>
            <w:noProof/>
            <w:webHidden/>
          </w:rPr>
          <w:t>78</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25" w:history="1">
        <w:r w:rsidR="000066CE" w:rsidRPr="00174ABC">
          <w:rPr>
            <w:rStyle w:val="Hypertextovodkaz"/>
            <w:noProof/>
          </w:rPr>
          <w:t>B.</w:t>
        </w:r>
        <w:r w:rsidR="000066CE">
          <w:rPr>
            <w:rFonts w:eastAsiaTheme="minorEastAsia" w:cstheme="minorBidi"/>
            <w:smallCaps w:val="0"/>
            <w:noProof/>
            <w:sz w:val="22"/>
            <w:szCs w:val="22"/>
            <w:lang w:eastAsia="cs-CZ"/>
          </w:rPr>
          <w:tab/>
        </w:r>
        <w:r w:rsidR="000066CE" w:rsidRPr="00174ABC">
          <w:rPr>
            <w:rStyle w:val="Hypertextovodkaz"/>
            <w:noProof/>
          </w:rPr>
          <w:t>ZMĚNY V OBLASTI ÚZEMNÍHO PLÁNOVÁNÍ</w:t>
        </w:r>
        <w:r w:rsidR="000066CE">
          <w:rPr>
            <w:noProof/>
            <w:webHidden/>
          </w:rPr>
          <w:tab/>
        </w:r>
        <w:r w:rsidR="000066CE">
          <w:rPr>
            <w:noProof/>
            <w:webHidden/>
          </w:rPr>
          <w:fldChar w:fldCharType="begin"/>
        </w:r>
        <w:r w:rsidR="000066CE">
          <w:rPr>
            <w:noProof/>
            <w:webHidden/>
          </w:rPr>
          <w:instrText xml:space="preserve"> PAGEREF _Toc536553925 \h </w:instrText>
        </w:r>
        <w:r w:rsidR="000066CE">
          <w:rPr>
            <w:noProof/>
            <w:webHidden/>
          </w:rPr>
        </w:r>
        <w:r w:rsidR="000066CE">
          <w:rPr>
            <w:noProof/>
            <w:webHidden/>
          </w:rPr>
          <w:fldChar w:fldCharType="separate"/>
        </w:r>
        <w:r w:rsidR="00263A1B">
          <w:rPr>
            <w:noProof/>
            <w:webHidden/>
          </w:rPr>
          <w:t>79</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26" w:history="1">
        <w:r w:rsidR="000066CE" w:rsidRPr="00174ABC">
          <w:rPr>
            <w:rStyle w:val="Hypertextovodkaz"/>
            <w:noProof/>
          </w:rPr>
          <w:t>C.</w:t>
        </w:r>
        <w:r w:rsidR="000066CE">
          <w:rPr>
            <w:rFonts w:eastAsiaTheme="minorEastAsia" w:cstheme="minorBidi"/>
            <w:smallCaps w:val="0"/>
            <w:noProof/>
            <w:sz w:val="22"/>
            <w:szCs w:val="22"/>
            <w:lang w:eastAsia="cs-CZ"/>
          </w:rPr>
          <w:tab/>
        </w:r>
        <w:r w:rsidR="000066CE" w:rsidRPr="00174ABC">
          <w:rPr>
            <w:rStyle w:val="Hypertextovodkaz"/>
            <w:noProof/>
          </w:rPr>
          <w:t>PROCESNÍ ZMĚNY V POVOLOVACÍM PROCESU – JEDNO ROZHODNUTÍ</w:t>
        </w:r>
        <w:r w:rsidR="000066CE">
          <w:rPr>
            <w:noProof/>
            <w:webHidden/>
          </w:rPr>
          <w:tab/>
        </w:r>
        <w:r w:rsidR="000066CE">
          <w:rPr>
            <w:noProof/>
            <w:webHidden/>
          </w:rPr>
          <w:fldChar w:fldCharType="begin"/>
        </w:r>
        <w:r w:rsidR="000066CE">
          <w:rPr>
            <w:noProof/>
            <w:webHidden/>
          </w:rPr>
          <w:instrText xml:space="preserve"> PAGEREF _Toc536553926 \h </w:instrText>
        </w:r>
        <w:r w:rsidR="000066CE">
          <w:rPr>
            <w:noProof/>
            <w:webHidden/>
          </w:rPr>
        </w:r>
        <w:r w:rsidR="000066CE">
          <w:rPr>
            <w:noProof/>
            <w:webHidden/>
          </w:rPr>
          <w:fldChar w:fldCharType="separate"/>
        </w:r>
        <w:r w:rsidR="00263A1B">
          <w:rPr>
            <w:noProof/>
            <w:webHidden/>
          </w:rPr>
          <w:t>86</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27" w:history="1">
        <w:r w:rsidR="000066CE" w:rsidRPr="00174ABC">
          <w:rPr>
            <w:rStyle w:val="Hypertextovodkaz"/>
            <w:caps/>
            <w:noProof/>
          </w:rPr>
          <w:t>D.</w:t>
        </w:r>
        <w:r w:rsidR="000066CE">
          <w:rPr>
            <w:rFonts w:eastAsiaTheme="minorEastAsia" w:cstheme="minorBidi"/>
            <w:smallCaps w:val="0"/>
            <w:noProof/>
            <w:sz w:val="22"/>
            <w:szCs w:val="22"/>
            <w:lang w:eastAsia="cs-CZ"/>
          </w:rPr>
          <w:tab/>
        </w:r>
        <w:r w:rsidR="000066CE" w:rsidRPr="00174ABC">
          <w:rPr>
            <w:rStyle w:val="Hypertextovodkaz"/>
            <w:caps/>
            <w:noProof/>
          </w:rPr>
          <w:t>Změny stavebního hmotného práva</w:t>
        </w:r>
        <w:r w:rsidR="000066CE">
          <w:rPr>
            <w:noProof/>
            <w:webHidden/>
          </w:rPr>
          <w:tab/>
        </w:r>
        <w:r w:rsidR="000066CE">
          <w:rPr>
            <w:noProof/>
            <w:webHidden/>
          </w:rPr>
          <w:fldChar w:fldCharType="begin"/>
        </w:r>
        <w:r w:rsidR="000066CE">
          <w:rPr>
            <w:noProof/>
            <w:webHidden/>
          </w:rPr>
          <w:instrText xml:space="preserve"> PAGEREF _Toc536553927 \h </w:instrText>
        </w:r>
        <w:r w:rsidR="000066CE">
          <w:rPr>
            <w:noProof/>
            <w:webHidden/>
          </w:rPr>
        </w:r>
        <w:r w:rsidR="000066CE">
          <w:rPr>
            <w:noProof/>
            <w:webHidden/>
          </w:rPr>
          <w:fldChar w:fldCharType="separate"/>
        </w:r>
        <w:r w:rsidR="00263A1B">
          <w:rPr>
            <w:noProof/>
            <w:webHidden/>
          </w:rPr>
          <w:t>87</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28" w:history="1">
        <w:r w:rsidR="000066CE" w:rsidRPr="00174ABC">
          <w:rPr>
            <w:rStyle w:val="Hypertextovodkaz"/>
            <w:noProof/>
          </w:rPr>
          <w:t>D.1 Požadavky na výstavbu, dokumentaci, základní pojmy, povinnosti a odpovědnost osob při přípravě, provádění a užívání staveb</w:t>
        </w:r>
        <w:r w:rsidR="000066CE">
          <w:rPr>
            <w:noProof/>
            <w:webHidden/>
          </w:rPr>
          <w:tab/>
        </w:r>
        <w:r w:rsidR="000066CE">
          <w:rPr>
            <w:noProof/>
            <w:webHidden/>
          </w:rPr>
          <w:fldChar w:fldCharType="begin"/>
        </w:r>
        <w:r w:rsidR="000066CE">
          <w:rPr>
            <w:noProof/>
            <w:webHidden/>
          </w:rPr>
          <w:instrText xml:space="preserve"> PAGEREF _Toc536553928 \h </w:instrText>
        </w:r>
        <w:r w:rsidR="000066CE">
          <w:rPr>
            <w:noProof/>
            <w:webHidden/>
          </w:rPr>
        </w:r>
        <w:r w:rsidR="000066CE">
          <w:rPr>
            <w:noProof/>
            <w:webHidden/>
          </w:rPr>
          <w:fldChar w:fldCharType="separate"/>
        </w:r>
        <w:r w:rsidR="00263A1B">
          <w:rPr>
            <w:noProof/>
            <w:webHidden/>
          </w:rPr>
          <w:t>88</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29" w:history="1">
        <w:r w:rsidR="000066CE" w:rsidRPr="00174ABC">
          <w:rPr>
            <w:rStyle w:val="Hypertextovodkaz"/>
            <w:noProof/>
          </w:rPr>
          <w:t>D.1.1. Popis současného stavu</w:t>
        </w:r>
        <w:r w:rsidR="000066CE">
          <w:rPr>
            <w:noProof/>
            <w:webHidden/>
          </w:rPr>
          <w:tab/>
        </w:r>
        <w:r w:rsidR="000066CE">
          <w:rPr>
            <w:noProof/>
            <w:webHidden/>
          </w:rPr>
          <w:fldChar w:fldCharType="begin"/>
        </w:r>
        <w:r w:rsidR="000066CE">
          <w:rPr>
            <w:noProof/>
            <w:webHidden/>
          </w:rPr>
          <w:instrText xml:space="preserve"> PAGEREF _Toc536553929 \h </w:instrText>
        </w:r>
        <w:r w:rsidR="000066CE">
          <w:rPr>
            <w:noProof/>
            <w:webHidden/>
          </w:rPr>
        </w:r>
        <w:r w:rsidR="000066CE">
          <w:rPr>
            <w:noProof/>
            <w:webHidden/>
          </w:rPr>
          <w:fldChar w:fldCharType="separate"/>
        </w:r>
        <w:r w:rsidR="00263A1B">
          <w:rPr>
            <w:noProof/>
            <w:webHidden/>
          </w:rPr>
          <w:t>88</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30" w:history="1">
        <w:r w:rsidR="000066CE" w:rsidRPr="00174ABC">
          <w:rPr>
            <w:rStyle w:val="Hypertextovodkaz"/>
            <w:noProof/>
          </w:rPr>
          <w:t>D.2 Technické normy (ČSN)</w:t>
        </w:r>
        <w:r w:rsidR="000066CE">
          <w:rPr>
            <w:noProof/>
            <w:webHidden/>
          </w:rPr>
          <w:tab/>
        </w:r>
        <w:r w:rsidR="000066CE">
          <w:rPr>
            <w:noProof/>
            <w:webHidden/>
          </w:rPr>
          <w:fldChar w:fldCharType="begin"/>
        </w:r>
        <w:r w:rsidR="000066CE">
          <w:rPr>
            <w:noProof/>
            <w:webHidden/>
          </w:rPr>
          <w:instrText xml:space="preserve"> PAGEREF _Toc536553930 \h </w:instrText>
        </w:r>
        <w:r w:rsidR="000066CE">
          <w:rPr>
            <w:noProof/>
            <w:webHidden/>
          </w:rPr>
        </w:r>
        <w:r w:rsidR="000066CE">
          <w:rPr>
            <w:noProof/>
            <w:webHidden/>
          </w:rPr>
          <w:fldChar w:fldCharType="separate"/>
        </w:r>
        <w:r w:rsidR="00263A1B">
          <w:rPr>
            <w:noProof/>
            <w:webHidden/>
          </w:rPr>
          <w:t>89</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31" w:history="1">
        <w:r w:rsidR="000066CE" w:rsidRPr="00174ABC">
          <w:rPr>
            <w:rStyle w:val="Hypertextovodkaz"/>
            <w:noProof/>
          </w:rPr>
          <w:t>D.2.1. Popis současného stavu:</w:t>
        </w:r>
        <w:r w:rsidR="000066CE">
          <w:rPr>
            <w:noProof/>
            <w:webHidden/>
          </w:rPr>
          <w:tab/>
        </w:r>
        <w:r w:rsidR="000066CE">
          <w:rPr>
            <w:noProof/>
            <w:webHidden/>
          </w:rPr>
          <w:fldChar w:fldCharType="begin"/>
        </w:r>
        <w:r w:rsidR="000066CE">
          <w:rPr>
            <w:noProof/>
            <w:webHidden/>
          </w:rPr>
          <w:instrText xml:space="preserve"> PAGEREF _Toc536553931 \h </w:instrText>
        </w:r>
        <w:r w:rsidR="000066CE">
          <w:rPr>
            <w:noProof/>
            <w:webHidden/>
          </w:rPr>
        </w:r>
        <w:r w:rsidR="000066CE">
          <w:rPr>
            <w:noProof/>
            <w:webHidden/>
          </w:rPr>
          <w:fldChar w:fldCharType="separate"/>
        </w:r>
        <w:r w:rsidR="00263A1B">
          <w:rPr>
            <w:noProof/>
            <w:webHidden/>
          </w:rPr>
          <w:t>89</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32" w:history="1">
        <w:r w:rsidR="000066CE" w:rsidRPr="00174ABC">
          <w:rPr>
            <w:rStyle w:val="Hypertextovodkaz"/>
            <w:noProof/>
          </w:rPr>
          <w:t>D.2.2 Definice problému</w:t>
        </w:r>
        <w:r w:rsidR="000066CE">
          <w:rPr>
            <w:noProof/>
            <w:webHidden/>
          </w:rPr>
          <w:tab/>
        </w:r>
        <w:r w:rsidR="000066CE">
          <w:rPr>
            <w:noProof/>
            <w:webHidden/>
          </w:rPr>
          <w:fldChar w:fldCharType="begin"/>
        </w:r>
        <w:r w:rsidR="000066CE">
          <w:rPr>
            <w:noProof/>
            <w:webHidden/>
          </w:rPr>
          <w:instrText xml:space="preserve"> PAGEREF _Toc536553932 \h </w:instrText>
        </w:r>
        <w:r w:rsidR="000066CE">
          <w:rPr>
            <w:noProof/>
            <w:webHidden/>
          </w:rPr>
        </w:r>
        <w:r w:rsidR="000066CE">
          <w:rPr>
            <w:noProof/>
            <w:webHidden/>
          </w:rPr>
          <w:fldChar w:fldCharType="separate"/>
        </w:r>
        <w:r w:rsidR="00263A1B">
          <w:rPr>
            <w:noProof/>
            <w:webHidden/>
          </w:rPr>
          <w:t>90</w:t>
        </w:r>
        <w:r w:rsidR="000066CE">
          <w:rPr>
            <w:noProof/>
            <w:webHidden/>
          </w:rPr>
          <w:fldChar w:fldCharType="end"/>
        </w:r>
      </w:hyperlink>
    </w:p>
    <w:p w:rsidR="000066CE" w:rsidRDefault="00CE1110">
      <w:pPr>
        <w:pStyle w:val="Obsah3"/>
        <w:tabs>
          <w:tab w:val="right" w:leader="dot" w:pos="9060"/>
        </w:tabs>
        <w:rPr>
          <w:rFonts w:eastAsiaTheme="minorEastAsia" w:cstheme="minorBidi"/>
          <w:i w:val="0"/>
          <w:iCs w:val="0"/>
          <w:noProof/>
          <w:sz w:val="22"/>
          <w:szCs w:val="22"/>
          <w:lang w:eastAsia="cs-CZ"/>
        </w:rPr>
      </w:pPr>
      <w:hyperlink w:anchor="_Toc536553933" w:history="1">
        <w:r w:rsidR="000066CE" w:rsidRPr="00174ABC">
          <w:rPr>
            <w:rStyle w:val="Hypertextovodkaz"/>
            <w:noProof/>
          </w:rPr>
          <w:t>D.2.3 Hodnocení řešeného věcného okruhu</w:t>
        </w:r>
        <w:r w:rsidR="000066CE">
          <w:rPr>
            <w:noProof/>
            <w:webHidden/>
          </w:rPr>
          <w:tab/>
        </w:r>
        <w:r w:rsidR="000066CE">
          <w:rPr>
            <w:noProof/>
            <w:webHidden/>
          </w:rPr>
          <w:fldChar w:fldCharType="begin"/>
        </w:r>
        <w:r w:rsidR="000066CE">
          <w:rPr>
            <w:noProof/>
            <w:webHidden/>
          </w:rPr>
          <w:instrText xml:space="preserve"> PAGEREF _Toc536553933 \h </w:instrText>
        </w:r>
        <w:r w:rsidR="000066CE">
          <w:rPr>
            <w:noProof/>
            <w:webHidden/>
          </w:rPr>
        </w:r>
        <w:r w:rsidR="000066CE">
          <w:rPr>
            <w:noProof/>
            <w:webHidden/>
          </w:rPr>
          <w:fldChar w:fldCharType="separate"/>
        </w:r>
        <w:r w:rsidR="00263A1B">
          <w:rPr>
            <w:noProof/>
            <w:webHidden/>
          </w:rPr>
          <w:t>90</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34" w:history="1">
        <w:r w:rsidR="000066CE" w:rsidRPr="00174ABC">
          <w:rPr>
            <w:rStyle w:val="Hypertextovodkaz"/>
            <w:noProof/>
          </w:rPr>
          <w:t>E.</w:t>
        </w:r>
        <w:r w:rsidR="000066CE">
          <w:rPr>
            <w:rFonts w:eastAsiaTheme="minorEastAsia" w:cstheme="minorBidi"/>
            <w:smallCaps w:val="0"/>
            <w:noProof/>
            <w:sz w:val="22"/>
            <w:szCs w:val="22"/>
            <w:lang w:eastAsia="cs-CZ"/>
          </w:rPr>
          <w:tab/>
        </w:r>
        <w:r w:rsidR="000066CE" w:rsidRPr="00174ABC">
          <w:rPr>
            <w:rStyle w:val="Hypertextovodkaz"/>
            <w:noProof/>
          </w:rPr>
          <w:t>ZMĚNY V SOUDNÍM PŘEZKUMU ROZHODNUTÍ STAVEBNÍCH ÚŘADŮ</w:t>
        </w:r>
        <w:r w:rsidR="000066CE">
          <w:rPr>
            <w:noProof/>
            <w:webHidden/>
          </w:rPr>
          <w:tab/>
        </w:r>
        <w:r w:rsidR="000066CE">
          <w:rPr>
            <w:noProof/>
            <w:webHidden/>
          </w:rPr>
          <w:fldChar w:fldCharType="begin"/>
        </w:r>
        <w:r w:rsidR="000066CE">
          <w:rPr>
            <w:noProof/>
            <w:webHidden/>
          </w:rPr>
          <w:instrText xml:space="preserve"> PAGEREF _Toc536553934 \h </w:instrText>
        </w:r>
        <w:r w:rsidR="000066CE">
          <w:rPr>
            <w:noProof/>
            <w:webHidden/>
          </w:rPr>
        </w:r>
        <w:r w:rsidR="000066CE">
          <w:rPr>
            <w:noProof/>
            <w:webHidden/>
          </w:rPr>
          <w:fldChar w:fldCharType="separate"/>
        </w:r>
        <w:r w:rsidR="00263A1B">
          <w:rPr>
            <w:noProof/>
            <w:webHidden/>
          </w:rPr>
          <w:t>93</w:t>
        </w:r>
        <w:r w:rsidR="000066CE">
          <w:rPr>
            <w:noProof/>
            <w:webHidden/>
          </w:rPr>
          <w:fldChar w:fldCharType="end"/>
        </w:r>
      </w:hyperlink>
    </w:p>
    <w:p w:rsidR="000066CE" w:rsidRDefault="00CE1110">
      <w:pPr>
        <w:pStyle w:val="Obsah1"/>
        <w:rPr>
          <w:rFonts w:eastAsiaTheme="minorEastAsia" w:cstheme="minorBidi"/>
          <w:b w:val="0"/>
          <w:bCs w:val="0"/>
          <w:caps w:val="0"/>
          <w:noProof/>
          <w:sz w:val="22"/>
          <w:szCs w:val="22"/>
          <w:lang w:eastAsia="cs-CZ"/>
        </w:rPr>
      </w:pPr>
      <w:hyperlink w:anchor="_Toc536553935" w:history="1">
        <w:r w:rsidR="000066CE" w:rsidRPr="00174ABC">
          <w:rPr>
            <w:rStyle w:val="Hypertextovodkaz"/>
            <w:rFonts w:asciiTheme="majorHAnsi" w:hAnsiTheme="majorHAnsi"/>
            <w:noProof/>
          </w:rPr>
          <w:t>4</w:t>
        </w:r>
        <w:r w:rsidR="000066CE">
          <w:rPr>
            <w:rFonts w:eastAsiaTheme="minorEastAsia" w:cstheme="minorBidi"/>
            <w:b w:val="0"/>
            <w:bCs w:val="0"/>
            <w:caps w:val="0"/>
            <w:noProof/>
            <w:sz w:val="22"/>
            <w:szCs w:val="22"/>
            <w:lang w:eastAsia="cs-CZ"/>
          </w:rPr>
          <w:tab/>
        </w:r>
        <w:r w:rsidR="000066CE" w:rsidRPr="00174ABC">
          <w:rPr>
            <w:rStyle w:val="Hypertextovodkaz"/>
            <w:noProof/>
          </w:rPr>
          <w:t>Návrh řešení</w:t>
        </w:r>
        <w:r w:rsidR="000066CE">
          <w:rPr>
            <w:noProof/>
            <w:webHidden/>
          </w:rPr>
          <w:tab/>
        </w:r>
        <w:r w:rsidR="000066CE">
          <w:rPr>
            <w:noProof/>
            <w:webHidden/>
          </w:rPr>
          <w:fldChar w:fldCharType="begin"/>
        </w:r>
        <w:r w:rsidR="000066CE">
          <w:rPr>
            <w:noProof/>
            <w:webHidden/>
          </w:rPr>
          <w:instrText xml:space="preserve"> PAGEREF _Toc536553935 \h </w:instrText>
        </w:r>
        <w:r w:rsidR="000066CE">
          <w:rPr>
            <w:noProof/>
            <w:webHidden/>
          </w:rPr>
        </w:r>
        <w:r w:rsidR="000066CE">
          <w:rPr>
            <w:noProof/>
            <w:webHidden/>
          </w:rPr>
          <w:fldChar w:fldCharType="separate"/>
        </w:r>
        <w:r w:rsidR="00263A1B">
          <w:rPr>
            <w:noProof/>
            <w:webHidden/>
          </w:rPr>
          <w:t>94</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36" w:history="1">
        <w:r w:rsidR="000066CE" w:rsidRPr="00174ABC">
          <w:rPr>
            <w:rStyle w:val="Hypertextovodkaz"/>
            <w:noProof/>
          </w:rPr>
          <w:t>4.1</w:t>
        </w:r>
        <w:r w:rsidR="000066CE">
          <w:rPr>
            <w:rFonts w:eastAsiaTheme="minorEastAsia" w:cstheme="minorBidi"/>
            <w:smallCaps w:val="0"/>
            <w:noProof/>
            <w:sz w:val="22"/>
            <w:szCs w:val="22"/>
            <w:lang w:eastAsia="cs-CZ"/>
          </w:rPr>
          <w:tab/>
        </w:r>
        <w:r w:rsidR="000066CE" w:rsidRPr="00174ABC">
          <w:rPr>
            <w:rStyle w:val="Hypertextovodkaz"/>
            <w:noProof/>
          </w:rPr>
          <w:t>Institucionální změny</w:t>
        </w:r>
        <w:r w:rsidR="000066CE">
          <w:rPr>
            <w:noProof/>
            <w:webHidden/>
          </w:rPr>
          <w:tab/>
        </w:r>
        <w:r w:rsidR="000066CE">
          <w:rPr>
            <w:noProof/>
            <w:webHidden/>
          </w:rPr>
          <w:fldChar w:fldCharType="begin"/>
        </w:r>
        <w:r w:rsidR="000066CE">
          <w:rPr>
            <w:noProof/>
            <w:webHidden/>
          </w:rPr>
          <w:instrText xml:space="preserve"> PAGEREF _Toc536553936 \h </w:instrText>
        </w:r>
        <w:r w:rsidR="000066CE">
          <w:rPr>
            <w:noProof/>
            <w:webHidden/>
          </w:rPr>
        </w:r>
        <w:r w:rsidR="000066CE">
          <w:rPr>
            <w:noProof/>
            <w:webHidden/>
          </w:rPr>
          <w:fldChar w:fldCharType="separate"/>
        </w:r>
        <w:r w:rsidR="00263A1B">
          <w:rPr>
            <w:noProof/>
            <w:webHidden/>
          </w:rPr>
          <w:t>94</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37" w:history="1">
        <w:r w:rsidR="000066CE" w:rsidRPr="00174ABC">
          <w:rPr>
            <w:rStyle w:val="Hypertextovodkaz"/>
            <w:noProof/>
          </w:rPr>
          <w:t>4.2</w:t>
        </w:r>
        <w:r w:rsidR="000066CE">
          <w:rPr>
            <w:rFonts w:eastAsiaTheme="minorEastAsia" w:cstheme="minorBidi"/>
            <w:smallCaps w:val="0"/>
            <w:noProof/>
            <w:sz w:val="22"/>
            <w:szCs w:val="22"/>
            <w:lang w:eastAsia="cs-CZ"/>
          </w:rPr>
          <w:tab/>
        </w:r>
        <w:r w:rsidR="000066CE" w:rsidRPr="00174ABC">
          <w:rPr>
            <w:rStyle w:val="Hypertextovodkaz"/>
            <w:noProof/>
          </w:rPr>
          <w:t>Změny v oblasti územního plánování</w:t>
        </w:r>
        <w:r w:rsidR="000066CE">
          <w:rPr>
            <w:noProof/>
            <w:webHidden/>
          </w:rPr>
          <w:tab/>
        </w:r>
        <w:r w:rsidR="000066CE">
          <w:rPr>
            <w:noProof/>
            <w:webHidden/>
          </w:rPr>
          <w:fldChar w:fldCharType="begin"/>
        </w:r>
        <w:r w:rsidR="000066CE">
          <w:rPr>
            <w:noProof/>
            <w:webHidden/>
          </w:rPr>
          <w:instrText xml:space="preserve"> PAGEREF _Toc536553937 \h </w:instrText>
        </w:r>
        <w:r w:rsidR="000066CE">
          <w:rPr>
            <w:noProof/>
            <w:webHidden/>
          </w:rPr>
        </w:r>
        <w:r w:rsidR="000066CE">
          <w:rPr>
            <w:noProof/>
            <w:webHidden/>
          </w:rPr>
          <w:fldChar w:fldCharType="separate"/>
        </w:r>
        <w:r w:rsidR="00263A1B">
          <w:rPr>
            <w:noProof/>
            <w:webHidden/>
          </w:rPr>
          <w:t>96</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38" w:history="1">
        <w:r w:rsidR="000066CE" w:rsidRPr="00174ABC">
          <w:rPr>
            <w:rStyle w:val="Hypertextovodkaz"/>
            <w:noProof/>
          </w:rPr>
          <w:t>4.3</w:t>
        </w:r>
        <w:r w:rsidR="000066CE">
          <w:rPr>
            <w:rFonts w:eastAsiaTheme="minorEastAsia" w:cstheme="minorBidi"/>
            <w:smallCaps w:val="0"/>
            <w:noProof/>
            <w:sz w:val="22"/>
            <w:szCs w:val="22"/>
            <w:lang w:eastAsia="cs-CZ"/>
          </w:rPr>
          <w:tab/>
        </w:r>
        <w:r w:rsidR="000066CE" w:rsidRPr="00174ABC">
          <w:rPr>
            <w:rStyle w:val="Hypertextovodkaz"/>
            <w:noProof/>
          </w:rPr>
          <w:t>Procesní změny v povolovacím procesu – jedno rozhodnutí</w:t>
        </w:r>
        <w:r w:rsidR="000066CE">
          <w:rPr>
            <w:noProof/>
            <w:webHidden/>
          </w:rPr>
          <w:tab/>
        </w:r>
        <w:r w:rsidR="000066CE">
          <w:rPr>
            <w:noProof/>
            <w:webHidden/>
          </w:rPr>
          <w:fldChar w:fldCharType="begin"/>
        </w:r>
        <w:r w:rsidR="000066CE">
          <w:rPr>
            <w:noProof/>
            <w:webHidden/>
          </w:rPr>
          <w:instrText xml:space="preserve"> PAGEREF _Toc536553938 \h </w:instrText>
        </w:r>
        <w:r w:rsidR="000066CE">
          <w:rPr>
            <w:noProof/>
            <w:webHidden/>
          </w:rPr>
        </w:r>
        <w:r w:rsidR="000066CE">
          <w:rPr>
            <w:noProof/>
            <w:webHidden/>
          </w:rPr>
          <w:fldChar w:fldCharType="separate"/>
        </w:r>
        <w:r w:rsidR="00263A1B">
          <w:rPr>
            <w:noProof/>
            <w:webHidden/>
          </w:rPr>
          <w:t>96</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39" w:history="1">
        <w:r w:rsidR="000066CE" w:rsidRPr="00174ABC">
          <w:rPr>
            <w:rStyle w:val="Hypertextovodkaz"/>
            <w:noProof/>
          </w:rPr>
          <w:t>4.4</w:t>
        </w:r>
        <w:r w:rsidR="000066CE">
          <w:rPr>
            <w:rFonts w:eastAsiaTheme="minorEastAsia" w:cstheme="minorBidi"/>
            <w:smallCaps w:val="0"/>
            <w:noProof/>
            <w:sz w:val="22"/>
            <w:szCs w:val="22"/>
            <w:lang w:eastAsia="cs-CZ"/>
          </w:rPr>
          <w:tab/>
        </w:r>
        <w:r w:rsidR="000066CE" w:rsidRPr="00174ABC">
          <w:rPr>
            <w:rStyle w:val="Hypertextovodkaz"/>
            <w:noProof/>
          </w:rPr>
          <w:t>Změny v soudním přezkumu rozhodnut stavebních úřadů</w:t>
        </w:r>
        <w:r w:rsidR="000066CE">
          <w:rPr>
            <w:noProof/>
            <w:webHidden/>
          </w:rPr>
          <w:tab/>
        </w:r>
        <w:r w:rsidR="000066CE">
          <w:rPr>
            <w:noProof/>
            <w:webHidden/>
          </w:rPr>
          <w:fldChar w:fldCharType="begin"/>
        </w:r>
        <w:r w:rsidR="000066CE">
          <w:rPr>
            <w:noProof/>
            <w:webHidden/>
          </w:rPr>
          <w:instrText xml:space="preserve"> PAGEREF _Toc536553939 \h </w:instrText>
        </w:r>
        <w:r w:rsidR="000066CE">
          <w:rPr>
            <w:noProof/>
            <w:webHidden/>
          </w:rPr>
        </w:r>
        <w:r w:rsidR="000066CE">
          <w:rPr>
            <w:noProof/>
            <w:webHidden/>
          </w:rPr>
          <w:fldChar w:fldCharType="separate"/>
        </w:r>
        <w:r w:rsidR="00263A1B">
          <w:rPr>
            <w:noProof/>
            <w:webHidden/>
          </w:rPr>
          <w:t>97</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40" w:history="1">
        <w:r w:rsidR="000066CE" w:rsidRPr="00174ABC">
          <w:rPr>
            <w:rStyle w:val="Hypertextovodkaz"/>
            <w:noProof/>
          </w:rPr>
          <w:t>4.5</w:t>
        </w:r>
        <w:r w:rsidR="000066CE">
          <w:rPr>
            <w:rFonts w:eastAsiaTheme="minorEastAsia" w:cstheme="minorBidi"/>
            <w:smallCaps w:val="0"/>
            <w:noProof/>
            <w:sz w:val="22"/>
            <w:szCs w:val="22"/>
            <w:lang w:eastAsia="cs-CZ"/>
          </w:rPr>
          <w:tab/>
        </w:r>
        <w:r w:rsidR="000066CE" w:rsidRPr="00174ABC">
          <w:rPr>
            <w:rStyle w:val="Hypertextovodkaz"/>
            <w:noProof/>
          </w:rPr>
          <w:t>Závěrečné shrnutí</w:t>
        </w:r>
        <w:r w:rsidR="000066CE">
          <w:rPr>
            <w:noProof/>
            <w:webHidden/>
          </w:rPr>
          <w:tab/>
        </w:r>
        <w:r w:rsidR="000066CE">
          <w:rPr>
            <w:noProof/>
            <w:webHidden/>
          </w:rPr>
          <w:fldChar w:fldCharType="begin"/>
        </w:r>
        <w:r w:rsidR="000066CE">
          <w:rPr>
            <w:noProof/>
            <w:webHidden/>
          </w:rPr>
          <w:instrText xml:space="preserve"> PAGEREF _Toc536553940 \h </w:instrText>
        </w:r>
        <w:r w:rsidR="000066CE">
          <w:rPr>
            <w:noProof/>
            <w:webHidden/>
          </w:rPr>
        </w:r>
        <w:r w:rsidR="000066CE">
          <w:rPr>
            <w:noProof/>
            <w:webHidden/>
          </w:rPr>
          <w:fldChar w:fldCharType="separate"/>
        </w:r>
        <w:r w:rsidR="00263A1B">
          <w:rPr>
            <w:noProof/>
            <w:webHidden/>
          </w:rPr>
          <w:t>98</w:t>
        </w:r>
        <w:r w:rsidR="000066CE">
          <w:rPr>
            <w:noProof/>
            <w:webHidden/>
          </w:rPr>
          <w:fldChar w:fldCharType="end"/>
        </w:r>
      </w:hyperlink>
    </w:p>
    <w:p w:rsidR="000066CE" w:rsidRDefault="00CE1110">
      <w:pPr>
        <w:pStyle w:val="Obsah1"/>
        <w:rPr>
          <w:rFonts w:eastAsiaTheme="minorEastAsia" w:cstheme="minorBidi"/>
          <w:b w:val="0"/>
          <w:bCs w:val="0"/>
          <w:caps w:val="0"/>
          <w:noProof/>
          <w:sz w:val="22"/>
          <w:szCs w:val="22"/>
          <w:lang w:eastAsia="cs-CZ"/>
        </w:rPr>
      </w:pPr>
      <w:hyperlink w:anchor="_Toc536553941" w:history="1">
        <w:r w:rsidR="000066CE" w:rsidRPr="00174ABC">
          <w:rPr>
            <w:rStyle w:val="Hypertextovodkaz"/>
            <w:rFonts w:asciiTheme="majorHAnsi" w:hAnsiTheme="majorHAnsi"/>
            <w:noProof/>
          </w:rPr>
          <w:t>5</w:t>
        </w:r>
        <w:r w:rsidR="000066CE">
          <w:rPr>
            <w:rFonts w:eastAsiaTheme="minorEastAsia" w:cstheme="minorBidi"/>
            <w:b w:val="0"/>
            <w:bCs w:val="0"/>
            <w:caps w:val="0"/>
            <w:noProof/>
            <w:sz w:val="22"/>
            <w:szCs w:val="22"/>
            <w:lang w:eastAsia="cs-CZ"/>
          </w:rPr>
          <w:tab/>
        </w:r>
        <w:r w:rsidR="000066CE" w:rsidRPr="00174ABC">
          <w:rPr>
            <w:rStyle w:val="Hypertextovodkaz"/>
            <w:noProof/>
          </w:rPr>
          <w:t>Implementace doporučené varianty a vynucování</w:t>
        </w:r>
        <w:r w:rsidR="000066CE">
          <w:rPr>
            <w:noProof/>
            <w:webHidden/>
          </w:rPr>
          <w:tab/>
        </w:r>
        <w:r w:rsidR="000066CE">
          <w:rPr>
            <w:noProof/>
            <w:webHidden/>
          </w:rPr>
          <w:fldChar w:fldCharType="begin"/>
        </w:r>
        <w:r w:rsidR="000066CE">
          <w:rPr>
            <w:noProof/>
            <w:webHidden/>
          </w:rPr>
          <w:instrText xml:space="preserve"> PAGEREF _Toc536553941 \h </w:instrText>
        </w:r>
        <w:r w:rsidR="000066CE">
          <w:rPr>
            <w:noProof/>
            <w:webHidden/>
          </w:rPr>
        </w:r>
        <w:r w:rsidR="000066CE">
          <w:rPr>
            <w:noProof/>
            <w:webHidden/>
          </w:rPr>
          <w:fldChar w:fldCharType="separate"/>
        </w:r>
        <w:r w:rsidR="00263A1B">
          <w:rPr>
            <w:noProof/>
            <w:webHidden/>
          </w:rPr>
          <w:t>100</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42" w:history="1">
        <w:r w:rsidR="000066CE" w:rsidRPr="00174ABC">
          <w:rPr>
            <w:rStyle w:val="Hypertextovodkaz"/>
            <w:noProof/>
          </w:rPr>
          <w:t>5.1</w:t>
        </w:r>
        <w:r w:rsidR="000066CE">
          <w:rPr>
            <w:rFonts w:eastAsiaTheme="minorEastAsia" w:cstheme="minorBidi"/>
            <w:smallCaps w:val="0"/>
            <w:noProof/>
            <w:sz w:val="22"/>
            <w:szCs w:val="22"/>
            <w:lang w:eastAsia="cs-CZ"/>
          </w:rPr>
          <w:tab/>
        </w:r>
        <w:r w:rsidR="000066CE" w:rsidRPr="00174ABC">
          <w:rPr>
            <w:rStyle w:val="Hypertextovodkaz"/>
            <w:noProof/>
          </w:rPr>
          <w:t>Vynucování</w:t>
        </w:r>
        <w:r w:rsidR="000066CE">
          <w:rPr>
            <w:noProof/>
            <w:webHidden/>
          </w:rPr>
          <w:tab/>
        </w:r>
        <w:r w:rsidR="000066CE">
          <w:rPr>
            <w:noProof/>
            <w:webHidden/>
          </w:rPr>
          <w:fldChar w:fldCharType="begin"/>
        </w:r>
        <w:r w:rsidR="000066CE">
          <w:rPr>
            <w:noProof/>
            <w:webHidden/>
          </w:rPr>
          <w:instrText xml:space="preserve"> PAGEREF _Toc536553942 \h </w:instrText>
        </w:r>
        <w:r w:rsidR="000066CE">
          <w:rPr>
            <w:noProof/>
            <w:webHidden/>
          </w:rPr>
        </w:r>
        <w:r w:rsidR="000066CE">
          <w:rPr>
            <w:noProof/>
            <w:webHidden/>
          </w:rPr>
          <w:fldChar w:fldCharType="separate"/>
        </w:r>
        <w:r w:rsidR="00263A1B">
          <w:rPr>
            <w:noProof/>
            <w:webHidden/>
          </w:rPr>
          <w:t>101</w:t>
        </w:r>
        <w:r w:rsidR="000066CE">
          <w:rPr>
            <w:noProof/>
            <w:webHidden/>
          </w:rPr>
          <w:fldChar w:fldCharType="end"/>
        </w:r>
      </w:hyperlink>
    </w:p>
    <w:p w:rsidR="000066CE" w:rsidRDefault="00CE1110">
      <w:pPr>
        <w:pStyle w:val="Obsah1"/>
        <w:rPr>
          <w:rFonts w:eastAsiaTheme="minorEastAsia" w:cstheme="minorBidi"/>
          <w:b w:val="0"/>
          <w:bCs w:val="0"/>
          <w:caps w:val="0"/>
          <w:noProof/>
          <w:sz w:val="22"/>
          <w:szCs w:val="22"/>
          <w:lang w:eastAsia="cs-CZ"/>
        </w:rPr>
      </w:pPr>
      <w:hyperlink w:anchor="_Toc536553943" w:history="1">
        <w:r w:rsidR="000066CE" w:rsidRPr="00174ABC">
          <w:rPr>
            <w:rStyle w:val="Hypertextovodkaz"/>
            <w:rFonts w:asciiTheme="majorHAnsi" w:hAnsiTheme="majorHAnsi"/>
            <w:noProof/>
          </w:rPr>
          <w:t>6</w:t>
        </w:r>
        <w:r w:rsidR="000066CE">
          <w:rPr>
            <w:rFonts w:eastAsiaTheme="minorEastAsia" w:cstheme="minorBidi"/>
            <w:b w:val="0"/>
            <w:bCs w:val="0"/>
            <w:caps w:val="0"/>
            <w:noProof/>
            <w:sz w:val="22"/>
            <w:szCs w:val="22"/>
            <w:lang w:eastAsia="cs-CZ"/>
          </w:rPr>
          <w:tab/>
        </w:r>
        <w:r w:rsidR="000066CE" w:rsidRPr="00174ABC">
          <w:rPr>
            <w:rStyle w:val="Hypertextovodkaz"/>
            <w:noProof/>
          </w:rPr>
          <w:t>Přezkum účinnosti regulace</w:t>
        </w:r>
        <w:r w:rsidR="000066CE">
          <w:rPr>
            <w:noProof/>
            <w:webHidden/>
          </w:rPr>
          <w:tab/>
        </w:r>
        <w:r w:rsidR="000066CE">
          <w:rPr>
            <w:noProof/>
            <w:webHidden/>
          </w:rPr>
          <w:fldChar w:fldCharType="begin"/>
        </w:r>
        <w:r w:rsidR="000066CE">
          <w:rPr>
            <w:noProof/>
            <w:webHidden/>
          </w:rPr>
          <w:instrText xml:space="preserve"> PAGEREF _Toc536553943 \h </w:instrText>
        </w:r>
        <w:r w:rsidR="000066CE">
          <w:rPr>
            <w:noProof/>
            <w:webHidden/>
          </w:rPr>
        </w:r>
        <w:r w:rsidR="000066CE">
          <w:rPr>
            <w:noProof/>
            <w:webHidden/>
          </w:rPr>
          <w:fldChar w:fldCharType="separate"/>
        </w:r>
        <w:r w:rsidR="00263A1B">
          <w:rPr>
            <w:noProof/>
            <w:webHidden/>
          </w:rPr>
          <w:t>102</w:t>
        </w:r>
        <w:r w:rsidR="000066CE">
          <w:rPr>
            <w:noProof/>
            <w:webHidden/>
          </w:rPr>
          <w:fldChar w:fldCharType="end"/>
        </w:r>
      </w:hyperlink>
    </w:p>
    <w:p w:rsidR="000066CE" w:rsidRDefault="00CE1110">
      <w:pPr>
        <w:pStyle w:val="Obsah1"/>
        <w:rPr>
          <w:rFonts w:eastAsiaTheme="minorEastAsia" w:cstheme="minorBidi"/>
          <w:b w:val="0"/>
          <w:bCs w:val="0"/>
          <w:caps w:val="0"/>
          <w:noProof/>
          <w:sz w:val="22"/>
          <w:szCs w:val="22"/>
          <w:lang w:eastAsia="cs-CZ"/>
        </w:rPr>
      </w:pPr>
      <w:hyperlink w:anchor="_Toc536553944" w:history="1">
        <w:r w:rsidR="000066CE" w:rsidRPr="00174ABC">
          <w:rPr>
            <w:rStyle w:val="Hypertextovodkaz"/>
            <w:rFonts w:asciiTheme="majorHAnsi" w:hAnsiTheme="majorHAnsi"/>
            <w:noProof/>
          </w:rPr>
          <w:t>7</w:t>
        </w:r>
        <w:r w:rsidR="000066CE">
          <w:rPr>
            <w:rFonts w:eastAsiaTheme="minorEastAsia" w:cstheme="minorBidi"/>
            <w:b w:val="0"/>
            <w:bCs w:val="0"/>
            <w:caps w:val="0"/>
            <w:noProof/>
            <w:sz w:val="22"/>
            <w:szCs w:val="22"/>
            <w:lang w:eastAsia="cs-CZ"/>
          </w:rPr>
          <w:tab/>
        </w:r>
        <w:r w:rsidR="000066CE" w:rsidRPr="00174ABC">
          <w:rPr>
            <w:rStyle w:val="Hypertextovodkaz"/>
            <w:noProof/>
          </w:rPr>
          <w:t>Konzultace a zdroje dat</w:t>
        </w:r>
        <w:r w:rsidR="000066CE">
          <w:rPr>
            <w:noProof/>
            <w:webHidden/>
          </w:rPr>
          <w:tab/>
        </w:r>
        <w:r w:rsidR="000066CE">
          <w:rPr>
            <w:noProof/>
            <w:webHidden/>
          </w:rPr>
          <w:fldChar w:fldCharType="begin"/>
        </w:r>
        <w:r w:rsidR="000066CE">
          <w:rPr>
            <w:noProof/>
            <w:webHidden/>
          </w:rPr>
          <w:instrText xml:space="preserve"> PAGEREF _Toc536553944 \h </w:instrText>
        </w:r>
        <w:r w:rsidR="000066CE">
          <w:rPr>
            <w:noProof/>
            <w:webHidden/>
          </w:rPr>
        </w:r>
        <w:r w:rsidR="000066CE">
          <w:rPr>
            <w:noProof/>
            <w:webHidden/>
          </w:rPr>
          <w:fldChar w:fldCharType="separate"/>
        </w:r>
        <w:r w:rsidR="00263A1B">
          <w:rPr>
            <w:noProof/>
            <w:webHidden/>
          </w:rPr>
          <w:t>102</w:t>
        </w:r>
        <w:r w:rsidR="000066CE">
          <w:rPr>
            <w:noProof/>
            <w:webHidden/>
          </w:rPr>
          <w:fldChar w:fldCharType="end"/>
        </w:r>
      </w:hyperlink>
    </w:p>
    <w:p w:rsidR="000066CE" w:rsidRDefault="00CE1110">
      <w:pPr>
        <w:pStyle w:val="Obsah1"/>
        <w:rPr>
          <w:rFonts w:eastAsiaTheme="minorEastAsia" w:cstheme="minorBidi"/>
          <w:b w:val="0"/>
          <w:bCs w:val="0"/>
          <w:caps w:val="0"/>
          <w:noProof/>
          <w:sz w:val="22"/>
          <w:szCs w:val="22"/>
          <w:lang w:eastAsia="cs-CZ"/>
        </w:rPr>
      </w:pPr>
      <w:hyperlink w:anchor="_Toc536553945" w:history="1">
        <w:r w:rsidR="000066CE" w:rsidRPr="00174ABC">
          <w:rPr>
            <w:rStyle w:val="Hypertextovodkaz"/>
            <w:rFonts w:asciiTheme="majorHAnsi" w:hAnsiTheme="majorHAnsi"/>
            <w:noProof/>
          </w:rPr>
          <w:t>8</w:t>
        </w:r>
        <w:r w:rsidR="000066CE">
          <w:rPr>
            <w:rFonts w:eastAsiaTheme="minorEastAsia" w:cstheme="minorBidi"/>
            <w:b w:val="0"/>
            <w:bCs w:val="0"/>
            <w:caps w:val="0"/>
            <w:noProof/>
            <w:sz w:val="22"/>
            <w:szCs w:val="22"/>
            <w:lang w:eastAsia="cs-CZ"/>
          </w:rPr>
          <w:tab/>
        </w:r>
        <w:r w:rsidR="000066CE" w:rsidRPr="00174ABC">
          <w:rPr>
            <w:rStyle w:val="Hypertextovodkaz"/>
            <w:noProof/>
          </w:rPr>
          <w:t>Hodnocení korupčních rizik zvoleného řešení</w:t>
        </w:r>
        <w:r w:rsidR="000066CE">
          <w:rPr>
            <w:noProof/>
            <w:webHidden/>
          </w:rPr>
          <w:tab/>
        </w:r>
        <w:r w:rsidR="000066CE">
          <w:rPr>
            <w:noProof/>
            <w:webHidden/>
          </w:rPr>
          <w:fldChar w:fldCharType="begin"/>
        </w:r>
        <w:r w:rsidR="000066CE">
          <w:rPr>
            <w:noProof/>
            <w:webHidden/>
          </w:rPr>
          <w:instrText xml:space="preserve"> PAGEREF _Toc536553945 \h </w:instrText>
        </w:r>
        <w:r w:rsidR="000066CE">
          <w:rPr>
            <w:noProof/>
            <w:webHidden/>
          </w:rPr>
        </w:r>
        <w:r w:rsidR="000066CE">
          <w:rPr>
            <w:noProof/>
            <w:webHidden/>
          </w:rPr>
          <w:fldChar w:fldCharType="separate"/>
        </w:r>
        <w:r w:rsidR="00263A1B">
          <w:rPr>
            <w:noProof/>
            <w:webHidden/>
          </w:rPr>
          <w:t>102</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46" w:history="1">
        <w:r w:rsidR="000066CE" w:rsidRPr="00174ABC">
          <w:rPr>
            <w:rStyle w:val="Hypertextovodkaz"/>
            <w:noProof/>
          </w:rPr>
          <w:t>8.1</w:t>
        </w:r>
        <w:r w:rsidR="000066CE">
          <w:rPr>
            <w:rFonts w:eastAsiaTheme="minorEastAsia" w:cstheme="minorBidi"/>
            <w:smallCaps w:val="0"/>
            <w:noProof/>
            <w:sz w:val="22"/>
            <w:szCs w:val="22"/>
            <w:lang w:eastAsia="cs-CZ"/>
          </w:rPr>
          <w:tab/>
        </w:r>
        <w:r w:rsidR="000066CE" w:rsidRPr="00174ABC">
          <w:rPr>
            <w:rStyle w:val="Hypertextovodkaz"/>
            <w:noProof/>
          </w:rPr>
          <w:t>Posouzení stanovených kritérií</w:t>
        </w:r>
        <w:r w:rsidR="000066CE">
          <w:rPr>
            <w:noProof/>
            <w:webHidden/>
          </w:rPr>
          <w:tab/>
        </w:r>
        <w:r w:rsidR="000066CE">
          <w:rPr>
            <w:noProof/>
            <w:webHidden/>
          </w:rPr>
          <w:fldChar w:fldCharType="begin"/>
        </w:r>
        <w:r w:rsidR="000066CE">
          <w:rPr>
            <w:noProof/>
            <w:webHidden/>
          </w:rPr>
          <w:instrText xml:space="preserve"> PAGEREF _Toc536553946 \h </w:instrText>
        </w:r>
        <w:r w:rsidR="000066CE">
          <w:rPr>
            <w:noProof/>
            <w:webHidden/>
          </w:rPr>
        </w:r>
        <w:r w:rsidR="000066CE">
          <w:rPr>
            <w:noProof/>
            <w:webHidden/>
          </w:rPr>
          <w:fldChar w:fldCharType="separate"/>
        </w:r>
        <w:r w:rsidR="00263A1B">
          <w:rPr>
            <w:noProof/>
            <w:webHidden/>
          </w:rPr>
          <w:t>102</w:t>
        </w:r>
        <w:r w:rsidR="000066CE">
          <w:rPr>
            <w:noProof/>
            <w:webHidden/>
          </w:rPr>
          <w:fldChar w:fldCharType="end"/>
        </w:r>
      </w:hyperlink>
    </w:p>
    <w:p w:rsidR="000066CE" w:rsidRDefault="00CE1110">
      <w:pPr>
        <w:pStyle w:val="Obsah3"/>
        <w:tabs>
          <w:tab w:val="left" w:pos="1200"/>
          <w:tab w:val="right" w:leader="dot" w:pos="9060"/>
        </w:tabs>
        <w:rPr>
          <w:rFonts w:eastAsiaTheme="minorEastAsia" w:cstheme="minorBidi"/>
          <w:i w:val="0"/>
          <w:iCs w:val="0"/>
          <w:noProof/>
          <w:sz w:val="22"/>
          <w:szCs w:val="22"/>
          <w:lang w:eastAsia="cs-CZ"/>
        </w:rPr>
      </w:pPr>
      <w:hyperlink w:anchor="_Toc536553947" w:history="1">
        <w:r w:rsidR="000066CE" w:rsidRPr="00174ABC">
          <w:rPr>
            <w:rStyle w:val="Hypertextovodkaz"/>
            <w:noProof/>
          </w:rPr>
          <w:t>8.1.1</w:t>
        </w:r>
        <w:r w:rsidR="000066CE">
          <w:rPr>
            <w:rFonts w:eastAsiaTheme="minorEastAsia" w:cstheme="minorBidi"/>
            <w:i w:val="0"/>
            <w:iCs w:val="0"/>
            <w:noProof/>
            <w:sz w:val="22"/>
            <w:szCs w:val="22"/>
            <w:lang w:eastAsia="cs-CZ"/>
          </w:rPr>
          <w:tab/>
        </w:r>
        <w:r w:rsidR="000066CE" w:rsidRPr="00174ABC">
          <w:rPr>
            <w:rStyle w:val="Hypertextovodkaz"/>
            <w:noProof/>
          </w:rPr>
          <w:t>Přiměřenost</w:t>
        </w:r>
        <w:r w:rsidR="000066CE">
          <w:rPr>
            <w:noProof/>
            <w:webHidden/>
          </w:rPr>
          <w:tab/>
        </w:r>
        <w:r w:rsidR="000066CE">
          <w:rPr>
            <w:noProof/>
            <w:webHidden/>
          </w:rPr>
          <w:fldChar w:fldCharType="begin"/>
        </w:r>
        <w:r w:rsidR="000066CE">
          <w:rPr>
            <w:noProof/>
            <w:webHidden/>
          </w:rPr>
          <w:instrText xml:space="preserve"> PAGEREF _Toc536553947 \h </w:instrText>
        </w:r>
        <w:r w:rsidR="000066CE">
          <w:rPr>
            <w:noProof/>
            <w:webHidden/>
          </w:rPr>
        </w:r>
        <w:r w:rsidR="000066CE">
          <w:rPr>
            <w:noProof/>
            <w:webHidden/>
          </w:rPr>
          <w:fldChar w:fldCharType="separate"/>
        </w:r>
        <w:r w:rsidR="00263A1B">
          <w:rPr>
            <w:noProof/>
            <w:webHidden/>
          </w:rPr>
          <w:t>102</w:t>
        </w:r>
        <w:r w:rsidR="000066CE">
          <w:rPr>
            <w:noProof/>
            <w:webHidden/>
          </w:rPr>
          <w:fldChar w:fldCharType="end"/>
        </w:r>
      </w:hyperlink>
    </w:p>
    <w:p w:rsidR="000066CE" w:rsidRDefault="00CE1110">
      <w:pPr>
        <w:pStyle w:val="Obsah3"/>
        <w:tabs>
          <w:tab w:val="left" w:pos="1200"/>
          <w:tab w:val="right" w:leader="dot" w:pos="9060"/>
        </w:tabs>
        <w:rPr>
          <w:rFonts w:eastAsiaTheme="minorEastAsia" w:cstheme="minorBidi"/>
          <w:i w:val="0"/>
          <w:iCs w:val="0"/>
          <w:noProof/>
          <w:sz w:val="22"/>
          <w:szCs w:val="22"/>
          <w:lang w:eastAsia="cs-CZ"/>
        </w:rPr>
      </w:pPr>
      <w:hyperlink w:anchor="_Toc536553948" w:history="1">
        <w:r w:rsidR="000066CE" w:rsidRPr="00174ABC">
          <w:rPr>
            <w:rStyle w:val="Hypertextovodkaz"/>
            <w:noProof/>
          </w:rPr>
          <w:t>8.1.2</w:t>
        </w:r>
        <w:r w:rsidR="000066CE">
          <w:rPr>
            <w:rFonts w:eastAsiaTheme="minorEastAsia" w:cstheme="minorBidi"/>
            <w:i w:val="0"/>
            <w:iCs w:val="0"/>
            <w:noProof/>
            <w:sz w:val="22"/>
            <w:szCs w:val="22"/>
            <w:lang w:eastAsia="cs-CZ"/>
          </w:rPr>
          <w:tab/>
        </w:r>
        <w:r w:rsidR="000066CE" w:rsidRPr="00174ABC">
          <w:rPr>
            <w:rStyle w:val="Hypertextovodkaz"/>
            <w:noProof/>
          </w:rPr>
          <w:t>Efektivita</w:t>
        </w:r>
        <w:r w:rsidR="000066CE">
          <w:rPr>
            <w:noProof/>
            <w:webHidden/>
          </w:rPr>
          <w:tab/>
        </w:r>
        <w:r w:rsidR="000066CE">
          <w:rPr>
            <w:noProof/>
            <w:webHidden/>
          </w:rPr>
          <w:fldChar w:fldCharType="begin"/>
        </w:r>
        <w:r w:rsidR="000066CE">
          <w:rPr>
            <w:noProof/>
            <w:webHidden/>
          </w:rPr>
          <w:instrText xml:space="preserve"> PAGEREF _Toc536553948 \h </w:instrText>
        </w:r>
        <w:r w:rsidR="000066CE">
          <w:rPr>
            <w:noProof/>
            <w:webHidden/>
          </w:rPr>
        </w:r>
        <w:r w:rsidR="000066CE">
          <w:rPr>
            <w:noProof/>
            <w:webHidden/>
          </w:rPr>
          <w:fldChar w:fldCharType="separate"/>
        </w:r>
        <w:r w:rsidR="00263A1B">
          <w:rPr>
            <w:noProof/>
            <w:webHidden/>
          </w:rPr>
          <w:t>103</w:t>
        </w:r>
        <w:r w:rsidR="000066CE">
          <w:rPr>
            <w:noProof/>
            <w:webHidden/>
          </w:rPr>
          <w:fldChar w:fldCharType="end"/>
        </w:r>
      </w:hyperlink>
    </w:p>
    <w:p w:rsidR="000066CE" w:rsidRDefault="00CE1110">
      <w:pPr>
        <w:pStyle w:val="Obsah3"/>
        <w:tabs>
          <w:tab w:val="left" w:pos="1200"/>
          <w:tab w:val="right" w:leader="dot" w:pos="9060"/>
        </w:tabs>
        <w:rPr>
          <w:rFonts w:eastAsiaTheme="minorEastAsia" w:cstheme="minorBidi"/>
          <w:i w:val="0"/>
          <w:iCs w:val="0"/>
          <w:noProof/>
          <w:sz w:val="22"/>
          <w:szCs w:val="22"/>
          <w:lang w:eastAsia="cs-CZ"/>
        </w:rPr>
      </w:pPr>
      <w:hyperlink w:anchor="_Toc536553949" w:history="1">
        <w:r w:rsidR="000066CE" w:rsidRPr="00174ABC">
          <w:rPr>
            <w:rStyle w:val="Hypertextovodkaz"/>
            <w:noProof/>
          </w:rPr>
          <w:t>8.1.3</w:t>
        </w:r>
        <w:r w:rsidR="000066CE">
          <w:rPr>
            <w:rFonts w:eastAsiaTheme="minorEastAsia" w:cstheme="minorBidi"/>
            <w:i w:val="0"/>
            <w:iCs w:val="0"/>
            <w:noProof/>
            <w:sz w:val="22"/>
            <w:szCs w:val="22"/>
            <w:lang w:eastAsia="cs-CZ"/>
          </w:rPr>
          <w:tab/>
        </w:r>
        <w:r w:rsidR="000066CE" w:rsidRPr="00174ABC">
          <w:rPr>
            <w:rStyle w:val="Hypertextovodkaz"/>
            <w:noProof/>
          </w:rPr>
          <w:t>Odpovědnost</w:t>
        </w:r>
        <w:r w:rsidR="000066CE">
          <w:rPr>
            <w:noProof/>
            <w:webHidden/>
          </w:rPr>
          <w:tab/>
        </w:r>
        <w:r w:rsidR="000066CE">
          <w:rPr>
            <w:noProof/>
            <w:webHidden/>
          </w:rPr>
          <w:fldChar w:fldCharType="begin"/>
        </w:r>
        <w:r w:rsidR="000066CE">
          <w:rPr>
            <w:noProof/>
            <w:webHidden/>
          </w:rPr>
          <w:instrText xml:space="preserve"> PAGEREF _Toc536553949 \h </w:instrText>
        </w:r>
        <w:r w:rsidR="000066CE">
          <w:rPr>
            <w:noProof/>
            <w:webHidden/>
          </w:rPr>
        </w:r>
        <w:r w:rsidR="000066CE">
          <w:rPr>
            <w:noProof/>
            <w:webHidden/>
          </w:rPr>
          <w:fldChar w:fldCharType="separate"/>
        </w:r>
        <w:r w:rsidR="00263A1B">
          <w:rPr>
            <w:noProof/>
            <w:webHidden/>
          </w:rPr>
          <w:t>104</w:t>
        </w:r>
        <w:r w:rsidR="000066CE">
          <w:rPr>
            <w:noProof/>
            <w:webHidden/>
          </w:rPr>
          <w:fldChar w:fldCharType="end"/>
        </w:r>
      </w:hyperlink>
    </w:p>
    <w:p w:rsidR="000066CE" w:rsidRDefault="00CE1110">
      <w:pPr>
        <w:pStyle w:val="Obsah3"/>
        <w:tabs>
          <w:tab w:val="left" w:pos="1200"/>
          <w:tab w:val="right" w:leader="dot" w:pos="9060"/>
        </w:tabs>
        <w:rPr>
          <w:rFonts w:eastAsiaTheme="minorEastAsia" w:cstheme="minorBidi"/>
          <w:i w:val="0"/>
          <w:iCs w:val="0"/>
          <w:noProof/>
          <w:sz w:val="22"/>
          <w:szCs w:val="22"/>
          <w:lang w:eastAsia="cs-CZ"/>
        </w:rPr>
      </w:pPr>
      <w:hyperlink w:anchor="_Toc536553950" w:history="1">
        <w:r w:rsidR="000066CE" w:rsidRPr="00174ABC">
          <w:rPr>
            <w:rStyle w:val="Hypertextovodkaz"/>
            <w:noProof/>
          </w:rPr>
          <w:t>8.1.4</w:t>
        </w:r>
        <w:r w:rsidR="000066CE">
          <w:rPr>
            <w:rFonts w:eastAsiaTheme="minorEastAsia" w:cstheme="minorBidi"/>
            <w:i w:val="0"/>
            <w:iCs w:val="0"/>
            <w:noProof/>
            <w:sz w:val="22"/>
            <w:szCs w:val="22"/>
            <w:lang w:eastAsia="cs-CZ"/>
          </w:rPr>
          <w:tab/>
        </w:r>
        <w:r w:rsidR="000066CE" w:rsidRPr="00174ABC">
          <w:rPr>
            <w:rStyle w:val="Hypertextovodkaz"/>
            <w:noProof/>
          </w:rPr>
          <w:t>Opravné prostředky</w:t>
        </w:r>
        <w:r w:rsidR="000066CE">
          <w:rPr>
            <w:noProof/>
            <w:webHidden/>
          </w:rPr>
          <w:tab/>
        </w:r>
        <w:r w:rsidR="000066CE">
          <w:rPr>
            <w:noProof/>
            <w:webHidden/>
          </w:rPr>
          <w:fldChar w:fldCharType="begin"/>
        </w:r>
        <w:r w:rsidR="000066CE">
          <w:rPr>
            <w:noProof/>
            <w:webHidden/>
          </w:rPr>
          <w:instrText xml:space="preserve"> PAGEREF _Toc536553950 \h </w:instrText>
        </w:r>
        <w:r w:rsidR="000066CE">
          <w:rPr>
            <w:noProof/>
            <w:webHidden/>
          </w:rPr>
        </w:r>
        <w:r w:rsidR="000066CE">
          <w:rPr>
            <w:noProof/>
            <w:webHidden/>
          </w:rPr>
          <w:fldChar w:fldCharType="separate"/>
        </w:r>
        <w:r w:rsidR="00263A1B">
          <w:rPr>
            <w:noProof/>
            <w:webHidden/>
          </w:rPr>
          <w:t>104</w:t>
        </w:r>
        <w:r w:rsidR="000066CE">
          <w:rPr>
            <w:noProof/>
            <w:webHidden/>
          </w:rPr>
          <w:fldChar w:fldCharType="end"/>
        </w:r>
      </w:hyperlink>
    </w:p>
    <w:p w:rsidR="000066CE" w:rsidRDefault="00CE1110">
      <w:pPr>
        <w:pStyle w:val="Obsah3"/>
        <w:tabs>
          <w:tab w:val="left" w:pos="1200"/>
          <w:tab w:val="right" w:leader="dot" w:pos="9060"/>
        </w:tabs>
        <w:rPr>
          <w:rFonts w:eastAsiaTheme="minorEastAsia" w:cstheme="minorBidi"/>
          <w:i w:val="0"/>
          <w:iCs w:val="0"/>
          <w:noProof/>
          <w:sz w:val="22"/>
          <w:szCs w:val="22"/>
          <w:lang w:eastAsia="cs-CZ"/>
        </w:rPr>
      </w:pPr>
      <w:hyperlink w:anchor="_Toc536553951" w:history="1">
        <w:r w:rsidR="000066CE" w:rsidRPr="00174ABC">
          <w:rPr>
            <w:rStyle w:val="Hypertextovodkaz"/>
            <w:noProof/>
          </w:rPr>
          <w:t>8.1.5</w:t>
        </w:r>
        <w:r w:rsidR="000066CE">
          <w:rPr>
            <w:rFonts w:eastAsiaTheme="minorEastAsia" w:cstheme="minorBidi"/>
            <w:i w:val="0"/>
            <w:iCs w:val="0"/>
            <w:noProof/>
            <w:sz w:val="22"/>
            <w:szCs w:val="22"/>
            <w:lang w:eastAsia="cs-CZ"/>
          </w:rPr>
          <w:tab/>
        </w:r>
        <w:r w:rsidR="000066CE" w:rsidRPr="00174ABC">
          <w:rPr>
            <w:rStyle w:val="Hypertextovodkaz"/>
            <w:noProof/>
          </w:rPr>
          <w:t>Kontrolní mechanismy</w:t>
        </w:r>
        <w:r w:rsidR="000066CE">
          <w:rPr>
            <w:noProof/>
            <w:webHidden/>
          </w:rPr>
          <w:tab/>
        </w:r>
        <w:r w:rsidR="000066CE">
          <w:rPr>
            <w:noProof/>
            <w:webHidden/>
          </w:rPr>
          <w:fldChar w:fldCharType="begin"/>
        </w:r>
        <w:r w:rsidR="000066CE">
          <w:rPr>
            <w:noProof/>
            <w:webHidden/>
          </w:rPr>
          <w:instrText xml:space="preserve"> PAGEREF _Toc536553951 \h </w:instrText>
        </w:r>
        <w:r w:rsidR="000066CE">
          <w:rPr>
            <w:noProof/>
            <w:webHidden/>
          </w:rPr>
        </w:r>
        <w:r w:rsidR="000066CE">
          <w:rPr>
            <w:noProof/>
            <w:webHidden/>
          </w:rPr>
          <w:fldChar w:fldCharType="separate"/>
        </w:r>
        <w:r w:rsidR="00263A1B">
          <w:rPr>
            <w:noProof/>
            <w:webHidden/>
          </w:rPr>
          <w:t>104</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52" w:history="1">
        <w:r w:rsidR="000066CE" w:rsidRPr="00174ABC">
          <w:rPr>
            <w:rStyle w:val="Hypertextovodkaz"/>
            <w:noProof/>
          </w:rPr>
          <w:t>8.2</w:t>
        </w:r>
        <w:r w:rsidR="000066CE">
          <w:rPr>
            <w:rFonts w:eastAsiaTheme="minorEastAsia" w:cstheme="minorBidi"/>
            <w:smallCaps w:val="0"/>
            <w:noProof/>
            <w:sz w:val="22"/>
            <w:szCs w:val="22"/>
            <w:lang w:eastAsia="cs-CZ"/>
          </w:rPr>
          <w:tab/>
        </w:r>
        <w:r w:rsidR="000066CE" w:rsidRPr="00174ABC">
          <w:rPr>
            <w:rStyle w:val="Hypertextovodkaz"/>
            <w:noProof/>
          </w:rPr>
          <w:t>Specifické podmínky vyplývající z charakteru korupčních příležitostí a jejich dopad</w:t>
        </w:r>
        <w:r w:rsidR="000066CE">
          <w:rPr>
            <w:noProof/>
            <w:webHidden/>
          </w:rPr>
          <w:tab/>
        </w:r>
        <w:r w:rsidR="000066CE">
          <w:rPr>
            <w:noProof/>
            <w:webHidden/>
          </w:rPr>
          <w:fldChar w:fldCharType="begin"/>
        </w:r>
        <w:r w:rsidR="000066CE">
          <w:rPr>
            <w:noProof/>
            <w:webHidden/>
          </w:rPr>
          <w:instrText xml:space="preserve"> PAGEREF _Toc536553952 \h </w:instrText>
        </w:r>
        <w:r w:rsidR="000066CE">
          <w:rPr>
            <w:noProof/>
            <w:webHidden/>
          </w:rPr>
        </w:r>
        <w:r w:rsidR="000066CE">
          <w:rPr>
            <w:noProof/>
            <w:webHidden/>
          </w:rPr>
          <w:fldChar w:fldCharType="separate"/>
        </w:r>
        <w:r w:rsidR="00263A1B">
          <w:rPr>
            <w:noProof/>
            <w:webHidden/>
          </w:rPr>
          <w:t>105</w:t>
        </w:r>
        <w:r w:rsidR="000066CE">
          <w:rPr>
            <w:noProof/>
            <w:webHidden/>
          </w:rPr>
          <w:fldChar w:fldCharType="end"/>
        </w:r>
      </w:hyperlink>
    </w:p>
    <w:p w:rsidR="000066CE" w:rsidRDefault="00CE1110">
      <w:pPr>
        <w:pStyle w:val="Obsah3"/>
        <w:tabs>
          <w:tab w:val="left" w:pos="1200"/>
          <w:tab w:val="right" w:leader="dot" w:pos="9060"/>
        </w:tabs>
        <w:rPr>
          <w:rFonts w:eastAsiaTheme="minorEastAsia" w:cstheme="minorBidi"/>
          <w:i w:val="0"/>
          <w:iCs w:val="0"/>
          <w:noProof/>
          <w:sz w:val="22"/>
          <w:szCs w:val="22"/>
          <w:lang w:eastAsia="cs-CZ"/>
        </w:rPr>
      </w:pPr>
      <w:hyperlink w:anchor="_Toc536553953" w:history="1">
        <w:r w:rsidR="000066CE" w:rsidRPr="00174ABC">
          <w:rPr>
            <w:rStyle w:val="Hypertextovodkaz"/>
            <w:noProof/>
          </w:rPr>
          <w:t>8.2.1</w:t>
        </w:r>
        <w:r w:rsidR="000066CE">
          <w:rPr>
            <w:rFonts w:eastAsiaTheme="minorEastAsia" w:cstheme="minorBidi"/>
            <w:i w:val="0"/>
            <w:iCs w:val="0"/>
            <w:noProof/>
            <w:sz w:val="22"/>
            <w:szCs w:val="22"/>
            <w:lang w:eastAsia="cs-CZ"/>
          </w:rPr>
          <w:tab/>
        </w:r>
        <w:r w:rsidR="000066CE" w:rsidRPr="00174ABC">
          <w:rPr>
            <w:rStyle w:val="Hypertextovodkaz"/>
            <w:noProof/>
          </w:rPr>
          <w:t>„Poptávková“ strana</w:t>
        </w:r>
        <w:r w:rsidR="000066CE">
          <w:rPr>
            <w:noProof/>
            <w:webHidden/>
          </w:rPr>
          <w:tab/>
        </w:r>
        <w:r w:rsidR="000066CE">
          <w:rPr>
            <w:noProof/>
            <w:webHidden/>
          </w:rPr>
          <w:fldChar w:fldCharType="begin"/>
        </w:r>
        <w:r w:rsidR="000066CE">
          <w:rPr>
            <w:noProof/>
            <w:webHidden/>
          </w:rPr>
          <w:instrText xml:space="preserve"> PAGEREF _Toc536553953 \h </w:instrText>
        </w:r>
        <w:r w:rsidR="000066CE">
          <w:rPr>
            <w:noProof/>
            <w:webHidden/>
          </w:rPr>
        </w:r>
        <w:r w:rsidR="000066CE">
          <w:rPr>
            <w:noProof/>
            <w:webHidden/>
          </w:rPr>
          <w:fldChar w:fldCharType="separate"/>
        </w:r>
        <w:r w:rsidR="00263A1B">
          <w:rPr>
            <w:noProof/>
            <w:webHidden/>
          </w:rPr>
          <w:t>105</w:t>
        </w:r>
        <w:r w:rsidR="000066CE">
          <w:rPr>
            <w:noProof/>
            <w:webHidden/>
          </w:rPr>
          <w:fldChar w:fldCharType="end"/>
        </w:r>
      </w:hyperlink>
    </w:p>
    <w:p w:rsidR="000066CE" w:rsidRDefault="00CE1110">
      <w:pPr>
        <w:pStyle w:val="Obsah3"/>
        <w:tabs>
          <w:tab w:val="left" w:pos="1200"/>
          <w:tab w:val="right" w:leader="dot" w:pos="9060"/>
        </w:tabs>
        <w:rPr>
          <w:rFonts w:eastAsiaTheme="minorEastAsia" w:cstheme="minorBidi"/>
          <w:i w:val="0"/>
          <w:iCs w:val="0"/>
          <w:noProof/>
          <w:sz w:val="22"/>
          <w:szCs w:val="22"/>
          <w:lang w:eastAsia="cs-CZ"/>
        </w:rPr>
      </w:pPr>
      <w:hyperlink w:anchor="_Toc536553954" w:history="1">
        <w:r w:rsidR="000066CE" w:rsidRPr="00174ABC">
          <w:rPr>
            <w:rStyle w:val="Hypertextovodkaz"/>
            <w:noProof/>
          </w:rPr>
          <w:t>8.2.2</w:t>
        </w:r>
        <w:r w:rsidR="000066CE">
          <w:rPr>
            <w:rFonts w:eastAsiaTheme="minorEastAsia" w:cstheme="minorBidi"/>
            <w:i w:val="0"/>
            <w:iCs w:val="0"/>
            <w:noProof/>
            <w:sz w:val="22"/>
            <w:szCs w:val="22"/>
            <w:lang w:eastAsia="cs-CZ"/>
          </w:rPr>
          <w:tab/>
        </w:r>
        <w:r w:rsidR="000066CE" w:rsidRPr="00174ABC">
          <w:rPr>
            <w:rStyle w:val="Hypertextovodkaz"/>
            <w:noProof/>
          </w:rPr>
          <w:t>Nabídková strana</w:t>
        </w:r>
        <w:r w:rsidR="000066CE">
          <w:rPr>
            <w:noProof/>
            <w:webHidden/>
          </w:rPr>
          <w:tab/>
        </w:r>
        <w:r w:rsidR="000066CE">
          <w:rPr>
            <w:noProof/>
            <w:webHidden/>
          </w:rPr>
          <w:fldChar w:fldCharType="begin"/>
        </w:r>
        <w:r w:rsidR="000066CE">
          <w:rPr>
            <w:noProof/>
            <w:webHidden/>
          </w:rPr>
          <w:instrText xml:space="preserve"> PAGEREF _Toc536553954 \h </w:instrText>
        </w:r>
        <w:r w:rsidR="000066CE">
          <w:rPr>
            <w:noProof/>
            <w:webHidden/>
          </w:rPr>
        </w:r>
        <w:r w:rsidR="000066CE">
          <w:rPr>
            <w:noProof/>
            <w:webHidden/>
          </w:rPr>
          <w:fldChar w:fldCharType="separate"/>
        </w:r>
        <w:r w:rsidR="00263A1B">
          <w:rPr>
            <w:noProof/>
            <w:webHidden/>
          </w:rPr>
          <w:t>105</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55" w:history="1">
        <w:r w:rsidR="000066CE" w:rsidRPr="00174ABC">
          <w:rPr>
            <w:rStyle w:val="Hypertextovodkaz"/>
            <w:noProof/>
          </w:rPr>
          <w:t>8.3</w:t>
        </w:r>
        <w:r w:rsidR="000066CE">
          <w:rPr>
            <w:rFonts w:eastAsiaTheme="minorEastAsia" w:cstheme="minorBidi"/>
            <w:smallCaps w:val="0"/>
            <w:noProof/>
            <w:sz w:val="22"/>
            <w:szCs w:val="22"/>
            <w:lang w:eastAsia="cs-CZ"/>
          </w:rPr>
          <w:tab/>
        </w:r>
        <w:r w:rsidR="000066CE" w:rsidRPr="00174ABC">
          <w:rPr>
            <w:rStyle w:val="Hypertextovodkaz"/>
            <w:noProof/>
          </w:rPr>
          <w:t>Transparence a otevřená data</w:t>
        </w:r>
        <w:r w:rsidR="000066CE">
          <w:rPr>
            <w:noProof/>
            <w:webHidden/>
          </w:rPr>
          <w:tab/>
        </w:r>
        <w:r w:rsidR="000066CE">
          <w:rPr>
            <w:noProof/>
            <w:webHidden/>
          </w:rPr>
          <w:fldChar w:fldCharType="begin"/>
        </w:r>
        <w:r w:rsidR="000066CE">
          <w:rPr>
            <w:noProof/>
            <w:webHidden/>
          </w:rPr>
          <w:instrText xml:space="preserve"> PAGEREF _Toc536553955 \h </w:instrText>
        </w:r>
        <w:r w:rsidR="000066CE">
          <w:rPr>
            <w:noProof/>
            <w:webHidden/>
          </w:rPr>
        </w:r>
        <w:r w:rsidR="000066CE">
          <w:rPr>
            <w:noProof/>
            <w:webHidden/>
          </w:rPr>
          <w:fldChar w:fldCharType="separate"/>
        </w:r>
        <w:r w:rsidR="00263A1B">
          <w:rPr>
            <w:noProof/>
            <w:webHidden/>
          </w:rPr>
          <w:t>105</w:t>
        </w:r>
        <w:r w:rsidR="000066CE">
          <w:rPr>
            <w:noProof/>
            <w:webHidden/>
          </w:rPr>
          <w:fldChar w:fldCharType="end"/>
        </w:r>
      </w:hyperlink>
    </w:p>
    <w:p w:rsidR="000066CE" w:rsidRDefault="00CE1110">
      <w:pPr>
        <w:pStyle w:val="Obsah2"/>
        <w:tabs>
          <w:tab w:val="left" w:pos="720"/>
          <w:tab w:val="right" w:leader="dot" w:pos="9060"/>
        </w:tabs>
        <w:rPr>
          <w:rFonts w:eastAsiaTheme="minorEastAsia" w:cstheme="minorBidi"/>
          <w:smallCaps w:val="0"/>
          <w:noProof/>
          <w:sz w:val="22"/>
          <w:szCs w:val="22"/>
          <w:lang w:eastAsia="cs-CZ"/>
        </w:rPr>
      </w:pPr>
      <w:hyperlink w:anchor="_Toc536553956" w:history="1">
        <w:r w:rsidR="000066CE" w:rsidRPr="00174ABC">
          <w:rPr>
            <w:rStyle w:val="Hypertextovodkaz"/>
            <w:noProof/>
          </w:rPr>
          <w:t>8.4</w:t>
        </w:r>
        <w:r w:rsidR="000066CE">
          <w:rPr>
            <w:rFonts w:eastAsiaTheme="minorEastAsia" w:cstheme="minorBidi"/>
            <w:smallCaps w:val="0"/>
            <w:noProof/>
            <w:sz w:val="22"/>
            <w:szCs w:val="22"/>
            <w:lang w:eastAsia="cs-CZ"/>
          </w:rPr>
          <w:tab/>
        </w:r>
        <w:r w:rsidR="000066CE" w:rsidRPr="00174ABC">
          <w:rPr>
            <w:rStyle w:val="Hypertextovodkaz"/>
            <w:noProof/>
          </w:rPr>
          <w:t>Shoda s dobrou praxí, přiměřenost ke stávající legislativě</w:t>
        </w:r>
        <w:r w:rsidR="000066CE">
          <w:rPr>
            <w:noProof/>
            <w:webHidden/>
          </w:rPr>
          <w:tab/>
        </w:r>
        <w:r w:rsidR="000066CE">
          <w:rPr>
            <w:noProof/>
            <w:webHidden/>
          </w:rPr>
          <w:fldChar w:fldCharType="begin"/>
        </w:r>
        <w:r w:rsidR="000066CE">
          <w:rPr>
            <w:noProof/>
            <w:webHidden/>
          </w:rPr>
          <w:instrText xml:space="preserve"> PAGEREF _Toc536553956 \h </w:instrText>
        </w:r>
        <w:r w:rsidR="000066CE">
          <w:rPr>
            <w:noProof/>
            <w:webHidden/>
          </w:rPr>
        </w:r>
        <w:r w:rsidR="000066CE">
          <w:rPr>
            <w:noProof/>
            <w:webHidden/>
          </w:rPr>
          <w:fldChar w:fldCharType="separate"/>
        </w:r>
        <w:r w:rsidR="00263A1B">
          <w:rPr>
            <w:noProof/>
            <w:webHidden/>
          </w:rPr>
          <w:t>105</w:t>
        </w:r>
        <w:r w:rsidR="000066CE">
          <w:rPr>
            <w:noProof/>
            <w:webHidden/>
          </w:rPr>
          <w:fldChar w:fldCharType="end"/>
        </w:r>
      </w:hyperlink>
    </w:p>
    <w:p w:rsidR="000066CE" w:rsidRDefault="00CE1110">
      <w:pPr>
        <w:pStyle w:val="Obsah1"/>
        <w:rPr>
          <w:rFonts w:eastAsiaTheme="minorEastAsia" w:cstheme="minorBidi"/>
          <w:b w:val="0"/>
          <w:bCs w:val="0"/>
          <w:caps w:val="0"/>
          <w:noProof/>
          <w:sz w:val="22"/>
          <w:szCs w:val="22"/>
          <w:lang w:eastAsia="cs-CZ"/>
        </w:rPr>
      </w:pPr>
      <w:hyperlink w:anchor="_Toc536553957" w:history="1">
        <w:r w:rsidR="000066CE" w:rsidRPr="00174ABC">
          <w:rPr>
            <w:rStyle w:val="Hypertextovodkaz"/>
            <w:rFonts w:asciiTheme="majorHAnsi" w:hAnsiTheme="majorHAnsi"/>
            <w:noProof/>
          </w:rPr>
          <w:t>9</w:t>
        </w:r>
        <w:r w:rsidR="000066CE">
          <w:rPr>
            <w:rFonts w:eastAsiaTheme="minorEastAsia" w:cstheme="minorBidi"/>
            <w:b w:val="0"/>
            <w:bCs w:val="0"/>
            <w:caps w:val="0"/>
            <w:noProof/>
            <w:sz w:val="22"/>
            <w:szCs w:val="22"/>
            <w:lang w:eastAsia="cs-CZ"/>
          </w:rPr>
          <w:tab/>
        </w:r>
        <w:r w:rsidR="000066CE" w:rsidRPr="00174ABC">
          <w:rPr>
            <w:rStyle w:val="Hypertextovodkaz"/>
            <w:noProof/>
          </w:rPr>
          <w:t>Seznam zkratek</w:t>
        </w:r>
        <w:r w:rsidR="000066CE">
          <w:rPr>
            <w:noProof/>
            <w:webHidden/>
          </w:rPr>
          <w:tab/>
        </w:r>
        <w:r w:rsidR="000066CE">
          <w:rPr>
            <w:noProof/>
            <w:webHidden/>
          </w:rPr>
          <w:fldChar w:fldCharType="begin"/>
        </w:r>
        <w:r w:rsidR="000066CE">
          <w:rPr>
            <w:noProof/>
            <w:webHidden/>
          </w:rPr>
          <w:instrText xml:space="preserve"> PAGEREF _Toc536553957 \h </w:instrText>
        </w:r>
        <w:r w:rsidR="000066CE">
          <w:rPr>
            <w:noProof/>
            <w:webHidden/>
          </w:rPr>
        </w:r>
        <w:r w:rsidR="000066CE">
          <w:rPr>
            <w:noProof/>
            <w:webHidden/>
          </w:rPr>
          <w:fldChar w:fldCharType="separate"/>
        </w:r>
        <w:r w:rsidR="00263A1B">
          <w:rPr>
            <w:noProof/>
            <w:webHidden/>
          </w:rPr>
          <w:t>105</w:t>
        </w:r>
        <w:r w:rsidR="000066CE">
          <w:rPr>
            <w:noProof/>
            <w:webHidden/>
          </w:rPr>
          <w:fldChar w:fldCharType="end"/>
        </w:r>
      </w:hyperlink>
    </w:p>
    <w:p w:rsidR="000066CE" w:rsidRDefault="00CE1110">
      <w:pPr>
        <w:pStyle w:val="Obsah1"/>
        <w:rPr>
          <w:rFonts w:eastAsiaTheme="minorEastAsia" w:cstheme="minorBidi"/>
          <w:b w:val="0"/>
          <w:bCs w:val="0"/>
          <w:caps w:val="0"/>
          <w:noProof/>
          <w:sz w:val="22"/>
          <w:szCs w:val="22"/>
          <w:lang w:eastAsia="cs-CZ"/>
        </w:rPr>
      </w:pPr>
      <w:hyperlink w:anchor="_Toc536553958" w:history="1">
        <w:r w:rsidR="000066CE" w:rsidRPr="00174ABC">
          <w:rPr>
            <w:rStyle w:val="Hypertextovodkaz"/>
            <w:rFonts w:asciiTheme="majorHAnsi" w:hAnsiTheme="majorHAnsi"/>
            <w:noProof/>
          </w:rPr>
          <w:t>10</w:t>
        </w:r>
        <w:r w:rsidR="000066CE">
          <w:rPr>
            <w:rFonts w:eastAsiaTheme="minorEastAsia" w:cstheme="minorBidi"/>
            <w:b w:val="0"/>
            <w:bCs w:val="0"/>
            <w:caps w:val="0"/>
            <w:noProof/>
            <w:sz w:val="22"/>
            <w:szCs w:val="22"/>
            <w:lang w:eastAsia="cs-CZ"/>
          </w:rPr>
          <w:tab/>
        </w:r>
        <w:r w:rsidR="000066CE" w:rsidRPr="00174ABC">
          <w:rPr>
            <w:rStyle w:val="Hypertextovodkaz"/>
            <w:noProof/>
          </w:rPr>
          <w:t>Kontakt na zpracovatele RIA</w:t>
        </w:r>
        <w:r w:rsidR="000066CE">
          <w:rPr>
            <w:noProof/>
            <w:webHidden/>
          </w:rPr>
          <w:tab/>
        </w:r>
        <w:r w:rsidR="000066CE">
          <w:rPr>
            <w:noProof/>
            <w:webHidden/>
          </w:rPr>
          <w:fldChar w:fldCharType="begin"/>
        </w:r>
        <w:r w:rsidR="000066CE">
          <w:rPr>
            <w:noProof/>
            <w:webHidden/>
          </w:rPr>
          <w:instrText xml:space="preserve"> PAGEREF _Toc536553958 \h </w:instrText>
        </w:r>
        <w:r w:rsidR="000066CE">
          <w:rPr>
            <w:noProof/>
            <w:webHidden/>
          </w:rPr>
        </w:r>
        <w:r w:rsidR="000066CE">
          <w:rPr>
            <w:noProof/>
            <w:webHidden/>
          </w:rPr>
          <w:fldChar w:fldCharType="separate"/>
        </w:r>
        <w:r w:rsidR="00263A1B">
          <w:rPr>
            <w:noProof/>
            <w:webHidden/>
          </w:rPr>
          <w:t>107</w:t>
        </w:r>
        <w:r w:rsidR="000066CE">
          <w:rPr>
            <w:noProof/>
            <w:webHidden/>
          </w:rPr>
          <w:fldChar w:fldCharType="end"/>
        </w:r>
      </w:hyperlink>
    </w:p>
    <w:p w:rsidR="00D004D9" w:rsidRPr="0089559F" w:rsidRDefault="00AB65E9" w:rsidP="0089559F">
      <w:pPr>
        <w:widowControl w:val="0"/>
        <w:outlineLvl w:val="0"/>
        <w:rPr>
          <w:rFonts w:ascii="Calibri" w:hAnsi="Calibri"/>
          <w:sz w:val="22"/>
          <w:lang w:eastAsia="cs-CZ"/>
        </w:rPr>
      </w:pPr>
      <w:r>
        <w:rPr>
          <w:rFonts w:ascii="Calibri" w:hAnsi="Calibri"/>
          <w:sz w:val="20"/>
          <w:szCs w:val="20"/>
          <w:lang w:eastAsia="cs-CZ"/>
        </w:rPr>
        <w:fldChar w:fldCharType="end"/>
      </w:r>
      <w:r w:rsidR="00D004D9">
        <w:br w:type="page"/>
      </w:r>
    </w:p>
    <w:p w:rsidR="00345ACF" w:rsidRPr="00F17D93" w:rsidRDefault="00345ACF" w:rsidP="003E4A5D">
      <w:pPr>
        <w:pStyle w:val="Nadpis10"/>
        <w:rPr>
          <w:rFonts w:eastAsia="Calibri"/>
        </w:rPr>
      </w:pPr>
      <w:bookmarkStart w:id="5" w:name="_Toc536553881"/>
      <w:r w:rsidRPr="00F17D93">
        <w:lastRenderedPageBreak/>
        <w:t>Důvod předložení a cíle</w:t>
      </w:r>
      <w:bookmarkEnd w:id="5"/>
    </w:p>
    <w:p w:rsidR="00345ACF" w:rsidRPr="00F17D93" w:rsidRDefault="00345ACF" w:rsidP="003E4A5D">
      <w:pPr>
        <w:pStyle w:val="Nadpis20"/>
        <w:keepNext w:val="0"/>
        <w:widowControl w:val="0"/>
      </w:pPr>
      <w:bookmarkStart w:id="6" w:name="_Toc536553882"/>
      <w:r w:rsidRPr="00F17D93">
        <w:t>Název</w:t>
      </w:r>
      <w:bookmarkEnd w:id="6"/>
      <w:r w:rsidRPr="00F17D93">
        <w:t xml:space="preserve"> </w:t>
      </w:r>
    </w:p>
    <w:p w:rsidR="00EC7D36" w:rsidRPr="00F17D93" w:rsidRDefault="001D7237" w:rsidP="003E4A5D">
      <w:pPr>
        <w:widowControl w:val="0"/>
      </w:pPr>
      <w:r>
        <w:t>VĚCNÝ ZÁMĚR</w:t>
      </w:r>
      <w:r w:rsidR="005C58EA">
        <w:t xml:space="preserve"> </w:t>
      </w:r>
      <w:r w:rsidR="00FD54D4">
        <w:tab/>
      </w:r>
      <w:r w:rsidR="008B0435">
        <w:t>STAVEBNÍHO ZÁKONA</w:t>
      </w:r>
    </w:p>
    <w:p w:rsidR="008F2B87" w:rsidRDefault="00345ACF" w:rsidP="003E4A5D">
      <w:pPr>
        <w:pStyle w:val="Nadpis20"/>
        <w:keepNext w:val="0"/>
        <w:widowControl w:val="0"/>
      </w:pPr>
      <w:bookmarkStart w:id="7" w:name="_Ref380057366"/>
      <w:bookmarkStart w:id="8" w:name="_Toc536553883"/>
      <w:r w:rsidRPr="00F17D93">
        <w:t>Definice problému</w:t>
      </w:r>
      <w:bookmarkEnd w:id="7"/>
      <w:bookmarkEnd w:id="8"/>
      <w:r w:rsidRPr="00F17D93">
        <w:t xml:space="preserve"> </w:t>
      </w:r>
    </w:p>
    <w:p w:rsidR="00957A71" w:rsidRPr="00391E39" w:rsidRDefault="00243EB8" w:rsidP="00391E39">
      <w:pPr>
        <w:pStyle w:val="Nadpis30"/>
      </w:pPr>
      <w:bookmarkStart w:id="9" w:name="_Toc536553884"/>
      <w:r w:rsidRPr="00391E39">
        <w:t>Popis současného stavu</w:t>
      </w:r>
      <w:bookmarkEnd w:id="9"/>
    </w:p>
    <w:p w:rsidR="00A916CC" w:rsidRPr="00A916CC" w:rsidRDefault="00025D6B" w:rsidP="003E4A5D">
      <w:pPr>
        <w:pStyle w:val="Nadpis4"/>
        <w:keepNext w:val="0"/>
        <w:keepLines w:val="0"/>
        <w:widowControl w:val="0"/>
        <w:rPr>
          <w:rStyle w:val="Text-NormalnChar"/>
          <w:rFonts w:eastAsia="Calibri"/>
        </w:rPr>
      </w:pPr>
      <w:bookmarkStart w:id="10" w:name="_Toc536553885"/>
      <w:r>
        <w:t>Stavebnictví, jeho vývoj a souvislosti s právní úpravou stavebního práva</w:t>
      </w:r>
      <w:bookmarkEnd w:id="10"/>
    </w:p>
    <w:p w:rsidR="000A3462" w:rsidRPr="000A3462" w:rsidRDefault="000A3462" w:rsidP="003E4A5D">
      <w:pPr>
        <w:pStyle w:val="Citace1"/>
        <w:rPr>
          <w:rStyle w:val="Text-NormalnChar"/>
          <w:rFonts w:eastAsia="Calibri"/>
        </w:rPr>
      </w:pPr>
      <w:r w:rsidRPr="000A3462">
        <w:rPr>
          <w:rStyle w:val="Text-NormalnChar"/>
          <w:rFonts w:eastAsia="Calibri"/>
        </w:rPr>
        <w:t>Následující text ilustruje, proč je pro českou ekonomiku stavebnictví a jeho vývoj důležitý. Jde</w:t>
      </w:r>
      <w:r w:rsidR="00FD54D4">
        <w:rPr>
          <w:rStyle w:val="Text-NormalnChar"/>
          <w:rFonts w:eastAsia="Calibri"/>
        </w:rPr>
        <w:t> </w:t>
      </w:r>
      <w:r w:rsidRPr="000A3462">
        <w:rPr>
          <w:rStyle w:val="Text-NormalnChar"/>
          <w:rFonts w:eastAsia="Calibri"/>
        </w:rPr>
        <w:t>o</w:t>
      </w:r>
      <w:r w:rsidR="00FD54D4">
        <w:rPr>
          <w:rStyle w:val="Text-NormalnChar"/>
          <w:rFonts w:eastAsia="Calibri"/>
        </w:rPr>
        <w:t> </w:t>
      </w:r>
      <w:r w:rsidRPr="000A3462">
        <w:rPr>
          <w:rStyle w:val="Text-NormalnChar"/>
          <w:rFonts w:eastAsia="Calibri"/>
        </w:rPr>
        <w:t>klíčové odvětví našeho hospodářství, ovlivňující ostatní sektory</w:t>
      </w:r>
      <w:r w:rsidR="00D0132A">
        <w:rPr>
          <w:rStyle w:val="Text-NormalnChar"/>
          <w:rFonts w:eastAsia="Calibri"/>
        </w:rPr>
        <w:t xml:space="preserve">. </w:t>
      </w:r>
      <w:r w:rsidRPr="000A3462">
        <w:rPr>
          <w:rStyle w:val="Text-NormalnChar"/>
          <w:rFonts w:eastAsia="Calibri"/>
        </w:rPr>
        <w:t xml:space="preserve">Proto je třeba k jeho </w:t>
      </w:r>
      <w:r w:rsidRPr="00104913">
        <w:rPr>
          <w:rStyle w:val="Text-NormalnChar"/>
          <w:rFonts w:eastAsia="Calibri"/>
          <w:u w:val="single"/>
        </w:rPr>
        <w:t>regulaci přistupovat velmi obezřetně</w:t>
      </w:r>
      <w:r w:rsidRPr="000A3462">
        <w:rPr>
          <w:rStyle w:val="Text-NormalnChar"/>
          <w:rFonts w:eastAsia="Calibri"/>
        </w:rPr>
        <w:t xml:space="preserve"> tak, aby </w:t>
      </w:r>
      <w:r w:rsidR="00801B9A">
        <w:rPr>
          <w:rStyle w:val="Text-NormalnChar"/>
          <w:rFonts w:eastAsia="Calibri"/>
        </w:rPr>
        <w:t>nepodvazovala potenciál stavebnictví pro celou ekonomiku, nebránila rozvoji České republiky</w:t>
      </w:r>
      <w:r w:rsidR="00B35C93">
        <w:rPr>
          <w:rStyle w:val="Text-NormalnChar"/>
          <w:rFonts w:eastAsia="Calibri"/>
        </w:rPr>
        <w:t xml:space="preserve"> (ČR)</w:t>
      </w:r>
      <w:r w:rsidR="00801B9A">
        <w:rPr>
          <w:rStyle w:val="Text-NormalnChar"/>
          <w:rFonts w:eastAsia="Calibri"/>
        </w:rPr>
        <w:t xml:space="preserve">, ale zároveň aby dostatečně zajišťovala </w:t>
      </w:r>
      <w:r w:rsidR="00325D6C">
        <w:rPr>
          <w:rStyle w:val="Text-NormalnChar"/>
          <w:rFonts w:eastAsia="Calibri"/>
        </w:rPr>
        <w:t xml:space="preserve">respekt k právům </w:t>
      </w:r>
      <w:r w:rsidR="005449E5">
        <w:rPr>
          <w:rStyle w:val="Text-NormalnChar"/>
          <w:rFonts w:eastAsia="Calibri"/>
        </w:rPr>
        <w:t xml:space="preserve">dotčených </w:t>
      </w:r>
      <w:r w:rsidR="00325D6C">
        <w:rPr>
          <w:rStyle w:val="Text-NormalnChar"/>
          <w:rFonts w:eastAsia="Calibri"/>
        </w:rPr>
        <w:t xml:space="preserve">osob a </w:t>
      </w:r>
      <w:r w:rsidR="00801B9A">
        <w:rPr>
          <w:rStyle w:val="Text-NormalnChar"/>
          <w:rFonts w:eastAsia="Calibri"/>
        </w:rPr>
        <w:t>ochranu všech vz</w:t>
      </w:r>
      <w:r w:rsidR="00325D6C">
        <w:rPr>
          <w:rStyle w:val="Text-NormalnChar"/>
          <w:rFonts w:eastAsia="Calibri"/>
        </w:rPr>
        <w:t xml:space="preserve">ájemně kolidujících </w:t>
      </w:r>
      <w:r w:rsidR="00801B9A">
        <w:rPr>
          <w:rStyle w:val="Text-NormalnChar"/>
          <w:rFonts w:eastAsia="Calibri"/>
        </w:rPr>
        <w:t>souk</w:t>
      </w:r>
      <w:r w:rsidR="00325D6C">
        <w:rPr>
          <w:rStyle w:val="Text-NormalnChar"/>
          <w:rFonts w:eastAsia="Calibri"/>
        </w:rPr>
        <w:t>r</w:t>
      </w:r>
      <w:r w:rsidR="00801B9A">
        <w:rPr>
          <w:rStyle w:val="Text-NormalnChar"/>
          <w:rFonts w:eastAsia="Calibri"/>
        </w:rPr>
        <w:t xml:space="preserve">omých </w:t>
      </w:r>
      <w:r w:rsidR="005449E5">
        <w:rPr>
          <w:rStyle w:val="Text-NormalnChar"/>
          <w:rFonts w:eastAsia="Calibri"/>
        </w:rPr>
        <w:t xml:space="preserve">i veřejných </w:t>
      </w:r>
      <w:r w:rsidR="00801B9A">
        <w:rPr>
          <w:rStyle w:val="Text-NormalnChar"/>
          <w:rFonts w:eastAsia="Calibri"/>
        </w:rPr>
        <w:t>zájmů v</w:t>
      </w:r>
      <w:r w:rsidR="008A682F">
        <w:rPr>
          <w:rStyle w:val="Text-NormalnChar"/>
          <w:rFonts w:eastAsia="Calibri"/>
        </w:rPr>
        <w:t> </w:t>
      </w:r>
      <w:r w:rsidR="00801B9A">
        <w:rPr>
          <w:rStyle w:val="Text-NormalnChar"/>
          <w:rFonts w:eastAsia="Calibri"/>
        </w:rPr>
        <w:t>území</w:t>
      </w:r>
      <w:r w:rsidR="008A682F">
        <w:rPr>
          <w:rStyle w:val="Text-NormalnChar"/>
          <w:rFonts w:eastAsia="Calibri"/>
        </w:rPr>
        <w:t xml:space="preserve">. </w:t>
      </w:r>
    </w:p>
    <w:p w:rsidR="00213DCD" w:rsidRDefault="00213DCD" w:rsidP="003E4A5D">
      <w:pPr>
        <w:pStyle w:val="Text-Normaln"/>
        <w:widowControl w:val="0"/>
      </w:pPr>
      <w:r>
        <w:t xml:space="preserve">Česká ekonomika prošla v 90. letech zásadní transformací. Stavebnictví patřilo mezi odvětví ekonomiky, na kterých se změny projevily nejvýrazněji. Velké státní stavební organizace se rozdělily na menší až drobné podniky. Vznikly firmy vlastněné zahraničními subjekty a firmy mezinárodní. Změnila se velikostní struktura nárůstem podílu </w:t>
      </w:r>
      <w:r w:rsidR="00FD54D4">
        <w:t>malých a středních podnikatelů (</w:t>
      </w:r>
      <w:r w:rsidR="004F1E30">
        <w:t>MSP</w:t>
      </w:r>
      <w:r w:rsidR="00FD54D4">
        <w:t>)</w:t>
      </w:r>
      <w:r w:rsidR="00FE0F06">
        <w:t xml:space="preserve"> ve stavebnictví</w:t>
      </w:r>
      <w:r>
        <w:t>. V důsledku transformace došlo k výraznému reálnému poklesu objemu stavební produkce. Nejvážněji se projevil útlum státních dotací do bytové výstavby, jenž vedl v</w:t>
      </w:r>
      <w:r w:rsidR="00FE0F06">
        <w:t> </w:t>
      </w:r>
      <w:r>
        <w:t>roce 1991 ke snížení počtu zahájených</w:t>
      </w:r>
      <w:r w:rsidR="00516113">
        <w:t xml:space="preserve"> staveb</w:t>
      </w:r>
      <w:r>
        <w:t xml:space="preserve"> bytů na šestinu proti minulému roku. V roce 1992 stavební produkce vzrostla zejména vlivem zvýšené fakturace před zavedením daně z</w:t>
      </w:r>
      <w:r w:rsidR="00FE0F06">
        <w:t> </w:t>
      </w:r>
      <w:r>
        <w:t>přidané hodnoty od 1. ledna 1993. V roce 1993 klesla stavební produkce na své dno.</w:t>
      </w:r>
    </w:p>
    <w:p w:rsidR="00213DCD" w:rsidRDefault="00213DCD" w:rsidP="003E4A5D">
      <w:pPr>
        <w:pStyle w:val="Text-Normaln"/>
        <w:widowControl w:val="0"/>
      </w:pPr>
      <w:r>
        <w:t xml:space="preserve">Ve druhé polovině 90. let se situace stabilizovala. Pokračovaly tendence koncentrace vlastnictví (majoritní vlastníci), slučování stavebních firem do větších celků při zachování samostatnosti podniků v holdingu. Stavební firmy byly převážně v soukromém vlastnictví a měly možnost využívat mnohem širší materiálovou základnu. V důsledku restitucí a privatizace se začal stavební sektor přibližovat struktuře běžné v tržní ekonomice, kde malé množství velkých stavebních firem je doplněno značným počtem malých firem zaměřených především na </w:t>
      </w:r>
      <w:r w:rsidR="001E1C6E">
        <w:t xml:space="preserve">menší projekty, </w:t>
      </w:r>
      <w:r>
        <w:t xml:space="preserve">opravy, údržbu a rekonstrukce nebo modernizace. Toto uspořádání umožňuje pružnější reakce na změnu v poptávce po stavebních pracích. Stále častěji se začaly objevovat inženýrské </w:t>
      </w:r>
      <w:r w:rsidR="00516113">
        <w:t>a</w:t>
      </w:r>
      <w:r w:rsidR="001E1C6E">
        <w:t> </w:t>
      </w:r>
      <w:r w:rsidR="00516113">
        <w:t xml:space="preserve">obchodní </w:t>
      </w:r>
      <w:r>
        <w:t xml:space="preserve">organizace </w:t>
      </w:r>
      <w:r w:rsidR="00516113">
        <w:t xml:space="preserve">činné ve výstavbě </w:t>
      </w:r>
      <w:r>
        <w:t>v podstatě bez vlastních stavebních kapacit.</w:t>
      </w:r>
    </w:p>
    <w:p w:rsidR="00213DCD" w:rsidRDefault="00213DCD" w:rsidP="003E4A5D">
      <w:pPr>
        <w:pStyle w:val="Text-Normaln"/>
        <w:widowControl w:val="0"/>
      </w:pPr>
      <w:r>
        <w:t xml:space="preserve">V letech 1994–1996 se reálná stavební produkce zvyšovala, nejvíce v roce 1995, kdy roční růst </w:t>
      </w:r>
      <w:r w:rsidR="001E1C6E">
        <w:t xml:space="preserve">produkce </w:t>
      </w:r>
      <w:r>
        <w:t>ve</w:t>
      </w:r>
      <w:r w:rsidR="00516113">
        <w:t> </w:t>
      </w:r>
      <w:r>
        <w:t xml:space="preserve">srovnatelných cenách překročil 8 %. </w:t>
      </w:r>
      <w:r w:rsidR="004F1E30">
        <w:t>V</w:t>
      </w:r>
      <w:r>
        <w:t xml:space="preserve"> letech 1997–1999 </w:t>
      </w:r>
      <w:r w:rsidR="00516113">
        <w:t xml:space="preserve">docházelo naopak </w:t>
      </w:r>
      <w:r>
        <w:t>k</w:t>
      </w:r>
      <w:r w:rsidR="001E1C6E">
        <w:t> </w:t>
      </w:r>
      <w:r>
        <w:t>poklesu objemu produkce, kterou lze označit za recesi, případně až krizi odvětví související s</w:t>
      </w:r>
      <w:r w:rsidR="001E1C6E">
        <w:t> </w:t>
      </w:r>
      <w:r>
        <w:t xml:space="preserve">obdobným vývojem celého hospodářství </w:t>
      </w:r>
      <w:r w:rsidR="00C85BD6">
        <w:t>ČR</w:t>
      </w:r>
      <w:r>
        <w:t>. Stavebnictví se ocitlo v hlubokém útlumu, pro který byl charakteristický výrazný pokles poptávky při přebytku kapacit a zhoršující se finanční situace firem. Po věcné stránce je pro stavební produkci 90. let charakteristický vysoký podíl novostaveb. Relativně významně vzrostl v druhé polovině dekády podíl bytové výstavby.</w:t>
      </w:r>
    </w:p>
    <w:p w:rsidR="00213DCD" w:rsidRDefault="00213DCD" w:rsidP="003E4A5D">
      <w:pPr>
        <w:pStyle w:val="Text-Normaln"/>
        <w:widowControl w:val="0"/>
      </w:pPr>
      <w:r>
        <w:t xml:space="preserve">Po roce 2000 byla obnovena dynamika růstu výkonnosti českého stavebnictví. Bytová výstavba </w:t>
      </w:r>
      <w:r w:rsidR="00A62A05">
        <w:t>se</w:t>
      </w:r>
      <w:r w:rsidR="00B61A05">
        <w:t> </w:t>
      </w:r>
      <w:r>
        <w:t>výrazně oživila. Projevila se také snaha modernizovat průmyslové, obchodní i správní budovy zejména ve formě „inteligentních budov“. Také proto si objem rekonstrukcí udržoval plynulý růst, dokonce vyšší, než byl zaznamenán u nové výstavby. Rostoucí tlaky na fungující moderní infrastrukturu vyvolávaly další podněty k růstu poptávky. Ta se projevila zejména na výstavbě transevropské dopravní infrastruktury a energetických a vodních sítí. Vrcholu bylo dosaženo v</w:t>
      </w:r>
      <w:r w:rsidR="00A62A05">
        <w:t> </w:t>
      </w:r>
      <w:r>
        <w:t>roce 2008, ale již tehdy se začalo projevovat postupné zpomalování ekonomického růstu. Rychle rostl objem nových zakázek u inženýrských staveb (dálnice, železnice, inženýrské sítě), jejichž výstavba byla podporována z evropských fondů</w:t>
      </w:r>
      <w:r w:rsidR="00A62A05">
        <w:t>,</w:t>
      </w:r>
      <w:r>
        <w:t xml:space="preserve"> a zpravidla šlo o veřejné zakázky. Pokles </w:t>
      </w:r>
      <w:r>
        <w:lastRenderedPageBreak/>
        <w:t>byl zaznamenán především u nebytových výrobních budov (průmyslových a zemědělských staveb) a podle očekávání u bytové výstavby, což signalizovalo zhoršení sociální situace obyvatelstva. Právě pozemní stavitelství pokračovalo v dlouhodobém propadu.</w:t>
      </w:r>
    </w:p>
    <w:p w:rsidR="00026645" w:rsidRDefault="00213DCD" w:rsidP="003E4A5D">
      <w:pPr>
        <w:pStyle w:val="Text-Normaln"/>
        <w:widowControl w:val="0"/>
      </w:pPr>
      <w:r>
        <w:t xml:space="preserve">V roce 2008 se poptávka po nemovitostech oproti roku 2007 snížila zhruba o třetinu až polovinu. Došlo k omezování stavebních investic. Propad se projevil u všech velikostních kategorií firem. Investoři a developeři začali omezovat nebo pozastavili některé akce, dokonce i řadu velkých projektů prakticky ve všech regionech. Developeři začali stavět pouze pro konkrétní klienty, nikoli </w:t>
      </w:r>
      <w:r w:rsidR="002D6D3A">
        <w:t>již na vlastní riziko pro budoucí možný prodej</w:t>
      </w:r>
      <w:r w:rsidR="00CB535C">
        <w:t xml:space="preserve"> či jiné budoucí využití</w:t>
      </w:r>
      <w:r>
        <w:t>. (</w:t>
      </w:r>
      <w:r w:rsidRPr="00213DCD">
        <w:rPr>
          <w:i/>
        </w:rPr>
        <w:t xml:space="preserve">Zdroj: </w:t>
      </w:r>
      <w:hyperlink r:id="rId10" w:history="1">
        <w:r w:rsidR="001B3136" w:rsidRPr="00A06A9A">
          <w:rPr>
            <w:rStyle w:val="Hypertextovodkaz"/>
            <w:i/>
          </w:rPr>
          <w:t>http://www.statistikaamy.cz/2015/09/vzestupy-a-pady-ceskeho-stavebnictvi/</w:t>
        </w:r>
      </w:hyperlink>
      <w:r>
        <w:t>)</w:t>
      </w:r>
    </w:p>
    <w:p w:rsidR="00BB5C81" w:rsidRDefault="00BB5C81" w:rsidP="003E4A5D">
      <w:pPr>
        <w:pStyle w:val="Text-Normaln"/>
        <w:widowControl w:val="0"/>
      </w:pPr>
      <w:r>
        <w:t xml:space="preserve">Od roku 2008 do roku 2010, v období první fáze recese, se ještě podíl stavebnictví na </w:t>
      </w:r>
      <w:r w:rsidR="00E20097">
        <w:t>hrubé přidané hodnotě (</w:t>
      </w:r>
      <w:r>
        <w:t>HPH</w:t>
      </w:r>
      <w:r w:rsidR="00E20097">
        <w:t>)</w:t>
      </w:r>
      <w:r>
        <w:t xml:space="preserve"> </w:t>
      </w:r>
      <w:r w:rsidR="00A15049">
        <w:t xml:space="preserve">celé ekonomiky ČR </w:t>
      </w:r>
      <w:r>
        <w:t xml:space="preserve">zvyšoval, na úkor podílu ostatních odvětví ekonomiky. </w:t>
      </w:r>
      <w:r w:rsidR="009D707E">
        <w:t>V </w:t>
      </w:r>
      <w:r>
        <w:t xml:space="preserve">roce 2010 začal podíl stavebnictví klesat a s výjimkou roku 2015 se snižoval až do roku 2016. </w:t>
      </w:r>
      <w:r w:rsidR="009D707E">
        <w:t> V </w:t>
      </w:r>
      <w:r>
        <w:t xml:space="preserve">roce 2015 došlo ke zvýšení podílu odvětví a také k výraznému nárůstu vytvořené HPH, ale </w:t>
      </w:r>
      <w:r w:rsidR="009D707E">
        <w:t>v </w:t>
      </w:r>
      <w:r>
        <w:t xml:space="preserve">dalším roce se jeho podíl opět snížil. Vytvořená HPH byla v roce 2016 meziročně vyšší, ale </w:t>
      </w:r>
      <w:r w:rsidR="009D707E">
        <w:t>s </w:t>
      </w:r>
      <w:r>
        <w:t xml:space="preserve">nižším podílem, když se v tomto roce zvýšil podíl zejména zpracovatelského průmyslu, obchodu </w:t>
      </w:r>
      <w:r w:rsidR="009D707E">
        <w:t>a </w:t>
      </w:r>
      <w:r>
        <w:t>ubytování a stravování.</w:t>
      </w:r>
    </w:p>
    <w:p w:rsidR="009158C1" w:rsidRDefault="009158C1" w:rsidP="003E4A5D">
      <w:pPr>
        <w:pStyle w:val="Titulek"/>
      </w:pPr>
      <w:r>
        <w:t xml:space="preserve">Graf </w:t>
      </w:r>
      <w:r w:rsidR="00AB65E9">
        <w:rPr>
          <w:noProof/>
        </w:rPr>
        <w:fldChar w:fldCharType="begin"/>
      </w:r>
      <w:r w:rsidR="00790BCF">
        <w:rPr>
          <w:noProof/>
        </w:rPr>
        <w:instrText xml:space="preserve"> SEQ Graf \* ARABIC </w:instrText>
      </w:r>
      <w:r w:rsidR="00AB65E9">
        <w:rPr>
          <w:noProof/>
        </w:rPr>
        <w:fldChar w:fldCharType="separate"/>
      </w:r>
      <w:r w:rsidR="00263A1B">
        <w:rPr>
          <w:noProof/>
        </w:rPr>
        <w:t>1</w:t>
      </w:r>
      <w:r w:rsidR="00AB65E9">
        <w:rPr>
          <w:noProof/>
        </w:rPr>
        <w:fldChar w:fldCharType="end"/>
      </w:r>
      <w:r>
        <w:t>: HPH a podíl HPH stavebnictví na celé ekonomice</w:t>
      </w:r>
    </w:p>
    <w:p w:rsidR="00BB5C81" w:rsidRDefault="009158C1" w:rsidP="003E4A5D">
      <w:pPr>
        <w:pStyle w:val="Text-Normaln"/>
        <w:widowControl w:val="0"/>
      </w:pPr>
      <w:r>
        <w:rPr>
          <w:noProof/>
          <w:lang w:eastAsia="cs-CZ"/>
        </w:rPr>
        <w:drawing>
          <wp:inline distT="0" distB="0" distL="0" distR="0" wp14:anchorId="183F1E10" wp14:editId="487106B5">
            <wp:extent cx="5751260" cy="2740689"/>
            <wp:effectExtent l="0" t="0" r="1905"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0213" cy="2802140"/>
                    </a:xfrm>
                    <a:prstGeom prst="rect">
                      <a:avLst/>
                    </a:prstGeom>
                    <a:noFill/>
                  </pic:spPr>
                </pic:pic>
              </a:graphicData>
            </a:graphic>
          </wp:inline>
        </w:drawing>
      </w:r>
    </w:p>
    <w:p w:rsidR="000A3462" w:rsidRDefault="000A3462" w:rsidP="003E4A5D">
      <w:pPr>
        <w:pStyle w:val="Citt"/>
      </w:pPr>
      <w:r>
        <w:t>Zdroj: ČSÚ</w:t>
      </w:r>
    </w:p>
    <w:p w:rsidR="002C0B33" w:rsidRDefault="002C0B33" w:rsidP="003E4A5D">
      <w:pPr>
        <w:pStyle w:val="Text-Normaln"/>
        <w:widowControl w:val="0"/>
      </w:pPr>
      <w:r w:rsidRPr="0017271B">
        <w:t>Dalším ukazatelem charakterizujícím postavení stavebnictví je zaměstnanost v tomto odvětví, která se až do roku 2010 zvyšovala. Od té doby však zaměstnanost klesala až do roku 2016 a</w:t>
      </w:r>
      <w:r w:rsidR="00254213">
        <w:t> </w:t>
      </w:r>
      <w:r w:rsidRPr="0017271B">
        <w:t>pozice stavebnictví na zaměstnanosti celé ekonomiky oslabila.</w:t>
      </w:r>
    </w:p>
    <w:p w:rsidR="003E4A5D" w:rsidRDefault="003E4A5D">
      <w:pPr>
        <w:spacing w:before="0" w:after="0"/>
        <w:jc w:val="left"/>
        <w:rPr>
          <w:rFonts w:eastAsia="Times New Roman"/>
          <w:b/>
          <w:bCs/>
          <w:color w:val="000000"/>
          <w:sz w:val="22"/>
          <w:szCs w:val="20"/>
          <w:lang w:eastAsia="cs-CZ"/>
        </w:rPr>
      </w:pPr>
      <w:r>
        <w:br w:type="page"/>
      </w:r>
    </w:p>
    <w:p w:rsidR="00511C3A" w:rsidRDefault="00511C3A" w:rsidP="003E4A5D">
      <w:pPr>
        <w:pStyle w:val="Titulek"/>
      </w:pPr>
      <w:r>
        <w:lastRenderedPageBreak/>
        <w:t xml:space="preserve">Graf </w:t>
      </w:r>
      <w:r w:rsidR="00AB65E9">
        <w:rPr>
          <w:noProof/>
        </w:rPr>
        <w:fldChar w:fldCharType="begin"/>
      </w:r>
      <w:r w:rsidR="00790BCF">
        <w:rPr>
          <w:noProof/>
        </w:rPr>
        <w:instrText xml:space="preserve"> SEQ Graf \* ARABIC </w:instrText>
      </w:r>
      <w:r w:rsidR="00AB65E9">
        <w:rPr>
          <w:noProof/>
        </w:rPr>
        <w:fldChar w:fldCharType="separate"/>
      </w:r>
      <w:r w:rsidR="00263A1B">
        <w:rPr>
          <w:noProof/>
        </w:rPr>
        <w:t>2</w:t>
      </w:r>
      <w:r w:rsidR="00AB65E9">
        <w:rPr>
          <w:noProof/>
        </w:rPr>
        <w:fldChar w:fldCharType="end"/>
      </w:r>
      <w:r>
        <w:t>: Zaměstnané osoby a podíl zaměstnaných osob stavebnictví na celé ekonomice</w:t>
      </w:r>
    </w:p>
    <w:p w:rsidR="004F1E30" w:rsidRDefault="00511C3A" w:rsidP="003E4A5D">
      <w:pPr>
        <w:pStyle w:val="Text-Normaln"/>
        <w:widowControl w:val="0"/>
        <w:ind w:right="-2"/>
      </w:pPr>
      <w:r>
        <w:rPr>
          <w:noProof/>
          <w:lang w:eastAsia="cs-CZ"/>
        </w:rPr>
        <w:drawing>
          <wp:inline distT="0" distB="0" distL="0" distR="0" wp14:anchorId="331B1EC1" wp14:editId="32779327">
            <wp:extent cx="5747431" cy="1950720"/>
            <wp:effectExtent l="0" t="0" r="571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5775" cy="1967128"/>
                    </a:xfrm>
                    <a:prstGeom prst="rect">
                      <a:avLst/>
                    </a:prstGeom>
                    <a:noFill/>
                  </pic:spPr>
                </pic:pic>
              </a:graphicData>
            </a:graphic>
          </wp:inline>
        </w:drawing>
      </w:r>
    </w:p>
    <w:p w:rsidR="0076372F" w:rsidRDefault="0076372F" w:rsidP="003E4A5D">
      <w:pPr>
        <w:pStyle w:val="Citt"/>
      </w:pPr>
      <w:r>
        <w:t>Zdroj: ČSÚ</w:t>
      </w:r>
    </w:p>
    <w:p w:rsidR="008B77DC" w:rsidRDefault="00DF59DF" w:rsidP="003E4A5D">
      <w:pPr>
        <w:pStyle w:val="Text-Normaln"/>
        <w:widowControl w:val="0"/>
      </w:pPr>
      <w:r w:rsidRPr="00416263">
        <w:t>Produkc</w:t>
      </w:r>
      <w:r w:rsidR="00790696">
        <w:t>e</w:t>
      </w:r>
      <w:r w:rsidRPr="00416263">
        <w:t xml:space="preserve"> </w:t>
      </w:r>
      <w:r w:rsidR="00790696">
        <w:t>ve stavebnictví je více než jiné odvětví specifická tím</w:t>
      </w:r>
      <w:r w:rsidR="00A53D9E">
        <w:t xml:space="preserve">, že je přímo závislá na </w:t>
      </w:r>
      <w:r w:rsidRPr="00416263">
        <w:t>předch</w:t>
      </w:r>
      <w:r w:rsidR="00A53D9E">
        <w:t xml:space="preserve">ozím </w:t>
      </w:r>
      <w:r w:rsidR="008F0CB0">
        <w:t xml:space="preserve">rozhodnutí o </w:t>
      </w:r>
      <w:r w:rsidR="00C02225">
        <w:t xml:space="preserve">předpokládaném </w:t>
      </w:r>
      <w:r w:rsidR="008F0CB0">
        <w:t xml:space="preserve">využití území (územní plánování) a na </w:t>
      </w:r>
      <w:r w:rsidR="00EE4D21">
        <w:t xml:space="preserve">výsledku správního </w:t>
      </w:r>
      <w:r w:rsidRPr="00416263">
        <w:t>povolovací</w:t>
      </w:r>
      <w:r w:rsidR="00EE4D21">
        <w:t>ho</w:t>
      </w:r>
      <w:r w:rsidRPr="00416263">
        <w:t xml:space="preserve"> proces</w:t>
      </w:r>
      <w:r w:rsidR="00A53D9E">
        <w:t>u</w:t>
      </w:r>
      <w:r w:rsidR="0076372F" w:rsidRPr="00416263">
        <w:t>.</w:t>
      </w:r>
      <w:r w:rsidRPr="00416263">
        <w:t xml:space="preserve"> </w:t>
      </w:r>
    </w:p>
    <w:p w:rsidR="008B77DC" w:rsidRDefault="00EA4155" w:rsidP="003E4A5D">
      <w:pPr>
        <w:pStyle w:val="Text-Normaln"/>
        <w:widowControl w:val="0"/>
      </w:pPr>
      <w:r>
        <w:t xml:space="preserve">Nejvýznamnějšími územně plánovacími dokumentacemi </w:t>
      </w:r>
      <w:r w:rsidRPr="00EA4155">
        <w:t>(ÚPD)</w:t>
      </w:r>
      <w:r>
        <w:t xml:space="preserve"> v ČR jsou zásady územního rozvoje (ZÚR) a územní plán (ÚP)</w:t>
      </w:r>
      <w:r w:rsidR="007812E6">
        <w:t>. Jejich pořízení nebo aktualizace/změna</w:t>
      </w:r>
      <w:r w:rsidR="008B77DC">
        <w:t xml:space="preserve"> v sobě zahrnuje </w:t>
      </w:r>
      <w:r w:rsidR="00242C7A">
        <w:t>řadu fází</w:t>
      </w:r>
      <w:r w:rsidR="00190AC0">
        <w:t xml:space="preserve">. Pokud se nepostupuje zkráceným postupem, jedná se o návrh </w:t>
      </w:r>
      <w:r w:rsidR="00366F81" w:rsidRPr="00366F81">
        <w:t>zadání</w:t>
      </w:r>
      <w:r w:rsidR="00190AC0">
        <w:t xml:space="preserve"> (</w:t>
      </w:r>
      <w:r>
        <w:t>návrh zprávy o</w:t>
      </w:r>
      <w:r w:rsidR="007812E6">
        <w:t> </w:t>
      </w:r>
      <w:r>
        <w:t>uplatňování)</w:t>
      </w:r>
      <w:r w:rsidR="00366F81">
        <w:t xml:space="preserve">, </w:t>
      </w:r>
      <w:r w:rsidR="00190AC0">
        <w:t>schválení zadání</w:t>
      </w:r>
      <w:r>
        <w:t xml:space="preserve"> </w:t>
      </w:r>
      <w:r w:rsidRPr="00EA4155">
        <w:t>(</w:t>
      </w:r>
      <w:r>
        <w:t>schválení</w:t>
      </w:r>
      <w:r w:rsidRPr="00EA4155">
        <w:t xml:space="preserve"> zprávy o</w:t>
      </w:r>
      <w:r>
        <w:t> </w:t>
      </w:r>
      <w:r w:rsidRPr="00EA4155">
        <w:t>uplatňování)</w:t>
      </w:r>
      <w:r w:rsidR="00190AC0">
        <w:t xml:space="preserve">, </w:t>
      </w:r>
      <w:r w:rsidR="00366F81">
        <w:t>n</w:t>
      </w:r>
      <w:r w:rsidR="00366F81" w:rsidRPr="00366F81">
        <w:t xml:space="preserve">ávrh </w:t>
      </w:r>
      <w:r w:rsidR="007812E6">
        <w:t>ÚPD</w:t>
      </w:r>
      <w:r w:rsidR="00D942C5">
        <w:t xml:space="preserve">, společné jednání, veřejné projednání, </w:t>
      </w:r>
      <w:r w:rsidR="00D942C5" w:rsidRPr="00D942C5">
        <w:t xml:space="preserve">návrh rozhodnutí o námitkách a návrh vyhodnocení připomínek uplatněných k návrhu </w:t>
      </w:r>
      <w:r w:rsidR="003C48EE">
        <w:t>ÚPD</w:t>
      </w:r>
      <w:r w:rsidR="00D942C5">
        <w:t>, stanoviska k</w:t>
      </w:r>
      <w:r w:rsidR="00AF7855">
        <w:t xml:space="preserve"> připomínkám až po </w:t>
      </w:r>
      <w:r w:rsidR="00AF7855" w:rsidRPr="00D46380">
        <w:t xml:space="preserve">samotné schválení a vydání </w:t>
      </w:r>
      <w:r w:rsidR="003C48EE" w:rsidRPr="00D46380">
        <w:t>ÚPD příslušným zastupitelstvem</w:t>
      </w:r>
      <w:r w:rsidR="00AF7855" w:rsidRPr="00D46380">
        <w:t xml:space="preserve"> ve formě opatření obecné povahy. </w:t>
      </w:r>
      <w:r w:rsidR="007812E6">
        <w:t xml:space="preserve">Zákonnost vydané </w:t>
      </w:r>
      <w:r w:rsidR="0048182C">
        <w:t xml:space="preserve">ÚPD lze ve stanovené lhůtě přezkoumávat v přezkumném řízení. Zákon také </w:t>
      </w:r>
      <w:r w:rsidR="00AF7855" w:rsidRPr="00D46380">
        <w:t xml:space="preserve">umožňuje </w:t>
      </w:r>
      <w:r w:rsidR="00D46380" w:rsidRPr="00D46380">
        <w:t>zákonem stanovenému okruhu subjektů (</w:t>
      </w:r>
      <w:r w:rsidR="00D46380" w:rsidRPr="009D707E">
        <w:t>např</w:t>
      </w:r>
      <w:r w:rsidR="008201FA">
        <w:t>íklad</w:t>
      </w:r>
      <w:r w:rsidR="00D45E0B" w:rsidRPr="009D707E">
        <w:t xml:space="preserve"> ten, </w:t>
      </w:r>
      <w:r w:rsidR="003C48EE" w:rsidRPr="009D707E">
        <w:rPr>
          <w:noProof/>
        </w:rPr>
        <w:t xml:space="preserve">kdo by </w:t>
      </w:r>
      <w:r w:rsidR="0025130E" w:rsidRPr="009D707E">
        <w:rPr>
          <w:noProof/>
        </w:rPr>
        <w:t xml:space="preserve">vydaným opatřením obecné povahy </w:t>
      </w:r>
      <w:r w:rsidR="003C48EE" w:rsidRPr="009D707E">
        <w:rPr>
          <w:noProof/>
        </w:rPr>
        <w:t>mohl být zkrácen na svých právech</w:t>
      </w:r>
      <w:r w:rsidR="00D46380" w:rsidRPr="009D707E">
        <w:rPr>
          <w:noProof/>
        </w:rPr>
        <w:t>)</w:t>
      </w:r>
      <w:r w:rsidR="003C48EE" w:rsidRPr="009D707E">
        <w:rPr>
          <w:noProof/>
        </w:rPr>
        <w:t xml:space="preserve"> </w:t>
      </w:r>
      <w:r w:rsidR="00AF7855" w:rsidRPr="009D707E">
        <w:t>již</w:t>
      </w:r>
      <w:r w:rsidR="00AF7855">
        <w:t xml:space="preserve"> vydan</w:t>
      </w:r>
      <w:r w:rsidR="007812E6">
        <w:t>ou</w:t>
      </w:r>
      <w:r w:rsidR="00AF7855">
        <w:t xml:space="preserve"> </w:t>
      </w:r>
      <w:r w:rsidR="007812E6">
        <w:t>ÚPD</w:t>
      </w:r>
      <w:r w:rsidR="00AF7855">
        <w:t xml:space="preserve"> napadat </w:t>
      </w:r>
      <w:r w:rsidR="00DB5DFA">
        <w:t>u správních soudů, a to jak obecně v rámci tzv. abstraktního přezkumu, tak i konkrétně v rámci tzv. incidenčního přezkumu v souvislosti s konkrétní věc</w:t>
      </w:r>
      <w:r w:rsidR="00220365">
        <w:t>í</w:t>
      </w:r>
      <w:r w:rsidR="00DB5DFA">
        <w:t xml:space="preserve">, pro </w:t>
      </w:r>
      <w:r w:rsidR="003F4534">
        <w:t xml:space="preserve">kterou </w:t>
      </w:r>
      <w:r w:rsidR="00DB5DFA">
        <w:t xml:space="preserve">je </w:t>
      </w:r>
      <w:r w:rsidR="0025130E">
        <w:t>platná ÚPD</w:t>
      </w:r>
      <w:r w:rsidR="00DB5DFA">
        <w:t xml:space="preserve"> podkladem</w:t>
      </w:r>
      <w:r w:rsidR="00261CA7">
        <w:t xml:space="preserve">, a </w:t>
      </w:r>
      <w:r w:rsidR="0048182C">
        <w:t xml:space="preserve">podle judikatury </w:t>
      </w:r>
      <w:r w:rsidR="00261CA7">
        <w:t>i (v </w:t>
      </w:r>
      <w:r w:rsidR="00392CA0">
        <w:t>obou případech) se zpětnými účinky (viz dále)</w:t>
      </w:r>
      <w:r w:rsidR="00DB5DFA">
        <w:t>.</w:t>
      </w:r>
      <w:r w:rsidR="00261CA7">
        <w:t xml:space="preserve"> To sice zvyšuje dodatečnou ochranu práv dotčených osob</w:t>
      </w:r>
      <w:r w:rsidR="003122A1">
        <w:t>, ovšem na úkor právní jistoty všech ostatních, rovněž dotčených osob.</w:t>
      </w:r>
      <w:r w:rsidR="00F11F6B">
        <w:t xml:space="preserve"> Fenomén soudního přezkumu a rušení již vydaných </w:t>
      </w:r>
      <w:r w:rsidR="0025130E">
        <w:t xml:space="preserve">zejména </w:t>
      </w:r>
      <w:r w:rsidR="00B35C93">
        <w:t>ÚP</w:t>
      </w:r>
      <w:r w:rsidR="00F11F6B">
        <w:t xml:space="preserve"> </w:t>
      </w:r>
      <w:r w:rsidR="009B3534">
        <w:t xml:space="preserve">se rozšířil až ve druhé dekádě třetího tisíciletí, po nabytí účinnosti stávajícího stavebního zákona č. </w:t>
      </w:r>
      <w:r w:rsidR="006A2E9E" w:rsidRPr="006A2E9E">
        <w:t>zákona č. 183/2006 Sb., o územním plánování a stavebním řádu (stavební zákon), ve znění pozdějších předpisů</w:t>
      </w:r>
      <w:r w:rsidR="006A2E9E">
        <w:t xml:space="preserve"> (</w:t>
      </w:r>
      <w:r w:rsidR="00BA30EC">
        <w:t>stávající</w:t>
      </w:r>
      <w:r w:rsidR="006A2E9E">
        <w:t xml:space="preserve"> stavební zákon nebo SZ),</w:t>
      </w:r>
      <w:r w:rsidR="009B3534">
        <w:t xml:space="preserve"> a </w:t>
      </w:r>
      <w:r w:rsidR="00EE0246">
        <w:t xml:space="preserve">změně výkladové praxe v důsledku judikatury Ústavního soudu </w:t>
      </w:r>
      <w:r w:rsidR="00966820">
        <w:t>(zejm. nález Ústavního soudu</w:t>
      </w:r>
      <w:r w:rsidR="00966820" w:rsidRPr="00966820">
        <w:t xml:space="preserve"> ze dne 19. 11. 2008</w:t>
      </w:r>
      <w:r w:rsidR="00966820">
        <w:t xml:space="preserve">, </w:t>
      </w:r>
      <w:proofErr w:type="spellStart"/>
      <w:r w:rsidR="00966820">
        <w:t>sp</w:t>
      </w:r>
      <w:proofErr w:type="spellEnd"/>
      <w:r w:rsidR="00966820">
        <w:t xml:space="preserve">. zn. </w:t>
      </w:r>
      <w:proofErr w:type="spellStart"/>
      <w:r w:rsidR="00966820">
        <w:t>Pl</w:t>
      </w:r>
      <w:proofErr w:type="spellEnd"/>
      <w:r w:rsidR="00966820">
        <w:t xml:space="preserve">. ÚS 14/07). </w:t>
      </w:r>
      <w:r w:rsidR="00AD4DCF">
        <w:t xml:space="preserve">Rozšíření přezkumu </w:t>
      </w:r>
      <w:r w:rsidR="0025130E">
        <w:t xml:space="preserve">zejména </w:t>
      </w:r>
      <w:r w:rsidR="00B35C93">
        <w:t>ÚP</w:t>
      </w:r>
      <w:r w:rsidR="00AD4DCF">
        <w:t xml:space="preserve"> </w:t>
      </w:r>
      <w:r w:rsidR="0025130E">
        <w:t>a </w:t>
      </w:r>
      <w:r w:rsidR="00AD4DCF">
        <w:t xml:space="preserve">jejich </w:t>
      </w:r>
      <w:r w:rsidR="00E44C50">
        <w:t xml:space="preserve">následné </w:t>
      </w:r>
      <w:r w:rsidR="00AD4DCF">
        <w:t xml:space="preserve">rušení se zpětnými účinky vyvolalo </w:t>
      </w:r>
      <w:r w:rsidR="00E46CBA">
        <w:t xml:space="preserve">enormní </w:t>
      </w:r>
      <w:r w:rsidR="00261CA7">
        <w:t xml:space="preserve">právní </w:t>
      </w:r>
      <w:r w:rsidR="00E46CBA">
        <w:t xml:space="preserve">nejistotu pro investory, a to </w:t>
      </w:r>
      <w:r w:rsidR="00072D58">
        <w:t>zejména v případě větších a náročnějších staveb.</w:t>
      </w:r>
      <w:r w:rsidR="006A09B3">
        <w:t xml:space="preserve"> Řada investičních projektů s platným povolením</w:t>
      </w:r>
      <w:r w:rsidR="00F60D5D">
        <w:t xml:space="preserve"> (minimálně územním rozhodnutím)</w:t>
      </w:r>
      <w:r w:rsidR="006A09B3">
        <w:t xml:space="preserve"> z důvodu pozdějšího zrušení </w:t>
      </w:r>
      <w:r w:rsidR="00B35C93">
        <w:t>(např</w:t>
      </w:r>
      <w:r w:rsidR="008201FA">
        <w:t>íklad</w:t>
      </w:r>
      <w:r w:rsidR="00B35C93">
        <w:t xml:space="preserve"> v důsledku zrušení části ÚP) </w:t>
      </w:r>
      <w:r w:rsidR="00830DE9">
        <w:t xml:space="preserve">se pak stala </w:t>
      </w:r>
      <w:r w:rsidR="00830DE9" w:rsidRPr="00A3110D">
        <w:t>předmětem dalších</w:t>
      </w:r>
      <w:r w:rsidR="00830DE9">
        <w:t xml:space="preserve"> soudních sporů o náhradu škod způsobených výkonem veřejné moci.</w:t>
      </w:r>
    </w:p>
    <w:p w:rsidR="00EE4D21" w:rsidRDefault="00AF7855" w:rsidP="003E4A5D">
      <w:pPr>
        <w:pStyle w:val="Text-Normaln"/>
        <w:widowControl w:val="0"/>
      </w:pPr>
      <w:r>
        <w:t>Povolovací proces</w:t>
      </w:r>
      <w:r w:rsidR="008F0CB0">
        <w:t xml:space="preserve"> </w:t>
      </w:r>
      <w:r w:rsidR="00C349ED">
        <w:t xml:space="preserve">staveb </w:t>
      </w:r>
      <w:r w:rsidR="008F0CB0">
        <w:t>je v </w:t>
      </w:r>
      <w:r w:rsidR="00C85BD6" w:rsidRPr="00C85BD6">
        <w:t>ČR</w:t>
      </w:r>
      <w:r w:rsidR="008F0CB0">
        <w:t xml:space="preserve"> </w:t>
      </w:r>
      <w:r w:rsidR="00C349ED">
        <w:t>upraven jako trojfázový</w:t>
      </w:r>
      <w:r w:rsidR="008F0CB0">
        <w:t>, v podobě územního rozhodnutí, stavebního povolení a </w:t>
      </w:r>
      <w:r w:rsidR="00CA1E1D">
        <w:t>povolení užívání dokončené stavby (</w:t>
      </w:r>
      <w:r w:rsidR="008F0CB0">
        <w:t>kolaudace staveb</w:t>
      </w:r>
      <w:r w:rsidR="00CA1E1D">
        <w:t>)</w:t>
      </w:r>
      <w:r w:rsidR="008F0CB0">
        <w:t xml:space="preserve">. </w:t>
      </w:r>
      <w:r w:rsidR="00C349ED">
        <w:t xml:space="preserve">Každý z těchto procesů se odehrává ve </w:t>
      </w:r>
      <w:r w:rsidR="00045B10">
        <w:t>dvou stupních správního řízení</w:t>
      </w:r>
      <w:r w:rsidR="00F80B06">
        <w:t xml:space="preserve"> </w:t>
      </w:r>
      <w:r w:rsidR="00CA1E1D">
        <w:t xml:space="preserve">(u povolení užívání dokončené stavby pokud se vede kolaudační řízení) </w:t>
      </w:r>
      <w:r w:rsidR="00F80B06">
        <w:t>a ve dvou stupních soudního řízení</w:t>
      </w:r>
      <w:r w:rsidR="00E4226D">
        <w:t xml:space="preserve"> ve správním soudnictví</w:t>
      </w:r>
      <w:r w:rsidR="00F80B06">
        <w:t xml:space="preserve">, jemuž jsou často </w:t>
      </w:r>
      <w:r w:rsidR="00E4226D">
        <w:t xml:space="preserve">téměř až </w:t>
      </w:r>
      <w:r w:rsidR="00F80B06">
        <w:t>automatizovaně přiznávány odkladné účinky</w:t>
      </w:r>
      <w:r w:rsidR="006D21E8">
        <w:t xml:space="preserve">. Správní řízení </w:t>
      </w:r>
      <w:r w:rsidR="00E4226D">
        <w:t>je</w:t>
      </w:r>
      <w:r w:rsidR="006D21E8">
        <w:t> </w:t>
      </w:r>
      <w:r w:rsidR="00E4226D">
        <w:t xml:space="preserve">komplikováno jak pluralitou obecných, speciálních a jiných stavebních úřadů, jejichž funkce vykonává více než 10 zcela odlišných </w:t>
      </w:r>
      <w:r w:rsidR="001D7B73">
        <w:t xml:space="preserve">druhů </w:t>
      </w:r>
      <w:r w:rsidR="00E4226D">
        <w:t>správních orgánů</w:t>
      </w:r>
      <w:r w:rsidR="001D7B73">
        <w:t>, tak i pluralitou závazných stanovisek, jimiž jsou stavební úřady vázány, která vydává</w:t>
      </w:r>
      <w:r w:rsidR="006D21E8">
        <w:t xml:space="preserve"> více než 40 dotčených orgánů </w:t>
      </w:r>
      <w:r w:rsidR="00854F38">
        <w:t xml:space="preserve">(DO) </w:t>
      </w:r>
      <w:r w:rsidR="006D21E8">
        <w:t>a </w:t>
      </w:r>
      <w:r w:rsidR="001D7B73">
        <w:t xml:space="preserve">přezkoumávají je nadřízené orgány těchto </w:t>
      </w:r>
      <w:r w:rsidR="00854F38" w:rsidRPr="00854F38">
        <w:t>DO</w:t>
      </w:r>
      <w:r w:rsidR="001D7B73">
        <w:t xml:space="preserve"> zcela mimo gesci stavebních úřadů a jejich nadřízených orgánů. </w:t>
      </w:r>
      <w:r w:rsidR="006D21E8">
        <w:t xml:space="preserve">Výsledkem je mimořádně </w:t>
      </w:r>
      <w:r w:rsidR="00BD4834">
        <w:t xml:space="preserve">zdlouhavý, </w:t>
      </w:r>
      <w:r w:rsidR="006D21E8">
        <w:t xml:space="preserve">komplikovaný </w:t>
      </w:r>
      <w:r w:rsidR="00D86442">
        <w:t xml:space="preserve">a </w:t>
      </w:r>
      <w:r w:rsidR="00347392">
        <w:t xml:space="preserve">zároveň atomizovaný </w:t>
      </w:r>
      <w:r w:rsidR="006D21E8">
        <w:lastRenderedPageBreak/>
        <w:t>administrativní systém</w:t>
      </w:r>
      <w:r w:rsidR="00702BD0">
        <w:t xml:space="preserve">, který většinu své energie spotřebovává na vedení </w:t>
      </w:r>
      <w:r w:rsidR="00BD4834">
        <w:t>a </w:t>
      </w:r>
      <w:r w:rsidR="00702BD0">
        <w:t xml:space="preserve">přezkumy </w:t>
      </w:r>
      <w:r w:rsidR="00946C46">
        <w:t xml:space="preserve">relativně </w:t>
      </w:r>
      <w:r w:rsidR="00702BD0">
        <w:t>izolovaných formalizovaných procesů</w:t>
      </w:r>
      <w:r w:rsidR="00347392">
        <w:t>, aniž by existovala jednotná autorita s</w:t>
      </w:r>
      <w:r w:rsidR="00946C46">
        <w:t xml:space="preserve"> jasnou </w:t>
      </w:r>
      <w:r w:rsidR="00347392">
        <w:t xml:space="preserve">odpovědností </w:t>
      </w:r>
      <w:r w:rsidR="00946C46">
        <w:t>za stavební právo jako celek.</w:t>
      </w:r>
      <w:r w:rsidR="008F787B">
        <w:t xml:space="preserve"> </w:t>
      </w:r>
      <w:r w:rsidR="00D45244">
        <w:t>V</w:t>
      </w:r>
      <w:r w:rsidR="005918FC">
        <w:t>e</w:t>
      </w:r>
      <w:r w:rsidR="00D45244">
        <w:t> </w:t>
      </w:r>
      <w:r w:rsidR="005918FC">
        <w:t xml:space="preserve">svém </w:t>
      </w:r>
      <w:r w:rsidR="00D45244">
        <w:t xml:space="preserve">souhrnu jde </w:t>
      </w:r>
      <w:r w:rsidR="008F787B">
        <w:t>o systém kolektivní neodpovědnosti</w:t>
      </w:r>
      <w:r w:rsidR="00116D1D">
        <w:t xml:space="preserve">, kdy v množství </w:t>
      </w:r>
      <w:r w:rsidR="00854F38" w:rsidRPr="00854F38">
        <w:t>DO</w:t>
      </w:r>
      <w:r w:rsidR="00854F38" w:rsidRPr="00854F38" w:rsidDel="00854F38">
        <w:t xml:space="preserve"> </w:t>
      </w:r>
      <w:r w:rsidR="0043533A">
        <w:t xml:space="preserve">a </w:t>
      </w:r>
      <w:r w:rsidR="005918FC">
        <w:t xml:space="preserve">v množství </w:t>
      </w:r>
      <w:r w:rsidR="0043533A">
        <w:t>stavebních úřadů, z nichž většinu</w:t>
      </w:r>
      <w:r w:rsidR="005918FC">
        <w:t xml:space="preserve"> netvoří ani státní orgány, ale orgány územních samosprávných celků, přestože jde </w:t>
      </w:r>
      <w:r w:rsidR="00E007FB">
        <w:t>o </w:t>
      </w:r>
      <w:r w:rsidR="005918FC">
        <w:t xml:space="preserve">výkon státní správy, </w:t>
      </w:r>
      <w:r w:rsidR="00962DE0">
        <w:t xml:space="preserve">dochází k takovému rozmělnění </w:t>
      </w:r>
      <w:r w:rsidR="00BD4834">
        <w:t>odpovědnost</w:t>
      </w:r>
      <w:r w:rsidR="00962DE0">
        <w:t>i</w:t>
      </w:r>
      <w:r w:rsidR="00BD4834">
        <w:t xml:space="preserve"> za výsledek</w:t>
      </w:r>
      <w:r w:rsidR="00962DE0">
        <w:t>, že je prakticky nevymahatelná</w:t>
      </w:r>
      <w:r w:rsidR="00BD4834">
        <w:t>.</w:t>
      </w:r>
      <w:r w:rsidR="00962DE0">
        <w:t xml:space="preserve"> </w:t>
      </w:r>
      <w:r w:rsidR="00E44CE1">
        <w:t xml:space="preserve">Nemožnost reálně se domoci náhrady škod způsobených nezákonnými rozhodnutími, průtahy a nesprávným úředním postupem </w:t>
      </w:r>
      <w:r w:rsidR="0087231B">
        <w:t xml:space="preserve">při povolování staveb dlouhodobě </w:t>
      </w:r>
      <w:r w:rsidR="00D93298">
        <w:t xml:space="preserve">tíží dotčenou veřejnost a </w:t>
      </w:r>
      <w:r w:rsidR="0087231B">
        <w:t xml:space="preserve">kritizuje </w:t>
      </w:r>
      <w:r w:rsidR="00D93298">
        <w:t xml:space="preserve">ji </w:t>
      </w:r>
      <w:r w:rsidR="0087231B">
        <w:t xml:space="preserve">i </w:t>
      </w:r>
      <w:r w:rsidR="00D93298">
        <w:t>veřejný ochránce práv.</w:t>
      </w:r>
      <w:r w:rsidR="00BD4834">
        <w:t xml:space="preserve"> </w:t>
      </w:r>
    </w:p>
    <w:p w:rsidR="004F1E30" w:rsidRDefault="0076372F" w:rsidP="003E4A5D">
      <w:pPr>
        <w:pStyle w:val="Text-Normaln"/>
        <w:widowControl w:val="0"/>
      </w:pPr>
      <w:r w:rsidRPr="00416263">
        <w:t>M</w:t>
      </w:r>
      <w:r w:rsidR="00DF59DF" w:rsidRPr="00416263">
        <w:t xml:space="preserve">íra regulace </w:t>
      </w:r>
      <w:r w:rsidRPr="00416263">
        <w:t xml:space="preserve">tak přímo </w:t>
      </w:r>
      <w:r w:rsidR="00DF59DF" w:rsidRPr="00416263">
        <w:t>ovlivňuje produkci</w:t>
      </w:r>
      <w:r w:rsidRPr="00416263">
        <w:t xml:space="preserve">, tj. počet stavebních povolení </w:t>
      </w:r>
      <w:r w:rsidR="00416263" w:rsidRPr="00416263">
        <w:t xml:space="preserve">a </w:t>
      </w:r>
      <w:r w:rsidR="00DF59DF" w:rsidRPr="00416263">
        <w:t>počet dokončených staveb (produkc</w:t>
      </w:r>
      <w:r w:rsidR="00416263" w:rsidRPr="00416263">
        <w:t>i</w:t>
      </w:r>
      <w:r w:rsidR="00DF59DF" w:rsidRPr="00416263">
        <w:t>, HPH)</w:t>
      </w:r>
      <w:r w:rsidR="00416263" w:rsidRPr="00416263">
        <w:t>.</w:t>
      </w:r>
    </w:p>
    <w:p w:rsidR="00511C3A" w:rsidRDefault="00511C3A" w:rsidP="003E4A5D">
      <w:pPr>
        <w:pStyle w:val="Titulek"/>
      </w:pPr>
      <w:r>
        <w:t xml:space="preserve">Tabulka </w:t>
      </w:r>
      <w:r w:rsidR="00AB65E9">
        <w:rPr>
          <w:noProof/>
        </w:rPr>
        <w:fldChar w:fldCharType="begin"/>
      </w:r>
      <w:r w:rsidR="00790BCF">
        <w:rPr>
          <w:noProof/>
        </w:rPr>
        <w:instrText xml:space="preserve"> SEQ Tabulka \* ARABIC </w:instrText>
      </w:r>
      <w:r w:rsidR="00AB65E9">
        <w:rPr>
          <w:noProof/>
        </w:rPr>
        <w:fldChar w:fldCharType="separate"/>
      </w:r>
      <w:r w:rsidR="00263A1B">
        <w:rPr>
          <w:noProof/>
        </w:rPr>
        <w:t>1</w:t>
      </w:r>
      <w:r w:rsidR="00AB65E9">
        <w:rPr>
          <w:noProof/>
        </w:rPr>
        <w:fldChar w:fldCharType="end"/>
      </w:r>
      <w:r>
        <w:t>:</w:t>
      </w:r>
      <w:r w:rsidRPr="00511C3A">
        <w:t xml:space="preserve"> </w:t>
      </w:r>
      <w:r w:rsidRPr="00E45013">
        <w:t>Vydaná stavební povolení a jejich orientační hodnota*), 2008–2017 (%)</w:t>
      </w:r>
    </w:p>
    <w:tbl>
      <w:tblPr>
        <w:tblStyle w:val="TableNormal"/>
        <w:tblW w:w="9072" w:type="dxa"/>
        <w:tblLayout w:type="fixed"/>
        <w:tblLook w:val="01E0" w:firstRow="1" w:lastRow="1" w:firstColumn="1" w:lastColumn="1" w:noHBand="0" w:noVBand="0"/>
      </w:tblPr>
      <w:tblGrid>
        <w:gridCol w:w="1701"/>
        <w:gridCol w:w="737"/>
        <w:gridCol w:w="737"/>
        <w:gridCol w:w="737"/>
        <w:gridCol w:w="737"/>
        <w:gridCol w:w="737"/>
        <w:gridCol w:w="737"/>
        <w:gridCol w:w="737"/>
        <w:gridCol w:w="737"/>
        <w:gridCol w:w="737"/>
        <w:gridCol w:w="738"/>
      </w:tblGrid>
      <w:tr w:rsidR="00511C3A" w:rsidRPr="003C13D2" w:rsidTr="00511C3A">
        <w:trPr>
          <w:trHeight w:val="283"/>
        </w:trPr>
        <w:tc>
          <w:tcPr>
            <w:tcW w:w="1701"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511C3A" w:rsidRPr="003C13D2" w:rsidRDefault="00511C3A" w:rsidP="003E4A5D">
            <w:pPr>
              <w:pStyle w:val="TableParagraph"/>
              <w:jc w:val="left"/>
              <w:rPr>
                <w:rFonts w:asciiTheme="minorHAnsi" w:hAnsiTheme="minorHAnsi"/>
                <w:b/>
                <w:sz w:val="18"/>
                <w:szCs w:val="18"/>
                <w:lang w:val="cs-CZ"/>
              </w:rPr>
            </w:pPr>
            <w:r>
              <w:rPr>
                <w:rFonts w:asciiTheme="minorHAnsi" w:hAnsiTheme="minorHAnsi"/>
                <w:b/>
                <w:sz w:val="18"/>
                <w:szCs w:val="18"/>
                <w:lang w:val="cs-CZ"/>
              </w:rPr>
              <w:t>Rok</w:t>
            </w:r>
          </w:p>
        </w:tc>
        <w:tc>
          <w:tcPr>
            <w:tcW w:w="737"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511C3A" w:rsidRPr="003C13D2" w:rsidRDefault="00511C3A" w:rsidP="003E4A5D">
            <w:pPr>
              <w:pStyle w:val="TableParagraph"/>
              <w:ind w:right="180"/>
              <w:jc w:val="center"/>
              <w:rPr>
                <w:rFonts w:asciiTheme="minorHAnsi" w:hAnsiTheme="minorHAnsi"/>
                <w:b/>
                <w:sz w:val="18"/>
                <w:szCs w:val="18"/>
                <w:lang w:val="cs-CZ"/>
              </w:rPr>
            </w:pPr>
            <w:r>
              <w:rPr>
                <w:rFonts w:asciiTheme="minorHAnsi" w:hAnsiTheme="minorHAnsi"/>
                <w:b/>
                <w:sz w:val="18"/>
                <w:szCs w:val="18"/>
                <w:lang w:val="cs-CZ"/>
              </w:rPr>
              <w:t>2008</w:t>
            </w:r>
          </w:p>
        </w:tc>
        <w:tc>
          <w:tcPr>
            <w:tcW w:w="737"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511C3A" w:rsidRPr="003C13D2" w:rsidRDefault="00511C3A" w:rsidP="003E4A5D">
            <w:pPr>
              <w:pStyle w:val="TableParagraph"/>
              <w:ind w:right="137"/>
              <w:jc w:val="center"/>
              <w:rPr>
                <w:rFonts w:asciiTheme="minorHAnsi" w:hAnsiTheme="minorHAnsi"/>
                <w:b/>
                <w:sz w:val="18"/>
                <w:szCs w:val="18"/>
                <w:lang w:val="cs-CZ"/>
              </w:rPr>
            </w:pPr>
            <w:r>
              <w:rPr>
                <w:rFonts w:asciiTheme="minorHAnsi" w:hAnsiTheme="minorHAnsi"/>
                <w:b/>
                <w:sz w:val="18"/>
                <w:szCs w:val="18"/>
                <w:lang w:val="cs-CZ"/>
              </w:rPr>
              <w:t>2009</w:t>
            </w:r>
          </w:p>
        </w:tc>
        <w:tc>
          <w:tcPr>
            <w:tcW w:w="737"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511C3A" w:rsidRPr="003C13D2" w:rsidRDefault="00511C3A" w:rsidP="003E4A5D">
            <w:pPr>
              <w:pStyle w:val="TableParagraph"/>
              <w:ind w:right="128"/>
              <w:jc w:val="center"/>
              <w:rPr>
                <w:rFonts w:asciiTheme="minorHAnsi" w:hAnsiTheme="minorHAnsi"/>
                <w:b/>
                <w:sz w:val="18"/>
                <w:szCs w:val="18"/>
                <w:lang w:val="cs-CZ"/>
              </w:rPr>
            </w:pPr>
            <w:r>
              <w:rPr>
                <w:rFonts w:asciiTheme="minorHAnsi" w:hAnsiTheme="minorHAnsi"/>
                <w:b/>
                <w:sz w:val="18"/>
                <w:szCs w:val="18"/>
                <w:lang w:val="cs-CZ"/>
              </w:rPr>
              <w:t>2010</w:t>
            </w:r>
          </w:p>
        </w:tc>
        <w:tc>
          <w:tcPr>
            <w:tcW w:w="737"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511C3A" w:rsidRPr="003C13D2" w:rsidRDefault="00511C3A" w:rsidP="003E4A5D">
            <w:pPr>
              <w:pStyle w:val="TableParagraph"/>
              <w:ind w:right="161"/>
              <w:jc w:val="center"/>
              <w:rPr>
                <w:rFonts w:asciiTheme="minorHAnsi" w:hAnsiTheme="minorHAnsi"/>
                <w:b/>
                <w:sz w:val="18"/>
                <w:szCs w:val="18"/>
                <w:lang w:val="cs-CZ"/>
              </w:rPr>
            </w:pPr>
            <w:r>
              <w:rPr>
                <w:rFonts w:asciiTheme="minorHAnsi" w:hAnsiTheme="minorHAnsi"/>
                <w:b/>
                <w:sz w:val="18"/>
                <w:szCs w:val="18"/>
                <w:lang w:val="cs-CZ"/>
              </w:rPr>
              <w:t>2011</w:t>
            </w:r>
          </w:p>
        </w:tc>
        <w:tc>
          <w:tcPr>
            <w:tcW w:w="737"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511C3A" w:rsidRPr="003C13D2" w:rsidRDefault="00511C3A" w:rsidP="003E4A5D">
            <w:pPr>
              <w:pStyle w:val="TableParagraph"/>
              <w:ind w:right="168"/>
              <w:jc w:val="center"/>
              <w:rPr>
                <w:rFonts w:asciiTheme="minorHAnsi" w:hAnsiTheme="minorHAnsi"/>
                <w:b/>
                <w:sz w:val="18"/>
                <w:szCs w:val="18"/>
                <w:lang w:val="cs-CZ"/>
              </w:rPr>
            </w:pPr>
            <w:r>
              <w:rPr>
                <w:rFonts w:asciiTheme="minorHAnsi" w:hAnsiTheme="minorHAnsi"/>
                <w:b/>
                <w:sz w:val="18"/>
                <w:szCs w:val="18"/>
                <w:lang w:val="cs-CZ"/>
              </w:rPr>
              <w:t>2012</w:t>
            </w:r>
          </w:p>
        </w:tc>
        <w:tc>
          <w:tcPr>
            <w:tcW w:w="737"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511C3A" w:rsidRPr="003C13D2" w:rsidRDefault="00511C3A" w:rsidP="003E4A5D">
            <w:pPr>
              <w:pStyle w:val="TableParagraph"/>
              <w:ind w:right="208"/>
              <w:jc w:val="center"/>
              <w:rPr>
                <w:rFonts w:asciiTheme="minorHAnsi" w:hAnsiTheme="minorHAnsi"/>
                <w:b/>
                <w:sz w:val="18"/>
                <w:szCs w:val="18"/>
                <w:lang w:val="cs-CZ"/>
              </w:rPr>
            </w:pPr>
            <w:r>
              <w:rPr>
                <w:rFonts w:asciiTheme="minorHAnsi" w:hAnsiTheme="minorHAnsi"/>
                <w:b/>
                <w:sz w:val="18"/>
                <w:szCs w:val="18"/>
                <w:lang w:val="cs-CZ"/>
              </w:rPr>
              <w:t>2013</w:t>
            </w:r>
          </w:p>
        </w:tc>
        <w:tc>
          <w:tcPr>
            <w:tcW w:w="737" w:type="dxa"/>
            <w:tcBorders>
              <w:top w:val="single" w:sz="4" w:space="0" w:color="auto"/>
              <w:bottom w:val="single" w:sz="4" w:space="0" w:color="auto"/>
            </w:tcBorders>
            <w:shd w:val="clear" w:color="auto" w:fill="BFBFBF" w:themeFill="background1" w:themeFillShade="BF"/>
            <w:vAlign w:val="center"/>
          </w:tcPr>
          <w:p w:rsidR="00511C3A" w:rsidRDefault="00511C3A" w:rsidP="003E4A5D">
            <w:pPr>
              <w:pStyle w:val="TableParagraph"/>
              <w:ind w:right="208"/>
              <w:jc w:val="center"/>
              <w:rPr>
                <w:rFonts w:asciiTheme="minorHAnsi" w:hAnsiTheme="minorHAnsi"/>
                <w:b/>
                <w:sz w:val="18"/>
                <w:szCs w:val="18"/>
              </w:rPr>
            </w:pPr>
            <w:r>
              <w:rPr>
                <w:rFonts w:asciiTheme="minorHAnsi" w:hAnsiTheme="minorHAnsi"/>
                <w:b/>
                <w:sz w:val="18"/>
                <w:szCs w:val="18"/>
              </w:rPr>
              <w:t>2014</w:t>
            </w:r>
          </w:p>
        </w:tc>
        <w:tc>
          <w:tcPr>
            <w:tcW w:w="737" w:type="dxa"/>
            <w:tcBorders>
              <w:top w:val="single" w:sz="4" w:space="0" w:color="auto"/>
              <w:bottom w:val="single" w:sz="4" w:space="0" w:color="auto"/>
            </w:tcBorders>
            <w:shd w:val="clear" w:color="auto" w:fill="BFBFBF" w:themeFill="background1" w:themeFillShade="BF"/>
            <w:vAlign w:val="center"/>
          </w:tcPr>
          <w:p w:rsidR="00511C3A" w:rsidRDefault="00511C3A" w:rsidP="003E4A5D">
            <w:pPr>
              <w:pStyle w:val="TableParagraph"/>
              <w:ind w:right="208"/>
              <w:jc w:val="center"/>
              <w:rPr>
                <w:rFonts w:asciiTheme="minorHAnsi" w:hAnsiTheme="minorHAnsi"/>
                <w:b/>
                <w:sz w:val="18"/>
                <w:szCs w:val="18"/>
              </w:rPr>
            </w:pPr>
            <w:r>
              <w:rPr>
                <w:rFonts w:asciiTheme="minorHAnsi" w:hAnsiTheme="minorHAnsi"/>
                <w:b/>
                <w:sz w:val="18"/>
                <w:szCs w:val="18"/>
              </w:rPr>
              <w:t>2015</w:t>
            </w:r>
          </w:p>
        </w:tc>
        <w:tc>
          <w:tcPr>
            <w:tcW w:w="737" w:type="dxa"/>
            <w:tcBorders>
              <w:top w:val="single" w:sz="4" w:space="0" w:color="auto"/>
              <w:bottom w:val="single" w:sz="4" w:space="0" w:color="auto"/>
            </w:tcBorders>
            <w:shd w:val="clear" w:color="auto" w:fill="BFBFBF" w:themeFill="background1" w:themeFillShade="BF"/>
            <w:vAlign w:val="center"/>
          </w:tcPr>
          <w:p w:rsidR="00511C3A" w:rsidRDefault="00511C3A" w:rsidP="003E4A5D">
            <w:pPr>
              <w:pStyle w:val="TableParagraph"/>
              <w:ind w:right="208"/>
              <w:jc w:val="center"/>
              <w:rPr>
                <w:rFonts w:asciiTheme="minorHAnsi" w:hAnsiTheme="minorHAnsi"/>
                <w:b/>
                <w:sz w:val="18"/>
                <w:szCs w:val="18"/>
              </w:rPr>
            </w:pPr>
            <w:r>
              <w:rPr>
                <w:rFonts w:asciiTheme="minorHAnsi" w:hAnsiTheme="minorHAnsi"/>
                <w:b/>
                <w:sz w:val="18"/>
                <w:szCs w:val="18"/>
              </w:rPr>
              <w:t>2016</w:t>
            </w:r>
          </w:p>
        </w:tc>
        <w:tc>
          <w:tcPr>
            <w:tcW w:w="738" w:type="dxa"/>
            <w:tcBorders>
              <w:top w:val="single" w:sz="4" w:space="0" w:color="auto"/>
              <w:bottom w:val="single" w:sz="4" w:space="0" w:color="auto"/>
            </w:tcBorders>
            <w:shd w:val="clear" w:color="auto" w:fill="BFBFBF" w:themeFill="background1" w:themeFillShade="BF"/>
            <w:vAlign w:val="center"/>
          </w:tcPr>
          <w:p w:rsidR="00511C3A" w:rsidRDefault="00511C3A" w:rsidP="003E4A5D">
            <w:pPr>
              <w:pStyle w:val="TableParagraph"/>
              <w:ind w:right="208"/>
              <w:jc w:val="center"/>
              <w:rPr>
                <w:rFonts w:asciiTheme="minorHAnsi" w:hAnsiTheme="minorHAnsi"/>
                <w:b/>
                <w:sz w:val="18"/>
                <w:szCs w:val="18"/>
              </w:rPr>
            </w:pPr>
            <w:r>
              <w:rPr>
                <w:rFonts w:asciiTheme="minorHAnsi" w:hAnsiTheme="minorHAnsi"/>
                <w:b/>
                <w:sz w:val="18"/>
                <w:szCs w:val="18"/>
              </w:rPr>
              <w:t>2017</w:t>
            </w:r>
          </w:p>
        </w:tc>
      </w:tr>
      <w:tr w:rsidR="00511C3A" w:rsidRPr="003C13D2" w:rsidTr="00511C3A">
        <w:trPr>
          <w:trHeight w:val="283"/>
        </w:trPr>
        <w:tc>
          <w:tcPr>
            <w:tcW w:w="1701" w:type="dxa"/>
            <w:tcBorders>
              <w:top w:val="single" w:sz="4" w:space="0" w:color="auto"/>
            </w:tcBorders>
            <w:noWrap/>
            <w:tcMar>
              <w:left w:w="57" w:type="dxa"/>
              <w:right w:w="57" w:type="dxa"/>
            </w:tcMar>
            <w:vAlign w:val="center"/>
          </w:tcPr>
          <w:p w:rsidR="00511C3A" w:rsidRPr="003C13D2" w:rsidRDefault="00511C3A" w:rsidP="003E4A5D">
            <w:pPr>
              <w:pStyle w:val="TableParagraph"/>
              <w:ind w:left="55"/>
              <w:jc w:val="left"/>
              <w:rPr>
                <w:rFonts w:asciiTheme="minorHAnsi" w:hAnsiTheme="minorHAnsi"/>
                <w:sz w:val="18"/>
                <w:szCs w:val="18"/>
                <w:lang w:val="cs-CZ"/>
              </w:rPr>
            </w:pPr>
            <w:r>
              <w:rPr>
                <w:rFonts w:asciiTheme="minorHAnsi" w:hAnsiTheme="minorHAnsi"/>
                <w:sz w:val="18"/>
                <w:szCs w:val="18"/>
                <w:lang w:val="cs-CZ"/>
              </w:rPr>
              <w:t>Počet</w:t>
            </w:r>
          </w:p>
        </w:tc>
        <w:tc>
          <w:tcPr>
            <w:tcW w:w="737" w:type="dxa"/>
            <w:tcBorders>
              <w:top w:val="single" w:sz="4" w:space="0" w:color="auto"/>
            </w:tcBorders>
            <w:noWrap/>
            <w:tcMar>
              <w:left w:w="57" w:type="dxa"/>
              <w:right w:w="57" w:type="dxa"/>
            </w:tcMar>
            <w:vAlign w:val="center"/>
          </w:tcPr>
          <w:p w:rsidR="00511C3A" w:rsidRPr="003C13D2" w:rsidRDefault="00511C3A" w:rsidP="003E4A5D">
            <w:pPr>
              <w:pStyle w:val="TableParagraph"/>
              <w:ind w:right="105"/>
              <w:rPr>
                <w:rFonts w:asciiTheme="minorHAnsi" w:hAnsiTheme="minorHAnsi"/>
                <w:sz w:val="16"/>
                <w:szCs w:val="16"/>
                <w:lang w:val="cs-CZ"/>
              </w:rPr>
            </w:pPr>
            <w:r>
              <w:rPr>
                <w:rFonts w:asciiTheme="minorHAnsi" w:hAnsiTheme="minorHAnsi"/>
                <w:sz w:val="16"/>
                <w:szCs w:val="16"/>
                <w:lang w:val="cs-CZ"/>
              </w:rPr>
              <w:t>4,1</w:t>
            </w:r>
          </w:p>
        </w:tc>
        <w:tc>
          <w:tcPr>
            <w:tcW w:w="737" w:type="dxa"/>
            <w:tcBorders>
              <w:top w:val="single" w:sz="4" w:space="0" w:color="auto"/>
            </w:tcBorders>
            <w:noWrap/>
            <w:tcMar>
              <w:left w:w="57" w:type="dxa"/>
              <w:right w:w="57" w:type="dxa"/>
            </w:tcMar>
            <w:vAlign w:val="center"/>
          </w:tcPr>
          <w:p w:rsidR="00511C3A" w:rsidRPr="003C13D2" w:rsidRDefault="00511C3A" w:rsidP="003E4A5D">
            <w:pPr>
              <w:pStyle w:val="TableParagraph"/>
              <w:ind w:right="111"/>
              <w:rPr>
                <w:rFonts w:asciiTheme="minorHAnsi" w:hAnsiTheme="minorHAnsi"/>
                <w:sz w:val="16"/>
                <w:szCs w:val="16"/>
                <w:lang w:val="cs-CZ"/>
              </w:rPr>
            </w:pPr>
            <w:r>
              <w:rPr>
                <w:rFonts w:asciiTheme="minorHAnsi" w:hAnsiTheme="minorHAnsi"/>
                <w:sz w:val="16"/>
                <w:szCs w:val="16"/>
                <w:lang w:val="cs-CZ"/>
              </w:rPr>
              <w:t>-7,8</w:t>
            </w:r>
          </w:p>
        </w:tc>
        <w:tc>
          <w:tcPr>
            <w:tcW w:w="737" w:type="dxa"/>
            <w:tcBorders>
              <w:top w:val="single" w:sz="4" w:space="0" w:color="auto"/>
            </w:tcBorders>
            <w:noWrap/>
            <w:tcMar>
              <w:left w:w="57" w:type="dxa"/>
              <w:right w:w="57" w:type="dxa"/>
            </w:tcMar>
            <w:vAlign w:val="center"/>
          </w:tcPr>
          <w:p w:rsidR="00511C3A" w:rsidRPr="003C13D2" w:rsidRDefault="00511C3A" w:rsidP="003E4A5D">
            <w:pPr>
              <w:pStyle w:val="TableParagraph"/>
              <w:ind w:right="135"/>
              <w:rPr>
                <w:rFonts w:asciiTheme="minorHAnsi" w:hAnsiTheme="minorHAnsi"/>
                <w:sz w:val="16"/>
                <w:szCs w:val="16"/>
                <w:lang w:val="cs-CZ"/>
              </w:rPr>
            </w:pPr>
            <w:r>
              <w:rPr>
                <w:rFonts w:asciiTheme="minorHAnsi" w:hAnsiTheme="minorHAnsi"/>
                <w:sz w:val="16"/>
                <w:szCs w:val="16"/>
                <w:lang w:val="cs-CZ"/>
              </w:rPr>
              <w:t>-6,2</w:t>
            </w:r>
          </w:p>
        </w:tc>
        <w:tc>
          <w:tcPr>
            <w:tcW w:w="737" w:type="dxa"/>
            <w:tcBorders>
              <w:top w:val="single" w:sz="4" w:space="0" w:color="auto"/>
            </w:tcBorders>
            <w:noWrap/>
            <w:tcMar>
              <w:left w:w="57" w:type="dxa"/>
              <w:right w:w="57" w:type="dxa"/>
            </w:tcMar>
            <w:vAlign w:val="center"/>
          </w:tcPr>
          <w:p w:rsidR="00511C3A" w:rsidRPr="003C13D2" w:rsidRDefault="00511C3A" w:rsidP="003E4A5D">
            <w:pPr>
              <w:pStyle w:val="TableParagraph"/>
              <w:ind w:right="108"/>
              <w:rPr>
                <w:rFonts w:asciiTheme="minorHAnsi" w:hAnsiTheme="minorHAnsi"/>
                <w:sz w:val="16"/>
                <w:szCs w:val="16"/>
                <w:lang w:val="cs-CZ"/>
              </w:rPr>
            </w:pPr>
            <w:r>
              <w:rPr>
                <w:rFonts w:asciiTheme="minorHAnsi" w:hAnsiTheme="minorHAnsi"/>
                <w:sz w:val="16"/>
                <w:szCs w:val="16"/>
                <w:lang w:val="cs-CZ"/>
              </w:rPr>
              <w:t>1,4</w:t>
            </w:r>
          </w:p>
        </w:tc>
        <w:tc>
          <w:tcPr>
            <w:tcW w:w="737" w:type="dxa"/>
            <w:tcBorders>
              <w:top w:val="single" w:sz="4" w:space="0" w:color="auto"/>
            </w:tcBorders>
            <w:noWrap/>
            <w:tcMar>
              <w:left w:w="57" w:type="dxa"/>
              <w:right w:w="57" w:type="dxa"/>
            </w:tcMar>
            <w:vAlign w:val="center"/>
          </w:tcPr>
          <w:p w:rsidR="00511C3A" w:rsidRPr="003C13D2" w:rsidRDefault="00511C3A" w:rsidP="003E4A5D">
            <w:pPr>
              <w:pStyle w:val="TableParagraph"/>
              <w:ind w:right="163"/>
              <w:rPr>
                <w:rFonts w:asciiTheme="minorHAnsi" w:hAnsiTheme="minorHAnsi"/>
                <w:sz w:val="16"/>
                <w:szCs w:val="16"/>
                <w:lang w:val="cs-CZ"/>
              </w:rPr>
            </w:pPr>
            <w:r>
              <w:rPr>
                <w:rFonts w:asciiTheme="minorHAnsi" w:hAnsiTheme="minorHAnsi"/>
                <w:sz w:val="16"/>
                <w:szCs w:val="16"/>
                <w:lang w:val="cs-CZ"/>
              </w:rPr>
              <w:t>-8,8</w:t>
            </w:r>
          </w:p>
        </w:tc>
        <w:tc>
          <w:tcPr>
            <w:tcW w:w="737" w:type="dxa"/>
            <w:tcBorders>
              <w:top w:val="single" w:sz="4" w:space="0" w:color="auto"/>
            </w:tcBorders>
            <w:noWrap/>
            <w:tcMar>
              <w:left w:w="57" w:type="dxa"/>
              <w:right w:w="57" w:type="dxa"/>
            </w:tcMar>
            <w:vAlign w:val="center"/>
          </w:tcPr>
          <w:p w:rsidR="00511C3A" w:rsidRPr="003C13D2" w:rsidRDefault="00511C3A" w:rsidP="003E4A5D">
            <w:pPr>
              <w:pStyle w:val="TableParagraph"/>
              <w:ind w:right="109"/>
              <w:rPr>
                <w:rFonts w:asciiTheme="minorHAnsi" w:hAnsiTheme="minorHAnsi"/>
                <w:sz w:val="16"/>
                <w:szCs w:val="16"/>
                <w:lang w:val="cs-CZ"/>
              </w:rPr>
            </w:pPr>
            <w:r>
              <w:rPr>
                <w:rFonts w:asciiTheme="minorHAnsi" w:hAnsiTheme="minorHAnsi"/>
                <w:sz w:val="16"/>
                <w:szCs w:val="16"/>
                <w:lang w:val="cs-CZ"/>
              </w:rPr>
              <w:t>-13,2</w:t>
            </w:r>
          </w:p>
        </w:tc>
        <w:tc>
          <w:tcPr>
            <w:tcW w:w="737" w:type="dxa"/>
            <w:tcBorders>
              <w:top w:val="single" w:sz="4" w:space="0" w:color="auto"/>
            </w:tcBorders>
            <w:vAlign w:val="center"/>
          </w:tcPr>
          <w:p w:rsidR="00511C3A" w:rsidRPr="003C13D2" w:rsidRDefault="00511C3A" w:rsidP="003E4A5D">
            <w:pPr>
              <w:pStyle w:val="TableParagraph"/>
              <w:ind w:right="109"/>
              <w:rPr>
                <w:rFonts w:asciiTheme="minorHAnsi" w:hAnsiTheme="minorHAnsi"/>
                <w:sz w:val="16"/>
                <w:szCs w:val="16"/>
              </w:rPr>
            </w:pPr>
            <w:r>
              <w:rPr>
                <w:rFonts w:asciiTheme="minorHAnsi" w:hAnsiTheme="minorHAnsi"/>
                <w:sz w:val="16"/>
                <w:szCs w:val="16"/>
              </w:rPr>
              <w:t>-6,5</w:t>
            </w:r>
          </w:p>
        </w:tc>
        <w:tc>
          <w:tcPr>
            <w:tcW w:w="737" w:type="dxa"/>
            <w:tcBorders>
              <w:top w:val="single" w:sz="4" w:space="0" w:color="auto"/>
            </w:tcBorders>
            <w:vAlign w:val="center"/>
          </w:tcPr>
          <w:p w:rsidR="00511C3A" w:rsidRPr="003C13D2" w:rsidRDefault="00511C3A" w:rsidP="003E4A5D">
            <w:pPr>
              <w:pStyle w:val="TableParagraph"/>
              <w:ind w:right="109"/>
              <w:rPr>
                <w:rFonts w:asciiTheme="minorHAnsi" w:hAnsiTheme="minorHAnsi"/>
                <w:sz w:val="16"/>
                <w:szCs w:val="16"/>
              </w:rPr>
            </w:pPr>
            <w:r>
              <w:rPr>
                <w:rFonts w:asciiTheme="minorHAnsi" w:hAnsiTheme="minorHAnsi"/>
                <w:sz w:val="16"/>
                <w:szCs w:val="16"/>
              </w:rPr>
              <w:t>1,4</w:t>
            </w:r>
          </w:p>
        </w:tc>
        <w:tc>
          <w:tcPr>
            <w:tcW w:w="737" w:type="dxa"/>
            <w:tcBorders>
              <w:top w:val="single" w:sz="4" w:space="0" w:color="auto"/>
            </w:tcBorders>
            <w:vAlign w:val="center"/>
          </w:tcPr>
          <w:p w:rsidR="00511C3A" w:rsidRPr="003C13D2" w:rsidRDefault="00511C3A" w:rsidP="003E4A5D">
            <w:pPr>
              <w:pStyle w:val="TableParagraph"/>
              <w:ind w:right="109"/>
              <w:rPr>
                <w:rFonts w:asciiTheme="minorHAnsi" w:hAnsiTheme="minorHAnsi"/>
                <w:sz w:val="16"/>
                <w:szCs w:val="16"/>
              </w:rPr>
            </w:pPr>
            <w:r>
              <w:rPr>
                <w:rFonts w:asciiTheme="minorHAnsi" w:hAnsiTheme="minorHAnsi"/>
                <w:sz w:val="16"/>
                <w:szCs w:val="16"/>
              </w:rPr>
              <w:t>3,6</w:t>
            </w:r>
          </w:p>
        </w:tc>
        <w:tc>
          <w:tcPr>
            <w:tcW w:w="738" w:type="dxa"/>
            <w:tcBorders>
              <w:top w:val="single" w:sz="4" w:space="0" w:color="auto"/>
            </w:tcBorders>
            <w:vAlign w:val="center"/>
          </w:tcPr>
          <w:p w:rsidR="00511C3A" w:rsidRPr="003C13D2" w:rsidRDefault="00511C3A" w:rsidP="003E4A5D">
            <w:pPr>
              <w:pStyle w:val="TableParagraph"/>
              <w:ind w:right="109"/>
              <w:rPr>
                <w:rFonts w:asciiTheme="minorHAnsi" w:hAnsiTheme="minorHAnsi"/>
                <w:sz w:val="16"/>
                <w:szCs w:val="16"/>
              </w:rPr>
            </w:pPr>
            <w:r>
              <w:rPr>
                <w:rFonts w:asciiTheme="minorHAnsi" w:hAnsiTheme="minorHAnsi"/>
                <w:sz w:val="16"/>
                <w:szCs w:val="16"/>
              </w:rPr>
              <w:t>1,0</w:t>
            </w:r>
          </w:p>
        </w:tc>
      </w:tr>
      <w:tr w:rsidR="00511C3A" w:rsidRPr="003C13D2" w:rsidTr="00511C3A">
        <w:trPr>
          <w:trHeight w:val="283"/>
        </w:trPr>
        <w:tc>
          <w:tcPr>
            <w:tcW w:w="1701" w:type="dxa"/>
            <w:tcBorders>
              <w:bottom w:val="single" w:sz="4" w:space="0" w:color="auto"/>
            </w:tcBorders>
            <w:shd w:val="clear" w:color="auto" w:fill="F2F2F2" w:themeFill="background1" w:themeFillShade="F2"/>
            <w:noWrap/>
            <w:tcMar>
              <w:left w:w="57" w:type="dxa"/>
              <w:right w:w="57" w:type="dxa"/>
            </w:tcMar>
            <w:vAlign w:val="center"/>
          </w:tcPr>
          <w:p w:rsidR="00511C3A" w:rsidRPr="003C13D2" w:rsidRDefault="00511C3A" w:rsidP="003E4A5D">
            <w:pPr>
              <w:pStyle w:val="TableParagraph"/>
              <w:ind w:left="55"/>
              <w:jc w:val="left"/>
              <w:rPr>
                <w:rFonts w:asciiTheme="minorHAnsi" w:hAnsiTheme="minorHAnsi"/>
                <w:sz w:val="18"/>
                <w:szCs w:val="18"/>
                <w:lang w:val="cs-CZ"/>
              </w:rPr>
            </w:pPr>
            <w:r>
              <w:rPr>
                <w:rFonts w:asciiTheme="minorHAnsi" w:hAnsiTheme="minorHAnsi"/>
                <w:sz w:val="18"/>
                <w:szCs w:val="18"/>
                <w:lang w:val="cs-CZ"/>
              </w:rPr>
              <w:t>Orientační hodnota</w:t>
            </w:r>
          </w:p>
        </w:tc>
        <w:tc>
          <w:tcPr>
            <w:tcW w:w="737" w:type="dxa"/>
            <w:tcBorders>
              <w:bottom w:val="single" w:sz="4" w:space="0" w:color="auto"/>
            </w:tcBorders>
            <w:shd w:val="clear" w:color="auto" w:fill="F2F2F2" w:themeFill="background1" w:themeFillShade="F2"/>
            <w:noWrap/>
            <w:tcMar>
              <w:left w:w="57" w:type="dxa"/>
              <w:right w:w="57" w:type="dxa"/>
            </w:tcMar>
            <w:vAlign w:val="center"/>
          </w:tcPr>
          <w:p w:rsidR="00511C3A" w:rsidRPr="003C13D2" w:rsidRDefault="00511C3A" w:rsidP="003E4A5D">
            <w:pPr>
              <w:pStyle w:val="TableParagraph"/>
              <w:ind w:right="105"/>
              <w:rPr>
                <w:rFonts w:asciiTheme="minorHAnsi" w:hAnsiTheme="minorHAnsi"/>
                <w:sz w:val="16"/>
                <w:szCs w:val="16"/>
                <w:lang w:val="cs-CZ"/>
              </w:rPr>
            </w:pPr>
            <w:r>
              <w:rPr>
                <w:rFonts w:asciiTheme="minorHAnsi" w:hAnsiTheme="minorHAnsi"/>
                <w:sz w:val="16"/>
                <w:szCs w:val="16"/>
                <w:lang w:val="cs-CZ"/>
              </w:rPr>
              <w:t>9,3</w:t>
            </w:r>
          </w:p>
        </w:tc>
        <w:tc>
          <w:tcPr>
            <w:tcW w:w="737" w:type="dxa"/>
            <w:tcBorders>
              <w:bottom w:val="single" w:sz="4" w:space="0" w:color="auto"/>
            </w:tcBorders>
            <w:shd w:val="clear" w:color="auto" w:fill="F2F2F2" w:themeFill="background1" w:themeFillShade="F2"/>
            <w:noWrap/>
            <w:tcMar>
              <w:left w:w="57" w:type="dxa"/>
              <w:right w:w="57" w:type="dxa"/>
            </w:tcMar>
            <w:vAlign w:val="center"/>
          </w:tcPr>
          <w:p w:rsidR="00511C3A" w:rsidRPr="003C13D2" w:rsidRDefault="00511C3A" w:rsidP="003E4A5D">
            <w:pPr>
              <w:pStyle w:val="TableParagraph"/>
              <w:ind w:right="111"/>
              <w:rPr>
                <w:rFonts w:asciiTheme="minorHAnsi" w:hAnsiTheme="minorHAnsi"/>
                <w:sz w:val="16"/>
                <w:szCs w:val="16"/>
                <w:lang w:val="cs-CZ"/>
              </w:rPr>
            </w:pPr>
            <w:r>
              <w:rPr>
                <w:rFonts w:asciiTheme="minorHAnsi" w:hAnsiTheme="minorHAnsi"/>
                <w:sz w:val="16"/>
                <w:szCs w:val="16"/>
                <w:lang w:val="cs-CZ"/>
              </w:rPr>
              <w:t>4,3</w:t>
            </w:r>
          </w:p>
        </w:tc>
        <w:tc>
          <w:tcPr>
            <w:tcW w:w="737" w:type="dxa"/>
            <w:tcBorders>
              <w:bottom w:val="single" w:sz="4" w:space="0" w:color="auto"/>
            </w:tcBorders>
            <w:shd w:val="clear" w:color="auto" w:fill="F2F2F2" w:themeFill="background1" w:themeFillShade="F2"/>
            <w:noWrap/>
            <w:tcMar>
              <w:left w:w="57" w:type="dxa"/>
              <w:right w:w="57" w:type="dxa"/>
            </w:tcMar>
            <w:vAlign w:val="center"/>
          </w:tcPr>
          <w:p w:rsidR="00511C3A" w:rsidRPr="003C13D2" w:rsidRDefault="00511C3A" w:rsidP="003E4A5D">
            <w:pPr>
              <w:pStyle w:val="TableParagraph"/>
              <w:ind w:right="135"/>
              <w:rPr>
                <w:rFonts w:asciiTheme="minorHAnsi" w:hAnsiTheme="minorHAnsi"/>
                <w:sz w:val="16"/>
                <w:szCs w:val="16"/>
                <w:lang w:val="cs-CZ"/>
              </w:rPr>
            </w:pPr>
            <w:r>
              <w:rPr>
                <w:rFonts w:asciiTheme="minorHAnsi" w:hAnsiTheme="minorHAnsi"/>
                <w:sz w:val="16"/>
                <w:szCs w:val="16"/>
                <w:lang w:val="cs-CZ"/>
              </w:rPr>
              <w:t>-2,2</w:t>
            </w:r>
          </w:p>
        </w:tc>
        <w:tc>
          <w:tcPr>
            <w:tcW w:w="737" w:type="dxa"/>
            <w:tcBorders>
              <w:bottom w:val="single" w:sz="4" w:space="0" w:color="auto"/>
            </w:tcBorders>
            <w:shd w:val="clear" w:color="auto" w:fill="F2F2F2" w:themeFill="background1" w:themeFillShade="F2"/>
            <w:noWrap/>
            <w:tcMar>
              <w:left w:w="57" w:type="dxa"/>
              <w:right w:w="57" w:type="dxa"/>
            </w:tcMar>
            <w:vAlign w:val="center"/>
          </w:tcPr>
          <w:p w:rsidR="00511C3A" w:rsidRPr="003C13D2" w:rsidRDefault="00511C3A" w:rsidP="003E4A5D">
            <w:pPr>
              <w:pStyle w:val="TableParagraph"/>
              <w:ind w:right="108"/>
              <w:rPr>
                <w:rFonts w:asciiTheme="minorHAnsi" w:hAnsiTheme="minorHAnsi"/>
                <w:sz w:val="16"/>
                <w:szCs w:val="16"/>
                <w:lang w:val="cs-CZ"/>
              </w:rPr>
            </w:pPr>
            <w:r>
              <w:rPr>
                <w:rFonts w:asciiTheme="minorHAnsi" w:hAnsiTheme="minorHAnsi"/>
                <w:sz w:val="16"/>
                <w:szCs w:val="16"/>
                <w:lang w:val="cs-CZ"/>
              </w:rPr>
              <w:t>-14,8</w:t>
            </w:r>
          </w:p>
        </w:tc>
        <w:tc>
          <w:tcPr>
            <w:tcW w:w="737" w:type="dxa"/>
            <w:tcBorders>
              <w:bottom w:val="single" w:sz="4" w:space="0" w:color="auto"/>
            </w:tcBorders>
            <w:shd w:val="clear" w:color="auto" w:fill="F2F2F2" w:themeFill="background1" w:themeFillShade="F2"/>
            <w:noWrap/>
            <w:tcMar>
              <w:left w:w="57" w:type="dxa"/>
              <w:right w:w="57" w:type="dxa"/>
            </w:tcMar>
            <w:vAlign w:val="center"/>
          </w:tcPr>
          <w:p w:rsidR="00511C3A" w:rsidRPr="003C13D2" w:rsidRDefault="00511C3A" w:rsidP="003E4A5D">
            <w:pPr>
              <w:pStyle w:val="TableParagraph"/>
              <w:ind w:right="163"/>
              <w:rPr>
                <w:rFonts w:asciiTheme="minorHAnsi" w:hAnsiTheme="minorHAnsi"/>
                <w:sz w:val="16"/>
                <w:szCs w:val="16"/>
                <w:lang w:val="cs-CZ"/>
              </w:rPr>
            </w:pPr>
            <w:r>
              <w:rPr>
                <w:rFonts w:asciiTheme="minorHAnsi" w:hAnsiTheme="minorHAnsi"/>
                <w:sz w:val="16"/>
                <w:szCs w:val="16"/>
                <w:lang w:val="cs-CZ"/>
              </w:rPr>
              <w:t>-6,3</w:t>
            </w:r>
          </w:p>
        </w:tc>
        <w:tc>
          <w:tcPr>
            <w:tcW w:w="737" w:type="dxa"/>
            <w:tcBorders>
              <w:bottom w:val="single" w:sz="4" w:space="0" w:color="auto"/>
            </w:tcBorders>
            <w:shd w:val="clear" w:color="auto" w:fill="F2F2F2" w:themeFill="background1" w:themeFillShade="F2"/>
            <w:noWrap/>
            <w:tcMar>
              <w:left w:w="57" w:type="dxa"/>
              <w:right w:w="57" w:type="dxa"/>
            </w:tcMar>
            <w:vAlign w:val="center"/>
          </w:tcPr>
          <w:p w:rsidR="00511C3A" w:rsidRPr="003C13D2" w:rsidRDefault="00511C3A" w:rsidP="003E4A5D">
            <w:pPr>
              <w:pStyle w:val="TableParagraph"/>
              <w:ind w:right="109"/>
              <w:rPr>
                <w:rFonts w:asciiTheme="minorHAnsi" w:hAnsiTheme="minorHAnsi"/>
                <w:sz w:val="16"/>
                <w:szCs w:val="16"/>
                <w:lang w:val="cs-CZ"/>
              </w:rPr>
            </w:pPr>
            <w:r>
              <w:rPr>
                <w:rFonts w:asciiTheme="minorHAnsi" w:hAnsiTheme="minorHAnsi"/>
                <w:sz w:val="16"/>
                <w:szCs w:val="16"/>
                <w:lang w:val="cs-CZ"/>
              </w:rPr>
              <w:t>-19,1</w:t>
            </w:r>
          </w:p>
        </w:tc>
        <w:tc>
          <w:tcPr>
            <w:tcW w:w="737" w:type="dxa"/>
            <w:tcBorders>
              <w:bottom w:val="single" w:sz="4" w:space="0" w:color="auto"/>
            </w:tcBorders>
            <w:shd w:val="clear" w:color="auto" w:fill="F2F2F2" w:themeFill="background1" w:themeFillShade="F2"/>
            <w:vAlign w:val="center"/>
          </w:tcPr>
          <w:p w:rsidR="00511C3A" w:rsidRPr="003C13D2" w:rsidRDefault="00511C3A" w:rsidP="003E4A5D">
            <w:pPr>
              <w:pStyle w:val="TableParagraph"/>
              <w:ind w:right="109"/>
              <w:rPr>
                <w:rFonts w:asciiTheme="minorHAnsi" w:hAnsiTheme="minorHAnsi"/>
                <w:sz w:val="16"/>
                <w:szCs w:val="16"/>
              </w:rPr>
            </w:pPr>
            <w:r>
              <w:rPr>
                <w:rFonts w:asciiTheme="minorHAnsi" w:hAnsiTheme="minorHAnsi"/>
                <w:sz w:val="16"/>
                <w:szCs w:val="16"/>
              </w:rPr>
              <w:t>-3,1</w:t>
            </w:r>
          </w:p>
        </w:tc>
        <w:tc>
          <w:tcPr>
            <w:tcW w:w="737" w:type="dxa"/>
            <w:tcBorders>
              <w:bottom w:val="single" w:sz="4" w:space="0" w:color="auto"/>
            </w:tcBorders>
            <w:shd w:val="clear" w:color="auto" w:fill="F2F2F2" w:themeFill="background1" w:themeFillShade="F2"/>
            <w:vAlign w:val="center"/>
          </w:tcPr>
          <w:p w:rsidR="00511C3A" w:rsidRPr="003C13D2" w:rsidRDefault="00511C3A" w:rsidP="003E4A5D">
            <w:pPr>
              <w:pStyle w:val="TableParagraph"/>
              <w:ind w:right="109"/>
              <w:rPr>
                <w:rFonts w:asciiTheme="minorHAnsi" w:hAnsiTheme="minorHAnsi"/>
                <w:sz w:val="16"/>
                <w:szCs w:val="16"/>
              </w:rPr>
            </w:pPr>
            <w:r>
              <w:rPr>
                <w:rFonts w:asciiTheme="minorHAnsi" w:hAnsiTheme="minorHAnsi"/>
                <w:sz w:val="16"/>
                <w:szCs w:val="16"/>
              </w:rPr>
              <w:t>2,0</w:t>
            </w:r>
          </w:p>
        </w:tc>
        <w:tc>
          <w:tcPr>
            <w:tcW w:w="737" w:type="dxa"/>
            <w:tcBorders>
              <w:bottom w:val="single" w:sz="4" w:space="0" w:color="auto"/>
            </w:tcBorders>
            <w:shd w:val="clear" w:color="auto" w:fill="F2F2F2" w:themeFill="background1" w:themeFillShade="F2"/>
            <w:vAlign w:val="center"/>
          </w:tcPr>
          <w:p w:rsidR="00511C3A" w:rsidRPr="003C13D2" w:rsidRDefault="00511C3A" w:rsidP="003E4A5D">
            <w:pPr>
              <w:pStyle w:val="TableParagraph"/>
              <w:ind w:right="109"/>
              <w:rPr>
                <w:rFonts w:asciiTheme="minorHAnsi" w:hAnsiTheme="minorHAnsi"/>
                <w:sz w:val="16"/>
                <w:szCs w:val="16"/>
              </w:rPr>
            </w:pPr>
            <w:r>
              <w:rPr>
                <w:rFonts w:asciiTheme="minorHAnsi" w:hAnsiTheme="minorHAnsi"/>
                <w:sz w:val="16"/>
                <w:szCs w:val="16"/>
              </w:rPr>
              <w:t>11,5</w:t>
            </w:r>
          </w:p>
        </w:tc>
        <w:tc>
          <w:tcPr>
            <w:tcW w:w="738" w:type="dxa"/>
            <w:tcBorders>
              <w:bottom w:val="single" w:sz="4" w:space="0" w:color="auto"/>
            </w:tcBorders>
            <w:shd w:val="clear" w:color="auto" w:fill="F2F2F2" w:themeFill="background1" w:themeFillShade="F2"/>
            <w:vAlign w:val="center"/>
          </w:tcPr>
          <w:p w:rsidR="00511C3A" w:rsidRPr="003C13D2" w:rsidRDefault="00511C3A" w:rsidP="003E4A5D">
            <w:pPr>
              <w:pStyle w:val="TableParagraph"/>
              <w:ind w:right="109"/>
              <w:rPr>
                <w:rFonts w:asciiTheme="minorHAnsi" w:hAnsiTheme="minorHAnsi"/>
                <w:sz w:val="16"/>
                <w:szCs w:val="16"/>
              </w:rPr>
            </w:pPr>
            <w:r>
              <w:rPr>
                <w:rFonts w:asciiTheme="minorHAnsi" w:hAnsiTheme="minorHAnsi"/>
                <w:sz w:val="16"/>
                <w:szCs w:val="16"/>
              </w:rPr>
              <w:t>24,1</w:t>
            </w:r>
          </w:p>
        </w:tc>
      </w:tr>
    </w:tbl>
    <w:p w:rsidR="00DF59DF" w:rsidRPr="00E45013" w:rsidRDefault="00DF59DF" w:rsidP="003E4A5D">
      <w:pPr>
        <w:pStyle w:val="Citt"/>
      </w:pPr>
      <w:r w:rsidRPr="00E45013">
        <w:t>*)POZN.: MEZIROČNÍ ZMĚNY.</w:t>
      </w:r>
    </w:p>
    <w:p w:rsidR="00DF59DF" w:rsidRDefault="00DF59DF" w:rsidP="003E4A5D">
      <w:pPr>
        <w:pStyle w:val="Citt"/>
      </w:pPr>
      <w:r w:rsidRPr="00E45013">
        <w:t>ZDROJ: ČSÚ</w:t>
      </w:r>
    </w:p>
    <w:p w:rsidR="00F6205C" w:rsidRDefault="008B5454" w:rsidP="003E4A5D">
      <w:pPr>
        <w:pStyle w:val="Textkomente"/>
        <w:widowControl w:val="0"/>
        <w:rPr>
          <w:sz w:val="24"/>
          <w:szCs w:val="22"/>
        </w:rPr>
      </w:pPr>
      <w:r>
        <w:rPr>
          <w:sz w:val="24"/>
          <w:szCs w:val="22"/>
        </w:rPr>
        <w:t xml:space="preserve">Z tabulky je patrné, že od účinnosti stavebního zákona, </w:t>
      </w:r>
      <w:r w:rsidR="00480E91">
        <w:rPr>
          <w:sz w:val="24"/>
          <w:szCs w:val="22"/>
        </w:rPr>
        <w:t xml:space="preserve">neustále </w:t>
      </w:r>
      <w:r w:rsidR="00EF3508">
        <w:rPr>
          <w:sz w:val="24"/>
          <w:szCs w:val="22"/>
        </w:rPr>
        <w:t>klesá počet vydaných stavebních povolení</w:t>
      </w:r>
      <w:r w:rsidR="00480E91">
        <w:rPr>
          <w:sz w:val="24"/>
          <w:szCs w:val="22"/>
        </w:rPr>
        <w:t xml:space="preserve">. Za posledních 10 let </w:t>
      </w:r>
      <w:r w:rsidR="006C59B5">
        <w:rPr>
          <w:sz w:val="24"/>
          <w:szCs w:val="22"/>
        </w:rPr>
        <w:t>klesl o více než 30 % oproti stavu z roku 2007. V jednotlivých letech, kdy klesal</w:t>
      </w:r>
      <w:r w:rsidR="00FF420C">
        <w:rPr>
          <w:sz w:val="24"/>
          <w:szCs w:val="22"/>
        </w:rPr>
        <w:t xml:space="preserve">, klesal </w:t>
      </w:r>
      <w:r w:rsidR="00EF3508">
        <w:rPr>
          <w:sz w:val="24"/>
          <w:szCs w:val="22"/>
        </w:rPr>
        <w:t xml:space="preserve">více, než </w:t>
      </w:r>
      <w:r w:rsidR="008D68BC">
        <w:rPr>
          <w:sz w:val="24"/>
          <w:szCs w:val="22"/>
        </w:rPr>
        <w:t xml:space="preserve">se měnila </w:t>
      </w:r>
      <w:r w:rsidR="00EF3508">
        <w:rPr>
          <w:sz w:val="24"/>
          <w:szCs w:val="22"/>
        </w:rPr>
        <w:t>ekonomika</w:t>
      </w:r>
      <w:r w:rsidR="00FF420C">
        <w:rPr>
          <w:sz w:val="24"/>
          <w:szCs w:val="22"/>
        </w:rPr>
        <w:t xml:space="preserve">; </w:t>
      </w:r>
      <w:r w:rsidR="008D68BC">
        <w:rPr>
          <w:sz w:val="24"/>
          <w:szCs w:val="22"/>
        </w:rPr>
        <w:t xml:space="preserve">i </w:t>
      </w:r>
      <w:r w:rsidR="00FF420C">
        <w:rPr>
          <w:sz w:val="24"/>
          <w:szCs w:val="22"/>
        </w:rPr>
        <w:t xml:space="preserve">v letech, kdy rostl, rostl méně, než </w:t>
      </w:r>
      <w:r w:rsidR="008D68BC">
        <w:rPr>
          <w:sz w:val="24"/>
          <w:szCs w:val="22"/>
        </w:rPr>
        <w:t xml:space="preserve">by dovolovala </w:t>
      </w:r>
      <w:r w:rsidR="00FF420C">
        <w:rPr>
          <w:sz w:val="24"/>
          <w:szCs w:val="22"/>
        </w:rPr>
        <w:t>ekonomika.</w:t>
      </w:r>
      <w:r w:rsidR="00EF3508">
        <w:rPr>
          <w:sz w:val="24"/>
          <w:szCs w:val="22"/>
        </w:rPr>
        <w:t xml:space="preserve"> </w:t>
      </w:r>
      <w:r w:rsidR="00076859" w:rsidRPr="00EE28D1">
        <w:rPr>
          <w:sz w:val="24"/>
          <w:szCs w:val="22"/>
        </w:rPr>
        <w:t xml:space="preserve">V roce 2017 </w:t>
      </w:r>
      <w:r w:rsidR="008D68BC">
        <w:rPr>
          <w:sz w:val="24"/>
          <w:szCs w:val="22"/>
        </w:rPr>
        <w:t xml:space="preserve">sice </w:t>
      </w:r>
      <w:r w:rsidR="00076859" w:rsidRPr="00EE28D1">
        <w:rPr>
          <w:sz w:val="24"/>
          <w:szCs w:val="22"/>
        </w:rPr>
        <w:t>už třetím rokem rostl počet stavebních povolení, a to hlavně na budovy bytové a ostatní stavby</w:t>
      </w:r>
      <w:r w:rsidR="00D94471">
        <w:rPr>
          <w:sz w:val="24"/>
          <w:szCs w:val="22"/>
        </w:rPr>
        <w:t>, ovšem mnohem méně, než by odpovídalo ekonomicky a sociálně odůvodněným požadavkům a poměrům na trhu</w:t>
      </w:r>
      <w:r w:rsidR="00076859" w:rsidRPr="00EE28D1">
        <w:rPr>
          <w:sz w:val="24"/>
          <w:szCs w:val="22"/>
        </w:rPr>
        <w:t xml:space="preserve">. </w:t>
      </w:r>
      <w:r w:rsidR="00A3110D">
        <w:rPr>
          <w:sz w:val="24"/>
          <w:szCs w:val="22"/>
        </w:rPr>
        <w:t xml:space="preserve">Podle </w:t>
      </w:r>
      <w:r w:rsidR="008443EA">
        <w:rPr>
          <w:sz w:val="24"/>
          <w:szCs w:val="22"/>
        </w:rPr>
        <w:t xml:space="preserve">údajů </w:t>
      </w:r>
      <w:r w:rsidR="00A3110D" w:rsidRPr="00500458">
        <w:rPr>
          <w:sz w:val="24"/>
          <w:szCs w:val="22"/>
        </w:rPr>
        <w:t xml:space="preserve">společnosti EEIP, a.s. stavební </w:t>
      </w:r>
      <w:r w:rsidR="00076859" w:rsidRPr="00500458">
        <w:rPr>
          <w:sz w:val="24"/>
          <w:szCs w:val="22"/>
        </w:rPr>
        <w:t>úřady vydaly celkem 84 164 stavebních povolení.</w:t>
      </w:r>
      <w:r w:rsidR="00076859" w:rsidRPr="00EE28D1">
        <w:rPr>
          <w:sz w:val="24"/>
          <w:szCs w:val="22"/>
        </w:rPr>
        <w:t xml:space="preserve"> </w:t>
      </w:r>
    </w:p>
    <w:p w:rsidR="00164C97" w:rsidRDefault="00076859" w:rsidP="003E4A5D">
      <w:pPr>
        <w:pStyle w:val="Textkomente"/>
        <w:widowControl w:val="0"/>
      </w:pPr>
      <w:r w:rsidRPr="00EE28D1">
        <w:rPr>
          <w:sz w:val="24"/>
          <w:szCs w:val="22"/>
        </w:rPr>
        <w:t xml:space="preserve">U orientační hodnoty povolených staveb byl zaznamenán největší pokles v roce 2014, od roku 2015 plánované investice rostly. Na růst orientační hodnoty měla </w:t>
      </w:r>
      <w:r w:rsidRPr="009D707E">
        <w:rPr>
          <w:sz w:val="24"/>
          <w:szCs w:val="22"/>
        </w:rPr>
        <w:t xml:space="preserve">vliv </w:t>
      </w:r>
      <w:r w:rsidR="00530152" w:rsidRPr="009D707E">
        <w:rPr>
          <w:sz w:val="24"/>
          <w:szCs w:val="22"/>
        </w:rPr>
        <w:t xml:space="preserve">vydaná </w:t>
      </w:r>
      <w:r w:rsidRPr="009D707E">
        <w:rPr>
          <w:sz w:val="24"/>
          <w:szCs w:val="22"/>
        </w:rPr>
        <w:t xml:space="preserve">povolení </w:t>
      </w:r>
      <w:r w:rsidR="00530152" w:rsidRPr="009D707E">
        <w:rPr>
          <w:sz w:val="24"/>
          <w:szCs w:val="22"/>
        </w:rPr>
        <w:t xml:space="preserve">pro stavby významnější veřejné </w:t>
      </w:r>
      <w:r w:rsidRPr="009D707E">
        <w:rPr>
          <w:sz w:val="24"/>
          <w:szCs w:val="22"/>
        </w:rPr>
        <w:t>infrastruktur</w:t>
      </w:r>
      <w:r w:rsidR="00530152" w:rsidRPr="009D707E">
        <w:rPr>
          <w:sz w:val="24"/>
          <w:szCs w:val="22"/>
        </w:rPr>
        <w:t>y</w:t>
      </w:r>
      <w:r w:rsidRPr="009D707E">
        <w:rPr>
          <w:sz w:val="24"/>
          <w:szCs w:val="22"/>
        </w:rPr>
        <w:t xml:space="preserve"> a </w:t>
      </w:r>
      <w:r w:rsidR="00530152" w:rsidRPr="009D707E">
        <w:rPr>
          <w:sz w:val="24"/>
          <w:szCs w:val="22"/>
        </w:rPr>
        <w:t>pro </w:t>
      </w:r>
      <w:r w:rsidRPr="009D707E">
        <w:rPr>
          <w:sz w:val="24"/>
          <w:szCs w:val="22"/>
        </w:rPr>
        <w:t>výstavbu</w:t>
      </w:r>
      <w:r w:rsidRPr="00EE28D1">
        <w:rPr>
          <w:sz w:val="24"/>
          <w:szCs w:val="22"/>
        </w:rPr>
        <w:t xml:space="preserve"> velkých průmyslových staveb. Orientační hodnota staveb povolených v roce 2017 činila 352,9 mld. Kč, tj.</w:t>
      </w:r>
      <w:r w:rsidR="00DE76AE">
        <w:rPr>
          <w:sz w:val="24"/>
          <w:szCs w:val="22"/>
        </w:rPr>
        <w:t> </w:t>
      </w:r>
      <w:r w:rsidRPr="00EE28D1">
        <w:rPr>
          <w:sz w:val="24"/>
          <w:szCs w:val="22"/>
        </w:rPr>
        <w:t xml:space="preserve">byla </w:t>
      </w:r>
      <w:r w:rsidR="00DE76AE">
        <w:rPr>
          <w:sz w:val="24"/>
          <w:szCs w:val="22"/>
        </w:rPr>
        <w:t xml:space="preserve">pouze </w:t>
      </w:r>
      <w:r w:rsidR="00846F74">
        <w:rPr>
          <w:sz w:val="24"/>
          <w:szCs w:val="22"/>
        </w:rPr>
        <w:t xml:space="preserve">zhruba </w:t>
      </w:r>
      <w:r w:rsidRPr="00EE28D1">
        <w:rPr>
          <w:sz w:val="24"/>
          <w:szCs w:val="22"/>
        </w:rPr>
        <w:t xml:space="preserve">na úrovni roku 2007. </w:t>
      </w:r>
      <w:r w:rsidR="009B1D2E">
        <w:rPr>
          <w:sz w:val="24"/>
          <w:szCs w:val="22"/>
        </w:rPr>
        <w:t xml:space="preserve">Navíc růst hodnoty staveb během posledních tří let byl dán zcela zjevně příznivou ekonomickou situací, </w:t>
      </w:r>
      <w:r w:rsidR="00C56184">
        <w:rPr>
          <w:sz w:val="24"/>
          <w:szCs w:val="22"/>
        </w:rPr>
        <w:t xml:space="preserve">nikoli vhodnými </w:t>
      </w:r>
      <w:r w:rsidR="009B1D2E">
        <w:rPr>
          <w:sz w:val="24"/>
          <w:szCs w:val="22"/>
        </w:rPr>
        <w:t xml:space="preserve">parametry stavebního práva. </w:t>
      </w:r>
      <w:r w:rsidR="00530152" w:rsidRPr="009D707E">
        <w:rPr>
          <w:sz w:val="24"/>
          <w:szCs w:val="22"/>
        </w:rPr>
        <w:t xml:space="preserve">Srovnáním </w:t>
      </w:r>
      <w:r w:rsidR="00F6205C" w:rsidRPr="009D707E">
        <w:rPr>
          <w:sz w:val="24"/>
          <w:szCs w:val="22"/>
        </w:rPr>
        <w:t>dat</w:t>
      </w:r>
      <w:r w:rsidR="00F6205C">
        <w:rPr>
          <w:sz w:val="24"/>
          <w:szCs w:val="22"/>
        </w:rPr>
        <w:t xml:space="preserve"> z let 2007 až </w:t>
      </w:r>
      <w:r w:rsidR="00C56184">
        <w:rPr>
          <w:sz w:val="24"/>
          <w:szCs w:val="22"/>
        </w:rPr>
        <w:t xml:space="preserve">2014, </w:t>
      </w:r>
      <w:r w:rsidR="00530152" w:rsidRPr="009D707E">
        <w:rPr>
          <w:sz w:val="24"/>
          <w:szCs w:val="22"/>
        </w:rPr>
        <w:t>vyplyne</w:t>
      </w:r>
      <w:r w:rsidR="00C56184">
        <w:rPr>
          <w:sz w:val="24"/>
          <w:szCs w:val="22"/>
        </w:rPr>
        <w:t xml:space="preserve"> </w:t>
      </w:r>
      <w:r w:rsidR="00077D02">
        <w:rPr>
          <w:sz w:val="24"/>
          <w:szCs w:val="22"/>
        </w:rPr>
        <w:t xml:space="preserve">kumulovaný </w:t>
      </w:r>
      <w:r w:rsidR="00C56184">
        <w:rPr>
          <w:sz w:val="24"/>
          <w:szCs w:val="22"/>
        </w:rPr>
        <w:t>propad hodnoty stavebních investic za účinnosti stávajícího stavebního zákona</w:t>
      </w:r>
      <w:r w:rsidR="00C56184" w:rsidRPr="00EE28D1">
        <w:rPr>
          <w:sz w:val="24"/>
          <w:szCs w:val="22"/>
        </w:rPr>
        <w:t xml:space="preserve"> </w:t>
      </w:r>
      <w:r w:rsidR="00077D02">
        <w:rPr>
          <w:sz w:val="24"/>
          <w:szCs w:val="22"/>
        </w:rPr>
        <w:t>31,9 %</w:t>
      </w:r>
      <w:r w:rsidR="0059704E">
        <w:rPr>
          <w:sz w:val="24"/>
          <w:szCs w:val="22"/>
        </w:rPr>
        <w:t>, a to bez započtení míry inflace</w:t>
      </w:r>
      <w:r w:rsidR="00077D02">
        <w:rPr>
          <w:sz w:val="24"/>
          <w:szCs w:val="22"/>
        </w:rPr>
        <w:t xml:space="preserve">. </w:t>
      </w:r>
      <w:r w:rsidRPr="00EE28D1">
        <w:rPr>
          <w:sz w:val="24"/>
          <w:szCs w:val="22"/>
        </w:rPr>
        <w:t>Proti roku 2014 plánované investice v roce 2017 vzrostly o třetinu</w:t>
      </w:r>
      <w:r w:rsidR="00530152">
        <w:rPr>
          <w:sz w:val="24"/>
          <w:szCs w:val="22"/>
        </w:rPr>
        <w:t xml:space="preserve"> a</w:t>
      </w:r>
      <w:r w:rsidRPr="00EE28D1">
        <w:rPr>
          <w:sz w:val="24"/>
          <w:szCs w:val="22"/>
        </w:rPr>
        <w:t xml:space="preserve"> týkaly se všech kategorií výstavby. Jednalo se o nejvyšší hodnoty u kategorií staveb od roku 2010. Pouze u staveb na ochranu životního prostředí, i přes jejich meziroční růst, se jednalo o druhou nejnižší hodnotu. Téměř ve všech čtvrtletích roku 2017 zaznamenala orientační hodnota třetinové růsty. Pouze ve 2. čtvrtletí nastal mírný pokles vlivem nižších investic na ostatní stavby.</w:t>
      </w:r>
      <w:r w:rsidR="00FE0543">
        <w:rPr>
          <w:sz w:val="24"/>
          <w:szCs w:val="22"/>
        </w:rPr>
        <w:t xml:space="preserve"> </w:t>
      </w:r>
      <w:r w:rsidR="00947D17">
        <w:rPr>
          <w:sz w:val="24"/>
          <w:szCs w:val="22"/>
        </w:rPr>
        <w:t>T</w:t>
      </w:r>
      <w:r w:rsidR="00C06453">
        <w:rPr>
          <w:sz w:val="24"/>
          <w:szCs w:val="22"/>
        </w:rPr>
        <w:t xml:space="preserve">ento aktuální vývoj </w:t>
      </w:r>
      <w:r w:rsidR="00B1074A">
        <w:rPr>
          <w:sz w:val="24"/>
          <w:szCs w:val="22"/>
        </w:rPr>
        <w:t>se uvádí</w:t>
      </w:r>
      <w:r w:rsidR="00947D17">
        <w:rPr>
          <w:sz w:val="24"/>
          <w:szCs w:val="22"/>
        </w:rPr>
        <w:t xml:space="preserve"> proto, aby bylo zřejmé, k jakému současnému stavu varianty v RIA </w:t>
      </w:r>
      <w:r w:rsidR="00B1074A">
        <w:rPr>
          <w:sz w:val="24"/>
          <w:szCs w:val="22"/>
        </w:rPr>
        <w:t xml:space="preserve">jsou vztaženy </w:t>
      </w:r>
      <w:r w:rsidR="00947D17">
        <w:rPr>
          <w:sz w:val="24"/>
          <w:szCs w:val="22"/>
        </w:rPr>
        <w:t xml:space="preserve">a jaký může být výchozí bod pro novou právní úpravu.  </w:t>
      </w:r>
      <w:r w:rsidR="00164C97">
        <w:t xml:space="preserve"> </w:t>
      </w:r>
    </w:p>
    <w:p w:rsidR="007273A5" w:rsidRDefault="007273A5" w:rsidP="003E4A5D">
      <w:pPr>
        <w:pStyle w:val="Textkomente"/>
        <w:widowControl w:val="0"/>
      </w:pPr>
    </w:p>
    <w:p w:rsidR="003E4A5D" w:rsidRDefault="003E4A5D">
      <w:pPr>
        <w:spacing w:before="0" w:after="0"/>
        <w:jc w:val="left"/>
        <w:rPr>
          <w:rFonts w:eastAsia="Times New Roman"/>
          <w:b/>
          <w:bCs/>
          <w:color w:val="000000"/>
          <w:sz w:val="22"/>
          <w:szCs w:val="20"/>
          <w:lang w:eastAsia="cs-CZ"/>
        </w:rPr>
      </w:pPr>
      <w:r>
        <w:br w:type="page"/>
      </w:r>
    </w:p>
    <w:p w:rsidR="003C7E07" w:rsidRDefault="003C7E07" w:rsidP="003E4A5D">
      <w:pPr>
        <w:pStyle w:val="Titulek"/>
      </w:pPr>
      <w:r>
        <w:lastRenderedPageBreak/>
        <w:t xml:space="preserve">Obrázek </w:t>
      </w:r>
      <w:r w:rsidR="00AB65E9">
        <w:rPr>
          <w:noProof/>
        </w:rPr>
        <w:fldChar w:fldCharType="begin"/>
      </w:r>
      <w:r w:rsidR="00790BCF">
        <w:rPr>
          <w:noProof/>
        </w:rPr>
        <w:instrText xml:space="preserve"> SEQ Obrázek \* ARABIC </w:instrText>
      </w:r>
      <w:r w:rsidR="00AB65E9">
        <w:rPr>
          <w:noProof/>
        </w:rPr>
        <w:fldChar w:fldCharType="separate"/>
      </w:r>
      <w:r w:rsidR="00263A1B">
        <w:rPr>
          <w:noProof/>
        </w:rPr>
        <w:t>1</w:t>
      </w:r>
      <w:r w:rsidR="00AB65E9">
        <w:rPr>
          <w:noProof/>
        </w:rPr>
        <w:fldChar w:fldCharType="end"/>
      </w:r>
      <w:r>
        <w:t xml:space="preserve">: POROVNÁNÍ UKAZATELŮ VE STAVEBNICTVÍ, </w:t>
      </w:r>
      <w:r w:rsidR="00914D3B">
        <w:t>t</w:t>
      </w:r>
      <w:r>
        <w:t>rendy v letech 2000 až 2017</w:t>
      </w:r>
    </w:p>
    <w:p w:rsidR="00BB5C81" w:rsidRDefault="006C2D64" w:rsidP="003E4A5D">
      <w:pPr>
        <w:pStyle w:val="Text-Normaln"/>
        <w:widowControl w:val="0"/>
      </w:pPr>
      <w:r w:rsidRPr="006C2D64">
        <w:rPr>
          <w:noProof/>
          <w:lang w:eastAsia="cs-CZ"/>
        </w:rPr>
        <w:drawing>
          <wp:inline distT="0" distB="0" distL="0" distR="0" wp14:anchorId="30550C1F" wp14:editId="49BEC9A4">
            <wp:extent cx="5753819" cy="256204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56745" cy="2563348"/>
                    </a:xfrm>
                    <a:prstGeom prst="rect">
                      <a:avLst/>
                    </a:prstGeom>
                  </pic:spPr>
                </pic:pic>
              </a:graphicData>
            </a:graphic>
          </wp:inline>
        </w:drawing>
      </w:r>
    </w:p>
    <w:p w:rsidR="00A34AB3" w:rsidRDefault="00A34AB3" w:rsidP="003E4A5D">
      <w:pPr>
        <w:pStyle w:val="Citt"/>
      </w:pPr>
      <w:r w:rsidRPr="00B80ACE">
        <w:t>ZDROJ: ČSÚ</w:t>
      </w:r>
    </w:p>
    <w:p w:rsidR="00E45013" w:rsidRDefault="00E45013" w:rsidP="003E4A5D">
      <w:pPr>
        <w:pStyle w:val="Text-Normaln"/>
        <w:widowControl w:val="0"/>
      </w:pPr>
      <w:r w:rsidRPr="00E45013">
        <w:t xml:space="preserve">Více investic je dlouhodobě plánováno na novou výstavbu </w:t>
      </w:r>
      <w:r w:rsidR="00B1074A">
        <w:rPr>
          <w:rFonts w:ascii="Times New Roman" w:hAnsi="Times New Roman"/>
        </w:rPr>
        <w:t>[</w:t>
      </w:r>
      <w:r w:rsidRPr="00E45013">
        <w:t>(215,5 mld. Kč, tj. 61 % z celkové hodnoty</w:t>
      </w:r>
      <w:r w:rsidR="00480E56">
        <w:t xml:space="preserve"> (2017</w:t>
      </w:r>
      <w:r w:rsidRPr="00E45013">
        <w:t>)</w:t>
      </w:r>
      <w:r w:rsidR="00B1074A">
        <w:rPr>
          <w:rFonts w:ascii="Times New Roman" w:hAnsi="Times New Roman"/>
        </w:rPr>
        <w:t>]</w:t>
      </w:r>
      <w:r w:rsidRPr="00E45013">
        <w:t xml:space="preserve"> než na změny d</w:t>
      </w:r>
      <w:r w:rsidR="00480E56">
        <w:t xml:space="preserve">okončených staveb </w:t>
      </w:r>
      <w:r w:rsidR="00B1074A">
        <w:rPr>
          <w:rFonts w:ascii="Times New Roman" w:hAnsi="Times New Roman"/>
        </w:rPr>
        <w:t>[</w:t>
      </w:r>
      <w:r w:rsidR="00480E56">
        <w:t>(</w:t>
      </w:r>
      <w:r w:rsidR="003A23B6">
        <w:t>1</w:t>
      </w:r>
      <w:r w:rsidR="00480E56">
        <w:t>37,5 mld. Kč (2017</w:t>
      </w:r>
      <w:r w:rsidR="007273A5">
        <w:t>)</w:t>
      </w:r>
      <w:r w:rsidR="005211F7">
        <w:rPr>
          <w:rFonts w:ascii="Times New Roman" w:hAnsi="Times New Roman"/>
        </w:rPr>
        <w:t>]</w:t>
      </w:r>
      <w:r w:rsidR="007273A5">
        <w:t>. Na nové výstavbě se </w:t>
      </w:r>
      <w:r w:rsidRPr="00E45013">
        <w:t>nejvíce podílely bytové budovy a na změnách dokončených staveb nebytové budovy.</w:t>
      </w:r>
    </w:p>
    <w:p w:rsidR="00416263" w:rsidRPr="00E45013" w:rsidRDefault="00416263" w:rsidP="0089559F">
      <w:pPr>
        <w:pStyle w:val="Titulek"/>
        <w:keepNext/>
      </w:pPr>
      <w:r>
        <w:t xml:space="preserve">Obrázek </w:t>
      </w:r>
      <w:r w:rsidR="00AB65E9">
        <w:rPr>
          <w:noProof/>
        </w:rPr>
        <w:fldChar w:fldCharType="begin"/>
      </w:r>
      <w:r w:rsidR="006D15AE">
        <w:rPr>
          <w:noProof/>
        </w:rPr>
        <w:instrText xml:space="preserve"> SEQ Obrázek \* ARABIC </w:instrText>
      </w:r>
      <w:r w:rsidR="00AB65E9">
        <w:rPr>
          <w:noProof/>
        </w:rPr>
        <w:fldChar w:fldCharType="separate"/>
      </w:r>
      <w:r w:rsidR="00263A1B">
        <w:rPr>
          <w:noProof/>
        </w:rPr>
        <w:t>2</w:t>
      </w:r>
      <w:r w:rsidR="00AB65E9">
        <w:rPr>
          <w:noProof/>
        </w:rPr>
        <w:fldChar w:fldCharType="end"/>
      </w:r>
      <w:r>
        <w:t xml:space="preserve">: </w:t>
      </w:r>
      <w:r w:rsidRPr="00B80ACE">
        <w:t>Orientační hodnota staveb, 2009–2017 (mil. Kč)</w:t>
      </w:r>
      <w:r w:rsidR="00164C97">
        <w:t xml:space="preserve"> </w:t>
      </w:r>
    </w:p>
    <w:p w:rsidR="00480E56" w:rsidRDefault="006F13D5" w:rsidP="0089559F">
      <w:pPr>
        <w:pStyle w:val="Text-Normaln"/>
        <w:keepNext/>
        <w:widowControl w:val="0"/>
      </w:pPr>
      <w:r w:rsidRPr="006F13D5">
        <w:rPr>
          <w:noProof/>
          <w:lang w:eastAsia="cs-CZ"/>
        </w:rPr>
        <w:drawing>
          <wp:inline distT="0" distB="0" distL="0" distR="0" wp14:anchorId="374A8440" wp14:editId="40C065C3">
            <wp:extent cx="2888060" cy="3295291"/>
            <wp:effectExtent l="0" t="0" r="7620" b="63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942492" cy="3357398"/>
                    </a:xfrm>
                    <a:prstGeom prst="rect">
                      <a:avLst/>
                    </a:prstGeom>
                  </pic:spPr>
                </pic:pic>
              </a:graphicData>
            </a:graphic>
          </wp:inline>
        </w:drawing>
      </w:r>
    </w:p>
    <w:p w:rsidR="00480E56" w:rsidRDefault="00480E56" w:rsidP="0089559F">
      <w:pPr>
        <w:pStyle w:val="Citt"/>
        <w:keepNext/>
      </w:pPr>
      <w:r w:rsidRPr="00B80ACE">
        <w:t>ZDROJ: ČSÚ</w:t>
      </w:r>
      <w:r w:rsidR="006F13D5">
        <w:rPr>
          <w:rStyle w:val="Znakapoznpodarou"/>
        </w:rPr>
        <w:footnoteReference w:id="1"/>
      </w:r>
    </w:p>
    <w:p w:rsidR="00E45013" w:rsidRDefault="00E45013" w:rsidP="003E4A5D">
      <w:pPr>
        <w:pStyle w:val="Text-Normaln"/>
        <w:widowControl w:val="0"/>
      </w:pPr>
      <w:r w:rsidRPr="00E45013">
        <w:t>Podle kategorií výstavby se dlouhodobě více investuje do výstavby nebytových než bytových budov. Výjimkou byly roky 2014 a 2015</w:t>
      </w:r>
      <w:r w:rsidR="005211F7">
        <w:t>;</w:t>
      </w:r>
      <w:r w:rsidR="005211F7" w:rsidRPr="00E45013">
        <w:t xml:space="preserve"> </w:t>
      </w:r>
      <w:r w:rsidRPr="00E45013">
        <w:t xml:space="preserve">v roce 2016 se </w:t>
      </w:r>
      <w:r w:rsidR="00B80ACE">
        <w:t>trend zase</w:t>
      </w:r>
      <w:r w:rsidR="002E3F08">
        <w:t xml:space="preserve"> </w:t>
      </w:r>
      <w:r w:rsidR="00B80ACE">
        <w:t>obrátil.</w:t>
      </w:r>
      <w:r w:rsidR="002E3F08">
        <w:t xml:space="preserve"> </w:t>
      </w:r>
      <w:r w:rsidR="00B80ACE">
        <w:t>V roce 2017</w:t>
      </w:r>
      <w:r w:rsidR="002E3F08">
        <w:t xml:space="preserve"> </w:t>
      </w:r>
      <w:r w:rsidRPr="00E45013">
        <w:t>byly</w:t>
      </w:r>
      <w:r w:rsidR="002E3F08">
        <w:t xml:space="preserve"> </w:t>
      </w:r>
      <w:r w:rsidRPr="00E45013">
        <w:t xml:space="preserve">předpokládané investice do nebytových budov ve výši 129,2 mld. Kč, což bylo 37 % z celkové orientační hodnoty vydaných stavebních povolení. Ve srovnání s rokem 2016 byl zaznamenán růst o sedminu. Podíl orientační hodnoty stavebních povolení vydaných na budovy bytové je </w:t>
      </w:r>
      <w:r w:rsidRPr="00E45013">
        <w:lastRenderedPageBreak/>
        <w:t>nižší než v případě nebytových budov. V roce 2017 meziročně vzrostla orientační hodnota bytových budov o 19,6 %. Předpokládané investice činily 102,8 mld. Kč (29 %). Orientační hodnota ostatních staveb měla nejvyšší podíl na celkové očekávané hodnotě v roce 2014 (31 %) a </w:t>
      </w:r>
      <w:r w:rsidR="00500458">
        <w:t>v roce 201</w:t>
      </w:r>
      <w:r w:rsidR="00267738">
        <w:t>7</w:t>
      </w:r>
      <w:r w:rsidR="00500458" w:rsidRPr="00E45013">
        <w:t xml:space="preserve"> </w:t>
      </w:r>
      <w:r w:rsidRPr="00E45013">
        <w:t>(29 %). Plánované investice na ostatní stavby činily 102,7 mld. Kč, což bylo meziročně více o 43,7 %.</w:t>
      </w:r>
    </w:p>
    <w:p w:rsidR="00500458" w:rsidRDefault="00E45013" w:rsidP="0005519D">
      <w:pPr>
        <w:pStyle w:val="Text-Normaln"/>
        <w:widowControl w:val="0"/>
      </w:pPr>
      <w:r>
        <w:t>Nejnižší podíl na celkové hodnotě vydaných stavebních povolení tvoří dlouhodobě plánované investice pro stavby na ochranu životního prostředí. V roce 2017 meziročně vzrostla orientační hodnota pro tyto stavby na 28,7 mld. Kč. Pětiprocentní podíl byl od roku 2000 nejnižší. Města a obce je využívají na výstavby čistíren odpadních vod, kanalizací a vodovodů. Výši plánovaných investic na stavby pro ochranu životního prostředí, nebytové budovy a zejména na ostatní stavby ovlivňuje čerpání financí z evropských fondů a přidělování veřejných financí.</w:t>
      </w:r>
      <w:r w:rsidR="00500458">
        <w:t xml:space="preserve"> </w:t>
      </w:r>
    </w:p>
    <w:p w:rsidR="00500458" w:rsidRDefault="00E45013" w:rsidP="0005519D">
      <w:pPr>
        <w:pStyle w:val="Text-Normaln"/>
        <w:widowControl w:val="0"/>
      </w:pPr>
      <w:r>
        <w:t>Nejvyšší orientační hodnota vydaných stavebních povolení byla ve Středočeském kraji, kde se jednalo hlavně o nové bytové budovy, nejnižší pak v nejmenším kraji republiky – Karlovarském.</w:t>
      </w:r>
    </w:p>
    <w:p w:rsidR="0005519D" w:rsidRDefault="00E45013" w:rsidP="0005519D">
      <w:pPr>
        <w:pStyle w:val="Text-Normaln"/>
        <w:widowControl w:val="0"/>
      </w:pPr>
      <w:r>
        <w:t xml:space="preserve">Až do roku 2015 se do staveb nebytových budov investovalo především v hl. m. Praze. Od roku 2016 to již bylo v krajích Jihomoravském, Středočeském a Ústeckém, </w:t>
      </w:r>
      <w:r w:rsidR="00500458">
        <w:t>v roce 201</w:t>
      </w:r>
      <w:r w:rsidR="00267738">
        <w:t>7</w:t>
      </w:r>
      <w:r w:rsidR="00500458">
        <w:t xml:space="preserve"> </w:t>
      </w:r>
      <w:r>
        <w:t>pak hlavně v Ústeckém kraji zejména na výstavbu velkých průmyslových staveb a na infrastrukturu. Nejvíce peněz na ochranu životního prostředí se vydalo v krajích Jihomoravském, Středočeském a Moravskoslezském, kde byl vysoký podíl investic do ostatních staveb, zejména do dopravní infrastruktury.</w:t>
      </w:r>
    </w:p>
    <w:p w:rsidR="00416263" w:rsidRDefault="00416263" w:rsidP="0005519D">
      <w:pPr>
        <w:pStyle w:val="Text-Normaln"/>
        <w:widowControl w:val="0"/>
      </w:pPr>
      <w:r>
        <w:t xml:space="preserve">Obrázek </w:t>
      </w:r>
      <w:r w:rsidR="00AB65E9">
        <w:rPr>
          <w:noProof/>
        </w:rPr>
        <w:fldChar w:fldCharType="begin"/>
      </w:r>
      <w:r w:rsidR="006D15AE">
        <w:rPr>
          <w:noProof/>
        </w:rPr>
        <w:instrText xml:space="preserve"> SEQ Obrázek \* ARABIC </w:instrText>
      </w:r>
      <w:r w:rsidR="00AB65E9">
        <w:rPr>
          <w:noProof/>
        </w:rPr>
        <w:fldChar w:fldCharType="separate"/>
      </w:r>
      <w:r w:rsidR="00263A1B">
        <w:rPr>
          <w:noProof/>
        </w:rPr>
        <w:t>3</w:t>
      </w:r>
      <w:r w:rsidR="00AB65E9">
        <w:rPr>
          <w:noProof/>
        </w:rPr>
        <w:fldChar w:fldCharType="end"/>
      </w:r>
      <w:r>
        <w:t xml:space="preserve">: </w:t>
      </w:r>
      <w:r w:rsidRPr="00B80ACE">
        <w:t>Meziroční změny orientační hodnoty stavebních povolení, 2010</w:t>
      </w:r>
      <w:r w:rsidR="0088215E">
        <w:t xml:space="preserve"> - </w:t>
      </w:r>
      <w:r w:rsidRPr="00B80ACE">
        <w:t>Q</w:t>
      </w:r>
      <w:r w:rsidR="0088215E">
        <w:t>1</w:t>
      </w:r>
      <w:r w:rsidRPr="00B80ACE">
        <w:t xml:space="preserve"> 2018</w:t>
      </w:r>
      <w:r w:rsidR="00164C97">
        <w:t xml:space="preserve"> </w:t>
      </w:r>
    </w:p>
    <w:p w:rsidR="00E45013" w:rsidRDefault="006F13D5" w:rsidP="0089559F">
      <w:pPr>
        <w:pStyle w:val="Normlnweb"/>
        <w:keepNext/>
        <w:widowControl w:val="0"/>
        <w:shd w:val="clear" w:color="auto" w:fill="FFFFFF"/>
        <w:spacing w:before="0" w:beforeAutospacing="0" w:after="120" w:afterAutospacing="0"/>
        <w:textAlignment w:val="baseline"/>
        <w:rPr>
          <w:rFonts w:ascii="Arial" w:hAnsi="Arial" w:cs="Arial"/>
          <w:color w:val="222222"/>
          <w:sz w:val="19"/>
          <w:szCs w:val="19"/>
        </w:rPr>
      </w:pPr>
      <w:r w:rsidRPr="006F13D5">
        <w:rPr>
          <w:noProof/>
        </w:rPr>
        <w:drawing>
          <wp:inline distT="0" distB="0" distL="0" distR="0" wp14:anchorId="300CD3DD" wp14:editId="77289FF2">
            <wp:extent cx="5751260" cy="3563007"/>
            <wp:effectExtent l="0" t="0" r="190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809357" cy="3598999"/>
                    </a:xfrm>
                    <a:prstGeom prst="rect">
                      <a:avLst/>
                    </a:prstGeom>
                  </pic:spPr>
                </pic:pic>
              </a:graphicData>
            </a:graphic>
          </wp:inline>
        </w:drawing>
      </w:r>
    </w:p>
    <w:p w:rsidR="00B80ACE" w:rsidRPr="00B80ACE" w:rsidRDefault="00B80ACE" w:rsidP="0089559F">
      <w:pPr>
        <w:pStyle w:val="Citt"/>
        <w:keepNext/>
        <w:rPr>
          <w:rStyle w:val="CittChar"/>
        </w:rPr>
      </w:pPr>
      <w:r w:rsidRPr="00B80ACE">
        <w:t>ZDROJ: ČSÚ</w:t>
      </w:r>
      <w:r w:rsidR="006F13D5">
        <w:rPr>
          <w:rStyle w:val="Znakapoznpodarou"/>
        </w:rPr>
        <w:footnoteReference w:id="2"/>
      </w:r>
    </w:p>
    <w:p w:rsidR="00E45013" w:rsidRDefault="00E45013" w:rsidP="003E4A5D">
      <w:pPr>
        <w:pStyle w:val="Text-Normaln"/>
        <w:widowControl w:val="0"/>
      </w:pPr>
      <w:r w:rsidRPr="00B80ACE">
        <w:t xml:space="preserve">V lednu až březnu 2018 bylo </w:t>
      </w:r>
      <w:r w:rsidR="00267738">
        <w:t>p</w:t>
      </w:r>
      <w:r w:rsidR="00267738" w:rsidRPr="00267738">
        <w:t>odle společnosti EEIP, a.s.</w:t>
      </w:r>
      <w:r w:rsidR="00267738">
        <w:t xml:space="preserve"> </w:t>
      </w:r>
      <w:r w:rsidRPr="00B80ACE">
        <w:t>stavebními úřady vydáno 18 086 stavebních povolení, což v porovnání se stejným obdobím roku 2017 představuje pokles o 4,1 %. Jednalo se o čtvrtou nejnižší hodnotu od roku 1999. Počet vydaných stavebních povolení klesl téměř ve všech kategoriích výstavby, mírně</w:t>
      </w:r>
      <w:r w:rsidR="002E3F08">
        <w:t xml:space="preserve"> </w:t>
      </w:r>
      <w:r w:rsidRPr="00B80ACE">
        <w:t>rostl</w:t>
      </w:r>
      <w:r w:rsidR="002E3F08">
        <w:t xml:space="preserve"> </w:t>
      </w:r>
      <w:r w:rsidRPr="00B80ACE">
        <w:t>u staveb na ochranu životního prostředí.</w:t>
      </w:r>
      <w:r w:rsidR="002E3F08">
        <w:t xml:space="preserve"> </w:t>
      </w:r>
      <w:r w:rsidRPr="00B80ACE">
        <w:lastRenderedPageBreak/>
        <w:t>Orientační hodnota povolených staveb</w:t>
      </w:r>
      <w:r w:rsidR="002E3F08">
        <w:t xml:space="preserve"> </w:t>
      </w:r>
      <w:r w:rsidRPr="00B80ACE">
        <w:t>činila 77,6 mld. Kč. V porovnání se stejným obdobím roku 2017 klesla o 2,8 % z důvodu vysoké základny (tehdy byla povolena velká průmyslová stavba; pokud by se modelově odečetla tato hodnota, činil by meziroční růst více než 10 %).</w:t>
      </w:r>
      <w:r w:rsidR="0005519D">
        <w:t xml:space="preserve"> </w:t>
      </w:r>
      <w:r w:rsidRPr="00B80ACE">
        <w:t>Na celkové výstavbě měly vyšší podíl plánované investice na novou výstavbu (63 %). Jejich orientační hodnota meziročně klesla o 2,2 %, když dosáhla 48,5 mld. Kč. Orientační hodnota stavebních povolení na změny dokončených staveb klesla od počátku roku do konce března meziročně o 3,7 % a činila 29,0 mld. Kč.</w:t>
      </w:r>
    </w:p>
    <w:p w:rsidR="00164C97" w:rsidRDefault="00104913" w:rsidP="0089559F">
      <w:pPr>
        <w:pStyle w:val="Textkomente"/>
        <w:keepNext/>
        <w:widowControl w:val="0"/>
      </w:pPr>
      <w:r w:rsidRPr="00EE28D1">
        <w:rPr>
          <w:rStyle w:val="TitulekChar"/>
          <w:rFonts w:eastAsia="Calibri"/>
        </w:rPr>
        <w:t xml:space="preserve">Obrázek </w:t>
      </w:r>
      <w:r w:rsidR="00AB65E9" w:rsidRPr="00EE28D1">
        <w:rPr>
          <w:rStyle w:val="TitulekChar"/>
          <w:rFonts w:eastAsia="Calibri"/>
        </w:rPr>
        <w:fldChar w:fldCharType="begin"/>
      </w:r>
      <w:r w:rsidR="006D15AE" w:rsidRPr="00EE28D1">
        <w:rPr>
          <w:rStyle w:val="TitulekChar"/>
          <w:rFonts w:eastAsia="Calibri"/>
        </w:rPr>
        <w:instrText xml:space="preserve"> SEQ Obrázek \* ARABIC </w:instrText>
      </w:r>
      <w:r w:rsidR="00AB65E9" w:rsidRPr="00EE28D1">
        <w:rPr>
          <w:rStyle w:val="TitulekChar"/>
          <w:rFonts w:eastAsia="Calibri"/>
        </w:rPr>
        <w:fldChar w:fldCharType="separate"/>
      </w:r>
      <w:r w:rsidR="00263A1B">
        <w:rPr>
          <w:rStyle w:val="TitulekChar"/>
          <w:rFonts w:eastAsia="Calibri"/>
          <w:noProof/>
        </w:rPr>
        <w:t>4</w:t>
      </w:r>
      <w:r w:rsidR="00AB65E9" w:rsidRPr="00EE28D1">
        <w:rPr>
          <w:rStyle w:val="TitulekChar"/>
          <w:rFonts w:eastAsia="Calibri"/>
        </w:rPr>
        <w:fldChar w:fldCharType="end"/>
      </w:r>
      <w:r w:rsidRPr="00EE28D1">
        <w:rPr>
          <w:rStyle w:val="TitulekChar"/>
          <w:rFonts w:eastAsia="Calibri"/>
        </w:rPr>
        <w:t>: Orientační hodnota stavebních povolení podle kategorií výstavby, 2017</w:t>
      </w:r>
      <w:r w:rsidR="00164C97">
        <w:t xml:space="preserve"> </w:t>
      </w:r>
    </w:p>
    <w:p w:rsidR="00E45013" w:rsidRDefault="00E45013" w:rsidP="0089559F">
      <w:pPr>
        <w:pStyle w:val="Titulek"/>
        <w:keepNext/>
      </w:pPr>
      <w:r>
        <w:rPr>
          <w:noProof/>
        </w:rPr>
        <w:drawing>
          <wp:inline distT="0" distB="0" distL="0" distR="0" wp14:anchorId="6C8CFEDF" wp14:editId="781AA9DE">
            <wp:extent cx="5751260" cy="4038589"/>
            <wp:effectExtent l="0" t="0" r="1905" b="635"/>
            <wp:docPr id="1" name="Obrázek 1" descr="Orientační hodnota stavebních povolení podle kategorií výstavb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entační hodnota stavebních povolení podle kategorií výstavby, 20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4990" cy="4041208"/>
                    </a:xfrm>
                    <a:prstGeom prst="rect">
                      <a:avLst/>
                    </a:prstGeom>
                    <a:noFill/>
                    <a:ln>
                      <a:noFill/>
                    </a:ln>
                  </pic:spPr>
                </pic:pic>
              </a:graphicData>
            </a:graphic>
          </wp:inline>
        </w:drawing>
      </w:r>
    </w:p>
    <w:p w:rsidR="00B80ACE" w:rsidRDefault="00B80ACE" w:rsidP="0089559F">
      <w:pPr>
        <w:pStyle w:val="Citt"/>
        <w:keepNext/>
      </w:pPr>
      <w:r w:rsidRPr="00B80ACE">
        <w:t>ZDROJ: ČSÚ</w:t>
      </w:r>
      <w:r w:rsidR="006F13D5">
        <w:rPr>
          <w:rStyle w:val="Znakapoznpodarou"/>
        </w:rPr>
        <w:footnoteReference w:id="3"/>
      </w:r>
    </w:p>
    <w:p w:rsidR="00A8492F" w:rsidRDefault="00A8492F" w:rsidP="003E4A5D">
      <w:pPr>
        <w:pStyle w:val="Text-Normaln"/>
        <w:widowControl w:val="0"/>
      </w:pPr>
      <w:r>
        <w:t>V roce 2017 bylo postaveno celkem 16 365 nových bytových budov, ve kterých bylo dokončeno 28 569 bytů. Více než polovina bytů byla dokončena v rodinných domech. Na jejich výstavbu se vynaložilo 51 mld. Kč. Náklady na výstavbu jednoho bytu činily 3,4 mil. Kč.</w:t>
      </w:r>
      <w:r w:rsidR="00E978E6">
        <w:t xml:space="preserve"> </w:t>
      </w:r>
      <w:r>
        <w:t>Rodinné domy se nejčastěji stavěly v dispozici 4+1, menších bytů bylo naprosté minimum. Obytná plocha rodinných domů dokončených v roce 2017 se pohybovala od 20 m</w:t>
      </w:r>
      <w:r w:rsidRPr="00914D3B">
        <w:rPr>
          <w:vertAlign w:val="superscript"/>
        </w:rPr>
        <w:t>2</w:t>
      </w:r>
      <w:r>
        <w:t xml:space="preserve"> do 500–700 m</w:t>
      </w:r>
      <w:r w:rsidRPr="00914D3B">
        <w:rPr>
          <w:vertAlign w:val="superscript"/>
        </w:rPr>
        <w:t>2</w:t>
      </w:r>
      <w:r>
        <w:t xml:space="preserve"> a v průměru činila 92 m</w:t>
      </w:r>
      <w:r w:rsidRPr="00914D3B">
        <w:rPr>
          <w:vertAlign w:val="superscript"/>
        </w:rPr>
        <w:t>2</w:t>
      </w:r>
      <w:r>
        <w:t xml:space="preserve">. Výstavba jednoho rodinného domu trvala v průměru tři a půl roku, ale jednotlivé domy se stavěly od půl roku po desítky let. </w:t>
      </w:r>
      <w:r w:rsidR="00104913">
        <w:t>(</w:t>
      </w:r>
      <w:r w:rsidR="00104913" w:rsidRPr="00104913">
        <w:rPr>
          <w:i/>
        </w:rPr>
        <w:t xml:space="preserve">Zdroj: </w:t>
      </w:r>
      <w:hyperlink r:id="rId17" w:history="1">
        <w:r w:rsidR="00104913" w:rsidRPr="00104913">
          <w:rPr>
            <w:rStyle w:val="Hypertextovodkaz"/>
            <w:i/>
          </w:rPr>
          <w:t>http://www.statistikaamy.cz/2018/07/naklady-na-dokonceny-byt-v-rodinnem-domku-34-mil-v-bytovem-dome-22-mil-kc/</w:t>
        </w:r>
      </w:hyperlink>
      <w:r w:rsidR="00104913">
        <w:rPr>
          <w:rStyle w:val="Hypertextovodkaz"/>
        </w:rPr>
        <w:t>)</w:t>
      </w:r>
    </w:p>
    <w:p w:rsidR="003E4A5D" w:rsidRDefault="009F1594">
      <w:pPr>
        <w:spacing w:before="0" w:after="0"/>
        <w:jc w:val="left"/>
        <w:rPr>
          <w:rFonts w:eastAsia="Times New Roman"/>
          <w:b/>
          <w:bCs/>
          <w:color w:val="000000"/>
          <w:sz w:val="22"/>
          <w:szCs w:val="20"/>
          <w:lang w:eastAsia="cs-CZ"/>
        </w:rPr>
      </w:pPr>
      <w:r>
        <w:rPr>
          <w:rFonts w:eastAsia="Times New Roman"/>
          <w:b/>
          <w:bCs/>
          <w:color w:val="000000"/>
          <w:sz w:val="22"/>
          <w:szCs w:val="20"/>
          <w:lang w:eastAsia="cs-CZ"/>
        </w:rPr>
        <w:br w:type="page"/>
      </w:r>
    </w:p>
    <w:p w:rsidR="00AD5792" w:rsidRDefault="00AD5792" w:rsidP="003E4A5D">
      <w:pPr>
        <w:pStyle w:val="Titulek"/>
      </w:pPr>
      <w:r>
        <w:lastRenderedPageBreak/>
        <w:t xml:space="preserve">Graf </w:t>
      </w:r>
      <w:r w:rsidR="00AB65E9">
        <w:rPr>
          <w:noProof/>
        </w:rPr>
        <w:fldChar w:fldCharType="begin"/>
      </w:r>
      <w:r w:rsidR="00790BCF">
        <w:rPr>
          <w:noProof/>
        </w:rPr>
        <w:instrText xml:space="preserve"> SEQ Graf \* ARABIC </w:instrText>
      </w:r>
      <w:r w:rsidR="00AB65E9">
        <w:rPr>
          <w:noProof/>
        </w:rPr>
        <w:fldChar w:fldCharType="separate"/>
      </w:r>
      <w:r w:rsidR="00263A1B">
        <w:rPr>
          <w:noProof/>
        </w:rPr>
        <w:t>3</w:t>
      </w:r>
      <w:r w:rsidR="00AB65E9">
        <w:rPr>
          <w:noProof/>
        </w:rPr>
        <w:fldChar w:fldCharType="end"/>
      </w:r>
      <w:r>
        <w:t>: STAVEBNÍ PRÁCE „S“, Podle klasifikace stavebních děl</w:t>
      </w:r>
    </w:p>
    <w:p w:rsidR="00941743" w:rsidRPr="00941743" w:rsidRDefault="00AD5792" w:rsidP="003E4A5D">
      <w:pPr>
        <w:widowControl w:val="0"/>
        <w:spacing w:before="0" w:after="0"/>
        <w:rPr>
          <w:lang w:eastAsia="cs-CZ"/>
        </w:rPr>
      </w:pPr>
      <w:r>
        <w:rPr>
          <w:noProof/>
          <w:lang w:eastAsia="cs-CZ"/>
        </w:rPr>
        <w:drawing>
          <wp:inline distT="0" distB="0" distL="0" distR="0" wp14:anchorId="31F3A967" wp14:editId="6BB6A2B7">
            <wp:extent cx="5718132" cy="2354580"/>
            <wp:effectExtent l="0" t="0" r="0" b="762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05" r="4509"/>
                    <a:stretch/>
                  </pic:blipFill>
                  <pic:spPr bwMode="auto">
                    <a:xfrm>
                      <a:off x="0" y="0"/>
                      <a:ext cx="5763519" cy="2373269"/>
                    </a:xfrm>
                    <a:prstGeom prst="rect">
                      <a:avLst/>
                    </a:prstGeom>
                    <a:noFill/>
                    <a:ln>
                      <a:noFill/>
                    </a:ln>
                    <a:extLst>
                      <a:ext uri="{53640926-AAD7-44D8-BBD7-CCE9431645EC}">
                        <a14:shadowObscured xmlns:a14="http://schemas.microsoft.com/office/drawing/2010/main"/>
                      </a:ext>
                    </a:extLst>
                  </pic:spPr>
                </pic:pic>
              </a:graphicData>
            </a:graphic>
          </wp:inline>
        </w:drawing>
      </w:r>
    </w:p>
    <w:p w:rsidR="001B3136" w:rsidRPr="00944FFD" w:rsidRDefault="00E978E6" w:rsidP="003E4A5D">
      <w:pPr>
        <w:pStyle w:val="Citt"/>
      </w:pPr>
      <w:r w:rsidRPr="00944FFD">
        <w:t>Zdroj: ČSÚ</w:t>
      </w:r>
      <w:r w:rsidR="00941743">
        <w:t>, MPO</w:t>
      </w:r>
    </w:p>
    <w:p w:rsidR="003C13D2" w:rsidRPr="00CD2466" w:rsidRDefault="003C13D2" w:rsidP="003E4A5D">
      <w:pPr>
        <w:pStyle w:val="Titulek"/>
        <w:rPr>
          <w:rFonts w:eastAsia="Calibri"/>
          <w:b w:val="0"/>
          <w:bCs w:val="0"/>
          <w:color w:val="auto"/>
          <w:sz w:val="24"/>
          <w:szCs w:val="22"/>
          <w:lang w:eastAsia="en-US"/>
        </w:rPr>
      </w:pPr>
      <w:r w:rsidRPr="00CD2466">
        <w:rPr>
          <w:rFonts w:eastAsia="Calibri"/>
          <w:b w:val="0"/>
          <w:bCs w:val="0"/>
          <w:color w:val="auto"/>
          <w:sz w:val="24"/>
          <w:szCs w:val="22"/>
          <w:lang w:eastAsia="en-US"/>
        </w:rPr>
        <w:t xml:space="preserve">Poslední dvě tabulky v této části zachycují počet veřejných zakázek ve stavebnictví, neboť veřejný sektor je jedním z největších poptávajících stavební práce. </w:t>
      </w:r>
      <w:r w:rsidR="00914D3B" w:rsidRPr="00CD2466">
        <w:rPr>
          <w:rFonts w:eastAsia="Calibri"/>
          <w:b w:val="0"/>
          <w:bCs w:val="0"/>
          <w:color w:val="auto"/>
          <w:sz w:val="24"/>
          <w:szCs w:val="22"/>
          <w:lang w:eastAsia="en-US"/>
        </w:rPr>
        <w:t xml:space="preserve">V tabulkách lze pozorovat negativní trend, pokud jde o počet i výslednou cenu zadaných veřejných zakázek.  </w:t>
      </w:r>
    </w:p>
    <w:p w:rsidR="0042724E" w:rsidRDefault="0042724E" w:rsidP="003E4A5D">
      <w:pPr>
        <w:pStyle w:val="Titulek"/>
      </w:pPr>
      <w:r>
        <w:t xml:space="preserve">Tabulka </w:t>
      </w:r>
      <w:r w:rsidR="00AB65E9">
        <w:rPr>
          <w:noProof/>
        </w:rPr>
        <w:fldChar w:fldCharType="begin"/>
      </w:r>
      <w:r w:rsidR="006D15AE">
        <w:rPr>
          <w:noProof/>
        </w:rPr>
        <w:instrText xml:space="preserve"> SEQ Tabulka \* ARABIC </w:instrText>
      </w:r>
      <w:r w:rsidR="00AB65E9">
        <w:rPr>
          <w:noProof/>
        </w:rPr>
        <w:fldChar w:fldCharType="separate"/>
      </w:r>
      <w:r w:rsidR="00263A1B">
        <w:rPr>
          <w:noProof/>
        </w:rPr>
        <w:t>2</w:t>
      </w:r>
      <w:r w:rsidR="00AB65E9">
        <w:rPr>
          <w:noProof/>
        </w:rPr>
        <w:fldChar w:fldCharType="end"/>
      </w:r>
      <w:r>
        <w:t>:</w:t>
      </w:r>
      <w:r w:rsidRPr="0042724E">
        <w:rPr>
          <w:u w:color="000000"/>
        </w:rPr>
        <w:t xml:space="preserve"> </w:t>
      </w:r>
      <w:r>
        <w:rPr>
          <w:u w:color="000000"/>
        </w:rPr>
        <w:t>Zadané zakázky na stavební práce v letech</w:t>
      </w:r>
      <w:r>
        <w:rPr>
          <w:spacing w:val="-16"/>
          <w:u w:color="000000"/>
        </w:rPr>
        <w:t xml:space="preserve"> </w:t>
      </w:r>
      <w:r>
        <w:rPr>
          <w:u w:color="000000"/>
        </w:rPr>
        <w:t>2014–2016</w:t>
      </w:r>
      <w:r>
        <w:rPr>
          <w:u w:color="000000"/>
        </w:rPr>
        <w:tab/>
      </w:r>
      <w:r w:rsidR="00164C97">
        <w:rPr>
          <w:u w:color="000000"/>
        </w:rPr>
        <w:t xml:space="preserve"> </w:t>
      </w:r>
    </w:p>
    <w:tbl>
      <w:tblPr>
        <w:tblStyle w:val="TableNormal"/>
        <w:tblW w:w="9090" w:type="dxa"/>
        <w:jc w:val="center"/>
        <w:tblLayout w:type="fixed"/>
        <w:tblLook w:val="01E0" w:firstRow="1" w:lastRow="1" w:firstColumn="1" w:lastColumn="1" w:noHBand="0" w:noVBand="0"/>
      </w:tblPr>
      <w:tblGrid>
        <w:gridCol w:w="1701"/>
        <w:gridCol w:w="1244"/>
        <w:gridCol w:w="1165"/>
        <w:gridCol w:w="1245"/>
        <w:gridCol w:w="1245"/>
        <w:gridCol w:w="1245"/>
        <w:gridCol w:w="1245"/>
      </w:tblGrid>
      <w:tr w:rsidR="0096230A" w:rsidRPr="003C13D2" w:rsidTr="00914D3B">
        <w:trPr>
          <w:trHeight w:val="283"/>
          <w:jc w:val="center"/>
        </w:trPr>
        <w:tc>
          <w:tcPr>
            <w:tcW w:w="1701" w:type="dxa"/>
            <w:tcBorders>
              <w:bottom w:val="single" w:sz="4" w:space="0" w:color="auto"/>
            </w:tcBorders>
            <w:shd w:val="clear" w:color="auto" w:fill="BFBFBF" w:themeFill="background1" w:themeFillShade="BF"/>
            <w:noWrap/>
            <w:tcMar>
              <w:left w:w="57" w:type="dxa"/>
              <w:right w:w="57" w:type="dxa"/>
            </w:tcMar>
            <w:vAlign w:val="center"/>
          </w:tcPr>
          <w:p w:rsidR="0096230A" w:rsidRPr="003C13D2" w:rsidRDefault="0096230A" w:rsidP="003E4A5D">
            <w:pPr>
              <w:pStyle w:val="TableParagraph"/>
              <w:jc w:val="left"/>
              <w:rPr>
                <w:rFonts w:asciiTheme="minorHAnsi" w:hAnsiTheme="minorHAnsi"/>
                <w:sz w:val="18"/>
                <w:szCs w:val="18"/>
                <w:lang w:val="cs-CZ"/>
              </w:rPr>
            </w:pPr>
          </w:p>
        </w:tc>
        <w:tc>
          <w:tcPr>
            <w:tcW w:w="2409" w:type="dxa"/>
            <w:gridSpan w:val="2"/>
            <w:tcBorders>
              <w:bottom w:val="single" w:sz="4" w:space="0" w:color="auto"/>
            </w:tcBorders>
            <w:shd w:val="clear" w:color="auto" w:fill="BFBFBF" w:themeFill="background1" w:themeFillShade="BF"/>
            <w:noWrap/>
            <w:tcMar>
              <w:left w:w="57" w:type="dxa"/>
              <w:right w:w="57" w:type="dxa"/>
            </w:tcMar>
            <w:vAlign w:val="center"/>
          </w:tcPr>
          <w:p w:rsidR="0096230A" w:rsidRPr="003C13D2" w:rsidRDefault="0096230A" w:rsidP="003E4A5D">
            <w:pPr>
              <w:pStyle w:val="TableParagraph"/>
              <w:ind w:left="24"/>
              <w:jc w:val="center"/>
              <w:rPr>
                <w:rFonts w:asciiTheme="minorHAnsi" w:hAnsiTheme="minorHAnsi"/>
                <w:b/>
                <w:sz w:val="18"/>
                <w:szCs w:val="18"/>
                <w:lang w:val="cs-CZ"/>
              </w:rPr>
            </w:pPr>
            <w:r w:rsidRPr="003C13D2">
              <w:rPr>
                <w:rFonts w:asciiTheme="minorHAnsi" w:hAnsiTheme="minorHAnsi"/>
                <w:b/>
                <w:sz w:val="18"/>
                <w:szCs w:val="18"/>
                <w:lang w:val="cs-CZ"/>
              </w:rPr>
              <w:t>2014</w:t>
            </w:r>
          </w:p>
        </w:tc>
        <w:tc>
          <w:tcPr>
            <w:tcW w:w="2490" w:type="dxa"/>
            <w:gridSpan w:val="2"/>
            <w:tcBorders>
              <w:bottom w:val="single" w:sz="4" w:space="0" w:color="auto"/>
            </w:tcBorders>
            <w:shd w:val="clear" w:color="auto" w:fill="BFBFBF" w:themeFill="background1" w:themeFillShade="BF"/>
            <w:noWrap/>
            <w:tcMar>
              <w:left w:w="57" w:type="dxa"/>
              <w:right w:w="57" w:type="dxa"/>
            </w:tcMar>
            <w:vAlign w:val="center"/>
          </w:tcPr>
          <w:p w:rsidR="0096230A" w:rsidRPr="003C13D2" w:rsidRDefault="0096230A" w:rsidP="003E4A5D">
            <w:pPr>
              <w:pStyle w:val="TableParagraph"/>
              <w:ind w:left="162"/>
              <w:jc w:val="center"/>
              <w:rPr>
                <w:rFonts w:asciiTheme="minorHAnsi" w:hAnsiTheme="minorHAnsi"/>
                <w:b/>
                <w:sz w:val="18"/>
                <w:szCs w:val="18"/>
                <w:lang w:val="cs-CZ"/>
              </w:rPr>
            </w:pPr>
            <w:r w:rsidRPr="003C13D2">
              <w:rPr>
                <w:rFonts w:asciiTheme="minorHAnsi" w:hAnsiTheme="minorHAnsi"/>
                <w:b/>
                <w:sz w:val="18"/>
                <w:szCs w:val="18"/>
                <w:lang w:val="cs-CZ"/>
              </w:rPr>
              <w:t>2015</w:t>
            </w:r>
          </w:p>
        </w:tc>
        <w:tc>
          <w:tcPr>
            <w:tcW w:w="2490" w:type="dxa"/>
            <w:gridSpan w:val="2"/>
            <w:tcBorders>
              <w:bottom w:val="single" w:sz="4" w:space="0" w:color="auto"/>
            </w:tcBorders>
            <w:shd w:val="clear" w:color="auto" w:fill="BFBFBF" w:themeFill="background1" w:themeFillShade="BF"/>
            <w:noWrap/>
            <w:tcMar>
              <w:left w:w="57" w:type="dxa"/>
              <w:right w:w="57" w:type="dxa"/>
            </w:tcMar>
            <w:vAlign w:val="center"/>
          </w:tcPr>
          <w:p w:rsidR="0096230A" w:rsidRPr="003C13D2" w:rsidRDefault="0096230A" w:rsidP="003E4A5D">
            <w:pPr>
              <w:pStyle w:val="TableParagraph"/>
              <w:ind w:left="204"/>
              <w:jc w:val="center"/>
              <w:rPr>
                <w:rFonts w:asciiTheme="minorHAnsi" w:hAnsiTheme="minorHAnsi"/>
                <w:b/>
                <w:sz w:val="18"/>
                <w:szCs w:val="18"/>
                <w:lang w:val="cs-CZ"/>
              </w:rPr>
            </w:pPr>
            <w:r w:rsidRPr="003C13D2">
              <w:rPr>
                <w:rFonts w:asciiTheme="minorHAnsi" w:hAnsiTheme="minorHAnsi"/>
                <w:b/>
                <w:sz w:val="18"/>
                <w:szCs w:val="18"/>
                <w:lang w:val="cs-CZ"/>
              </w:rPr>
              <w:t>2016</w:t>
            </w:r>
          </w:p>
        </w:tc>
      </w:tr>
      <w:tr w:rsidR="00A340B4" w:rsidRPr="003C13D2" w:rsidTr="00914D3B">
        <w:trPr>
          <w:trHeight w:val="283"/>
          <w:jc w:val="center"/>
        </w:trPr>
        <w:tc>
          <w:tcPr>
            <w:tcW w:w="1701"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A340B4" w:rsidRPr="003C13D2" w:rsidRDefault="00A340B4" w:rsidP="003E4A5D">
            <w:pPr>
              <w:pStyle w:val="TableParagraph"/>
              <w:jc w:val="left"/>
              <w:rPr>
                <w:rFonts w:asciiTheme="minorHAnsi" w:hAnsiTheme="minorHAnsi"/>
                <w:b/>
                <w:sz w:val="18"/>
                <w:szCs w:val="18"/>
                <w:lang w:val="cs-CZ"/>
              </w:rPr>
            </w:pPr>
            <w:r w:rsidRPr="003C13D2">
              <w:rPr>
                <w:rFonts w:asciiTheme="minorHAnsi" w:hAnsiTheme="minorHAnsi"/>
                <w:b/>
                <w:sz w:val="18"/>
                <w:szCs w:val="18"/>
                <w:lang w:val="cs-CZ"/>
              </w:rPr>
              <w:t>Kategorie stavebních prací</w:t>
            </w:r>
          </w:p>
        </w:tc>
        <w:tc>
          <w:tcPr>
            <w:tcW w:w="1244"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A340B4" w:rsidRPr="003C13D2" w:rsidRDefault="00A340B4" w:rsidP="003E4A5D">
            <w:pPr>
              <w:pStyle w:val="TableParagraph"/>
              <w:ind w:right="180"/>
              <w:jc w:val="center"/>
              <w:rPr>
                <w:rFonts w:asciiTheme="minorHAnsi" w:hAnsiTheme="minorHAnsi"/>
                <w:b/>
                <w:sz w:val="18"/>
                <w:szCs w:val="18"/>
                <w:lang w:val="cs-CZ"/>
              </w:rPr>
            </w:pPr>
            <w:r w:rsidRPr="003C13D2">
              <w:rPr>
                <w:rFonts w:asciiTheme="minorHAnsi" w:hAnsiTheme="minorHAnsi"/>
                <w:b/>
                <w:sz w:val="18"/>
                <w:szCs w:val="18"/>
                <w:lang w:val="cs-CZ"/>
              </w:rPr>
              <w:t>Počet zadaných VZ</w:t>
            </w:r>
          </w:p>
        </w:tc>
        <w:tc>
          <w:tcPr>
            <w:tcW w:w="1165"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A340B4" w:rsidRPr="003C13D2" w:rsidRDefault="00A340B4" w:rsidP="003E4A5D">
            <w:pPr>
              <w:pStyle w:val="TableParagraph"/>
              <w:ind w:right="137"/>
              <w:jc w:val="center"/>
              <w:rPr>
                <w:rFonts w:asciiTheme="minorHAnsi" w:hAnsiTheme="minorHAnsi"/>
                <w:b/>
                <w:sz w:val="18"/>
                <w:szCs w:val="18"/>
                <w:lang w:val="cs-CZ"/>
              </w:rPr>
            </w:pPr>
            <w:r w:rsidRPr="003C13D2">
              <w:rPr>
                <w:rFonts w:asciiTheme="minorHAnsi" w:hAnsiTheme="minorHAnsi"/>
                <w:b/>
                <w:sz w:val="18"/>
                <w:szCs w:val="18"/>
                <w:lang w:val="cs-CZ"/>
              </w:rPr>
              <w:t>Výsledná cena v Kč bez DPH</w:t>
            </w:r>
          </w:p>
        </w:tc>
        <w:tc>
          <w:tcPr>
            <w:tcW w:w="1245"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A340B4" w:rsidRPr="003C13D2" w:rsidRDefault="00A340B4" w:rsidP="003E4A5D">
            <w:pPr>
              <w:pStyle w:val="TableParagraph"/>
              <w:ind w:right="128"/>
              <w:jc w:val="center"/>
              <w:rPr>
                <w:rFonts w:asciiTheme="minorHAnsi" w:hAnsiTheme="minorHAnsi"/>
                <w:b/>
                <w:sz w:val="18"/>
                <w:szCs w:val="18"/>
                <w:lang w:val="cs-CZ"/>
              </w:rPr>
            </w:pPr>
            <w:r w:rsidRPr="003C13D2">
              <w:rPr>
                <w:rFonts w:asciiTheme="minorHAnsi" w:hAnsiTheme="minorHAnsi"/>
                <w:b/>
                <w:sz w:val="18"/>
                <w:szCs w:val="18"/>
                <w:lang w:val="cs-CZ"/>
              </w:rPr>
              <w:t>Počet zadaných VZ</w:t>
            </w:r>
          </w:p>
        </w:tc>
        <w:tc>
          <w:tcPr>
            <w:tcW w:w="1245"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A340B4" w:rsidRPr="003C13D2" w:rsidRDefault="00A340B4" w:rsidP="003E4A5D">
            <w:pPr>
              <w:pStyle w:val="TableParagraph"/>
              <w:ind w:right="161"/>
              <w:jc w:val="center"/>
              <w:rPr>
                <w:rFonts w:asciiTheme="minorHAnsi" w:hAnsiTheme="minorHAnsi"/>
                <w:b/>
                <w:sz w:val="18"/>
                <w:szCs w:val="18"/>
                <w:lang w:val="cs-CZ"/>
              </w:rPr>
            </w:pPr>
            <w:r w:rsidRPr="003C13D2">
              <w:rPr>
                <w:rFonts w:asciiTheme="minorHAnsi" w:hAnsiTheme="minorHAnsi"/>
                <w:b/>
                <w:sz w:val="18"/>
                <w:szCs w:val="18"/>
                <w:lang w:val="cs-CZ"/>
              </w:rPr>
              <w:t>Výsledná cena v Kč bez DPH</w:t>
            </w:r>
          </w:p>
        </w:tc>
        <w:tc>
          <w:tcPr>
            <w:tcW w:w="1245"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A340B4" w:rsidRPr="003C13D2" w:rsidRDefault="00A340B4" w:rsidP="003E4A5D">
            <w:pPr>
              <w:pStyle w:val="TableParagraph"/>
              <w:ind w:right="168"/>
              <w:jc w:val="center"/>
              <w:rPr>
                <w:rFonts w:asciiTheme="minorHAnsi" w:hAnsiTheme="minorHAnsi"/>
                <w:b/>
                <w:sz w:val="18"/>
                <w:szCs w:val="18"/>
                <w:lang w:val="cs-CZ"/>
              </w:rPr>
            </w:pPr>
            <w:r w:rsidRPr="003C13D2">
              <w:rPr>
                <w:rFonts w:asciiTheme="minorHAnsi" w:hAnsiTheme="minorHAnsi"/>
                <w:b/>
                <w:sz w:val="18"/>
                <w:szCs w:val="18"/>
                <w:lang w:val="cs-CZ"/>
              </w:rPr>
              <w:t>Počet zadaných VZ</w:t>
            </w:r>
          </w:p>
        </w:tc>
        <w:tc>
          <w:tcPr>
            <w:tcW w:w="1245" w:type="dxa"/>
            <w:tcBorders>
              <w:top w:val="single" w:sz="4" w:space="0" w:color="auto"/>
              <w:bottom w:val="single" w:sz="4" w:space="0" w:color="auto"/>
            </w:tcBorders>
            <w:shd w:val="clear" w:color="auto" w:fill="BFBFBF" w:themeFill="background1" w:themeFillShade="BF"/>
            <w:noWrap/>
            <w:tcMar>
              <w:left w:w="57" w:type="dxa"/>
              <w:right w:w="57" w:type="dxa"/>
            </w:tcMar>
            <w:vAlign w:val="center"/>
          </w:tcPr>
          <w:p w:rsidR="00A340B4" w:rsidRPr="003C13D2" w:rsidRDefault="00A340B4" w:rsidP="003E4A5D">
            <w:pPr>
              <w:pStyle w:val="TableParagraph"/>
              <w:ind w:right="208"/>
              <w:jc w:val="center"/>
              <w:rPr>
                <w:rFonts w:asciiTheme="minorHAnsi" w:hAnsiTheme="minorHAnsi"/>
                <w:b/>
                <w:sz w:val="18"/>
                <w:szCs w:val="18"/>
                <w:lang w:val="cs-CZ"/>
              </w:rPr>
            </w:pPr>
            <w:r w:rsidRPr="003C13D2">
              <w:rPr>
                <w:rFonts w:asciiTheme="minorHAnsi" w:hAnsiTheme="minorHAnsi"/>
                <w:b/>
                <w:sz w:val="18"/>
                <w:szCs w:val="18"/>
                <w:lang w:val="cs-CZ"/>
              </w:rPr>
              <w:t>Výsledná cena v Kč bez DPH</w:t>
            </w:r>
          </w:p>
        </w:tc>
      </w:tr>
      <w:tr w:rsidR="00A340B4" w:rsidRPr="003C13D2" w:rsidTr="00914D3B">
        <w:trPr>
          <w:trHeight w:val="283"/>
          <w:jc w:val="center"/>
        </w:trPr>
        <w:tc>
          <w:tcPr>
            <w:tcW w:w="1701" w:type="dxa"/>
            <w:tcBorders>
              <w:top w:val="single" w:sz="4" w:space="0" w:color="auto"/>
            </w:tcBorders>
            <w:noWrap/>
            <w:tcMar>
              <w:left w:w="57" w:type="dxa"/>
              <w:right w:w="57" w:type="dxa"/>
            </w:tcMar>
            <w:vAlign w:val="center"/>
          </w:tcPr>
          <w:p w:rsidR="00A340B4" w:rsidRPr="003C13D2" w:rsidRDefault="00A340B4" w:rsidP="003E4A5D">
            <w:pPr>
              <w:pStyle w:val="TableParagraph"/>
              <w:ind w:left="55"/>
              <w:jc w:val="left"/>
              <w:rPr>
                <w:rFonts w:asciiTheme="minorHAnsi" w:hAnsiTheme="minorHAnsi"/>
                <w:sz w:val="18"/>
                <w:szCs w:val="18"/>
                <w:lang w:val="cs-CZ"/>
              </w:rPr>
            </w:pPr>
            <w:r w:rsidRPr="003C13D2">
              <w:rPr>
                <w:rFonts w:asciiTheme="minorHAnsi" w:hAnsiTheme="minorHAnsi"/>
                <w:sz w:val="18"/>
                <w:szCs w:val="18"/>
                <w:lang w:val="cs-CZ"/>
              </w:rPr>
              <w:t>Výstavba a rekonstrukce budov</w:t>
            </w:r>
          </w:p>
        </w:tc>
        <w:tc>
          <w:tcPr>
            <w:tcW w:w="1244" w:type="dxa"/>
            <w:tcBorders>
              <w:top w:val="single" w:sz="4" w:space="0" w:color="auto"/>
            </w:tcBorders>
            <w:noWrap/>
            <w:tcMar>
              <w:left w:w="57" w:type="dxa"/>
              <w:right w:w="57" w:type="dxa"/>
            </w:tcMar>
            <w:vAlign w:val="center"/>
          </w:tcPr>
          <w:p w:rsidR="00A340B4" w:rsidRPr="003C13D2" w:rsidRDefault="00A340B4" w:rsidP="003E4A5D">
            <w:pPr>
              <w:pStyle w:val="TableParagraph"/>
              <w:ind w:right="105"/>
              <w:rPr>
                <w:rFonts w:asciiTheme="minorHAnsi" w:hAnsiTheme="minorHAnsi"/>
                <w:sz w:val="16"/>
                <w:szCs w:val="16"/>
                <w:lang w:val="cs-CZ"/>
              </w:rPr>
            </w:pPr>
            <w:r w:rsidRPr="003C13D2">
              <w:rPr>
                <w:rFonts w:asciiTheme="minorHAnsi" w:hAnsiTheme="minorHAnsi"/>
                <w:sz w:val="16"/>
                <w:szCs w:val="16"/>
                <w:lang w:val="cs-CZ"/>
              </w:rPr>
              <w:t>1 213</w:t>
            </w:r>
          </w:p>
        </w:tc>
        <w:tc>
          <w:tcPr>
            <w:tcW w:w="1165" w:type="dxa"/>
            <w:tcBorders>
              <w:top w:val="single" w:sz="4" w:space="0" w:color="auto"/>
            </w:tcBorders>
            <w:noWrap/>
            <w:tcMar>
              <w:left w:w="57" w:type="dxa"/>
              <w:right w:w="57" w:type="dxa"/>
            </w:tcMar>
            <w:vAlign w:val="center"/>
          </w:tcPr>
          <w:p w:rsidR="00A340B4" w:rsidRPr="003C13D2" w:rsidRDefault="00A340B4" w:rsidP="003E4A5D">
            <w:pPr>
              <w:pStyle w:val="TableParagraph"/>
              <w:ind w:right="111"/>
              <w:rPr>
                <w:rFonts w:asciiTheme="minorHAnsi" w:hAnsiTheme="minorHAnsi"/>
                <w:sz w:val="16"/>
                <w:szCs w:val="16"/>
                <w:lang w:val="cs-CZ"/>
              </w:rPr>
            </w:pPr>
            <w:r w:rsidRPr="003C13D2">
              <w:rPr>
                <w:rFonts w:asciiTheme="minorHAnsi" w:hAnsiTheme="minorHAnsi"/>
                <w:sz w:val="16"/>
                <w:szCs w:val="16"/>
                <w:lang w:val="cs-CZ"/>
              </w:rPr>
              <w:t>19 031 255 727</w:t>
            </w:r>
          </w:p>
        </w:tc>
        <w:tc>
          <w:tcPr>
            <w:tcW w:w="1245" w:type="dxa"/>
            <w:tcBorders>
              <w:top w:val="single" w:sz="4" w:space="0" w:color="auto"/>
            </w:tcBorders>
            <w:noWrap/>
            <w:tcMar>
              <w:left w:w="57" w:type="dxa"/>
              <w:right w:w="57" w:type="dxa"/>
            </w:tcMar>
            <w:vAlign w:val="center"/>
          </w:tcPr>
          <w:p w:rsidR="00A340B4" w:rsidRPr="003C13D2" w:rsidRDefault="00A340B4" w:rsidP="003E4A5D">
            <w:pPr>
              <w:pStyle w:val="TableParagraph"/>
              <w:ind w:right="135"/>
              <w:rPr>
                <w:rFonts w:asciiTheme="minorHAnsi" w:hAnsiTheme="minorHAnsi"/>
                <w:sz w:val="16"/>
                <w:szCs w:val="16"/>
                <w:lang w:val="cs-CZ"/>
              </w:rPr>
            </w:pPr>
            <w:r w:rsidRPr="003C13D2">
              <w:rPr>
                <w:rFonts w:asciiTheme="minorHAnsi" w:hAnsiTheme="minorHAnsi"/>
                <w:sz w:val="16"/>
                <w:szCs w:val="16"/>
                <w:lang w:val="cs-CZ"/>
              </w:rPr>
              <w:t>1 103</w:t>
            </w:r>
          </w:p>
        </w:tc>
        <w:tc>
          <w:tcPr>
            <w:tcW w:w="1245" w:type="dxa"/>
            <w:tcBorders>
              <w:top w:val="single" w:sz="4" w:space="0" w:color="auto"/>
            </w:tcBorders>
            <w:noWrap/>
            <w:tcMar>
              <w:left w:w="57" w:type="dxa"/>
              <w:right w:w="57" w:type="dxa"/>
            </w:tcMar>
            <w:vAlign w:val="center"/>
          </w:tcPr>
          <w:p w:rsidR="00A340B4" w:rsidRPr="003C13D2" w:rsidRDefault="00A340B4" w:rsidP="003E4A5D">
            <w:pPr>
              <w:pStyle w:val="TableParagraph"/>
              <w:ind w:right="108"/>
              <w:rPr>
                <w:rFonts w:asciiTheme="minorHAnsi" w:hAnsiTheme="minorHAnsi"/>
                <w:sz w:val="16"/>
                <w:szCs w:val="16"/>
                <w:lang w:val="cs-CZ"/>
              </w:rPr>
            </w:pPr>
            <w:r w:rsidRPr="003C13D2">
              <w:rPr>
                <w:rFonts w:asciiTheme="minorHAnsi" w:hAnsiTheme="minorHAnsi"/>
                <w:sz w:val="16"/>
                <w:szCs w:val="16"/>
                <w:lang w:val="cs-CZ"/>
              </w:rPr>
              <w:t>11 348 642 327</w:t>
            </w:r>
          </w:p>
        </w:tc>
        <w:tc>
          <w:tcPr>
            <w:tcW w:w="1245" w:type="dxa"/>
            <w:tcBorders>
              <w:top w:val="single" w:sz="4" w:space="0" w:color="auto"/>
            </w:tcBorders>
            <w:noWrap/>
            <w:tcMar>
              <w:left w:w="57" w:type="dxa"/>
              <w:right w:w="57" w:type="dxa"/>
            </w:tcMar>
            <w:vAlign w:val="center"/>
          </w:tcPr>
          <w:p w:rsidR="00A340B4" w:rsidRPr="003C13D2" w:rsidRDefault="00A340B4" w:rsidP="003E4A5D">
            <w:pPr>
              <w:pStyle w:val="TableParagraph"/>
              <w:ind w:right="163"/>
              <w:rPr>
                <w:rFonts w:asciiTheme="minorHAnsi" w:hAnsiTheme="minorHAnsi"/>
                <w:sz w:val="16"/>
                <w:szCs w:val="16"/>
                <w:lang w:val="cs-CZ"/>
              </w:rPr>
            </w:pPr>
            <w:r w:rsidRPr="003C13D2">
              <w:rPr>
                <w:rFonts w:asciiTheme="minorHAnsi" w:hAnsiTheme="minorHAnsi"/>
                <w:sz w:val="16"/>
                <w:szCs w:val="16"/>
                <w:lang w:val="cs-CZ"/>
              </w:rPr>
              <w:t>713</w:t>
            </w:r>
          </w:p>
        </w:tc>
        <w:tc>
          <w:tcPr>
            <w:tcW w:w="1245" w:type="dxa"/>
            <w:tcBorders>
              <w:top w:val="single" w:sz="4" w:space="0" w:color="auto"/>
            </w:tcBorders>
            <w:noWrap/>
            <w:tcMar>
              <w:left w:w="57" w:type="dxa"/>
              <w:right w:w="57" w:type="dxa"/>
            </w:tcMar>
            <w:vAlign w:val="center"/>
          </w:tcPr>
          <w:p w:rsidR="00A340B4" w:rsidRPr="003C13D2" w:rsidRDefault="00A340B4" w:rsidP="003E4A5D">
            <w:pPr>
              <w:pStyle w:val="TableParagraph"/>
              <w:ind w:right="109"/>
              <w:rPr>
                <w:rFonts w:asciiTheme="minorHAnsi" w:hAnsiTheme="minorHAnsi"/>
                <w:sz w:val="16"/>
                <w:szCs w:val="16"/>
                <w:lang w:val="cs-CZ"/>
              </w:rPr>
            </w:pPr>
            <w:r w:rsidRPr="003C13D2">
              <w:rPr>
                <w:rFonts w:asciiTheme="minorHAnsi" w:hAnsiTheme="minorHAnsi"/>
                <w:sz w:val="16"/>
                <w:szCs w:val="16"/>
                <w:lang w:val="cs-CZ"/>
              </w:rPr>
              <w:t>11 647 224 003</w:t>
            </w:r>
          </w:p>
        </w:tc>
      </w:tr>
      <w:tr w:rsidR="00A340B4" w:rsidRPr="003C13D2" w:rsidTr="00914D3B">
        <w:trPr>
          <w:trHeight w:val="283"/>
          <w:jc w:val="center"/>
        </w:trPr>
        <w:tc>
          <w:tcPr>
            <w:tcW w:w="1701" w:type="dxa"/>
            <w:shd w:val="clear" w:color="auto" w:fill="F2F2F2" w:themeFill="background1" w:themeFillShade="F2"/>
            <w:noWrap/>
            <w:tcMar>
              <w:left w:w="57" w:type="dxa"/>
              <w:right w:w="57" w:type="dxa"/>
            </w:tcMar>
            <w:vAlign w:val="center"/>
          </w:tcPr>
          <w:p w:rsidR="00A340B4" w:rsidRPr="003C13D2" w:rsidRDefault="00A340B4" w:rsidP="003E4A5D">
            <w:pPr>
              <w:pStyle w:val="TableParagraph"/>
              <w:ind w:left="55"/>
              <w:jc w:val="left"/>
              <w:rPr>
                <w:rFonts w:asciiTheme="minorHAnsi" w:hAnsiTheme="minorHAnsi"/>
                <w:sz w:val="18"/>
                <w:szCs w:val="18"/>
                <w:lang w:val="cs-CZ"/>
              </w:rPr>
            </w:pPr>
            <w:r w:rsidRPr="003C13D2">
              <w:rPr>
                <w:rFonts w:asciiTheme="minorHAnsi" w:hAnsiTheme="minorHAnsi"/>
                <w:sz w:val="18"/>
                <w:szCs w:val="18"/>
                <w:lang w:val="cs-CZ"/>
              </w:rPr>
              <w:t>Liniové a inženýrské stavby</w:t>
            </w:r>
          </w:p>
        </w:tc>
        <w:tc>
          <w:tcPr>
            <w:tcW w:w="1244" w:type="dxa"/>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05"/>
              <w:rPr>
                <w:rFonts w:asciiTheme="minorHAnsi" w:hAnsiTheme="minorHAnsi"/>
                <w:sz w:val="16"/>
                <w:szCs w:val="16"/>
                <w:lang w:val="cs-CZ"/>
              </w:rPr>
            </w:pPr>
            <w:r w:rsidRPr="003C13D2">
              <w:rPr>
                <w:rFonts w:asciiTheme="minorHAnsi" w:hAnsiTheme="minorHAnsi"/>
                <w:sz w:val="16"/>
                <w:szCs w:val="16"/>
                <w:lang w:val="cs-CZ"/>
              </w:rPr>
              <w:t>2 446</w:t>
            </w:r>
          </w:p>
        </w:tc>
        <w:tc>
          <w:tcPr>
            <w:tcW w:w="1165" w:type="dxa"/>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11"/>
              <w:rPr>
                <w:rFonts w:asciiTheme="minorHAnsi" w:hAnsiTheme="minorHAnsi"/>
                <w:sz w:val="16"/>
                <w:szCs w:val="16"/>
                <w:lang w:val="cs-CZ"/>
              </w:rPr>
            </w:pPr>
            <w:r w:rsidRPr="003C13D2">
              <w:rPr>
                <w:rFonts w:asciiTheme="minorHAnsi" w:hAnsiTheme="minorHAnsi"/>
                <w:sz w:val="16"/>
                <w:szCs w:val="16"/>
                <w:lang w:val="cs-CZ"/>
              </w:rPr>
              <w:t>63 422 709 990</w:t>
            </w:r>
          </w:p>
        </w:tc>
        <w:tc>
          <w:tcPr>
            <w:tcW w:w="1245" w:type="dxa"/>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35"/>
              <w:rPr>
                <w:rFonts w:asciiTheme="minorHAnsi" w:hAnsiTheme="minorHAnsi"/>
                <w:sz w:val="16"/>
                <w:szCs w:val="16"/>
                <w:lang w:val="cs-CZ"/>
              </w:rPr>
            </w:pPr>
            <w:r w:rsidRPr="003C13D2">
              <w:rPr>
                <w:rFonts w:asciiTheme="minorHAnsi" w:hAnsiTheme="minorHAnsi"/>
                <w:sz w:val="16"/>
                <w:szCs w:val="16"/>
                <w:lang w:val="cs-CZ"/>
              </w:rPr>
              <w:t>2 438</w:t>
            </w:r>
          </w:p>
        </w:tc>
        <w:tc>
          <w:tcPr>
            <w:tcW w:w="1245" w:type="dxa"/>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08"/>
              <w:rPr>
                <w:rFonts w:asciiTheme="minorHAnsi" w:hAnsiTheme="minorHAnsi"/>
                <w:sz w:val="16"/>
                <w:szCs w:val="16"/>
                <w:lang w:val="cs-CZ"/>
              </w:rPr>
            </w:pPr>
            <w:r w:rsidRPr="003C13D2">
              <w:rPr>
                <w:rFonts w:asciiTheme="minorHAnsi" w:hAnsiTheme="minorHAnsi"/>
                <w:sz w:val="16"/>
                <w:szCs w:val="16"/>
                <w:lang w:val="cs-CZ"/>
              </w:rPr>
              <w:t>70 019 272 444</w:t>
            </w:r>
          </w:p>
        </w:tc>
        <w:tc>
          <w:tcPr>
            <w:tcW w:w="1245" w:type="dxa"/>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63"/>
              <w:rPr>
                <w:rFonts w:asciiTheme="minorHAnsi" w:hAnsiTheme="minorHAnsi"/>
                <w:sz w:val="16"/>
                <w:szCs w:val="16"/>
                <w:lang w:val="cs-CZ"/>
              </w:rPr>
            </w:pPr>
            <w:r w:rsidRPr="003C13D2">
              <w:rPr>
                <w:rFonts w:asciiTheme="minorHAnsi" w:hAnsiTheme="minorHAnsi"/>
                <w:sz w:val="16"/>
                <w:szCs w:val="16"/>
                <w:lang w:val="cs-CZ"/>
              </w:rPr>
              <w:t>2 000</w:t>
            </w:r>
          </w:p>
        </w:tc>
        <w:tc>
          <w:tcPr>
            <w:tcW w:w="1245" w:type="dxa"/>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09"/>
              <w:rPr>
                <w:rFonts w:asciiTheme="minorHAnsi" w:hAnsiTheme="minorHAnsi"/>
                <w:sz w:val="16"/>
                <w:szCs w:val="16"/>
                <w:lang w:val="cs-CZ"/>
              </w:rPr>
            </w:pPr>
            <w:r w:rsidRPr="003C13D2">
              <w:rPr>
                <w:rFonts w:asciiTheme="minorHAnsi" w:hAnsiTheme="minorHAnsi"/>
                <w:sz w:val="16"/>
                <w:szCs w:val="16"/>
                <w:lang w:val="cs-CZ"/>
              </w:rPr>
              <w:t>44 798 257 281</w:t>
            </w:r>
          </w:p>
        </w:tc>
      </w:tr>
      <w:tr w:rsidR="00A340B4" w:rsidRPr="003C13D2" w:rsidTr="00914D3B">
        <w:trPr>
          <w:trHeight w:val="283"/>
          <w:jc w:val="center"/>
        </w:trPr>
        <w:tc>
          <w:tcPr>
            <w:tcW w:w="1701" w:type="dxa"/>
            <w:noWrap/>
            <w:tcMar>
              <w:left w:w="57" w:type="dxa"/>
              <w:right w:w="57" w:type="dxa"/>
            </w:tcMar>
            <w:vAlign w:val="center"/>
          </w:tcPr>
          <w:p w:rsidR="00A340B4" w:rsidRPr="003C13D2" w:rsidRDefault="00A340B4" w:rsidP="003E4A5D">
            <w:pPr>
              <w:pStyle w:val="TableParagraph"/>
              <w:ind w:left="55"/>
              <w:jc w:val="left"/>
              <w:rPr>
                <w:rFonts w:asciiTheme="minorHAnsi" w:hAnsiTheme="minorHAnsi"/>
                <w:sz w:val="18"/>
                <w:szCs w:val="18"/>
                <w:lang w:val="cs-CZ"/>
              </w:rPr>
            </w:pPr>
            <w:r w:rsidRPr="003C13D2">
              <w:rPr>
                <w:rFonts w:asciiTheme="minorHAnsi" w:hAnsiTheme="minorHAnsi"/>
                <w:sz w:val="18"/>
                <w:szCs w:val="18"/>
                <w:lang w:val="cs-CZ"/>
              </w:rPr>
              <w:t>Pomocné stavební práce</w:t>
            </w:r>
          </w:p>
        </w:tc>
        <w:tc>
          <w:tcPr>
            <w:tcW w:w="1244" w:type="dxa"/>
            <w:noWrap/>
            <w:tcMar>
              <w:left w:w="57" w:type="dxa"/>
              <w:right w:w="57" w:type="dxa"/>
            </w:tcMar>
            <w:vAlign w:val="center"/>
          </w:tcPr>
          <w:p w:rsidR="00A340B4" w:rsidRPr="003C13D2" w:rsidRDefault="00A340B4" w:rsidP="003E4A5D">
            <w:pPr>
              <w:pStyle w:val="TableParagraph"/>
              <w:ind w:right="105"/>
              <w:rPr>
                <w:rFonts w:asciiTheme="minorHAnsi" w:hAnsiTheme="minorHAnsi"/>
                <w:sz w:val="16"/>
                <w:szCs w:val="16"/>
                <w:lang w:val="cs-CZ"/>
              </w:rPr>
            </w:pPr>
            <w:r w:rsidRPr="003C13D2">
              <w:rPr>
                <w:rFonts w:asciiTheme="minorHAnsi" w:hAnsiTheme="minorHAnsi"/>
                <w:sz w:val="16"/>
                <w:szCs w:val="16"/>
                <w:lang w:val="cs-CZ"/>
              </w:rPr>
              <w:t>596</w:t>
            </w:r>
          </w:p>
        </w:tc>
        <w:tc>
          <w:tcPr>
            <w:tcW w:w="1165" w:type="dxa"/>
            <w:noWrap/>
            <w:tcMar>
              <w:left w:w="57" w:type="dxa"/>
              <w:right w:w="57" w:type="dxa"/>
            </w:tcMar>
            <w:vAlign w:val="center"/>
          </w:tcPr>
          <w:p w:rsidR="00A340B4" w:rsidRPr="003C13D2" w:rsidRDefault="00A340B4" w:rsidP="003E4A5D">
            <w:pPr>
              <w:pStyle w:val="TableParagraph"/>
              <w:ind w:right="111"/>
              <w:rPr>
                <w:rFonts w:asciiTheme="minorHAnsi" w:hAnsiTheme="minorHAnsi"/>
                <w:sz w:val="16"/>
                <w:szCs w:val="16"/>
                <w:lang w:val="cs-CZ"/>
              </w:rPr>
            </w:pPr>
            <w:r w:rsidRPr="003C13D2">
              <w:rPr>
                <w:rFonts w:asciiTheme="minorHAnsi" w:hAnsiTheme="minorHAnsi"/>
                <w:sz w:val="16"/>
                <w:szCs w:val="16"/>
                <w:lang w:val="cs-CZ"/>
              </w:rPr>
              <w:t>14 587 067 380</w:t>
            </w:r>
          </w:p>
        </w:tc>
        <w:tc>
          <w:tcPr>
            <w:tcW w:w="1245" w:type="dxa"/>
            <w:noWrap/>
            <w:tcMar>
              <w:left w:w="57" w:type="dxa"/>
              <w:right w:w="57" w:type="dxa"/>
            </w:tcMar>
            <w:vAlign w:val="center"/>
          </w:tcPr>
          <w:p w:rsidR="00A340B4" w:rsidRPr="003C13D2" w:rsidRDefault="00A340B4" w:rsidP="003E4A5D">
            <w:pPr>
              <w:pStyle w:val="TableParagraph"/>
              <w:ind w:right="135"/>
              <w:rPr>
                <w:rFonts w:asciiTheme="minorHAnsi" w:hAnsiTheme="minorHAnsi"/>
                <w:sz w:val="16"/>
                <w:szCs w:val="16"/>
                <w:lang w:val="cs-CZ"/>
              </w:rPr>
            </w:pPr>
            <w:r w:rsidRPr="003C13D2">
              <w:rPr>
                <w:rFonts w:asciiTheme="minorHAnsi" w:hAnsiTheme="minorHAnsi"/>
                <w:sz w:val="16"/>
                <w:szCs w:val="16"/>
                <w:lang w:val="cs-CZ"/>
              </w:rPr>
              <w:t>636</w:t>
            </w:r>
          </w:p>
        </w:tc>
        <w:tc>
          <w:tcPr>
            <w:tcW w:w="1245" w:type="dxa"/>
            <w:noWrap/>
            <w:tcMar>
              <w:left w:w="57" w:type="dxa"/>
              <w:right w:w="57" w:type="dxa"/>
            </w:tcMar>
            <w:vAlign w:val="center"/>
          </w:tcPr>
          <w:p w:rsidR="00A340B4" w:rsidRPr="003C13D2" w:rsidRDefault="00A340B4" w:rsidP="003E4A5D">
            <w:pPr>
              <w:pStyle w:val="TableParagraph"/>
              <w:ind w:right="108"/>
              <w:rPr>
                <w:rFonts w:asciiTheme="minorHAnsi" w:hAnsiTheme="minorHAnsi"/>
                <w:sz w:val="16"/>
                <w:szCs w:val="16"/>
                <w:lang w:val="cs-CZ"/>
              </w:rPr>
            </w:pPr>
            <w:r w:rsidRPr="003C13D2">
              <w:rPr>
                <w:rFonts w:asciiTheme="minorHAnsi" w:hAnsiTheme="minorHAnsi"/>
                <w:sz w:val="16"/>
                <w:szCs w:val="16"/>
                <w:lang w:val="cs-CZ"/>
              </w:rPr>
              <w:t>14 842 513 745</w:t>
            </w:r>
          </w:p>
        </w:tc>
        <w:tc>
          <w:tcPr>
            <w:tcW w:w="1245" w:type="dxa"/>
            <w:noWrap/>
            <w:tcMar>
              <w:left w:w="57" w:type="dxa"/>
              <w:right w:w="57" w:type="dxa"/>
            </w:tcMar>
            <w:vAlign w:val="center"/>
          </w:tcPr>
          <w:p w:rsidR="00A340B4" w:rsidRPr="003C13D2" w:rsidRDefault="00A340B4" w:rsidP="003E4A5D">
            <w:pPr>
              <w:pStyle w:val="TableParagraph"/>
              <w:ind w:right="163"/>
              <w:rPr>
                <w:rFonts w:asciiTheme="minorHAnsi" w:hAnsiTheme="minorHAnsi"/>
                <w:sz w:val="16"/>
                <w:szCs w:val="16"/>
                <w:lang w:val="cs-CZ"/>
              </w:rPr>
            </w:pPr>
            <w:r w:rsidRPr="003C13D2">
              <w:rPr>
                <w:rFonts w:asciiTheme="minorHAnsi" w:hAnsiTheme="minorHAnsi"/>
                <w:sz w:val="16"/>
                <w:szCs w:val="16"/>
                <w:lang w:val="cs-CZ"/>
              </w:rPr>
              <w:t>355</w:t>
            </w:r>
          </w:p>
        </w:tc>
        <w:tc>
          <w:tcPr>
            <w:tcW w:w="1245" w:type="dxa"/>
            <w:noWrap/>
            <w:tcMar>
              <w:left w:w="57" w:type="dxa"/>
              <w:right w:w="57" w:type="dxa"/>
            </w:tcMar>
            <w:vAlign w:val="center"/>
          </w:tcPr>
          <w:p w:rsidR="00A340B4" w:rsidRPr="003C13D2" w:rsidRDefault="00A340B4" w:rsidP="003E4A5D">
            <w:pPr>
              <w:pStyle w:val="TableParagraph"/>
              <w:ind w:right="109"/>
              <w:rPr>
                <w:rFonts w:asciiTheme="minorHAnsi" w:hAnsiTheme="minorHAnsi"/>
                <w:sz w:val="16"/>
                <w:szCs w:val="16"/>
                <w:lang w:val="cs-CZ"/>
              </w:rPr>
            </w:pPr>
            <w:r w:rsidRPr="003C13D2">
              <w:rPr>
                <w:rFonts w:asciiTheme="minorHAnsi" w:hAnsiTheme="minorHAnsi"/>
                <w:sz w:val="16"/>
                <w:szCs w:val="16"/>
                <w:lang w:val="cs-CZ"/>
              </w:rPr>
              <w:t>6 545 701 984</w:t>
            </w:r>
          </w:p>
        </w:tc>
      </w:tr>
      <w:tr w:rsidR="00A340B4" w:rsidRPr="003C13D2" w:rsidTr="00914D3B">
        <w:trPr>
          <w:trHeight w:val="283"/>
          <w:jc w:val="center"/>
        </w:trPr>
        <w:tc>
          <w:tcPr>
            <w:tcW w:w="1701" w:type="dxa"/>
            <w:tcBorders>
              <w:bottom w:val="single" w:sz="4" w:space="0" w:color="auto"/>
            </w:tcBorders>
            <w:shd w:val="clear" w:color="auto" w:fill="F2F2F2" w:themeFill="background1" w:themeFillShade="F2"/>
            <w:noWrap/>
            <w:tcMar>
              <w:left w:w="57" w:type="dxa"/>
              <w:right w:w="57" w:type="dxa"/>
            </w:tcMar>
            <w:vAlign w:val="center"/>
          </w:tcPr>
          <w:p w:rsidR="00A340B4" w:rsidRPr="003C13D2" w:rsidRDefault="00A340B4" w:rsidP="003E4A5D">
            <w:pPr>
              <w:pStyle w:val="TableParagraph"/>
              <w:ind w:left="55" w:right="36"/>
              <w:jc w:val="left"/>
              <w:rPr>
                <w:rFonts w:asciiTheme="minorHAnsi" w:hAnsiTheme="minorHAnsi"/>
                <w:sz w:val="18"/>
                <w:szCs w:val="18"/>
                <w:lang w:val="cs-CZ"/>
              </w:rPr>
            </w:pPr>
            <w:r w:rsidRPr="003C13D2">
              <w:rPr>
                <w:rFonts w:asciiTheme="minorHAnsi" w:hAnsiTheme="minorHAnsi"/>
                <w:sz w:val="18"/>
                <w:szCs w:val="18"/>
                <w:lang w:val="cs-CZ"/>
              </w:rPr>
              <w:t>Ostatní blíže nespecifikované stavební práce</w:t>
            </w:r>
          </w:p>
        </w:tc>
        <w:tc>
          <w:tcPr>
            <w:tcW w:w="1244" w:type="dxa"/>
            <w:tcBorders>
              <w:bottom w:val="single" w:sz="4" w:space="0" w:color="auto"/>
            </w:tcBorders>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05"/>
              <w:rPr>
                <w:rFonts w:asciiTheme="minorHAnsi" w:hAnsiTheme="minorHAnsi"/>
                <w:sz w:val="16"/>
                <w:szCs w:val="16"/>
                <w:lang w:val="cs-CZ"/>
              </w:rPr>
            </w:pPr>
            <w:r w:rsidRPr="003C13D2">
              <w:rPr>
                <w:rFonts w:asciiTheme="minorHAnsi" w:hAnsiTheme="minorHAnsi"/>
                <w:sz w:val="16"/>
                <w:szCs w:val="16"/>
                <w:lang w:val="cs-CZ"/>
              </w:rPr>
              <w:t>2 014</w:t>
            </w:r>
          </w:p>
        </w:tc>
        <w:tc>
          <w:tcPr>
            <w:tcW w:w="1165" w:type="dxa"/>
            <w:tcBorders>
              <w:bottom w:val="single" w:sz="4" w:space="0" w:color="auto"/>
            </w:tcBorders>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11"/>
              <w:rPr>
                <w:rFonts w:asciiTheme="minorHAnsi" w:hAnsiTheme="minorHAnsi"/>
                <w:sz w:val="16"/>
                <w:szCs w:val="16"/>
                <w:lang w:val="cs-CZ"/>
              </w:rPr>
            </w:pPr>
            <w:r w:rsidRPr="003C13D2">
              <w:rPr>
                <w:rFonts w:asciiTheme="minorHAnsi" w:hAnsiTheme="minorHAnsi"/>
                <w:sz w:val="16"/>
                <w:szCs w:val="16"/>
                <w:lang w:val="cs-CZ"/>
              </w:rPr>
              <w:t>31 272 594 246</w:t>
            </w:r>
          </w:p>
        </w:tc>
        <w:tc>
          <w:tcPr>
            <w:tcW w:w="1245" w:type="dxa"/>
            <w:tcBorders>
              <w:bottom w:val="single" w:sz="4" w:space="0" w:color="auto"/>
            </w:tcBorders>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35"/>
              <w:rPr>
                <w:rFonts w:asciiTheme="minorHAnsi" w:hAnsiTheme="minorHAnsi"/>
                <w:sz w:val="16"/>
                <w:szCs w:val="16"/>
                <w:lang w:val="cs-CZ"/>
              </w:rPr>
            </w:pPr>
            <w:r w:rsidRPr="003C13D2">
              <w:rPr>
                <w:rFonts w:asciiTheme="minorHAnsi" w:hAnsiTheme="minorHAnsi"/>
                <w:sz w:val="16"/>
                <w:szCs w:val="16"/>
                <w:lang w:val="cs-CZ"/>
              </w:rPr>
              <w:t>1 975</w:t>
            </w:r>
          </w:p>
        </w:tc>
        <w:tc>
          <w:tcPr>
            <w:tcW w:w="1245" w:type="dxa"/>
            <w:tcBorders>
              <w:bottom w:val="single" w:sz="4" w:space="0" w:color="auto"/>
            </w:tcBorders>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08"/>
              <w:rPr>
                <w:rFonts w:asciiTheme="minorHAnsi" w:hAnsiTheme="minorHAnsi"/>
                <w:sz w:val="16"/>
                <w:szCs w:val="16"/>
                <w:lang w:val="cs-CZ"/>
              </w:rPr>
            </w:pPr>
            <w:r w:rsidRPr="003C13D2">
              <w:rPr>
                <w:rFonts w:asciiTheme="minorHAnsi" w:hAnsiTheme="minorHAnsi"/>
                <w:sz w:val="16"/>
                <w:szCs w:val="16"/>
                <w:lang w:val="cs-CZ"/>
              </w:rPr>
              <w:t>22 519 743 557</w:t>
            </w:r>
          </w:p>
        </w:tc>
        <w:tc>
          <w:tcPr>
            <w:tcW w:w="1245" w:type="dxa"/>
            <w:tcBorders>
              <w:bottom w:val="single" w:sz="4" w:space="0" w:color="auto"/>
            </w:tcBorders>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63"/>
              <w:rPr>
                <w:rFonts w:asciiTheme="minorHAnsi" w:hAnsiTheme="minorHAnsi"/>
                <w:sz w:val="16"/>
                <w:szCs w:val="16"/>
                <w:lang w:val="cs-CZ"/>
              </w:rPr>
            </w:pPr>
            <w:r w:rsidRPr="003C13D2">
              <w:rPr>
                <w:rFonts w:asciiTheme="minorHAnsi" w:hAnsiTheme="minorHAnsi"/>
                <w:sz w:val="16"/>
                <w:szCs w:val="16"/>
                <w:lang w:val="cs-CZ"/>
              </w:rPr>
              <w:t>1 274</w:t>
            </w:r>
          </w:p>
        </w:tc>
        <w:tc>
          <w:tcPr>
            <w:tcW w:w="1245" w:type="dxa"/>
            <w:tcBorders>
              <w:bottom w:val="single" w:sz="4" w:space="0" w:color="auto"/>
            </w:tcBorders>
            <w:shd w:val="clear" w:color="auto" w:fill="F2F2F2" w:themeFill="background1" w:themeFillShade="F2"/>
            <w:noWrap/>
            <w:tcMar>
              <w:left w:w="57" w:type="dxa"/>
              <w:right w:w="57" w:type="dxa"/>
            </w:tcMar>
            <w:vAlign w:val="center"/>
          </w:tcPr>
          <w:p w:rsidR="00A340B4" w:rsidRPr="003C13D2" w:rsidRDefault="00A340B4" w:rsidP="003E4A5D">
            <w:pPr>
              <w:pStyle w:val="TableParagraph"/>
              <w:ind w:right="109"/>
              <w:rPr>
                <w:rFonts w:asciiTheme="minorHAnsi" w:hAnsiTheme="minorHAnsi"/>
                <w:sz w:val="16"/>
                <w:szCs w:val="16"/>
                <w:lang w:val="cs-CZ"/>
              </w:rPr>
            </w:pPr>
            <w:r w:rsidRPr="003C13D2">
              <w:rPr>
                <w:rFonts w:asciiTheme="minorHAnsi" w:hAnsiTheme="minorHAnsi"/>
                <w:sz w:val="16"/>
                <w:szCs w:val="16"/>
                <w:lang w:val="cs-CZ"/>
              </w:rPr>
              <w:t>16 313 051 822</w:t>
            </w:r>
          </w:p>
        </w:tc>
      </w:tr>
    </w:tbl>
    <w:p w:rsidR="00A340B4" w:rsidRDefault="00AD5792" w:rsidP="003E4A5D">
      <w:pPr>
        <w:pStyle w:val="Citt"/>
      </w:pPr>
      <w:r>
        <w:t>Zdroj</w:t>
      </w:r>
      <w:r w:rsidR="00A340B4">
        <w:t>: MMR</w:t>
      </w:r>
    </w:p>
    <w:p w:rsidR="003C13D2" w:rsidRDefault="003C13D2" w:rsidP="003E4A5D">
      <w:pPr>
        <w:widowControl w:val="0"/>
        <w:spacing w:before="0" w:after="0"/>
        <w:jc w:val="left"/>
        <w:rPr>
          <w:rFonts w:eastAsia="Times New Roman"/>
          <w:b/>
          <w:bCs/>
          <w:color w:val="000000"/>
          <w:sz w:val="22"/>
          <w:szCs w:val="20"/>
          <w:lang w:eastAsia="cs-CZ"/>
        </w:rPr>
      </w:pPr>
    </w:p>
    <w:p w:rsidR="0042724E" w:rsidRPr="00DB067D" w:rsidRDefault="0042724E" w:rsidP="003E4A5D">
      <w:pPr>
        <w:pStyle w:val="Titulek"/>
        <w:rPr>
          <w:u w:color="000000"/>
        </w:rPr>
      </w:pPr>
      <w:r>
        <w:t xml:space="preserve">Tabulka </w:t>
      </w:r>
      <w:r w:rsidR="00AB65E9">
        <w:rPr>
          <w:noProof/>
        </w:rPr>
        <w:fldChar w:fldCharType="begin"/>
      </w:r>
      <w:r w:rsidR="006D15AE">
        <w:rPr>
          <w:noProof/>
        </w:rPr>
        <w:instrText xml:space="preserve"> SEQ Tabulka \* ARABIC </w:instrText>
      </w:r>
      <w:r w:rsidR="00AB65E9">
        <w:rPr>
          <w:noProof/>
        </w:rPr>
        <w:fldChar w:fldCharType="separate"/>
      </w:r>
      <w:r w:rsidR="00263A1B">
        <w:rPr>
          <w:noProof/>
        </w:rPr>
        <w:t>3</w:t>
      </w:r>
      <w:r w:rsidR="00AB65E9">
        <w:rPr>
          <w:noProof/>
        </w:rPr>
        <w:fldChar w:fldCharType="end"/>
      </w:r>
      <w:r>
        <w:t>:</w:t>
      </w:r>
      <w:r w:rsidRPr="0042724E">
        <w:rPr>
          <w:u w:color="000000"/>
        </w:rPr>
        <w:t xml:space="preserve"> </w:t>
      </w:r>
      <w:r>
        <w:rPr>
          <w:u w:color="000000"/>
        </w:rPr>
        <w:t>Zadané zakázky na stavební práce v letech 2014–2016 – průměrná velikost zakázky v</w:t>
      </w:r>
      <w:r w:rsidR="008443EA">
        <w:rPr>
          <w:u w:color="000000"/>
        </w:rPr>
        <w:t> </w:t>
      </w:r>
      <w:r>
        <w:rPr>
          <w:u w:color="000000"/>
        </w:rPr>
        <w:t xml:space="preserve">mil. Kč   </w:t>
      </w:r>
      <w:r w:rsidR="00164C97">
        <w:rPr>
          <w:u w:color="000000"/>
        </w:rPr>
        <w:t xml:space="preserve"> </w:t>
      </w:r>
      <w:r>
        <w:rPr>
          <w:u w:color="000000"/>
        </w:rPr>
        <w:t xml:space="preserve">  </w:t>
      </w:r>
    </w:p>
    <w:tbl>
      <w:tblPr>
        <w:tblStyle w:val="TableNormal"/>
        <w:tblW w:w="9134" w:type="dxa"/>
        <w:tblInd w:w="-5" w:type="dxa"/>
        <w:tblLayout w:type="fixed"/>
        <w:tblLook w:val="01E0" w:firstRow="1" w:lastRow="1" w:firstColumn="1" w:lastColumn="1" w:noHBand="0" w:noVBand="0"/>
      </w:tblPr>
      <w:tblGrid>
        <w:gridCol w:w="3930"/>
        <w:gridCol w:w="1740"/>
        <w:gridCol w:w="1741"/>
        <w:gridCol w:w="1723"/>
      </w:tblGrid>
      <w:tr w:rsidR="00A340B4" w:rsidRPr="003C13D2" w:rsidTr="003C13D2">
        <w:trPr>
          <w:trHeight w:val="283"/>
        </w:trPr>
        <w:tc>
          <w:tcPr>
            <w:tcW w:w="3930" w:type="dxa"/>
            <w:tcBorders>
              <w:top w:val="single" w:sz="4" w:space="0" w:color="auto"/>
              <w:bottom w:val="single" w:sz="4" w:space="0" w:color="auto"/>
            </w:tcBorders>
            <w:shd w:val="clear" w:color="auto" w:fill="BFBFBF" w:themeFill="background1" w:themeFillShade="BF"/>
            <w:tcMar>
              <w:left w:w="57" w:type="dxa"/>
              <w:right w:w="57" w:type="dxa"/>
            </w:tcMar>
            <w:vAlign w:val="center"/>
          </w:tcPr>
          <w:p w:rsidR="00A340B4" w:rsidRPr="003C13D2" w:rsidRDefault="00A340B4" w:rsidP="003E4A5D">
            <w:pPr>
              <w:pStyle w:val="TableParagraph"/>
              <w:jc w:val="left"/>
              <w:rPr>
                <w:rFonts w:asciiTheme="minorHAnsi" w:hAnsiTheme="minorHAnsi"/>
                <w:b/>
                <w:sz w:val="18"/>
                <w:szCs w:val="18"/>
                <w:lang w:val="cs-CZ"/>
              </w:rPr>
            </w:pPr>
            <w:r w:rsidRPr="003C13D2">
              <w:rPr>
                <w:rFonts w:asciiTheme="minorHAnsi" w:hAnsiTheme="minorHAnsi"/>
                <w:b/>
                <w:sz w:val="18"/>
                <w:szCs w:val="18"/>
                <w:lang w:val="cs-CZ"/>
              </w:rPr>
              <w:t>Rok</w:t>
            </w:r>
          </w:p>
        </w:tc>
        <w:tc>
          <w:tcPr>
            <w:tcW w:w="1740" w:type="dxa"/>
            <w:tcBorders>
              <w:top w:val="single" w:sz="4" w:space="0" w:color="auto"/>
              <w:bottom w:val="single" w:sz="4" w:space="0" w:color="auto"/>
            </w:tcBorders>
            <w:shd w:val="clear" w:color="auto" w:fill="BFBFBF" w:themeFill="background1" w:themeFillShade="BF"/>
            <w:tcMar>
              <w:left w:w="57" w:type="dxa"/>
              <w:right w:w="57" w:type="dxa"/>
            </w:tcMar>
            <w:vAlign w:val="center"/>
          </w:tcPr>
          <w:p w:rsidR="00A340B4" w:rsidRPr="003C13D2" w:rsidRDefault="00A340B4" w:rsidP="003E4A5D">
            <w:pPr>
              <w:pStyle w:val="TableParagraph"/>
              <w:jc w:val="center"/>
              <w:rPr>
                <w:rFonts w:asciiTheme="minorHAnsi" w:hAnsiTheme="minorHAnsi"/>
                <w:b/>
                <w:sz w:val="18"/>
                <w:szCs w:val="18"/>
                <w:lang w:val="cs-CZ"/>
              </w:rPr>
            </w:pPr>
            <w:r w:rsidRPr="003C13D2">
              <w:rPr>
                <w:rFonts w:asciiTheme="minorHAnsi" w:hAnsiTheme="minorHAnsi"/>
                <w:b/>
                <w:sz w:val="18"/>
                <w:szCs w:val="18"/>
                <w:lang w:val="cs-CZ"/>
              </w:rPr>
              <w:t>2014</w:t>
            </w:r>
          </w:p>
        </w:tc>
        <w:tc>
          <w:tcPr>
            <w:tcW w:w="1741" w:type="dxa"/>
            <w:tcBorders>
              <w:top w:val="single" w:sz="4" w:space="0" w:color="auto"/>
              <w:bottom w:val="single" w:sz="4" w:space="0" w:color="auto"/>
            </w:tcBorders>
            <w:shd w:val="clear" w:color="auto" w:fill="BFBFBF" w:themeFill="background1" w:themeFillShade="BF"/>
            <w:tcMar>
              <w:left w:w="57" w:type="dxa"/>
              <w:right w:w="57" w:type="dxa"/>
            </w:tcMar>
            <w:vAlign w:val="center"/>
          </w:tcPr>
          <w:p w:rsidR="00A340B4" w:rsidRPr="003C13D2" w:rsidRDefault="00A340B4" w:rsidP="003E4A5D">
            <w:pPr>
              <w:pStyle w:val="TableParagraph"/>
              <w:jc w:val="center"/>
              <w:rPr>
                <w:rFonts w:asciiTheme="minorHAnsi" w:hAnsiTheme="minorHAnsi"/>
                <w:b/>
                <w:sz w:val="18"/>
                <w:szCs w:val="18"/>
                <w:lang w:val="cs-CZ"/>
              </w:rPr>
            </w:pPr>
            <w:r w:rsidRPr="003C13D2">
              <w:rPr>
                <w:rFonts w:asciiTheme="minorHAnsi" w:hAnsiTheme="minorHAnsi"/>
                <w:b/>
                <w:sz w:val="18"/>
                <w:szCs w:val="18"/>
                <w:lang w:val="cs-CZ"/>
              </w:rPr>
              <w:t>2015</w:t>
            </w:r>
          </w:p>
        </w:tc>
        <w:tc>
          <w:tcPr>
            <w:tcW w:w="1723" w:type="dxa"/>
            <w:tcBorders>
              <w:top w:val="single" w:sz="4" w:space="0" w:color="auto"/>
              <w:bottom w:val="single" w:sz="4" w:space="0" w:color="auto"/>
            </w:tcBorders>
            <w:shd w:val="clear" w:color="auto" w:fill="BFBFBF" w:themeFill="background1" w:themeFillShade="BF"/>
            <w:tcMar>
              <w:left w:w="57" w:type="dxa"/>
              <w:right w:w="57" w:type="dxa"/>
            </w:tcMar>
            <w:vAlign w:val="center"/>
          </w:tcPr>
          <w:p w:rsidR="00A340B4" w:rsidRPr="003C13D2" w:rsidRDefault="00A340B4" w:rsidP="003E4A5D">
            <w:pPr>
              <w:pStyle w:val="TableParagraph"/>
              <w:jc w:val="center"/>
              <w:rPr>
                <w:rFonts w:asciiTheme="minorHAnsi" w:hAnsiTheme="minorHAnsi"/>
                <w:b/>
                <w:sz w:val="18"/>
                <w:szCs w:val="18"/>
                <w:lang w:val="cs-CZ"/>
              </w:rPr>
            </w:pPr>
            <w:r w:rsidRPr="003C13D2">
              <w:rPr>
                <w:rFonts w:asciiTheme="minorHAnsi" w:hAnsiTheme="minorHAnsi"/>
                <w:b/>
                <w:sz w:val="18"/>
                <w:szCs w:val="18"/>
                <w:lang w:val="cs-CZ"/>
              </w:rPr>
              <w:t>2016</w:t>
            </w:r>
          </w:p>
        </w:tc>
      </w:tr>
      <w:tr w:rsidR="0096230A" w:rsidRPr="003C13D2" w:rsidTr="003C13D2">
        <w:trPr>
          <w:trHeight w:val="283"/>
        </w:trPr>
        <w:tc>
          <w:tcPr>
            <w:tcW w:w="3930" w:type="dxa"/>
            <w:tcBorders>
              <w:top w:val="single" w:sz="4" w:space="0" w:color="auto"/>
            </w:tcBorders>
            <w:tcMar>
              <w:left w:w="57" w:type="dxa"/>
              <w:right w:w="57" w:type="dxa"/>
            </w:tcMar>
            <w:vAlign w:val="center"/>
          </w:tcPr>
          <w:p w:rsidR="0096230A" w:rsidRPr="003C13D2" w:rsidRDefault="0096230A" w:rsidP="003E4A5D">
            <w:pPr>
              <w:pStyle w:val="TableParagraph"/>
              <w:jc w:val="left"/>
              <w:rPr>
                <w:rFonts w:asciiTheme="minorHAnsi" w:hAnsiTheme="minorHAnsi"/>
                <w:sz w:val="18"/>
                <w:szCs w:val="18"/>
                <w:lang w:val="cs-CZ"/>
              </w:rPr>
            </w:pPr>
            <w:r w:rsidRPr="003C13D2">
              <w:rPr>
                <w:rFonts w:asciiTheme="minorHAnsi" w:hAnsiTheme="minorHAnsi"/>
                <w:sz w:val="18"/>
                <w:szCs w:val="18"/>
                <w:lang w:val="cs-CZ"/>
              </w:rPr>
              <w:t>Liniové a inženýrské stavby</w:t>
            </w:r>
          </w:p>
        </w:tc>
        <w:tc>
          <w:tcPr>
            <w:tcW w:w="1740" w:type="dxa"/>
            <w:tcBorders>
              <w:top w:val="single" w:sz="4" w:space="0" w:color="auto"/>
            </w:tcBorders>
            <w:tcMar>
              <w:left w:w="57" w:type="dxa"/>
              <w:right w:w="57" w:type="dxa"/>
            </w:tcMar>
            <w:vAlign w:val="center"/>
          </w:tcPr>
          <w:p w:rsidR="0096230A" w:rsidRPr="003C13D2" w:rsidRDefault="0096230A" w:rsidP="003E4A5D">
            <w:pPr>
              <w:pStyle w:val="TableParagraph"/>
              <w:ind w:right="672"/>
              <w:rPr>
                <w:rFonts w:asciiTheme="minorHAnsi" w:hAnsiTheme="minorHAnsi"/>
                <w:sz w:val="18"/>
                <w:szCs w:val="18"/>
                <w:lang w:val="cs-CZ"/>
              </w:rPr>
            </w:pPr>
            <w:r w:rsidRPr="003C13D2">
              <w:rPr>
                <w:rFonts w:asciiTheme="minorHAnsi" w:hAnsiTheme="minorHAnsi"/>
                <w:sz w:val="18"/>
                <w:szCs w:val="18"/>
                <w:lang w:val="cs-CZ"/>
              </w:rPr>
              <w:t>26</w:t>
            </w:r>
          </w:p>
        </w:tc>
        <w:tc>
          <w:tcPr>
            <w:tcW w:w="1741" w:type="dxa"/>
            <w:tcBorders>
              <w:top w:val="single" w:sz="4" w:space="0" w:color="auto"/>
            </w:tcBorders>
            <w:tcMar>
              <w:left w:w="57" w:type="dxa"/>
              <w:right w:w="57" w:type="dxa"/>
            </w:tcMar>
            <w:vAlign w:val="center"/>
          </w:tcPr>
          <w:p w:rsidR="0096230A" w:rsidRPr="003C13D2" w:rsidRDefault="0096230A" w:rsidP="003E4A5D">
            <w:pPr>
              <w:pStyle w:val="TableParagraph"/>
              <w:ind w:right="670"/>
              <w:rPr>
                <w:rFonts w:asciiTheme="minorHAnsi" w:hAnsiTheme="minorHAnsi"/>
                <w:sz w:val="18"/>
                <w:szCs w:val="18"/>
                <w:lang w:val="cs-CZ"/>
              </w:rPr>
            </w:pPr>
            <w:r w:rsidRPr="003C13D2">
              <w:rPr>
                <w:rFonts w:asciiTheme="minorHAnsi" w:hAnsiTheme="minorHAnsi"/>
                <w:sz w:val="18"/>
                <w:szCs w:val="18"/>
                <w:lang w:val="cs-CZ"/>
              </w:rPr>
              <w:t>29</w:t>
            </w:r>
          </w:p>
        </w:tc>
        <w:tc>
          <w:tcPr>
            <w:tcW w:w="1723" w:type="dxa"/>
            <w:tcBorders>
              <w:top w:val="single" w:sz="4" w:space="0" w:color="auto"/>
            </w:tcBorders>
            <w:tcMar>
              <w:left w:w="57" w:type="dxa"/>
              <w:right w:w="57" w:type="dxa"/>
            </w:tcMar>
            <w:vAlign w:val="center"/>
          </w:tcPr>
          <w:p w:rsidR="0096230A" w:rsidRPr="003C13D2" w:rsidRDefault="0096230A" w:rsidP="003E4A5D">
            <w:pPr>
              <w:pStyle w:val="TableParagraph"/>
              <w:ind w:right="684"/>
              <w:rPr>
                <w:rFonts w:asciiTheme="minorHAnsi" w:hAnsiTheme="minorHAnsi"/>
                <w:sz w:val="18"/>
                <w:szCs w:val="18"/>
                <w:lang w:val="cs-CZ"/>
              </w:rPr>
            </w:pPr>
            <w:r w:rsidRPr="003C13D2">
              <w:rPr>
                <w:rFonts w:asciiTheme="minorHAnsi" w:hAnsiTheme="minorHAnsi"/>
                <w:sz w:val="18"/>
                <w:szCs w:val="18"/>
                <w:lang w:val="cs-CZ"/>
              </w:rPr>
              <w:t>22</w:t>
            </w:r>
          </w:p>
        </w:tc>
      </w:tr>
      <w:tr w:rsidR="0096230A" w:rsidRPr="003C13D2" w:rsidTr="003C13D2">
        <w:trPr>
          <w:trHeight w:val="283"/>
        </w:trPr>
        <w:tc>
          <w:tcPr>
            <w:tcW w:w="3930" w:type="dxa"/>
            <w:shd w:val="clear" w:color="auto" w:fill="F2F2F2" w:themeFill="background1" w:themeFillShade="F2"/>
            <w:tcMar>
              <w:left w:w="57" w:type="dxa"/>
              <w:right w:w="57" w:type="dxa"/>
            </w:tcMar>
            <w:vAlign w:val="center"/>
          </w:tcPr>
          <w:p w:rsidR="0096230A" w:rsidRPr="003C13D2" w:rsidRDefault="0096230A" w:rsidP="003E4A5D">
            <w:pPr>
              <w:pStyle w:val="TableParagraph"/>
              <w:jc w:val="left"/>
              <w:rPr>
                <w:rFonts w:asciiTheme="minorHAnsi" w:hAnsiTheme="minorHAnsi"/>
                <w:sz w:val="18"/>
                <w:szCs w:val="18"/>
                <w:lang w:val="cs-CZ"/>
              </w:rPr>
            </w:pPr>
            <w:r w:rsidRPr="003C13D2">
              <w:rPr>
                <w:rFonts w:asciiTheme="minorHAnsi" w:hAnsiTheme="minorHAnsi"/>
                <w:sz w:val="18"/>
                <w:szCs w:val="18"/>
                <w:lang w:val="cs-CZ"/>
              </w:rPr>
              <w:t>Pomocné stavební práce</w:t>
            </w:r>
          </w:p>
        </w:tc>
        <w:tc>
          <w:tcPr>
            <w:tcW w:w="1740" w:type="dxa"/>
            <w:shd w:val="clear" w:color="auto" w:fill="F2F2F2" w:themeFill="background1" w:themeFillShade="F2"/>
            <w:tcMar>
              <w:left w:w="57" w:type="dxa"/>
              <w:right w:w="57" w:type="dxa"/>
            </w:tcMar>
            <w:vAlign w:val="center"/>
          </w:tcPr>
          <w:p w:rsidR="0096230A" w:rsidRPr="003C13D2" w:rsidRDefault="0096230A" w:rsidP="003E4A5D">
            <w:pPr>
              <w:pStyle w:val="TableParagraph"/>
              <w:ind w:right="672"/>
              <w:rPr>
                <w:rFonts w:asciiTheme="minorHAnsi" w:hAnsiTheme="minorHAnsi"/>
                <w:sz w:val="18"/>
                <w:szCs w:val="18"/>
                <w:lang w:val="cs-CZ"/>
              </w:rPr>
            </w:pPr>
            <w:r w:rsidRPr="003C13D2">
              <w:rPr>
                <w:rFonts w:asciiTheme="minorHAnsi" w:hAnsiTheme="minorHAnsi"/>
                <w:sz w:val="18"/>
                <w:szCs w:val="18"/>
                <w:lang w:val="cs-CZ"/>
              </w:rPr>
              <w:t>24</w:t>
            </w:r>
          </w:p>
        </w:tc>
        <w:tc>
          <w:tcPr>
            <w:tcW w:w="1741" w:type="dxa"/>
            <w:shd w:val="clear" w:color="auto" w:fill="F2F2F2" w:themeFill="background1" w:themeFillShade="F2"/>
            <w:tcMar>
              <w:left w:w="57" w:type="dxa"/>
              <w:right w:w="57" w:type="dxa"/>
            </w:tcMar>
            <w:vAlign w:val="center"/>
          </w:tcPr>
          <w:p w:rsidR="0096230A" w:rsidRPr="003C13D2" w:rsidRDefault="0096230A" w:rsidP="003E4A5D">
            <w:pPr>
              <w:pStyle w:val="TableParagraph"/>
              <w:ind w:right="670"/>
              <w:rPr>
                <w:rFonts w:asciiTheme="minorHAnsi" w:hAnsiTheme="minorHAnsi"/>
                <w:sz w:val="18"/>
                <w:szCs w:val="18"/>
                <w:lang w:val="cs-CZ"/>
              </w:rPr>
            </w:pPr>
            <w:r w:rsidRPr="003C13D2">
              <w:rPr>
                <w:rFonts w:asciiTheme="minorHAnsi" w:hAnsiTheme="minorHAnsi"/>
                <w:sz w:val="18"/>
                <w:szCs w:val="18"/>
                <w:lang w:val="cs-CZ"/>
              </w:rPr>
              <w:t>23</w:t>
            </w:r>
          </w:p>
        </w:tc>
        <w:tc>
          <w:tcPr>
            <w:tcW w:w="1723" w:type="dxa"/>
            <w:shd w:val="clear" w:color="auto" w:fill="F2F2F2" w:themeFill="background1" w:themeFillShade="F2"/>
            <w:tcMar>
              <w:left w:w="57" w:type="dxa"/>
              <w:right w:w="57" w:type="dxa"/>
            </w:tcMar>
            <w:vAlign w:val="center"/>
          </w:tcPr>
          <w:p w:rsidR="0096230A" w:rsidRPr="003C13D2" w:rsidRDefault="0096230A" w:rsidP="003E4A5D">
            <w:pPr>
              <w:pStyle w:val="TableParagraph"/>
              <w:ind w:right="684"/>
              <w:rPr>
                <w:rFonts w:asciiTheme="minorHAnsi" w:hAnsiTheme="minorHAnsi"/>
                <w:sz w:val="18"/>
                <w:szCs w:val="18"/>
                <w:lang w:val="cs-CZ"/>
              </w:rPr>
            </w:pPr>
            <w:r w:rsidRPr="003C13D2">
              <w:rPr>
                <w:rFonts w:asciiTheme="minorHAnsi" w:hAnsiTheme="minorHAnsi"/>
                <w:sz w:val="18"/>
                <w:szCs w:val="18"/>
                <w:lang w:val="cs-CZ"/>
              </w:rPr>
              <w:t>18</w:t>
            </w:r>
          </w:p>
        </w:tc>
      </w:tr>
      <w:tr w:rsidR="0096230A" w:rsidRPr="003C13D2" w:rsidTr="003C13D2">
        <w:trPr>
          <w:trHeight w:val="283"/>
        </w:trPr>
        <w:tc>
          <w:tcPr>
            <w:tcW w:w="3930" w:type="dxa"/>
            <w:tcMar>
              <w:left w:w="57" w:type="dxa"/>
              <w:right w:w="57" w:type="dxa"/>
            </w:tcMar>
            <w:vAlign w:val="center"/>
          </w:tcPr>
          <w:p w:rsidR="0096230A" w:rsidRPr="003C13D2" w:rsidRDefault="0096230A" w:rsidP="003E4A5D">
            <w:pPr>
              <w:pStyle w:val="TableParagraph"/>
              <w:jc w:val="left"/>
              <w:rPr>
                <w:rFonts w:asciiTheme="minorHAnsi" w:hAnsiTheme="minorHAnsi"/>
                <w:sz w:val="18"/>
                <w:szCs w:val="18"/>
                <w:lang w:val="cs-CZ"/>
              </w:rPr>
            </w:pPr>
            <w:r w:rsidRPr="003C13D2">
              <w:rPr>
                <w:rFonts w:asciiTheme="minorHAnsi" w:hAnsiTheme="minorHAnsi"/>
                <w:sz w:val="18"/>
                <w:szCs w:val="18"/>
                <w:lang w:val="cs-CZ"/>
              </w:rPr>
              <w:t>Výstavba a rekonstrukce budov</w:t>
            </w:r>
          </w:p>
        </w:tc>
        <w:tc>
          <w:tcPr>
            <w:tcW w:w="1740" w:type="dxa"/>
            <w:tcMar>
              <w:left w:w="57" w:type="dxa"/>
              <w:right w:w="57" w:type="dxa"/>
            </w:tcMar>
            <w:vAlign w:val="center"/>
          </w:tcPr>
          <w:p w:rsidR="0096230A" w:rsidRPr="003C13D2" w:rsidRDefault="0096230A" w:rsidP="003E4A5D">
            <w:pPr>
              <w:pStyle w:val="TableParagraph"/>
              <w:ind w:right="672"/>
              <w:rPr>
                <w:rFonts w:asciiTheme="minorHAnsi" w:hAnsiTheme="minorHAnsi"/>
                <w:sz w:val="18"/>
                <w:szCs w:val="18"/>
                <w:lang w:val="cs-CZ"/>
              </w:rPr>
            </w:pPr>
            <w:r w:rsidRPr="003C13D2">
              <w:rPr>
                <w:rFonts w:asciiTheme="minorHAnsi" w:hAnsiTheme="minorHAnsi"/>
                <w:sz w:val="18"/>
                <w:szCs w:val="18"/>
                <w:lang w:val="cs-CZ"/>
              </w:rPr>
              <w:t>16</w:t>
            </w:r>
          </w:p>
        </w:tc>
        <w:tc>
          <w:tcPr>
            <w:tcW w:w="1741" w:type="dxa"/>
            <w:tcMar>
              <w:left w:w="57" w:type="dxa"/>
              <w:right w:w="57" w:type="dxa"/>
            </w:tcMar>
            <w:vAlign w:val="center"/>
          </w:tcPr>
          <w:p w:rsidR="0096230A" w:rsidRPr="003C13D2" w:rsidRDefault="0096230A" w:rsidP="003E4A5D">
            <w:pPr>
              <w:pStyle w:val="TableParagraph"/>
              <w:ind w:right="670"/>
              <w:rPr>
                <w:rFonts w:asciiTheme="minorHAnsi" w:hAnsiTheme="minorHAnsi"/>
                <w:sz w:val="18"/>
                <w:szCs w:val="18"/>
                <w:lang w:val="cs-CZ"/>
              </w:rPr>
            </w:pPr>
            <w:r w:rsidRPr="003C13D2">
              <w:rPr>
                <w:rFonts w:asciiTheme="minorHAnsi" w:hAnsiTheme="minorHAnsi"/>
                <w:sz w:val="18"/>
                <w:szCs w:val="18"/>
                <w:lang w:val="cs-CZ"/>
              </w:rPr>
              <w:t>10</w:t>
            </w:r>
          </w:p>
        </w:tc>
        <w:tc>
          <w:tcPr>
            <w:tcW w:w="1723" w:type="dxa"/>
            <w:tcMar>
              <w:left w:w="57" w:type="dxa"/>
              <w:right w:w="57" w:type="dxa"/>
            </w:tcMar>
            <w:vAlign w:val="center"/>
          </w:tcPr>
          <w:p w:rsidR="0096230A" w:rsidRPr="003C13D2" w:rsidRDefault="0096230A" w:rsidP="003E4A5D">
            <w:pPr>
              <w:pStyle w:val="TableParagraph"/>
              <w:ind w:right="684"/>
              <w:rPr>
                <w:rFonts w:asciiTheme="minorHAnsi" w:hAnsiTheme="minorHAnsi"/>
                <w:sz w:val="18"/>
                <w:szCs w:val="18"/>
                <w:lang w:val="cs-CZ"/>
              </w:rPr>
            </w:pPr>
            <w:r w:rsidRPr="003C13D2">
              <w:rPr>
                <w:rFonts w:asciiTheme="minorHAnsi" w:hAnsiTheme="minorHAnsi"/>
                <w:sz w:val="18"/>
                <w:szCs w:val="18"/>
                <w:lang w:val="cs-CZ"/>
              </w:rPr>
              <w:t>16</w:t>
            </w:r>
          </w:p>
        </w:tc>
      </w:tr>
      <w:tr w:rsidR="0096230A" w:rsidRPr="003C13D2" w:rsidTr="003C13D2">
        <w:trPr>
          <w:trHeight w:val="283"/>
        </w:trPr>
        <w:tc>
          <w:tcPr>
            <w:tcW w:w="3930" w:type="dxa"/>
            <w:shd w:val="clear" w:color="auto" w:fill="F2F2F2" w:themeFill="background1" w:themeFillShade="F2"/>
            <w:tcMar>
              <w:left w:w="57" w:type="dxa"/>
              <w:right w:w="57" w:type="dxa"/>
            </w:tcMar>
            <w:vAlign w:val="center"/>
          </w:tcPr>
          <w:p w:rsidR="0096230A" w:rsidRPr="003C13D2" w:rsidRDefault="0096230A" w:rsidP="003E4A5D">
            <w:pPr>
              <w:pStyle w:val="TableParagraph"/>
              <w:jc w:val="left"/>
              <w:rPr>
                <w:rFonts w:asciiTheme="minorHAnsi" w:hAnsiTheme="minorHAnsi"/>
                <w:sz w:val="18"/>
                <w:szCs w:val="18"/>
                <w:lang w:val="cs-CZ"/>
              </w:rPr>
            </w:pPr>
            <w:r w:rsidRPr="003C13D2">
              <w:rPr>
                <w:rFonts w:asciiTheme="minorHAnsi" w:hAnsiTheme="minorHAnsi"/>
                <w:sz w:val="18"/>
                <w:szCs w:val="18"/>
                <w:lang w:val="cs-CZ"/>
              </w:rPr>
              <w:t>Ostatní - blíže nespecifikované stavební práce</w:t>
            </w:r>
          </w:p>
        </w:tc>
        <w:tc>
          <w:tcPr>
            <w:tcW w:w="1740" w:type="dxa"/>
            <w:shd w:val="clear" w:color="auto" w:fill="F2F2F2" w:themeFill="background1" w:themeFillShade="F2"/>
            <w:tcMar>
              <w:left w:w="57" w:type="dxa"/>
              <w:right w:w="57" w:type="dxa"/>
            </w:tcMar>
            <w:vAlign w:val="center"/>
          </w:tcPr>
          <w:p w:rsidR="0096230A" w:rsidRPr="003C13D2" w:rsidRDefault="0096230A" w:rsidP="003E4A5D">
            <w:pPr>
              <w:pStyle w:val="TableParagraph"/>
              <w:ind w:right="672"/>
              <w:rPr>
                <w:rFonts w:asciiTheme="minorHAnsi" w:hAnsiTheme="minorHAnsi"/>
                <w:sz w:val="18"/>
                <w:szCs w:val="18"/>
                <w:lang w:val="cs-CZ"/>
              </w:rPr>
            </w:pPr>
            <w:r w:rsidRPr="003C13D2">
              <w:rPr>
                <w:rFonts w:asciiTheme="minorHAnsi" w:hAnsiTheme="minorHAnsi"/>
                <w:sz w:val="18"/>
                <w:szCs w:val="18"/>
                <w:lang w:val="cs-CZ"/>
              </w:rPr>
              <w:t>16</w:t>
            </w:r>
          </w:p>
        </w:tc>
        <w:tc>
          <w:tcPr>
            <w:tcW w:w="1741" w:type="dxa"/>
            <w:shd w:val="clear" w:color="auto" w:fill="F2F2F2" w:themeFill="background1" w:themeFillShade="F2"/>
            <w:tcMar>
              <w:left w:w="57" w:type="dxa"/>
              <w:right w:w="57" w:type="dxa"/>
            </w:tcMar>
            <w:vAlign w:val="center"/>
          </w:tcPr>
          <w:p w:rsidR="0096230A" w:rsidRPr="003C13D2" w:rsidRDefault="0096230A" w:rsidP="003E4A5D">
            <w:pPr>
              <w:pStyle w:val="TableParagraph"/>
              <w:ind w:right="670"/>
              <w:rPr>
                <w:rFonts w:asciiTheme="minorHAnsi" w:hAnsiTheme="minorHAnsi"/>
                <w:sz w:val="18"/>
                <w:szCs w:val="18"/>
                <w:lang w:val="cs-CZ"/>
              </w:rPr>
            </w:pPr>
            <w:r w:rsidRPr="003C13D2">
              <w:rPr>
                <w:rFonts w:asciiTheme="minorHAnsi" w:hAnsiTheme="minorHAnsi"/>
                <w:sz w:val="18"/>
                <w:szCs w:val="18"/>
                <w:lang w:val="cs-CZ"/>
              </w:rPr>
              <w:t>11</w:t>
            </w:r>
          </w:p>
        </w:tc>
        <w:tc>
          <w:tcPr>
            <w:tcW w:w="1723" w:type="dxa"/>
            <w:shd w:val="clear" w:color="auto" w:fill="F2F2F2" w:themeFill="background1" w:themeFillShade="F2"/>
            <w:tcMar>
              <w:left w:w="57" w:type="dxa"/>
              <w:right w:w="57" w:type="dxa"/>
            </w:tcMar>
            <w:vAlign w:val="center"/>
          </w:tcPr>
          <w:p w:rsidR="0096230A" w:rsidRPr="003C13D2" w:rsidRDefault="0096230A" w:rsidP="003E4A5D">
            <w:pPr>
              <w:pStyle w:val="TableParagraph"/>
              <w:ind w:right="684"/>
              <w:rPr>
                <w:rFonts w:asciiTheme="minorHAnsi" w:hAnsiTheme="minorHAnsi"/>
                <w:sz w:val="18"/>
                <w:szCs w:val="18"/>
                <w:lang w:val="cs-CZ"/>
              </w:rPr>
            </w:pPr>
            <w:r w:rsidRPr="003C13D2">
              <w:rPr>
                <w:rFonts w:asciiTheme="minorHAnsi" w:hAnsiTheme="minorHAnsi"/>
                <w:sz w:val="18"/>
                <w:szCs w:val="18"/>
                <w:lang w:val="cs-CZ"/>
              </w:rPr>
              <w:t>13</w:t>
            </w:r>
          </w:p>
        </w:tc>
      </w:tr>
      <w:tr w:rsidR="0096230A" w:rsidRPr="003C13D2" w:rsidTr="003C13D2">
        <w:trPr>
          <w:trHeight w:val="283"/>
        </w:trPr>
        <w:tc>
          <w:tcPr>
            <w:tcW w:w="3930" w:type="dxa"/>
            <w:tcBorders>
              <w:bottom w:val="single" w:sz="4" w:space="0" w:color="auto"/>
            </w:tcBorders>
            <w:tcMar>
              <w:left w:w="57" w:type="dxa"/>
              <w:right w:w="57" w:type="dxa"/>
            </w:tcMar>
            <w:vAlign w:val="center"/>
          </w:tcPr>
          <w:p w:rsidR="0096230A" w:rsidRPr="003C13D2" w:rsidRDefault="0096230A" w:rsidP="003E4A5D">
            <w:pPr>
              <w:pStyle w:val="TableParagraph"/>
              <w:jc w:val="both"/>
              <w:rPr>
                <w:rFonts w:asciiTheme="minorHAnsi" w:hAnsiTheme="minorHAnsi"/>
                <w:sz w:val="18"/>
                <w:szCs w:val="18"/>
                <w:lang w:val="cs-CZ"/>
              </w:rPr>
            </w:pPr>
            <w:r w:rsidRPr="003C13D2">
              <w:rPr>
                <w:rFonts w:asciiTheme="minorHAnsi" w:hAnsiTheme="minorHAnsi"/>
                <w:sz w:val="18"/>
                <w:szCs w:val="18"/>
                <w:lang w:val="cs-CZ"/>
              </w:rPr>
              <w:t>Stavební práce celkem</w:t>
            </w:r>
          </w:p>
        </w:tc>
        <w:tc>
          <w:tcPr>
            <w:tcW w:w="1740" w:type="dxa"/>
            <w:tcBorders>
              <w:bottom w:val="single" w:sz="4" w:space="0" w:color="auto"/>
            </w:tcBorders>
            <w:tcMar>
              <w:left w:w="57" w:type="dxa"/>
              <w:right w:w="57" w:type="dxa"/>
            </w:tcMar>
            <w:vAlign w:val="center"/>
          </w:tcPr>
          <w:p w:rsidR="0096230A" w:rsidRPr="003C13D2" w:rsidRDefault="0096230A" w:rsidP="003E4A5D">
            <w:pPr>
              <w:pStyle w:val="TableParagraph"/>
              <w:ind w:right="672"/>
              <w:rPr>
                <w:rFonts w:asciiTheme="minorHAnsi" w:hAnsiTheme="minorHAnsi"/>
                <w:sz w:val="18"/>
                <w:szCs w:val="18"/>
                <w:lang w:val="cs-CZ"/>
              </w:rPr>
            </w:pPr>
            <w:r w:rsidRPr="003C13D2">
              <w:rPr>
                <w:rFonts w:asciiTheme="minorHAnsi" w:hAnsiTheme="minorHAnsi"/>
                <w:sz w:val="18"/>
                <w:szCs w:val="18"/>
                <w:lang w:val="cs-CZ"/>
              </w:rPr>
              <w:t>20</w:t>
            </w:r>
          </w:p>
        </w:tc>
        <w:tc>
          <w:tcPr>
            <w:tcW w:w="1741" w:type="dxa"/>
            <w:tcBorders>
              <w:bottom w:val="single" w:sz="4" w:space="0" w:color="auto"/>
            </w:tcBorders>
            <w:tcMar>
              <w:left w:w="57" w:type="dxa"/>
              <w:right w:w="57" w:type="dxa"/>
            </w:tcMar>
            <w:vAlign w:val="center"/>
          </w:tcPr>
          <w:p w:rsidR="0096230A" w:rsidRPr="003C13D2" w:rsidRDefault="0096230A" w:rsidP="003E4A5D">
            <w:pPr>
              <w:pStyle w:val="TableParagraph"/>
              <w:ind w:right="670"/>
              <w:rPr>
                <w:rFonts w:asciiTheme="minorHAnsi" w:hAnsiTheme="minorHAnsi"/>
                <w:sz w:val="18"/>
                <w:szCs w:val="18"/>
                <w:lang w:val="cs-CZ"/>
              </w:rPr>
            </w:pPr>
            <w:r w:rsidRPr="003C13D2">
              <w:rPr>
                <w:rFonts w:asciiTheme="minorHAnsi" w:hAnsiTheme="minorHAnsi"/>
                <w:sz w:val="18"/>
                <w:szCs w:val="18"/>
                <w:lang w:val="cs-CZ"/>
              </w:rPr>
              <w:t>19</w:t>
            </w:r>
          </w:p>
        </w:tc>
        <w:tc>
          <w:tcPr>
            <w:tcW w:w="1723" w:type="dxa"/>
            <w:tcBorders>
              <w:bottom w:val="single" w:sz="4" w:space="0" w:color="auto"/>
            </w:tcBorders>
            <w:tcMar>
              <w:left w:w="57" w:type="dxa"/>
              <w:right w:w="57" w:type="dxa"/>
            </w:tcMar>
            <w:vAlign w:val="center"/>
          </w:tcPr>
          <w:p w:rsidR="0096230A" w:rsidRPr="003C13D2" w:rsidRDefault="0096230A" w:rsidP="003E4A5D">
            <w:pPr>
              <w:pStyle w:val="TableParagraph"/>
              <w:ind w:right="684"/>
              <w:rPr>
                <w:rFonts w:asciiTheme="minorHAnsi" w:hAnsiTheme="minorHAnsi"/>
                <w:sz w:val="18"/>
                <w:szCs w:val="18"/>
                <w:lang w:val="cs-CZ"/>
              </w:rPr>
            </w:pPr>
            <w:r w:rsidRPr="003C13D2">
              <w:rPr>
                <w:rFonts w:asciiTheme="minorHAnsi" w:hAnsiTheme="minorHAnsi"/>
                <w:sz w:val="18"/>
                <w:szCs w:val="18"/>
                <w:lang w:val="cs-CZ"/>
              </w:rPr>
              <w:t>18</w:t>
            </w:r>
          </w:p>
        </w:tc>
      </w:tr>
    </w:tbl>
    <w:p w:rsidR="00A340B4" w:rsidRDefault="00AD5792" w:rsidP="003E4A5D">
      <w:pPr>
        <w:pStyle w:val="Citt"/>
      </w:pPr>
      <w:r>
        <w:t>Zdroj</w:t>
      </w:r>
      <w:r w:rsidR="00A340B4" w:rsidRPr="00DB067D">
        <w:t>: MMR</w:t>
      </w:r>
    </w:p>
    <w:p w:rsidR="000C0AAE" w:rsidRPr="002609A7" w:rsidRDefault="000C0AAE" w:rsidP="003E4A5D">
      <w:pPr>
        <w:widowControl w:val="0"/>
      </w:pPr>
      <w:r w:rsidRPr="002609A7">
        <w:t>Procesní dynamiku v oblasti stavebnictví lze odvodit i ze statistiky počtu stavebních povolení. V</w:t>
      </w:r>
      <w:r w:rsidR="00E603D8">
        <w:t> </w:t>
      </w:r>
      <w:r w:rsidRPr="002609A7">
        <w:t>rámci zdrojů ČS</w:t>
      </w:r>
      <w:r w:rsidR="002609A7">
        <w:t>Ú</w:t>
      </w:r>
      <w:r w:rsidRPr="002609A7">
        <w:t xml:space="preserve"> jsou dostupná data z této oblasti za období 2005 </w:t>
      </w:r>
      <w:r w:rsidR="002609A7">
        <w:t>-</w:t>
      </w:r>
      <w:r w:rsidRPr="002609A7">
        <w:t xml:space="preserve"> 2017 jak pro celou ČR, tak i pro jednotlivé kraje. Pro představu o dynamice a trendu jejich změn slouží indexová analýza uvedená v následující tabulce.  Indexy jsou konstruovány tak, že výsledné poměry jsou vždy vztaženy k pevné základně</w:t>
      </w:r>
      <w:r w:rsidR="002609A7">
        <w:t>, tj.</w:t>
      </w:r>
      <w:r w:rsidRPr="002609A7">
        <w:t xml:space="preserve"> roku 2005. </w:t>
      </w:r>
    </w:p>
    <w:p w:rsidR="000C0AAE" w:rsidRDefault="000C0AAE" w:rsidP="003E4A5D">
      <w:pPr>
        <w:widowControl w:val="0"/>
      </w:pPr>
      <w:r w:rsidRPr="002609A7">
        <w:t>Z analýzy vyplývá jednoznačný a dlouhodobě klesa</w:t>
      </w:r>
      <w:r w:rsidR="002609A7">
        <w:t>j</w:t>
      </w:r>
      <w:r w:rsidRPr="002609A7">
        <w:t>ící trend počtu vydaných stavebních povolení. Není bez zajímavosti, že v roce 2017 dosahuje hodnota veškerých vydaných stavebních povolení v ČR úrovně cca 59</w:t>
      </w:r>
      <w:r w:rsidR="002609A7">
        <w:t xml:space="preserve"> </w:t>
      </w:r>
      <w:r w:rsidRPr="002609A7">
        <w:t xml:space="preserve">% ve srovnání s rokem 2005. Ohledně mezních hodnot v rámci jednotlivých </w:t>
      </w:r>
      <w:r w:rsidRPr="002609A7">
        <w:lastRenderedPageBreak/>
        <w:t xml:space="preserve">krajů vykazuje největší pokles </w:t>
      </w:r>
      <w:r w:rsidR="00E603D8">
        <w:t>h</w:t>
      </w:r>
      <w:r w:rsidRPr="002609A7">
        <w:t>l</w:t>
      </w:r>
      <w:r w:rsidR="00E603D8">
        <w:t>avní</w:t>
      </w:r>
      <w:r w:rsidRPr="002609A7">
        <w:t xml:space="preserve"> město Praha (dosahuje cca 41% úrovně roku 2005) a</w:t>
      </w:r>
      <w:r w:rsidR="00E603D8">
        <w:t> </w:t>
      </w:r>
      <w:r w:rsidRPr="002609A7">
        <w:t>nejmenší pokles vykazuje Pardubický kraj (dosahuje cca 79% úrovně roku 2005).</w:t>
      </w:r>
    </w:p>
    <w:p w:rsidR="002A25D1" w:rsidRPr="002609A7" w:rsidRDefault="002A25D1" w:rsidP="003E4A5D">
      <w:pPr>
        <w:widowControl w:val="0"/>
      </w:pPr>
      <w:r>
        <w:t xml:space="preserve">V této souvislosti je třeba upozornit, že v roce 2017 nabyl účinnosti nový stavební zákon, který rozšířil okruh staveb, které nevyžadují stavební povolení. </w:t>
      </w:r>
      <w:r w:rsidR="00AD0359">
        <w:t>Tento</w:t>
      </w:r>
      <w:r>
        <w:t xml:space="preserve"> okruh staveb byl dále rozšířen velkou novelou stavebního zákona, která nabyla účinnosti v roce 2013.</w:t>
      </w:r>
      <w:r w:rsidR="00AD0359">
        <w:t xml:space="preserve"> Data, která by zohledňovala tyto právní úpravy, nejsou k dispozici. </w:t>
      </w:r>
    </w:p>
    <w:p w:rsidR="002609A7" w:rsidRDefault="002609A7" w:rsidP="003E4A5D">
      <w:pPr>
        <w:pStyle w:val="Titulek"/>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4</w:t>
      </w:r>
      <w:r w:rsidR="00AB65E9">
        <w:rPr>
          <w:noProof/>
        </w:rPr>
        <w:fldChar w:fldCharType="end"/>
      </w:r>
      <w:r>
        <w:t>: Počet stavebních povolení v ČR za období 2005 – 2017 – indexová srovnávací analýza (výchozí srovnávací báze je období 2005)</w:t>
      </w:r>
    </w:p>
    <w:tbl>
      <w:tblPr>
        <w:tblStyle w:val="Svtlstnovn1"/>
        <w:tblW w:w="9182" w:type="dxa"/>
        <w:tblInd w:w="108" w:type="dxa"/>
        <w:tblLook w:val="04A0" w:firstRow="1" w:lastRow="0" w:firstColumn="1" w:lastColumn="0" w:noHBand="0" w:noVBand="1"/>
      </w:tblPr>
      <w:tblGrid>
        <w:gridCol w:w="1701"/>
        <w:gridCol w:w="1053"/>
        <w:gridCol w:w="1053"/>
        <w:gridCol w:w="1053"/>
        <w:gridCol w:w="1054"/>
        <w:gridCol w:w="1053"/>
        <w:gridCol w:w="1053"/>
        <w:gridCol w:w="1162"/>
      </w:tblGrid>
      <w:tr w:rsidR="00355BEA" w:rsidRPr="00355BEA" w:rsidTr="007E44A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355BEA">
            <w:pPr>
              <w:spacing w:before="0" w:after="0"/>
              <w:jc w:val="left"/>
              <w:rPr>
                <w:rFonts w:asciiTheme="minorHAnsi" w:eastAsia="Times New Roman" w:hAnsiTheme="minorHAnsi" w:cstheme="minorHAnsi"/>
                <w:sz w:val="18"/>
                <w:szCs w:val="18"/>
                <w:lang w:eastAsia="cs-CZ"/>
              </w:rPr>
            </w:pPr>
          </w:p>
        </w:tc>
        <w:tc>
          <w:tcPr>
            <w:tcW w:w="1053" w:type="dxa"/>
            <w:noWrap/>
            <w:vAlign w:val="center"/>
            <w:hideMark/>
          </w:tcPr>
          <w:p w:rsidR="00355BEA" w:rsidRPr="00355BEA" w:rsidRDefault="00355BEA" w:rsidP="00355BEA">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2005</w:t>
            </w:r>
          </w:p>
        </w:tc>
        <w:tc>
          <w:tcPr>
            <w:tcW w:w="1053" w:type="dxa"/>
            <w:noWrap/>
            <w:vAlign w:val="center"/>
            <w:hideMark/>
          </w:tcPr>
          <w:p w:rsidR="00355BEA" w:rsidRPr="00355BEA" w:rsidRDefault="00355BEA" w:rsidP="00355BEA">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2006/2005</w:t>
            </w:r>
          </w:p>
        </w:tc>
        <w:tc>
          <w:tcPr>
            <w:tcW w:w="1053" w:type="dxa"/>
            <w:noWrap/>
            <w:vAlign w:val="center"/>
            <w:hideMark/>
          </w:tcPr>
          <w:p w:rsidR="00355BEA" w:rsidRPr="00355BEA" w:rsidRDefault="00355BEA" w:rsidP="00355BEA">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2007/2005</w:t>
            </w:r>
          </w:p>
        </w:tc>
        <w:tc>
          <w:tcPr>
            <w:tcW w:w="1054" w:type="dxa"/>
            <w:noWrap/>
            <w:vAlign w:val="center"/>
            <w:hideMark/>
          </w:tcPr>
          <w:p w:rsidR="00355BEA" w:rsidRPr="00355BEA" w:rsidRDefault="00355BEA" w:rsidP="00355BEA">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2008/2005</w:t>
            </w:r>
          </w:p>
        </w:tc>
        <w:tc>
          <w:tcPr>
            <w:tcW w:w="1053" w:type="dxa"/>
            <w:noWrap/>
            <w:vAlign w:val="center"/>
            <w:hideMark/>
          </w:tcPr>
          <w:p w:rsidR="00355BEA" w:rsidRPr="00355BEA" w:rsidRDefault="00355BEA" w:rsidP="00355BEA">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2009/2005</w:t>
            </w:r>
          </w:p>
        </w:tc>
        <w:tc>
          <w:tcPr>
            <w:tcW w:w="1053" w:type="dxa"/>
            <w:noWrap/>
            <w:vAlign w:val="center"/>
            <w:hideMark/>
          </w:tcPr>
          <w:p w:rsidR="00355BEA" w:rsidRPr="00355BEA" w:rsidRDefault="00355BEA" w:rsidP="00355BEA">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2010/2005</w:t>
            </w:r>
          </w:p>
        </w:tc>
        <w:tc>
          <w:tcPr>
            <w:tcW w:w="1162" w:type="dxa"/>
            <w:vAlign w:val="center"/>
          </w:tcPr>
          <w:p w:rsidR="00355BEA" w:rsidRPr="00355BEA" w:rsidRDefault="00355BEA" w:rsidP="00355BEA">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2011/2005</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355BEA">
            <w:pPr>
              <w:spacing w:before="0" w:after="0"/>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Česká republika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0,95</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0,82</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0,86</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0,79</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0,74</w:t>
            </w:r>
          </w:p>
        </w:tc>
        <w:tc>
          <w:tcPr>
            <w:tcW w:w="1162" w:type="dxa"/>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0,75</w:t>
            </w: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355BEA">
            <w:pPr>
              <w:spacing w:before="0" w:after="0"/>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z toho kraj:</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w:t>
            </w: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 </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Hl. m. Praha</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0,96</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0,86</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0,79</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0,72</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0,69</w:t>
            </w:r>
          </w:p>
        </w:tc>
        <w:tc>
          <w:tcPr>
            <w:tcW w:w="1162" w:type="dxa"/>
            <w:vAlign w:val="center"/>
          </w:tcPr>
          <w:p w:rsidR="00355BEA" w:rsidRPr="004D7A61"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0,65</w:t>
            </w: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Středočeský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0,95</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0,81</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0,79</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0,74</w:t>
            </w:r>
          </w:p>
        </w:tc>
        <w:tc>
          <w:tcPr>
            <w:tcW w:w="1162" w:type="dxa"/>
            <w:vAlign w:val="center"/>
          </w:tcPr>
          <w:p w:rsidR="00355BEA" w:rsidRPr="004D7A61"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0,77</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Jihočeský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1,06</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0,96</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0,98</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0,91</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0,84</w:t>
            </w:r>
          </w:p>
        </w:tc>
        <w:tc>
          <w:tcPr>
            <w:tcW w:w="1162" w:type="dxa"/>
            <w:vAlign w:val="center"/>
          </w:tcPr>
          <w:p w:rsidR="00355BEA" w:rsidRPr="004D7A61"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0,87</w:t>
            </w: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Plzeňský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0,89</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0,68</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0,81</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0,78</w:t>
            </w:r>
          </w:p>
        </w:tc>
        <w:tc>
          <w:tcPr>
            <w:tcW w:w="1162" w:type="dxa"/>
            <w:vAlign w:val="center"/>
          </w:tcPr>
          <w:p w:rsidR="00355BEA" w:rsidRPr="004D7A61"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0,68</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Karlovarský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0,92</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0,77</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0,77</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0,76</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0,72</w:t>
            </w:r>
          </w:p>
        </w:tc>
        <w:tc>
          <w:tcPr>
            <w:tcW w:w="1162" w:type="dxa"/>
            <w:vAlign w:val="center"/>
          </w:tcPr>
          <w:p w:rsidR="00355BEA" w:rsidRPr="004D7A61"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0,73</w:t>
            </w: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Ústecký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0,85</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0,86</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0,85</w:t>
            </w:r>
          </w:p>
        </w:tc>
        <w:tc>
          <w:tcPr>
            <w:tcW w:w="1162" w:type="dxa"/>
            <w:vAlign w:val="center"/>
          </w:tcPr>
          <w:p w:rsidR="00355BEA" w:rsidRPr="004D7A61"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0,81</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Liberecký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0,91</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0,71</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0,78</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0,76</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0,76</w:t>
            </w:r>
          </w:p>
        </w:tc>
        <w:tc>
          <w:tcPr>
            <w:tcW w:w="1162" w:type="dxa"/>
            <w:vAlign w:val="center"/>
          </w:tcPr>
          <w:p w:rsidR="00355BEA" w:rsidRPr="004D7A61"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0,75</w:t>
            </w: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Královéhradecký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0,87</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0,75</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0,75</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0,70</w:t>
            </w:r>
          </w:p>
        </w:tc>
        <w:tc>
          <w:tcPr>
            <w:tcW w:w="1162" w:type="dxa"/>
            <w:vAlign w:val="center"/>
          </w:tcPr>
          <w:p w:rsidR="00355BEA" w:rsidRPr="004D7A61"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0,69</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Pardubický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0,96</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0,91</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0,87</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0,86</w:t>
            </w:r>
          </w:p>
        </w:tc>
        <w:tc>
          <w:tcPr>
            <w:tcW w:w="1162" w:type="dxa"/>
            <w:vAlign w:val="center"/>
          </w:tcPr>
          <w:p w:rsidR="00355BEA" w:rsidRPr="004D7A61"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0,96</w:t>
            </w: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Vysočina</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0,89</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0,99</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0,87</w:t>
            </w:r>
          </w:p>
        </w:tc>
        <w:tc>
          <w:tcPr>
            <w:tcW w:w="1162" w:type="dxa"/>
            <w:vAlign w:val="center"/>
          </w:tcPr>
          <w:p w:rsidR="00355BEA" w:rsidRPr="004D7A61"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0,93</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Jihomoravský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0,92</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0,76</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0,77</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0,61</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0,58</w:t>
            </w:r>
          </w:p>
        </w:tc>
        <w:tc>
          <w:tcPr>
            <w:tcW w:w="1162" w:type="dxa"/>
            <w:vAlign w:val="center"/>
          </w:tcPr>
          <w:p w:rsidR="00355BEA" w:rsidRPr="004D7A61"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0,59</w:t>
            </w: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Olomoucký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0,76</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0,67</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0,65</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0,62</w:t>
            </w:r>
          </w:p>
        </w:tc>
        <w:tc>
          <w:tcPr>
            <w:tcW w:w="1162" w:type="dxa"/>
            <w:vAlign w:val="center"/>
          </w:tcPr>
          <w:p w:rsidR="00355BEA" w:rsidRPr="004D7A61"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0,61</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Zlínský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0,97</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0,92</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0,99</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0,83</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0,75</w:t>
            </w:r>
          </w:p>
        </w:tc>
        <w:tc>
          <w:tcPr>
            <w:tcW w:w="1162" w:type="dxa"/>
            <w:vAlign w:val="center"/>
          </w:tcPr>
          <w:p w:rsidR="00355BEA" w:rsidRPr="004D7A61"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0,74</w:t>
            </w: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Moravskoslezský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0,92</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1,00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0,96</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0,86</w:t>
            </w:r>
          </w:p>
        </w:tc>
        <w:tc>
          <w:tcPr>
            <w:tcW w:w="1162" w:type="dxa"/>
            <w:vAlign w:val="center"/>
          </w:tcPr>
          <w:p w:rsidR="00355BEA" w:rsidRPr="004D7A61"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cs-CZ"/>
              </w:rPr>
            </w:pPr>
            <w:r w:rsidRPr="004D7A61">
              <w:rPr>
                <w:rFonts w:asciiTheme="minorHAnsi" w:eastAsia="Times New Roman" w:hAnsiTheme="minorHAnsi" w:cstheme="minorHAnsi"/>
                <w:bCs/>
                <w:sz w:val="18"/>
                <w:szCs w:val="18"/>
                <w:lang w:eastAsia="cs-CZ"/>
              </w:rPr>
              <w:t>0,94</w:t>
            </w: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noWrap/>
            <w:vAlign w:val="center"/>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p>
        </w:tc>
        <w:tc>
          <w:tcPr>
            <w:tcW w:w="1053" w:type="dxa"/>
            <w:tcBorders>
              <w:bottom w:val="single" w:sz="4" w:space="0" w:color="auto"/>
            </w:tcBorders>
            <w:noWrap/>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p>
        </w:tc>
        <w:tc>
          <w:tcPr>
            <w:tcW w:w="1053" w:type="dxa"/>
            <w:tcBorders>
              <w:bottom w:val="single" w:sz="4" w:space="0" w:color="auto"/>
            </w:tcBorders>
            <w:noWrap/>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p>
        </w:tc>
        <w:tc>
          <w:tcPr>
            <w:tcW w:w="1053" w:type="dxa"/>
            <w:tcBorders>
              <w:bottom w:val="single" w:sz="4" w:space="0" w:color="auto"/>
            </w:tcBorders>
            <w:noWrap/>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p>
        </w:tc>
        <w:tc>
          <w:tcPr>
            <w:tcW w:w="1054" w:type="dxa"/>
            <w:tcBorders>
              <w:bottom w:val="single" w:sz="4" w:space="0" w:color="auto"/>
            </w:tcBorders>
            <w:noWrap/>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p>
        </w:tc>
        <w:tc>
          <w:tcPr>
            <w:tcW w:w="1053" w:type="dxa"/>
            <w:tcBorders>
              <w:bottom w:val="single" w:sz="4" w:space="0" w:color="auto"/>
            </w:tcBorders>
            <w:noWrap/>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p>
        </w:tc>
        <w:tc>
          <w:tcPr>
            <w:tcW w:w="1053" w:type="dxa"/>
            <w:tcBorders>
              <w:bottom w:val="single" w:sz="4" w:space="0" w:color="auto"/>
            </w:tcBorders>
            <w:noWrap/>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i/>
                <w:iCs/>
                <w:sz w:val="18"/>
                <w:szCs w:val="18"/>
                <w:lang w:eastAsia="cs-CZ"/>
              </w:rPr>
            </w:pPr>
          </w:p>
        </w:tc>
        <w:tc>
          <w:tcPr>
            <w:tcW w:w="1162" w:type="dxa"/>
            <w:tcBorders>
              <w:bottom w:val="single" w:sz="4" w:space="0" w:color="auto"/>
            </w:tcBorders>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w:t>
            </w:r>
          </w:p>
        </w:tc>
        <w:tc>
          <w:tcPr>
            <w:tcW w:w="1053" w:type="dxa"/>
            <w:tcBorders>
              <w:top w:val="single" w:sz="4" w:space="0" w:color="auto"/>
              <w:bottom w:val="single" w:sz="4" w:space="0" w:color="auto"/>
            </w:tcBorders>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2012/2005</w:t>
            </w:r>
          </w:p>
        </w:tc>
        <w:tc>
          <w:tcPr>
            <w:tcW w:w="1053" w:type="dxa"/>
            <w:tcBorders>
              <w:top w:val="single" w:sz="4" w:space="0" w:color="auto"/>
              <w:bottom w:val="single" w:sz="4" w:space="0" w:color="auto"/>
            </w:tcBorders>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2013/2005</w:t>
            </w:r>
          </w:p>
        </w:tc>
        <w:tc>
          <w:tcPr>
            <w:tcW w:w="1053" w:type="dxa"/>
            <w:tcBorders>
              <w:top w:val="single" w:sz="4" w:space="0" w:color="auto"/>
              <w:bottom w:val="single" w:sz="4" w:space="0" w:color="auto"/>
            </w:tcBorders>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2014/2005</w:t>
            </w:r>
          </w:p>
        </w:tc>
        <w:tc>
          <w:tcPr>
            <w:tcW w:w="1054" w:type="dxa"/>
            <w:tcBorders>
              <w:top w:val="single" w:sz="4" w:space="0" w:color="auto"/>
              <w:bottom w:val="single" w:sz="4" w:space="0" w:color="auto"/>
            </w:tcBorders>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2015/2005</w:t>
            </w:r>
          </w:p>
        </w:tc>
        <w:tc>
          <w:tcPr>
            <w:tcW w:w="1053" w:type="dxa"/>
            <w:tcBorders>
              <w:top w:val="single" w:sz="4" w:space="0" w:color="auto"/>
              <w:bottom w:val="single" w:sz="4" w:space="0" w:color="auto"/>
            </w:tcBorders>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cs-CZ"/>
              </w:rPr>
            </w:pPr>
            <w:r w:rsidRPr="00355BEA">
              <w:rPr>
                <w:rFonts w:asciiTheme="minorHAnsi" w:eastAsia="Times New Roman" w:hAnsiTheme="minorHAnsi" w:cstheme="minorHAnsi"/>
                <w:b/>
                <w:bCs/>
                <w:sz w:val="18"/>
                <w:szCs w:val="18"/>
                <w:lang w:eastAsia="cs-CZ"/>
              </w:rPr>
              <w:t>2016/2005</w:t>
            </w:r>
          </w:p>
        </w:tc>
        <w:tc>
          <w:tcPr>
            <w:tcW w:w="1053" w:type="dxa"/>
            <w:tcBorders>
              <w:top w:val="single" w:sz="4" w:space="0" w:color="auto"/>
              <w:bottom w:val="single" w:sz="4" w:space="0" w:color="auto"/>
            </w:tcBorders>
            <w:shd w:val="clear" w:color="auto" w:fill="FEFCBE" w:themeFill="text2" w:themeFillTint="33"/>
            <w:noWrap/>
            <w:vAlign w:val="center"/>
            <w:hideMark/>
          </w:tcPr>
          <w:p w:rsidR="00355BEA" w:rsidRPr="004D7A61"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iCs/>
                <w:sz w:val="18"/>
                <w:szCs w:val="18"/>
                <w:lang w:eastAsia="cs-CZ"/>
              </w:rPr>
            </w:pPr>
            <w:r w:rsidRPr="004D7A61">
              <w:rPr>
                <w:rFonts w:asciiTheme="minorHAnsi" w:eastAsia="Times New Roman" w:hAnsiTheme="minorHAnsi" w:cstheme="minorHAnsi"/>
                <w:b/>
                <w:bCs/>
                <w:iCs/>
                <w:sz w:val="18"/>
                <w:szCs w:val="18"/>
                <w:lang w:eastAsia="cs-CZ"/>
              </w:rPr>
              <w:t>2017/2005</w:t>
            </w:r>
          </w:p>
        </w:tc>
        <w:tc>
          <w:tcPr>
            <w:tcW w:w="1162" w:type="dxa"/>
            <w:tcBorders>
              <w:top w:val="single" w:sz="4" w:space="0" w:color="auto"/>
              <w:bottom w:val="single" w:sz="4" w:space="0" w:color="auto"/>
            </w:tcBorders>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iCs/>
                <w:sz w:val="18"/>
                <w:szCs w:val="18"/>
                <w:lang w:eastAsia="cs-CZ"/>
              </w:rPr>
            </w:pP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noWrap/>
            <w:vAlign w:val="center"/>
            <w:hideMark/>
          </w:tcPr>
          <w:p w:rsidR="00355BEA" w:rsidRPr="00355BEA" w:rsidRDefault="00355BEA" w:rsidP="00355BEA">
            <w:pPr>
              <w:spacing w:before="0" w:after="0"/>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Česká republika </w:t>
            </w:r>
          </w:p>
        </w:tc>
        <w:tc>
          <w:tcPr>
            <w:tcW w:w="1053" w:type="dxa"/>
            <w:tcBorders>
              <w:top w:val="single" w:sz="4" w:space="0" w:color="auto"/>
            </w:tcBorders>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0,68</w:t>
            </w:r>
          </w:p>
        </w:tc>
        <w:tc>
          <w:tcPr>
            <w:tcW w:w="1053" w:type="dxa"/>
            <w:tcBorders>
              <w:top w:val="single" w:sz="4" w:space="0" w:color="auto"/>
            </w:tcBorders>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0,59</w:t>
            </w:r>
          </w:p>
        </w:tc>
        <w:tc>
          <w:tcPr>
            <w:tcW w:w="1053" w:type="dxa"/>
            <w:tcBorders>
              <w:top w:val="single" w:sz="4" w:space="0" w:color="auto"/>
            </w:tcBorders>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0,56</w:t>
            </w:r>
          </w:p>
        </w:tc>
        <w:tc>
          <w:tcPr>
            <w:tcW w:w="1054" w:type="dxa"/>
            <w:tcBorders>
              <w:top w:val="single" w:sz="4" w:space="0" w:color="auto"/>
            </w:tcBorders>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0,56</w:t>
            </w:r>
          </w:p>
        </w:tc>
        <w:tc>
          <w:tcPr>
            <w:tcW w:w="1053" w:type="dxa"/>
            <w:tcBorders>
              <w:top w:val="single" w:sz="4" w:space="0" w:color="auto"/>
            </w:tcBorders>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0,58</w:t>
            </w:r>
          </w:p>
        </w:tc>
        <w:tc>
          <w:tcPr>
            <w:tcW w:w="1053" w:type="dxa"/>
            <w:tcBorders>
              <w:top w:val="single" w:sz="4" w:space="0" w:color="auto"/>
            </w:tcBorders>
            <w:shd w:val="clear" w:color="auto" w:fill="BFBFBF" w:themeFill="background2" w:themeFillShade="BF"/>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0,59</w:t>
            </w:r>
          </w:p>
        </w:tc>
        <w:tc>
          <w:tcPr>
            <w:tcW w:w="1162" w:type="dxa"/>
            <w:tcBorders>
              <w:top w:val="single" w:sz="4" w:space="0" w:color="auto"/>
            </w:tcBorders>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355BEA">
            <w:pPr>
              <w:spacing w:before="0" w:after="0"/>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z toho kraj:</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c>
          <w:tcPr>
            <w:tcW w:w="1053" w:type="dxa"/>
            <w:shd w:val="clear" w:color="auto" w:fill="FEFCBE" w:themeFill="text2" w:themeFillTint="33"/>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Hl. m. Praha</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0,61</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0,47</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0,45</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0,44</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0,44</w:t>
            </w:r>
          </w:p>
        </w:tc>
        <w:tc>
          <w:tcPr>
            <w:tcW w:w="1053" w:type="dxa"/>
            <w:shd w:val="clear" w:color="auto" w:fill="BFBFBF" w:themeFill="background2" w:themeFillShade="BF"/>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0,41</w:t>
            </w:r>
          </w:p>
        </w:tc>
        <w:tc>
          <w:tcPr>
            <w:tcW w:w="1162" w:type="dxa"/>
            <w:shd w:val="clear" w:color="auto" w:fill="BFBFBF" w:themeFill="background2" w:themeFillShade="BF"/>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Středočeský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0,69</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0,58</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0,57</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0,61</w:t>
            </w:r>
          </w:p>
        </w:tc>
        <w:tc>
          <w:tcPr>
            <w:tcW w:w="1053" w:type="dxa"/>
            <w:shd w:val="clear" w:color="auto" w:fill="FEFCBE" w:themeFill="text2" w:themeFillTint="33"/>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0,62</w:t>
            </w: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Jihočeský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0,81</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0,71</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0,67</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0,64</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0,71</w:t>
            </w:r>
          </w:p>
        </w:tc>
        <w:tc>
          <w:tcPr>
            <w:tcW w:w="1053" w:type="dxa"/>
            <w:shd w:val="clear" w:color="auto" w:fill="BFBFBF" w:themeFill="background2" w:themeFillShade="BF"/>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0,71</w:t>
            </w:r>
          </w:p>
        </w:tc>
        <w:tc>
          <w:tcPr>
            <w:tcW w:w="1162" w:type="dxa"/>
            <w:shd w:val="clear" w:color="auto" w:fill="BFBFBF" w:themeFill="background2" w:themeFillShade="BF"/>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Plzeňský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0,68</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0,62</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0,52</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0,59</w:t>
            </w:r>
          </w:p>
        </w:tc>
        <w:tc>
          <w:tcPr>
            <w:tcW w:w="1053" w:type="dxa"/>
            <w:shd w:val="clear" w:color="auto" w:fill="FEFCBE" w:themeFill="text2" w:themeFillTint="33"/>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0,61</w:t>
            </w: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Karlovarský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0,68</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0,65</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0,60</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0,54</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0,57</w:t>
            </w:r>
          </w:p>
        </w:tc>
        <w:tc>
          <w:tcPr>
            <w:tcW w:w="1053" w:type="dxa"/>
            <w:shd w:val="clear" w:color="auto" w:fill="BFBFBF" w:themeFill="background2" w:themeFillShade="BF"/>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0,55</w:t>
            </w:r>
          </w:p>
        </w:tc>
        <w:tc>
          <w:tcPr>
            <w:tcW w:w="1162" w:type="dxa"/>
            <w:shd w:val="clear" w:color="auto" w:fill="BFBFBF" w:themeFill="background2" w:themeFillShade="BF"/>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Ústecký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0,62</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0,58</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0,57</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0,64</w:t>
            </w:r>
          </w:p>
        </w:tc>
        <w:tc>
          <w:tcPr>
            <w:tcW w:w="1053" w:type="dxa"/>
            <w:shd w:val="clear" w:color="auto" w:fill="FEFCBE" w:themeFill="text2" w:themeFillTint="33"/>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0,61</w:t>
            </w: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Liberecký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0,69</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0,63</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0,56</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0,56</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0,58</w:t>
            </w:r>
          </w:p>
        </w:tc>
        <w:tc>
          <w:tcPr>
            <w:tcW w:w="1053" w:type="dxa"/>
            <w:shd w:val="clear" w:color="auto" w:fill="BFBFBF" w:themeFill="background2" w:themeFillShade="BF"/>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0,57</w:t>
            </w:r>
          </w:p>
        </w:tc>
        <w:tc>
          <w:tcPr>
            <w:tcW w:w="1162" w:type="dxa"/>
            <w:shd w:val="clear" w:color="auto" w:fill="BFBFBF" w:themeFill="background2" w:themeFillShade="BF"/>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Královéhradecký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0,65</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0,52</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0,49</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0,46</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0,52</w:t>
            </w:r>
          </w:p>
        </w:tc>
        <w:tc>
          <w:tcPr>
            <w:tcW w:w="1053" w:type="dxa"/>
            <w:shd w:val="clear" w:color="auto" w:fill="FEFCBE" w:themeFill="text2" w:themeFillTint="33"/>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0,53</w:t>
            </w: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Pardubický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0,88</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0,75</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0,70</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0,71</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0,77</w:t>
            </w:r>
          </w:p>
        </w:tc>
        <w:tc>
          <w:tcPr>
            <w:tcW w:w="1053" w:type="dxa"/>
            <w:shd w:val="clear" w:color="auto" w:fill="BFBFBF" w:themeFill="background2" w:themeFillShade="BF"/>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0,79</w:t>
            </w:r>
          </w:p>
        </w:tc>
        <w:tc>
          <w:tcPr>
            <w:tcW w:w="1162" w:type="dxa"/>
            <w:shd w:val="clear" w:color="auto" w:fill="BFBFBF" w:themeFill="background2" w:themeFillShade="BF"/>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Vysočina</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0,83</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0,72</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0,58</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0,59</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0,65</w:t>
            </w:r>
          </w:p>
        </w:tc>
        <w:tc>
          <w:tcPr>
            <w:tcW w:w="1053" w:type="dxa"/>
            <w:shd w:val="clear" w:color="auto" w:fill="FEFCBE" w:themeFill="text2" w:themeFillTint="33"/>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0,66</w:t>
            </w: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Jihomoravský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0,53</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0,51</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0,49</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0,55</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0,49</w:t>
            </w:r>
          </w:p>
        </w:tc>
        <w:tc>
          <w:tcPr>
            <w:tcW w:w="1053" w:type="dxa"/>
            <w:shd w:val="clear" w:color="auto" w:fill="BFBFBF" w:themeFill="background2" w:themeFillShade="BF"/>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0,49</w:t>
            </w:r>
          </w:p>
        </w:tc>
        <w:tc>
          <w:tcPr>
            <w:tcW w:w="1162" w:type="dxa"/>
            <w:shd w:val="clear" w:color="auto" w:fill="BFBFBF" w:themeFill="background2" w:themeFillShade="BF"/>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Olomoucký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0,55</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0,50</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0,49</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0,45</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0,46</w:t>
            </w:r>
          </w:p>
        </w:tc>
        <w:tc>
          <w:tcPr>
            <w:tcW w:w="1053" w:type="dxa"/>
            <w:shd w:val="clear" w:color="auto" w:fill="FEFCBE" w:themeFill="text2" w:themeFillTint="33"/>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0,50</w:t>
            </w: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Zlínský </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0,66</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0,60</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0,56</w:t>
            </w:r>
          </w:p>
        </w:tc>
        <w:tc>
          <w:tcPr>
            <w:tcW w:w="1054"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0,53</w:t>
            </w:r>
          </w:p>
        </w:tc>
        <w:tc>
          <w:tcPr>
            <w:tcW w:w="1053" w:type="dxa"/>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0,61</w:t>
            </w:r>
          </w:p>
        </w:tc>
        <w:tc>
          <w:tcPr>
            <w:tcW w:w="1053" w:type="dxa"/>
            <w:shd w:val="clear" w:color="auto" w:fill="BFBFBF" w:themeFill="background2" w:themeFillShade="BF"/>
            <w:noWrap/>
            <w:vAlign w:val="center"/>
            <w:hideMark/>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0,63</w:t>
            </w:r>
          </w:p>
        </w:tc>
        <w:tc>
          <w:tcPr>
            <w:tcW w:w="1162" w:type="dxa"/>
            <w:shd w:val="clear" w:color="auto" w:fill="BFBFBF" w:themeFill="background2" w:themeFillShade="BF"/>
            <w:vAlign w:val="center"/>
          </w:tcPr>
          <w:p w:rsidR="00355BEA" w:rsidRPr="00355BEA" w:rsidRDefault="00355BEA" w:rsidP="00355BEA">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cs-CZ"/>
              </w:rPr>
            </w:pPr>
          </w:p>
        </w:tc>
      </w:tr>
      <w:tr w:rsidR="00355BEA" w:rsidRPr="00355BEA" w:rsidTr="007E44AA">
        <w:trPr>
          <w:trHeight w:val="283"/>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355BEA" w:rsidRPr="00355BEA" w:rsidRDefault="00355BEA" w:rsidP="00CE3723">
            <w:pPr>
              <w:spacing w:before="0" w:after="0"/>
              <w:ind w:firstLineChars="100" w:firstLine="181"/>
              <w:jc w:val="left"/>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 xml:space="preserve">Moravskoslezský </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0,79</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0,68</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0,62</w:t>
            </w:r>
          </w:p>
        </w:tc>
        <w:tc>
          <w:tcPr>
            <w:tcW w:w="1054"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0,64</w:t>
            </w:r>
          </w:p>
        </w:tc>
        <w:tc>
          <w:tcPr>
            <w:tcW w:w="1053" w:type="dxa"/>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0,65</w:t>
            </w:r>
          </w:p>
        </w:tc>
        <w:tc>
          <w:tcPr>
            <w:tcW w:w="1053" w:type="dxa"/>
            <w:shd w:val="clear" w:color="auto" w:fill="FEFCBE" w:themeFill="text2" w:themeFillTint="33"/>
            <w:noWrap/>
            <w:vAlign w:val="center"/>
            <w:hideMark/>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r w:rsidRPr="00355BEA">
              <w:rPr>
                <w:rFonts w:asciiTheme="minorHAnsi" w:eastAsia="Times New Roman" w:hAnsiTheme="minorHAnsi" w:cstheme="minorHAnsi"/>
                <w:sz w:val="18"/>
                <w:szCs w:val="18"/>
                <w:lang w:eastAsia="cs-CZ"/>
              </w:rPr>
              <w:t>0,66</w:t>
            </w:r>
          </w:p>
        </w:tc>
        <w:tc>
          <w:tcPr>
            <w:tcW w:w="1162" w:type="dxa"/>
            <w:vAlign w:val="center"/>
          </w:tcPr>
          <w:p w:rsidR="00355BEA" w:rsidRPr="00355BEA" w:rsidRDefault="00355BEA" w:rsidP="00355BEA">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cs-CZ"/>
              </w:rPr>
            </w:pPr>
          </w:p>
        </w:tc>
      </w:tr>
    </w:tbl>
    <w:p w:rsidR="000C0AAE" w:rsidRDefault="007A025F" w:rsidP="003E4A5D">
      <w:pPr>
        <w:pStyle w:val="Citt"/>
      </w:pPr>
      <w:r>
        <w:t>Zdroj: ČSÚ</w:t>
      </w:r>
    </w:p>
    <w:p w:rsidR="00AD0359" w:rsidRDefault="00AD0359">
      <w:pPr>
        <w:spacing w:before="0" w:after="0"/>
        <w:jc w:val="left"/>
        <w:rPr>
          <w:lang w:eastAsia="cs-CZ"/>
        </w:rPr>
      </w:pPr>
      <w:r>
        <w:rPr>
          <w:lang w:eastAsia="cs-CZ"/>
        </w:rPr>
        <w:br w:type="page"/>
      </w:r>
    </w:p>
    <w:p w:rsidR="007C1DBF" w:rsidRPr="00E414AC" w:rsidRDefault="000A2F0D" w:rsidP="003E4A5D">
      <w:pPr>
        <w:pStyle w:val="Nadpis30"/>
        <w:keepNext w:val="0"/>
        <w:widowControl w:val="0"/>
      </w:pPr>
      <w:bookmarkStart w:id="11" w:name="_Toc536553886"/>
      <w:r w:rsidRPr="00E414AC">
        <w:lastRenderedPageBreak/>
        <w:t>Definice problému</w:t>
      </w:r>
      <w:bookmarkEnd w:id="11"/>
    </w:p>
    <w:p w:rsidR="00775EF6" w:rsidRPr="00392CA0" w:rsidRDefault="00775EF6" w:rsidP="003E4A5D">
      <w:pPr>
        <w:pStyle w:val="Nadpis4"/>
        <w:keepNext w:val="0"/>
        <w:keepLines w:val="0"/>
        <w:widowControl w:val="0"/>
      </w:pPr>
      <w:bookmarkStart w:id="12" w:name="_Toc536553887"/>
      <w:r w:rsidRPr="00207323">
        <w:t>Ztráta makroekonomického výstupu</w:t>
      </w:r>
      <w:r w:rsidR="001E55B9" w:rsidRPr="00207323">
        <w:t xml:space="preserve"> z oddalování realizace výstavby</w:t>
      </w:r>
      <w:bookmarkEnd w:id="12"/>
    </w:p>
    <w:p w:rsidR="002E3F08" w:rsidRPr="00A120A2" w:rsidRDefault="002E3F08" w:rsidP="003E4A5D">
      <w:pPr>
        <w:widowControl w:val="0"/>
      </w:pPr>
      <w:r w:rsidRPr="00A120A2">
        <w:t xml:space="preserve">Investice do </w:t>
      </w:r>
      <w:r w:rsidR="003C2587">
        <w:t xml:space="preserve">výstavby </w:t>
      </w:r>
      <w:r w:rsidRPr="00A120A2">
        <w:t>se všeobecně považují za investice s vysokým fiskálním multiplikátorem, tedy s vysokým vlivem na hrubý domácí produkt</w:t>
      </w:r>
      <w:r w:rsidR="00AD0359">
        <w:t xml:space="preserve"> (HDP)</w:t>
      </w:r>
      <w:r w:rsidR="00585986">
        <w:t>, a tím pádem i na daňové příjmy do veřejných rozpočtů</w:t>
      </w:r>
      <w:r w:rsidR="003C2587">
        <w:rPr>
          <w:rStyle w:val="Znakapoznpodarou"/>
        </w:rPr>
        <w:footnoteReference w:id="4"/>
      </w:r>
      <w:r w:rsidR="003C2587">
        <w:t xml:space="preserve">. </w:t>
      </w:r>
      <w:r w:rsidR="003C2587" w:rsidRPr="00A120A2">
        <w:t xml:space="preserve">V této kapitole </w:t>
      </w:r>
      <w:r w:rsidR="00711240">
        <w:t>je snaha</w:t>
      </w:r>
      <w:r w:rsidR="003C2587" w:rsidRPr="00A120A2">
        <w:t xml:space="preserve"> přiblížit a kvantifikovat, jakým způsobem ovlivňují investice do </w:t>
      </w:r>
      <w:r w:rsidR="003C2587">
        <w:t>výstavby</w:t>
      </w:r>
      <w:r w:rsidR="003C2587" w:rsidRPr="00A120A2">
        <w:t xml:space="preserve"> ekonomiku země.</w:t>
      </w:r>
      <w:r w:rsidR="003C2587">
        <w:t xml:space="preserve"> Tato kvantifikace</w:t>
      </w:r>
      <w:r w:rsidR="002B5CF2">
        <w:t xml:space="preserve"> bude pracovat pouze s dopady v </w:t>
      </w:r>
      <w:r w:rsidRPr="00A120A2">
        <w:t xml:space="preserve">investiční fázi projektu, tedy </w:t>
      </w:r>
      <w:r w:rsidR="003C2587">
        <w:t xml:space="preserve">prozatím </w:t>
      </w:r>
      <w:r w:rsidRPr="00A120A2">
        <w:t>nezohled</w:t>
      </w:r>
      <w:r w:rsidR="003C2587">
        <w:t>ní,</w:t>
      </w:r>
      <w:r w:rsidRPr="00A120A2">
        <w:t xml:space="preserve"> jaké </w:t>
      </w:r>
      <w:r w:rsidR="002B5CF2">
        <w:t>přínosy má stavba po uvedení do </w:t>
      </w:r>
      <w:r w:rsidRPr="00A120A2">
        <w:t xml:space="preserve">provozu. </w:t>
      </w:r>
    </w:p>
    <w:p w:rsidR="002E3F08" w:rsidRPr="00A120A2" w:rsidRDefault="002E3F08" w:rsidP="003E4A5D">
      <w:pPr>
        <w:pStyle w:val="Default"/>
        <w:widowControl w:val="0"/>
        <w:jc w:val="both"/>
        <w:rPr>
          <w:rFonts w:ascii="Garamond" w:hAnsi="Garamond" w:cs="Times New Roman"/>
          <w:i/>
          <w:color w:val="auto"/>
          <w:szCs w:val="22"/>
        </w:rPr>
      </w:pPr>
      <w:r w:rsidRPr="00A120A2">
        <w:rPr>
          <w:rFonts w:ascii="Garamond" w:hAnsi="Garamond" w:cs="Times New Roman"/>
          <w:color w:val="auto"/>
          <w:szCs w:val="22"/>
        </w:rPr>
        <w:t>Nejprve se zvýšení produkce projeví skrze zvýšení poptávky po stavebních pracích (</w:t>
      </w:r>
      <w:r w:rsidR="003C2587" w:rsidRPr="009D707E">
        <w:rPr>
          <w:rFonts w:ascii="Garamond" w:hAnsi="Garamond" w:cs="Times New Roman"/>
          <w:color w:val="auto"/>
          <w:szCs w:val="22"/>
        </w:rPr>
        <w:t>nezohlední</w:t>
      </w:r>
      <w:r w:rsidRPr="009D707E">
        <w:rPr>
          <w:rFonts w:ascii="Garamond" w:hAnsi="Garamond" w:cs="Times New Roman"/>
          <w:color w:val="auto"/>
          <w:szCs w:val="22"/>
        </w:rPr>
        <w:t xml:space="preserve">-li </w:t>
      </w:r>
      <w:r w:rsidR="00530152" w:rsidRPr="009D707E">
        <w:rPr>
          <w:rFonts w:ascii="Garamond" w:hAnsi="Garamond" w:cs="Times New Roman"/>
          <w:color w:val="auto"/>
          <w:szCs w:val="22"/>
        </w:rPr>
        <w:t xml:space="preserve">se </w:t>
      </w:r>
      <w:r w:rsidRPr="009D707E">
        <w:rPr>
          <w:rFonts w:ascii="Garamond" w:hAnsi="Garamond" w:cs="Times New Roman"/>
          <w:color w:val="auto"/>
          <w:szCs w:val="22"/>
        </w:rPr>
        <w:t>pro</w:t>
      </w:r>
      <w:r w:rsidRPr="00A120A2">
        <w:rPr>
          <w:rFonts w:ascii="Garamond" w:hAnsi="Garamond" w:cs="Times New Roman"/>
          <w:color w:val="auto"/>
          <w:szCs w:val="22"/>
        </w:rPr>
        <w:t xml:space="preserve"> jednoduchost projekční práce před samotnou výstavbou). </w:t>
      </w:r>
      <w:r w:rsidRPr="009D707E">
        <w:rPr>
          <w:rFonts w:ascii="Garamond" w:hAnsi="Garamond" w:cs="Times New Roman"/>
          <w:color w:val="auto"/>
          <w:szCs w:val="22"/>
        </w:rPr>
        <w:t xml:space="preserve">Tento </w:t>
      </w:r>
      <w:r w:rsidR="00530152" w:rsidRPr="009D707E">
        <w:rPr>
          <w:rFonts w:ascii="Garamond" w:hAnsi="Garamond" w:cs="Times New Roman"/>
          <w:color w:val="auto"/>
          <w:szCs w:val="22"/>
        </w:rPr>
        <w:t>jev</w:t>
      </w:r>
      <w:r w:rsidR="00530152" w:rsidRPr="00A120A2">
        <w:rPr>
          <w:rFonts w:ascii="Garamond" w:hAnsi="Garamond" w:cs="Times New Roman"/>
          <w:color w:val="auto"/>
          <w:szCs w:val="22"/>
        </w:rPr>
        <w:t xml:space="preserve"> </w:t>
      </w:r>
      <w:r w:rsidR="00530152" w:rsidRPr="009D707E">
        <w:rPr>
          <w:rFonts w:ascii="Garamond" w:hAnsi="Garamond" w:cs="Times New Roman"/>
          <w:color w:val="auto"/>
          <w:szCs w:val="22"/>
        </w:rPr>
        <w:t>lze</w:t>
      </w:r>
      <w:r w:rsidR="00530152" w:rsidRPr="00A120A2">
        <w:rPr>
          <w:rFonts w:ascii="Garamond" w:hAnsi="Garamond" w:cs="Times New Roman"/>
          <w:color w:val="auto"/>
          <w:szCs w:val="22"/>
        </w:rPr>
        <w:t xml:space="preserve"> </w:t>
      </w:r>
      <w:r w:rsidRPr="00A120A2">
        <w:rPr>
          <w:rFonts w:ascii="Garamond" w:hAnsi="Garamond" w:cs="Times New Roman"/>
          <w:color w:val="auto"/>
          <w:szCs w:val="22"/>
        </w:rPr>
        <w:t xml:space="preserve">rozdělit na přímý </w:t>
      </w:r>
      <w:r w:rsidR="00D50E32" w:rsidRPr="00A120A2">
        <w:rPr>
          <w:rFonts w:ascii="Garamond" w:hAnsi="Garamond" w:cs="Times New Roman"/>
          <w:color w:val="auto"/>
          <w:szCs w:val="22"/>
        </w:rPr>
        <w:t>a</w:t>
      </w:r>
      <w:r w:rsidR="00D50E32">
        <w:rPr>
          <w:rFonts w:ascii="Garamond" w:hAnsi="Garamond" w:cs="Times New Roman"/>
          <w:color w:val="auto"/>
          <w:szCs w:val="22"/>
        </w:rPr>
        <w:t> </w:t>
      </w:r>
      <w:r w:rsidRPr="00A120A2">
        <w:rPr>
          <w:rFonts w:ascii="Garamond" w:hAnsi="Garamond" w:cs="Times New Roman"/>
          <w:color w:val="auto"/>
          <w:szCs w:val="22"/>
        </w:rPr>
        <w:t>nepřímý multiplikační efekt. Nepřímý multiplikační efekt je způsoben tím, že výstup jednoho odvětví je zároveň vstupem dalších odvětví národního hospodářství a naopak. Meziodvětvová tabulka explicitně zachycuje vztahy mezi jednotlivými odvětvími a poskytuje detailní statistický obraz ekonomiky v daném roce.</w:t>
      </w:r>
      <w:r w:rsidR="006E3E9F">
        <w:rPr>
          <w:rFonts w:ascii="Garamond" w:hAnsi="Garamond" w:cs="Times New Roman"/>
          <w:color w:val="auto"/>
          <w:szCs w:val="22"/>
        </w:rPr>
        <w:t xml:space="preserve"> </w:t>
      </w:r>
      <w:r w:rsidR="006E2417">
        <w:rPr>
          <w:rFonts w:ascii="Garamond" w:hAnsi="Garamond" w:cs="Times New Roman"/>
          <w:color w:val="auto"/>
          <w:szCs w:val="22"/>
        </w:rPr>
        <w:t>Široké spektrum odvětví dodávajících</w:t>
      </w:r>
      <w:r w:rsidR="006E3E9F">
        <w:rPr>
          <w:rFonts w:ascii="Garamond" w:hAnsi="Garamond" w:cs="Times New Roman"/>
          <w:color w:val="auto"/>
          <w:szCs w:val="22"/>
        </w:rPr>
        <w:t xml:space="preserve"> do stavebnictví a užití dodávek zachycují následující obrázky. Z těchto obrázků je vidět, kteří dodavatelé budou těžit z prosperity stavebnictví </w:t>
      </w:r>
      <w:r w:rsidR="006E2417">
        <w:rPr>
          <w:rFonts w:ascii="Garamond" w:hAnsi="Garamond" w:cs="Times New Roman"/>
          <w:color w:val="auto"/>
          <w:szCs w:val="22"/>
        </w:rPr>
        <w:t xml:space="preserve">podpořené příznivější regulací </w:t>
      </w:r>
      <w:r w:rsidR="006E3E9F">
        <w:rPr>
          <w:rFonts w:ascii="Garamond" w:hAnsi="Garamond" w:cs="Times New Roman"/>
          <w:color w:val="auto"/>
          <w:szCs w:val="22"/>
        </w:rPr>
        <w:t>a jakým způsobem budou využity zdroje vytvořené stavebním sektorem.</w:t>
      </w:r>
      <w:r w:rsidR="006E2417">
        <w:rPr>
          <w:rFonts w:ascii="Garamond" w:hAnsi="Garamond" w:cs="Times New Roman"/>
          <w:color w:val="auto"/>
          <w:szCs w:val="22"/>
        </w:rPr>
        <w:t xml:space="preserve"> </w:t>
      </w:r>
    </w:p>
    <w:p w:rsidR="007A025F" w:rsidRDefault="007A025F" w:rsidP="003E4A5D">
      <w:pPr>
        <w:widowControl w:val="0"/>
        <w:spacing w:before="0" w:after="0"/>
        <w:jc w:val="left"/>
        <w:rPr>
          <w:rFonts w:eastAsia="Times New Roman"/>
          <w:b/>
          <w:bCs/>
          <w:color w:val="000000"/>
          <w:sz w:val="22"/>
          <w:szCs w:val="20"/>
          <w:lang w:eastAsia="cs-CZ"/>
        </w:rPr>
      </w:pPr>
    </w:p>
    <w:p w:rsidR="003C13D2" w:rsidRDefault="003C13D2" w:rsidP="003E4A5D">
      <w:pPr>
        <w:pStyle w:val="Titulek"/>
      </w:pPr>
      <w:r>
        <w:t xml:space="preserve">Obrázek </w:t>
      </w:r>
      <w:r w:rsidR="00AB65E9">
        <w:rPr>
          <w:noProof/>
        </w:rPr>
        <w:fldChar w:fldCharType="begin"/>
      </w:r>
      <w:r w:rsidR="004D7258">
        <w:rPr>
          <w:noProof/>
        </w:rPr>
        <w:instrText xml:space="preserve"> SEQ Obrázek \* ARABIC </w:instrText>
      </w:r>
      <w:r w:rsidR="00AB65E9">
        <w:rPr>
          <w:noProof/>
        </w:rPr>
        <w:fldChar w:fldCharType="separate"/>
      </w:r>
      <w:r w:rsidR="00263A1B">
        <w:rPr>
          <w:noProof/>
        </w:rPr>
        <w:t>5</w:t>
      </w:r>
      <w:r w:rsidR="00AB65E9">
        <w:rPr>
          <w:noProof/>
        </w:rPr>
        <w:fldChar w:fldCharType="end"/>
      </w:r>
      <w:r>
        <w:t>: Dodávky do stavebnictví</w:t>
      </w:r>
      <w:r w:rsidR="00164C97">
        <w:t xml:space="preserve"> </w:t>
      </w:r>
    </w:p>
    <w:p w:rsidR="003C2587" w:rsidRDefault="003C2587" w:rsidP="003E4A5D">
      <w:pPr>
        <w:widowControl w:val="0"/>
        <w:spacing w:before="0" w:after="0"/>
      </w:pPr>
      <w:r w:rsidRPr="003C2587">
        <w:rPr>
          <w:noProof/>
          <w:lang w:eastAsia="cs-CZ"/>
        </w:rPr>
        <w:drawing>
          <wp:inline distT="0" distB="0" distL="0" distR="0" wp14:anchorId="588D3F90" wp14:editId="3DCC6588">
            <wp:extent cx="5593605" cy="3827868"/>
            <wp:effectExtent l="0" t="0" r="7620" b="127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104" t="5157" r="1610" b="5763"/>
                    <a:stretch/>
                  </pic:blipFill>
                  <pic:spPr bwMode="auto">
                    <a:xfrm>
                      <a:off x="0" y="0"/>
                      <a:ext cx="5604414" cy="3835265"/>
                    </a:xfrm>
                    <a:prstGeom prst="rect">
                      <a:avLst/>
                    </a:prstGeom>
                    <a:ln>
                      <a:noFill/>
                    </a:ln>
                    <a:extLst>
                      <a:ext uri="{53640926-AAD7-44D8-BBD7-CCE9431645EC}">
                        <a14:shadowObscured xmlns:a14="http://schemas.microsoft.com/office/drawing/2010/main"/>
                      </a:ext>
                    </a:extLst>
                  </pic:spPr>
                </pic:pic>
              </a:graphicData>
            </a:graphic>
          </wp:inline>
        </w:drawing>
      </w:r>
    </w:p>
    <w:p w:rsidR="009C144A" w:rsidRDefault="009C144A" w:rsidP="003E4A5D">
      <w:pPr>
        <w:pStyle w:val="Citt"/>
      </w:pPr>
      <w:r>
        <w:t>Zdroj: Stavebnictví České republiky 2017, MPO</w:t>
      </w:r>
    </w:p>
    <w:p w:rsidR="003C13D2" w:rsidRDefault="003C13D2" w:rsidP="0089559F">
      <w:pPr>
        <w:pStyle w:val="Titulek"/>
        <w:keepNext/>
      </w:pPr>
      <w:r>
        <w:lastRenderedPageBreak/>
        <w:t xml:space="preserve">Obrázek </w:t>
      </w:r>
      <w:r w:rsidR="00AB65E9">
        <w:rPr>
          <w:noProof/>
        </w:rPr>
        <w:fldChar w:fldCharType="begin"/>
      </w:r>
      <w:r w:rsidR="004D7258">
        <w:rPr>
          <w:noProof/>
        </w:rPr>
        <w:instrText xml:space="preserve"> SEQ Obrázek \* ARABIC </w:instrText>
      </w:r>
      <w:r w:rsidR="00AB65E9">
        <w:rPr>
          <w:noProof/>
        </w:rPr>
        <w:fldChar w:fldCharType="separate"/>
      </w:r>
      <w:r w:rsidR="00263A1B">
        <w:rPr>
          <w:noProof/>
        </w:rPr>
        <w:t>6</w:t>
      </w:r>
      <w:r w:rsidR="00AB65E9">
        <w:rPr>
          <w:noProof/>
        </w:rPr>
        <w:fldChar w:fldCharType="end"/>
      </w:r>
      <w:r>
        <w:t>: Užití dodávek do stavebnictví</w:t>
      </w:r>
      <w:r w:rsidR="00164C97">
        <w:t xml:space="preserve"> </w:t>
      </w:r>
    </w:p>
    <w:p w:rsidR="003C2587" w:rsidRDefault="003C2587" w:rsidP="0089559F">
      <w:pPr>
        <w:keepNext/>
        <w:widowControl w:val="0"/>
      </w:pPr>
      <w:r w:rsidRPr="003C2587">
        <w:rPr>
          <w:noProof/>
          <w:lang w:eastAsia="cs-CZ"/>
        </w:rPr>
        <w:drawing>
          <wp:inline distT="0" distB="0" distL="0" distR="0" wp14:anchorId="655FF3A9" wp14:editId="2D1391C2">
            <wp:extent cx="5689600" cy="3695065"/>
            <wp:effectExtent l="0" t="0" r="6350" b="63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441" t="4441" r="774" b="4378"/>
                    <a:stretch/>
                  </pic:blipFill>
                  <pic:spPr bwMode="auto">
                    <a:xfrm>
                      <a:off x="0" y="0"/>
                      <a:ext cx="5690710" cy="3695786"/>
                    </a:xfrm>
                    <a:prstGeom prst="rect">
                      <a:avLst/>
                    </a:prstGeom>
                    <a:ln>
                      <a:noFill/>
                    </a:ln>
                    <a:extLst>
                      <a:ext uri="{53640926-AAD7-44D8-BBD7-CCE9431645EC}">
                        <a14:shadowObscured xmlns:a14="http://schemas.microsoft.com/office/drawing/2010/main"/>
                      </a:ext>
                    </a:extLst>
                  </pic:spPr>
                </pic:pic>
              </a:graphicData>
            </a:graphic>
          </wp:inline>
        </w:drawing>
      </w:r>
    </w:p>
    <w:p w:rsidR="006E2417" w:rsidRDefault="006E2417" w:rsidP="0089559F">
      <w:pPr>
        <w:pStyle w:val="Citt"/>
        <w:keepNext/>
      </w:pPr>
      <w:r>
        <w:t>Zdroj: Stavebnictví České republiky 2017, MPO</w:t>
      </w:r>
    </w:p>
    <w:p w:rsidR="006A3407" w:rsidRDefault="002E3F08" w:rsidP="003E4A5D">
      <w:pPr>
        <w:widowControl w:val="0"/>
      </w:pPr>
      <w:r w:rsidRPr="00A120A2">
        <w:t xml:space="preserve">Na základě symetrické input-output tabulky lze vypočítat transakční multiplikátor jednotlivých odvětví, tedy o kolik se v průměru zvýší produkce ekonomiky při realizaci investice. K výpočtu transakčního multiplikátoru se využije tzv. </w:t>
      </w:r>
      <w:proofErr w:type="spellStart"/>
      <w:r w:rsidRPr="00A120A2">
        <w:t>Leontiefovy</w:t>
      </w:r>
      <w:proofErr w:type="spellEnd"/>
      <w:r w:rsidRPr="00A120A2">
        <w:t xml:space="preserve"> inverzní matice, což je pro počet s maticemi obdoba vzorce pro výpočet součtu nekonečné řady. Tím </w:t>
      </w:r>
      <w:r w:rsidR="008947BE" w:rsidRPr="009D707E">
        <w:t>se získají</w:t>
      </w:r>
      <w:r w:rsidR="008947BE" w:rsidRPr="00A120A2">
        <w:t xml:space="preserve"> </w:t>
      </w:r>
      <w:r w:rsidRPr="00A120A2">
        <w:t xml:space="preserve">transakční multiplikátory jednotlivých odvětví. </w:t>
      </w:r>
    </w:p>
    <w:p w:rsidR="002E3F08" w:rsidRPr="00A120A2" w:rsidRDefault="002E3F08" w:rsidP="003E4A5D">
      <w:pPr>
        <w:widowControl w:val="0"/>
      </w:pPr>
      <w:r w:rsidRPr="00A120A2">
        <w:t xml:space="preserve">Pokud chceme zjistit multiplikátor </w:t>
      </w:r>
      <w:r w:rsidR="00526096">
        <w:t>HPH</w:t>
      </w:r>
      <w:r w:rsidRPr="00A120A2">
        <w:t xml:space="preserve">, </w:t>
      </w:r>
      <w:r w:rsidR="006A3407">
        <w:t>musíme</w:t>
      </w:r>
      <w:r w:rsidRPr="00A120A2">
        <w:t xml:space="preserve"> ještě </w:t>
      </w:r>
      <w:proofErr w:type="spellStart"/>
      <w:r w:rsidRPr="00A120A2">
        <w:t>Leontiefovu</w:t>
      </w:r>
      <w:proofErr w:type="spellEnd"/>
      <w:r w:rsidRPr="00A120A2">
        <w:t xml:space="preserve"> inverzní matici vynásobit vektorem poměrů přidaných hodnot všech produktů na jejich produkci. Podobně lze postupovat i v případě importu, osobních nákladů a daní z produkce bez dotací (obsahující především nepřímé daně</w:t>
      </w:r>
      <w:r w:rsidR="006A3407">
        <w:t xml:space="preserve"> </w:t>
      </w:r>
      <w:r w:rsidRPr="00A120A2">
        <w:t xml:space="preserve">- DPH a spotřební daně). Následující </w:t>
      </w:r>
      <w:r w:rsidR="00261777">
        <w:t>tabulka</w:t>
      </w:r>
      <w:r w:rsidRPr="00A120A2">
        <w:t xml:space="preserve"> shrnuje </w:t>
      </w:r>
      <w:r w:rsidR="00261777">
        <w:t>výši</w:t>
      </w:r>
      <w:r w:rsidRPr="00A120A2">
        <w:t xml:space="preserve"> multiplikátorů při investici do výstavby</w:t>
      </w:r>
      <w:r w:rsidR="00261777">
        <w:t>.</w:t>
      </w:r>
    </w:p>
    <w:p w:rsidR="0042724E" w:rsidRDefault="0042724E" w:rsidP="003E4A5D">
      <w:pPr>
        <w:pStyle w:val="Titulek"/>
      </w:pPr>
      <w:r>
        <w:t xml:space="preserve">Tabulka </w:t>
      </w:r>
      <w:r w:rsidR="00AB65E9">
        <w:rPr>
          <w:noProof/>
        </w:rPr>
        <w:fldChar w:fldCharType="begin"/>
      </w:r>
      <w:r w:rsidR="006D15AE">
        <w:rPr>
          <w:noProof/>
        </w:rPr>
        <w:instrText xml:space="preserve"> SEQ Tabulka \* ARABIC </w:instrText>
      </w:r>
      <w:r w:rsidR="00AB65E9">
        <w:rPr>
          <w:noProof/>
        </w:rPr>
        <w:fldChar w:fldCharType="separate"/>
      </w:r>
      <w:r w:rsidR="00263A1B">
        <w:rPr>
          <w:noProof/>
        </w:rPr>
        <w:t>5</w:t>
      </w:r>
      <w:r w:rsidR="00AB65E9">
        <w:rPr>
          <w:noProof/>
        </w:rPr>
        <w:fldChar w:fldCharType="end"/>
      </w:r>
      <w:r w:rsidRPr="0042724E">
        <w:t>: Multiplikační efekty z meziodvětvové analýzy (na základě dat 2015)</w:t>
      </w:r>
      <w:r w:rsidR="00BB7844">
        <w:rPr>
          <w:rStyle w:val="Znakapoznpodarou"/>
        </w:rPr>
        <w:footnoteReference w:id="5"/>
      </w:r>
      <w:r w:rsidRPr="0042724E">
        <w:t xml:space="preserve"> </w:t>
      </w:r>
    </w:p>
    <w:tbl>
      <w:tblPr>
        <w:tblStyle w:val="Svtlstnovn1"/>
        <w:tblW w:w="9021" w:type="dxa"/>
        <w:tblInd w:w="108" w:type="dxa"/>
        <w:tblLook w:val="04A0" w:firstRow="1" w:lastRow="0" w:firstColumn="1" w:lastColumn="0" w:noHBand="0" w:noVBand="1"/>
      </w:tblPr>
      <w:tblGrid>
        <w:gridCol w:w="2174"/>
        <w:gridCol w:w="2282"/>
        <w:gridCol w:w="2282"/>
        <w:gridCol w:w="2283"/>
      </w:tblGrid>
      <w:tr w:rsidR="00E85354" w:rsidRPr="00BB7844" w:rsidTr="00FD65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74" w:type="dxa"/>
            <w:vAlign w:val="center"/>
            <w:hideMark/>
          </w:tcPr>
          <w:p w:rsidR="00E85354" w:rsidRPr="00BB7844" w:rsidRDefault="00E85354" w:rsidP="003E4A5D">
            <w:pPr>
              <w:widowControl w:val="0"/>
              <w:spacing w:before="0" w:after="0"/>
              <w:rPr>
                <w:rFonts w:asciiTheme="minorHAnsi" w:hAnsiTheme="minorHAnsi" w:cstheme="minorHAnsi"/>
                <w:sz w:val="18"/>
                <w:szCs w:val="18"/>
              </w:rPr>
            </w:pPr>
            <w:r w:rsidRPr="00BB7844">
              <w:rPr>
                <w:rFonts w:asciiTheme="minorHAnsi" w:hAnsiTheme="minorHAnsi" w:cstheme="minorHAnsi"/>
                <w:sz w:val="18"/>
                <w:szCs w:val="18"/>
              </w:rPr>
              <w:t> </w:t>
            </w:r>
            <w:r w:rsidR="00796A13" w:rsidRPr="00BB7844">
              <w:rPr>
                <w:rFonts w:asciiTheme="minorHAnsi" w:hAnsiTheme="minorHAnsi" w:cstheme="minorHAnsi"/>
                <w:sz w:val="18"/>
                <w:szCs w:val="18"/>
              </w:rPr>
              <w:t>2015</w:t>
            </w:r>
          </w:p>
        </w:tc>
        <w:tc>
          <w:tcPr>
            <w:tcW w:w="2282" w:type="dxa"/>
            <w:vAlign w:val="center"/>
            <w:hideMark/>
          </w:tcPr>
          <w:p w:rsidR="00E85354" w:rsidRPr="00BB7844" w:rsidRDefault="00E8535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41 - Budovy a jejich výstavba</w:t>
            </w:r>
          </w:p>
        </w:tc>
        <w:tc>
          <w:tcPr>
            <w:tcW w:w="2282" w:type="dxa"/>
            <w:vAlign w:val="center"/>
            <w:hideMark/>
          </w:tcPr>
          <w:p w:rsidR="00E85354" w:rsidRPr="00BB7844" w:rsidRDefault="00E8535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42 - Inženýrské stavby a jejich výstavba</w:t>
            </w:r>
          </w:p>
        </w:tc>
        <w:tc>
          <w:tcPr>
            <w:tcW w:w="2283" w:type="dxa"/>
            <w:vAlign w:val="center"/>
            <w:hideMark/>
          </w:tcPr>
          <w:p w:rsidR="00E85354" w:rsidRPr="00BB7844" w:rsidRDefault="00E8535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43 - Specializované stavební práce</w:t>
            </w:r>
          </w:p>
        </w:tc>
      </w:tr>
      <w:tr w:rsidR="00E85354" w:rsidRPr="00BB7844" w:rsidTr="00FD65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74" w:type="dxa"/>
            <w:vAlign w:val="center"/>
            <w:hideMark/>
          </w:tcPr>
          <w:p w:rsidR="00E85354" w:rsidRPr="00BB7844" w:rsidRDefault="00E85354" w:rsidP="003E4A5D">
            <w:pPr>
              <w:widowControl w:val="0"/>
              <w:spacing w:before="0" w:after="0"/>
              <w:rPr>
                <w:rFonts w:asciiTheme="minorHAnsi" w:hAnsiTheme="minorHAnsi" w:cstheme="minorHAnsi"/>
                <w:sz w:val="18"/>
                <w:szCs w:val="18"/>
              </w:rPr>
            </w:pPr>
            <w:r w:rsidRPr="00BB7844">
              <w:rPr>
                <w:rFonts w:asciiTheme="minorHAnsi" w:hAnsiTheme="minorHAnsi" w:cstheme="minorHAnsi"/>
                <w:sz w:val="18"/>
                <w:szCs w:val="18"/>
              </w:rPr>
              <w:t>přímý a nepřímý</w:t>
            </w:r>
          </w:p>
        </w:tc>
        <w:tc>
          <w:tcPr>
            <w:tcW w:w="2282" w:type="dxa"/>
            <w:vAlign w:val="center"/>
            <w:hideMark/>
          </w:tcPr>
          <w:p w:rsidR="00E85354" w:rsidRPr="00BB7844" w:rsidRDefault="00E8535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2,403216546</w:t>
            </w:r>
          </w:p>
        </w:tc>
        <w:tc>
          <w:tcPr>
            <w:tcW w:w="2282" w:type="dxa"/>
            <w:vAlign w:val="center"/>
            <w:hideMark/>
          </w:tcPr>
          <w:p w:rsidR="00E85354" w:rsidRPr="00BB7844" w:rsidRDefault="00E8535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2,387823914</w:t>
            </w:r>
          </w:p>
        </w:tc>
        <w:tc>
          <w:tcPr>
            <w:tcW w:w="2283" w:type="dxa"/>
            <w:vAlign w:val="center"/>
            <w:hideMark/>
          </w:tcPr>
          <w:p w:rsidR="00E85354" w:rsidRPr="00BB7844" w:rsidRDefault="00E8535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1,87859852</w:t>
            </w:r>
          </w:p>
        </w:tc>
      </w:tr>
      <w:tr w:rsidR="00E85354" w:rsidRPr="00BB7844" w:rsidTr="00FD656C">
        <w:trPr>
          <w:trHeight w:val="283"/>
        </w:trPr>
        <w:tc>
          <w:tcPr>
            <w:cnfStyle w:val="001000000000" w:firstRow="0" w:lastRow="0" w:firstColumn="1" w:lastColumn="0" w:oddVBand="0" w:evenVBand="0" w:oddHBand="0" w:evenHBand="0" w:firstRowFirstColumn="0" w:firstRowLastColumn="0" w:lastRowFirstColumn="0" w:lastRowLastColumn="0"/>
            <w:tcW w:w="2174" w:type="dxa"/>
            <w:vAlign w:val="center"/>
            <w:hideMark/>
          </w:tcPr>
          <w:p w:rsidR="00E85354" w:rsidRPr="00BB7844" w:rsidRDefault="00E85354" w:rsidP="003E4A5D">
            <w:pPr>
              <w:widowControl w:val="0"/>
              <w:spacing w:before="0" w:after="0"/>
              <w:rPr>
                <w:rFonts w:asciiTheme="minorHAnsi" w:hAnsiTheme="minorHAnsi" w:cstheme="minorHAnsi"/>
                <w:sz w:val="18"/>
                <w:szCs w:val="18"/>
              </w:rPr>
            </w:pPr>
            <w:r w:rsidRPr="00BB7844">
              <w:rPr>
                <w:rFonts w:asciiTheme="minorHAnsi" w:hAnsiTheme="minorHAnsi" w:cstheme="minorHAnsi"/>
                <w:sz w:val="18"/>
                <w:szCs w:val="18"/>
              </w:rPr>
              <w:t>indukovaný</w:t>
            </w:r>
          </w:p>
        </w:tc>
        <w:tc>
          <w:tcPr>
            <w:tcW w:w="2282" w:type="dxa"/>
            <w:vAlign w:val="center"/>
            <w:hideMark/>
          </w:tcPr>
          <w:p w:rsidR="00E85354" w:rsidRPr="00BB7844" w:rsidRDefault="00E8535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0,683735465</w:t>
            </w:r>
          </w:p>
        </w:tc>
        <w:tc>
          <w:tcPr>
            <w:tcW w:w="2282" w:type="dxa"/>
            <w:vAlign w:val="center"/>
            <w:hideMark/>
          </w:tcPr>
          <w:p w:rsidR="00E85354" w:rsidRPr="00BB7844" w:rsidRDefault="00E8535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0,598888711</w:t>
            </w:r>
          </w:p>
        </w:tc>
        <w:tc>
          <w:tcPr>
            <w:tcW w:w="2283" w:type="dxa"/>
            <w:vAlign w:val="center"/>
            <w:hideMark/>
          </w:tcPr>
          <w:p w:rsidR="00E85354" w:rsidRPr="00BB7844" w:rsidRDefault="00E8535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0,779101008</w:t>
            </w:r>
          </w:p>
        </w:tc>
      </w:tr>
      <w:tr w:rsidR="00E85354" w:rsidRPr="00BB7844" w:rsidTr="00FD65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74" w:type="dxa"/>
            <w:vAlign w:val="center"/>
            <w:hideMark/>
          </w:tcPr>
          <w:p w:rsidR="00E85354" w:rsidRPr="00BB7844" w:rsidRDefault="00E85354" w:rsidP="003E4A5D">
            <w:pPr>
              <w:widowControl w:val="0"/>
              <w:spacing w:before="0" w:after="0"/>
              <w:rPr>
                <w:rFonts w:asciiTheme="minorHAnsi" w:hAnsiTheme="minorHAnsi" w:cstheme="minorHAnsi"/>
                <w:sz w:val="18"/>
                <w:szCs w:val="18"/>
              </w:rPr>
            </w:pPr>
            <w:r w:rsidRPr="00BB7844">
              <w:rPr>
                <w:rFonts w:asciiTheme="minorHAnsi" w:hAnsiTheme="minorHAnsi" w:cstheme="minorHAnsi"/>
                <w:sz w:val="18"/>
                <w:szCs w:val="18"/>
              </w:rPr>
              <w:t>celkový dopad</w:t>
            </w:r>
          </w:p>
        </w:tc>
        <w:tc>
          <w:tcPr>
            <w:tcW w:w="2282" w:type="dxa"/>
            <w:vAlign w:val="center"/>
            <w:hideMark/>
          </w:tcPr>
          <w:p w:rsidR="00E85354" w:rsidRPr="00BB7844" w:rsidRDefault="00E8535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3,086952011</w:t>
            </w:r>
          </w:p>
        </w:tc>
        <w:tc>
          <w:tcPr>
            <w:tcW w:w="2282" w:type="dxa"/>
            <w:vAlign w:val="center"/>
            <w:hideMark/>
          </w:tcPr>
          <w:p w:rsidR="00E85354" w:rsidRPr="00BB7844" w:rsidRDefault="00E8535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2,986712625</w:t>
            </w:r>
          </w:p>
        </w:tc>
        <w:tc>
          <w:tcPr>
            <w:tcW w:w="2283" w:type="dxa"/>
            <w:vAlign w:val="center"/>
            <w:hideMark/>
          </w:tcPr>
          <w:p w:rsidR="00E85354" w:rsidRPr="00BB7844" w:rsidRDefault="00E8535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7844">
              <w:rPr>
                <w:rFonts w:asciiTheme="minorHAnsi" w:hAnsiTheme="minorHAnsi" w:cstheme="minorHAnsi"/>
                <w:sz w:val="18"/>
                <w:szCs w:val="18"/>
              </w:rPr>
              <w:t>2,657699528</w:t>
            </w:r>
          </w:p>
        </w:tc>
      </w:tr>
    </w:tbl>
    <w:p w:rsidR="0042724E" w:rsidRDefault="0042724E" w:rsidP="003E4A5D">
      <w:pPr>
        <w:pStyle w:val="Citt"/>
      </w:pPr>
      <w:r w:rsidRPr="0042724E">
        <w:t>Zdroj: EEIP na základě input-output tabulek CSÚ</w:t>
      </w:r>
    </w:p>
    <w:p w:rsidR="002E3F08" w:rsidRPr="00A120A2" w:rsidRDefault="00611970" w:rsidP="003E4A5D">
      <w:pPr>
        <w:widowControl w:val="0"/>
      </w:pPr>
      <w:r>
        <w:t xml:space="preserve">Z výše uvedené </w:t>
      </w:r>
      <w:r w:rsidR="000F20DE">
        <w:t>tabulky</w:t>
      </w:r>
      <w:r>
        <w:t xml:space="preserve"> je patrné</w:t>
      </w:r>
      <w:r w:rsidR="002E3F08" w:rsidRPr="00E9303D">
        <w:t xml:space="preserve">, </w:t>
      </w:r>
      <w:r>
        <w:t xml:space="preserve">že </w:t>
      </w:r>
      <w:r w:rsidR="002E3F08" w:rsidRPr="00E9303D">
        <w:t xml:space="preserve">jeden investovaný milion do výstavby zvýší domácí produkci </w:t>
      </w:r>
      <w:r w:rsidR="002E3F08" w:rsidRPr="00E9303D">
        <w:lastRenderedPageBreak/>
        <w:t xml:space="preserve">o </w:t>
      </w:r>
      <w:r w:rsidR="00E9303D">
        <w:t>1</w:t>
      </w:r>
      <w:r w:rsidR="002E3F08" w:rsidRPr="00E9303D">
        <w:t>,</w:t>
      </w:r>
      <w:r w:rsidR="00E9303D">
        <w:t>88</w:t>
      </w:r>
      <w:r w:rsidR="00E9303D" w:rsidRPr="00E9303D">
        <w:t xml:space="preserve"> – </w:t>
      </w:r>
      <w:r w:rsidR="00E9303D">
        <w:t>2</w:t>
      </w:r>
      <w:r w:rsidR="00E9303D" w:rsidRPr="00E9303D">
        <w:t>,</w:t>
      </w:r>
      <w:r w:rsidR="00E9303D">
        <w:t>4</w:t>
      </w:r>
      <w:r w:rsidR="00E9303D" w:rsidRPr="00E9303D">
        <w:t> </w:t>
      </w:r>
      <w:r w:rsidR="002E3F08" w:rsidRPr="00E9303D">
        <w:t>mil. Kč</w:t>
      </w:r>
      <w:r w:rsidR="00116877">
        <w:t xml:space="preserve"> dle kategorie stavby</w:t>
      </w:r>
      <w:r w:rsidR="002E3F08" w:rsidRPr="00E9303D">
        <w:t xml:space="preserve">. Růst </w:t>
      </w:r>
      <w:r w:rsidR="00E9303D" w:rsidRPr="00E9303D">
        <w:t>produkce</w:t>
      </w:r>
      <w:r w:rsidR="002E3F08" w:rsidRPr="00E9303D">
        <w:t xml:space="preserve"> se však neprojeví pouze skrze stavby a</w:t>
      </w:r>
      <w:r w:rsidR="000253D8">
        <w:t> </w:t>
      </w:r>
      <w:r w:rsidR="002E3F08" w:rsidRPr="00E9303D">
        <w:t>stavební práce, ale i přes ostatní produkty, které jsou vstupy při realizaci staveb (přibližně 47% celkového multiplikátoru se projeví díky nepřímému multiplikačnímu efektu).</w:t>
      </w:r>
      <w:r w:rsidR="002E3F08" w:rsidRPr="00A120A2">
        <w:t xml:space="preserve"> </w:t>
      </w:r>
    </w:p>
    <w:p w:rsidR="00C5565E" w:rsidRDefault="002E3F08" w:rsidP="003E4A5D">
      <w:pPr>
        <w:widowControl w:val="0"/>
      </w:pPr>
      <w:r w:rsidRPr="00A120A2">
        <w:t xml:space="preserve">Toto však nejsou zdaleka všechny přínosy </w:t>
      </w:r>
      <w:r w:rsidR="006A3407">
        <w:t>realizace staveb</w:t>
      </w:r>
      <w:r w:rsidRPr="00A120A2">
        <w:t>. Zvýšení poptávky ve všech odvětvích, zapříčiněné nárůstem stavebních prací, přináší i vyšší příjmy zaměstnanců a provozní přebytek. Zvýšení příjmů zaměstnanců vede k nárůstu spotřeby jejich domácností (</w:t>
      </w:r>
      <w:r w:rsidR="006A3407">
        <w:t>míra nárůstu</w:t>
      </w:r>
      <w:r w:rsidRPr="00A120A2">
        <w:t xml:space="preserve"> závisí na mezním sklonu ke spotřebě). Provozní přebytek je zdaněn a pak buď převeden do zahraničí, nebo zůstane v ČR a je využit pro investice nebo spotřebu majitelů společností. To opět přináší dodatečný nárůst spotřeby, přičemž část spotřeby je uspokojena domácí produkcí a část importem. </w:t>
      </w:r>
    </w:p>
    <w:p w:rsidR="00C5565E" w:rsidRDefault="002E3F08" w:rsidP="003E4A5D">
      <w:pPr>
        <w:widowControl w:val="0"/>
      </w:pPr>
      <w:r w:rsidRPr="00A120A2">
        <w:t>Na základě meziodvětvové analýzy a zjednodušených předpokladů</w:t>
      </w:r>
      <w:r w:rsidRPr="00A120A2">
        <w:rPr>
          <w:rStyle w:val="Znakapoznpodarou"/>
        </w:rPr>
        <w:footnoteReference w:id="6"/>
      </w:r>
      <w:r w:rsidRPr="00A120A2">
        <w:t xml:space="preserve"> lze kvantifikovat fiskální multiplikátory (zatím pro </w:t>
      </w:r>
      <w:r w:rsidR="006A3407">
        <w:t>realizační</w:t>
      </w:r>
      <w:r w:rsidRPr="00A120A2">
        <w:t xml:space="preserve"> fázi). Důležité je zmínit, že se jedná o multiplikátory, které předpokládají nekonečnou řadu, tedy, že na základě popsaného mechanismu bude docházet k navýšení spotřeby dále, </w:t>
      </w:r>
      <w:r w:rsidRPr="00E9303D">
        <w:t>do nekonečna. Z tohoto důvodu budou v</w:t>
      </w:r>
      <w:r w:rsidR="006A3407" w:rsidRPr="00E9303D">
        <w:t>e</w:t>
      </w:r>
      <w:r w:rsidRPr="00E9303D">
        <w:t> </w:t>
      </w:r>
      <w:r w:rsidR="006A3407" w:rsidRPr="00E9303D">
        <w:t>skutečnosti</w:t>
      </w:r>
      <w:r w:rsidRPr="00E9303D">
        <w:t xml:space="preserve"> fiskální multiplikátory </w:t>
      </w:r>
      <w:r w:rsidR="006A3407" w:rsidRPr="00E9303D">
        <w:t>mírně</w:t>
      </w:r>
      <w:r w:rsidRPr="00E9303D">
        <w:t xml:space="preserve"> nižší než zde vyčíslené. </w:t>
      </w:r>
    </w:p>
    <w:p w:rsidR="002E3F08" w:rsidRPr="00A120A2" w:rsidRDefault="00E9303D" w:rsidP="003E4A5D">
      <w:pPr>
        <w:widowControl w:val="0"/>
      </w:pPr>
      <w:r w:rsidRPr="00E9303D">
        <w:t>Celkově tak j</w:t>
      </w:r>
      <w:r w:rsidR="002E3F08" w:rsidRPr="00E9303D">
        <w:t xml:space="preserve">eden investovaný milion Kč </w:t>
      </w:r>
      <w:r w:rsidR="005E0BBA">
        <w:t xml:space="preserve">ve stavebnictví </w:t>
      </w:r>
      <w:r w:rsidR="002E3F08" w:rsidRPr="00E9303D">
        <w:t xml:space="preserve">má potenciál zvýšit </w:t>
      </w:r>
      <w:r w:rsidRPr="00E9303D">
        <w:t>produkci</w:t>
      </w:r>
      <w:r w:rsidR="002B5CF2">
        <w:t xml:space="preserve"> ČR až </w:t>
      </w:r>
      <w:r w:rsidR="00C5565E">
        <w:t>o </w:t>
      </w:r>
      <w:r w:rsidRPr="00E9303D">
        <w:t>3,09</w:t>
      </w:r>
      <w:r w:rsidR="002E3F08" w:rsidRPr="00E9303D">
        <w:t xml:space="preserve"> mil.</w:t>
      </w:r>
      <w:r w:rsidR="002E3F08" w:rsidRPr="00A120A2">
        <w:t xml:space="preserve"> Kč. Další přínosy </w:t>
      </w:r>
      <w:r w:rsidR="006A3407">
        <w:t>n</w:t>
      </w:r>
      <w:r w:rsidR="002E3F08" w:rsidRPr="00A120A2">
        <w:t>árodní</w:t>
      </w:r>
      <w:r w:rsidR="006A3407">
        <w:t>mu</w:t>
      </w:r>
      <w:r w:rsidR="002E3F08" w:rsidRPr="00A120A2">
        <w:t xml:space="preserve"> hospodářství </w:t>
      </w:r>
      <w:r w:rsidR="006A3407">
        <w:t>poplynou</w:t>
      </w:r>
      <w:r w:rsidR="002E3F08" w:rsidRPr="00A120A2">
        <w:t xml:space="preserve"> i po dokončení a uvedení stavby do </w:t>
      </w:r>
      <w:r w:rsidR="006A3407">
        <w:t>užívání</w:t>
      </w:r>
      <w:r w:rsidR="002E3F08" w:rsidRPr="00A120A2">
        <w:t xml:space="preserve">. </w:t>
      </w:r>
      <w:r w:rsidR="006A3407">
        <w:t>P</w:t>
      </w:r>
      <w:r w:rsidR="002E3F08" w:rsidRPr="00A120A2">
        <w:t xml:space="preserve">rojekty jsou realizovány jen tehdy, </w:t>
      </w:r>
      <w:r w:rsidR="00E70644">
        <w:t>je</w:t>
      </w:r>
      <w:r w:rsidR="002E3F08" w:rsidRPr="00A120A2">
        <w:t xml:space="preserve">-li </w:t>
      </w:r>
      <w:r w:rsidR="00E70644" w:rsidRPr="00E70644">
        <w:t>IRR</w:t>
      </w:r>
      <w:r w:rsidR="00BB7844">
        <w:t xml:space="preserve"> </w:t>
      </w:r>
      <w:r w:rsidR="006E4E10">
        <w:rPr>
          <w:rFonts w:ascii="Times New Roman" w:hAnsi="Times New Roman"/>
        </w:rPr>
        <w:t>[</w:t>
      </w:r>
      <w:r w:rsidR="00BB7844">
        <w:t>vnitřní výnosové procento (</w:t>
      </w:r>
      <w:proofErr w:type="spellStart"/>
      <w:r w:rsidR="00D40D60">
        <w:t>I</w:t>
      </w:r>
      <w:r w:rsidR="00BB7844">
        <w:t>nternal</w:t>
      </w:r>
      <w:proofErr w:type="spellEnd"/>
      <w:r w:rsidR="00BB7844">
        <w:t xml:space="preserve"> </w:t>
      </w:r>
      <w:proofErr w:type="spellStart"/>
      <w:r w:rsidR="00D40D60">
        <w:t>R</w:t>
      </w:r>
      <w:r w:rsidR="00BB7844">
        <w:t>ate</w:t>
      </w:r>
      <w:proofErr w:type="spellEnd"/>
      <w:r w:rsidR="00BB7844">
        <w:t xml:space="preserve"> </w:t>
      </w:r>
      <w:proofErr w:type="spellStart"/>
      <w:r w:rsidR="00BB7844">
        <w:t>of</w:t>
      </w:r>
      <w:proofErr w:type="spellEnd"/>
      <w:r w:rsidR="00BB7844">
        <w:t xml:space="preserve"> </w:t>
      </w:r>
      <w:r w:rsidR="00D40D60">
        <w:t>R</w:t>
      </w:r>
      <w:r w:rsidR="00BB7844">
        <w:t>eturn)</w:t>
      </w:r>
      <w:r w:rsidR="006E4E10">
        <w:rPr>
          <w:rFonts w:ascii="Times New Roman" w:hAnsi="Times New Roman"/>
        </w:rPr>
        <w:t>]</w:t>
      </w:r>
      <w:r w:rsidR="00E70644" w:rsidRPr="00E70644">
        <w:t xml:space="preserve"> &gt; stanovená minimální míra návratnosti </w:t>
      </w:r>
      <w:r w:rsidR="006E4E10">
        <w:rPr>
          <w:rFonts w:ascii="Times New Roman" w:hAnsi="Times New Roman"/>
        </w:rPr>
        <w:t>[</w:t>
      </w:r>
      <w:r w:rsidR="00E70644" w:rsidRPr="00E70644">
        <w:t>často WACC</w:t>
      </w:r>
      <w:r w:rsidR="00BB7844" w:rsidRPr="00BB7844">
        <w:t xml:space="preserve"> </w:t>
      </w:r>
      <w:r w:rsidR="00BB7844">
        <w:t>- p</w:t>
      </w:r>
      <w:r w:rsidR="00BB7844" w:rsidRPr="00BB7844">
        <w:t>růměrné náklady kapitálu (</w:t>
      </w:r>
      <w:proofErr w:type="spellStart"/>
      <w:r w:rsidR="00BB7844" w:rsidRPr="00BB7844">
        <w:t>W</w:t>
      </w:r>
      <w:r w:rsidR="00BB7844">
        <w:t>e</w:t>
      </w:r>
      <w:r w:rsidR="00BB7844" w:rsidRPr="00BB7844">
        <w:t>ighted</w:t>
      </w:r>
      <w:proofErr w:type="spellEnd"/>
      <w:r w:rsidR="00BB7844" w:rsidRPr="00BB7844">
        <w:t xml:space="preserve"> </w:t>
      </w:r>
      <w:proofErr w:type="spellStart"/>
      <w:r w:rsidR="00BB7844" w:rsidRPr="00BB7844">
        <w:t>Average</w:t>
      </w:r>
      <w:proofErr w:type="spellEnd"/>
      <w:r w:rsidR="00BB7844" w:rsidRPr="00BB7844">
        <w:t xml:space="preserve"> </w:t>
      </w:r>
      <w:proofErr w:type="spellStart"/>
      <w:r w:rsidR="00BB7844" w:rsidRPr="00BB7844">
        <w:t>Cost</w:t>
      </w:r>
      <w:proofErr w:type="spellEnd"/>
      <w:r w:rsidR="00BB7844" w:rsidRPr="00BB7844">
        <w:t xml:space="preserve"> </w:t>
      </w:r>
      <w:proofErr w:type="spellStart"/>
      <w:r w:rsidR="00BB7844" w:rsidRPr="00BB7844">
        <w:t>of</w:t>
      </w:r>
      <w:proofErr w:type="spellEnd"/>
      <w:r w:rsidR="00BB7844" w:rsidRPr="00BB7844">
        <w:t xml:space="preserve"> </w:t>
      </w:r>
      <w:proofErr w:type="spellStart"/>
      <w:r w:rsidR="00BB7844" w:rsidRPr="00BB7844">
        <w:t>Capital</w:t>
      </w:r>
      <w:proofErr w:type="spellEnd"/>
      <w:r w:rsidR="00BB7844" w:rsidRPr="00BB7844">
        <w:t>)</w:t>
      </w:r>
      <w:r w:rsidR="00BB7844">
        <w:t xml:space="preserve">; </w:t>
      </w:r>
      <w:r w:rsidR="00BB7844" w:rsidRPr="00BB7844">
        <w:t>alternativní náklady kapitálu</w:t>
      </w:r>
      <w:r w:rsidR="00BB7844">
        <w:t xml:space="preserve"> či</w:t>
      </w:r>
      <w:r w:rsidR="00BB7844" w:rsidRPr="00BB7844">
        <w:t xml:space="preserve"> </w:t>
      </w:r>
      <w:r w:rsidR="00BB7844">
        <w:t xml:space="preserve">jinak </w:t>
      </w:r>
      <w:r w:rsidR="00BB7844" w:rsidRPr="00BB7844">
        <w:t>průměrn</w:t>
      </w:r>
      <w:r w:rsidR="00BB7844">
        <w:t>á</w:t>
      </w:r>
      <w:r w:rsidR="00BB7844" w:rsidRPr="00BB7844">
        <w:t xml:space="preserve"> cen</w:t>
      </w:r>
      <w:r w:rsidR="00BB7844">
        <w:t>a</w:t>
      </w:r>
      <w:r w:rsidR="00BB7844" w:rsidRPr="00BB7844">
        <w:t xml:space="preserve">, za kterou </w:t>
      </w:r>
      <w:r w:rsidR="00BB7844">
        <w:t>je</w:t>
      </w:r>
      <w:r w:rsidR="00BB7844" w:rsidRPr="00BB7844">
        <w:t xml:space="preserve"> využívá</w:t>
      </w:r>
      <w:r w:rsidR="00BB7844">
        <w:t>n</w:t>
      </w:r>
      <w:r w:rsidR="00BB7844" w:rsidRPr="00BB7844">
        <w:t xml:space="preserve"> poskytnutý kapitál</w:t>
      </w:r>
      <w:r w:rsidR="006E4E10" w:rsidRPr="006E4E10">
        <w:t>]</w:t>
      </w:r>
      <w:r w:rsidR="002E3F08" w:rsidRPr="00A120A2">
        <w:t xml:space="preserve">. </w:t>
      </w:r>
    </w:p>
    <w:p w:rsidR="002E3F08" w:rsidRPr="00A120A2" w:rsidRDefault="002E3F08" w:rsidP="003E4A5D">
      <w:pPr>
        <w:widowControl w:val="0"/>
      </w:pPr>
      <w:r w:rsidRPr="00A120A2">
        <w:t xml:space="preserve">Oddalování realizace stavby zapříčiňuje nejen oddálení </w:t>
      </w:r>
      <w:r w:rsidR="00695698">
        <w:t xml:space="preserve">či v některých případech i zmaření </w:t>
      </w:r>
      <w:r w:rsidRPr="00A120A2">
        <w:t xml:space="preserve">přínosů staveb, ale </w:t>
      </w:r>
      <w:r w:rsidR="00704A6F">
        <w:t xml:space="preserve">u veřejných zakázek </w:t>
      </w:r>
      <w:r w:rsidR="003C13D2">
        <w:t xml:space="preserve">pak </w:t>
      </w:r>
      <w:r w:rsidRPr="00A120A2">
        <w:t xml:space="preserve">zde </w:t>
      </w:r>
      <w:r w:rsidR="00704A6F">
        <w:t xml:space="preserve">hraje roli </w:t>
      </w:r>
      <w:r w:rsidRPr="00A120A2">
        <w:t>i další element</w:t>
      </w:r>
      <w:r w:rsidR="00704A6F">
        <w:t>,</w:t>
      </w:r>
      <w:r w:rsidRPr="00A120A2">
        <w:t xml:space="preserve"> a t</w:t>
      </w:r>
      <w:r w:rsidR="00704A6F">
        <w:t>ím</w:t>
      </w:r>
      <w:r w:rsidRPr="00A120A2">
        <w:t xml:space="preserve"> je </w:t>
      </w:r>
      <w:r w:rsidR="00704A6F">
        <w:t xml:space="preserve">možnost </w:t>
      </w:r>
      <w:r w:rsidRPr="00A120A2">
        <w:t xml:space="preserve">využití evropských strukturálních fondů pro financování </w:t>
      </w:r>
      <w:r w:rsidR="00704A6F">
        <w:t>vybraných projektů (objemově nejčastěji dopravní či energetické infrastruktury)</w:t>
      </w:r>
      <w:r w:rsidRPr="00A120A2">
        <w:t xml:space="preserve">. Při nedostatečném </w:t>
      </w:r>
      <w:r w:rsidR="00A86752">
        <w:t>z</w:t>
      </w:r>
      <w:r w:rsidRPr="00A120A2">
        <w:t xml:space="preserve">rychlení povolovacího procesu </w:t>
      </w:r>
      <w:r w:rsidR="00A86752">
        <w:t xml:space="preserve">se zvyšuje riziko </w:t>
      </w:r>
      <w:r w:rsidRPr="00A120A2">
        <w:t xml:space="preserve">nevyčerpání </w:t>
      </w:r>
      <w:r w:rsidR="00A86752">
        <w:t xml:space="preserve">těchto </w:t>
      </w:r>
      <w:r w:rsidRPr="00A120A2">
        <w:t xml:space="preserve">prostředků. </w:t>
      </w:r>
    </w:p>
    <w:p w:rsidR="002E3F08" w:rsidRPr="00A120A2" w:rsidRDefault="002E3F08" w:rsidP="003E4A5D">
      <w:pPr>
        <w:widowControl w:val="0"/>
      </w:pPr>
      <w:r w:rsidRPr="00A120A2">
        <w:t xml:space="preserve">Z makroekonomického </w:t>
      </w:r>
      <w:r w:rsidR="00A86752">
        <w:t>hlediska</w:t>
      </w:r>
      <w:r w:rsidRPr="00A120A2">
        <w:t xml:space="preserve"> mají strukturální fondy hlavní přínos pro ČR především skrze veřejné výdaje a soukromé investice, u kterých je dosaženo multiplikativního efektu díky spolufinancování ze zdrojů EU. Tyto investice mají významný vliv na </w:t>
      </w:r>
      <w:r w:rsidR="00D50E32">
        <w:t>HDP</w:t>
      </w:r>
      <w:r w:rsidRPr="00A120A2">
        <w:t xml:space="preserve">, zaměstnanost a další důležité makroekonomické indikátory především </w:t>
      </w:r>
      <w:r w:rsidR="00BB57E1">
        <w:t>díky</w:t>
      </w:r>
      <w:r w:rsidRPr="00A120A2">
        <w:t xml:space="preserve"> pákové</w:t>
      </w:r>
      <w:r w:rsidR="00BB57E1">
        <w:t>mu</w:t>
      </w:r>
      <w:r w:rsidRPr="00A120A2">
        <w:t xml:space="preserve"> efektu. Následující schéma ilustruje, jak konkrétně investice do </w:t>
      </w:r>
      <w:r w:rsidR="00BB57E1">
        <w:t>výstavby</w:t>
      </w:r>
      <w:r w:rsidRPr="00A120A2">
        <w:t>, podpořená z evropských fondů, ovlivňuje přes tvorbu HPH českou ekonomiku.</w:t>
      </w:r>
    </w:p>
    <w:p w:rsidR="002E3F08" w:rsidRPr="00A120A2" w:rsidRDefault="002E3F08" w:rsidP="0089559F">
      <w:pPr>
        <w:pStyle w:val="Titulek"/>
        <w:keepNext/>
      </w:pPr>
      <w:r w:rsidRPr="00A120A2">
        <w:lastRenderedPageBreak/>
        <w:t xml:space="preserve">Obrázek </w:t>
      </w:r>
      <w:r w:rsidR="00AB65E9">
        <w:rPr>
          <w:noProof/>
        </w:rPr>
        <w:fldChar w:fldCharType="begin"/>
      </w:r>
      <w:r w:rsidR="007B0D8A">
        <w:rPr>
          <w:noProof/>
        </w:rPr>
        <w:instrText xml:space="preserve"> SEQ Obrázek \* ARABIC </w:instrText>
      </w:r>
      <w:r w:rsidR="00AB65E9">
        <w:rPr>
          <w:noProof/>
        </w:rPr>
        <w:fldChar w:fldCharType="separate"/>
      </w:r>
      <w:r w:rsidR="00263A1B">
        <w:rPr>
          <w:noProof/>
        </w:rPr>
        <w:t>7</w:t>
      </w:r>
      <w:r w:rsidR="00AB65E9">
        <w:rPr>
          <w:noProof/>
        </w:rPr>
        <w:fldChar w:fldCharType="end"/>
      </w:r>
      <w:r w:rsidRPr="00A120A2">
        <w:t xml:space="preserve">: Vliv zdrojů investic do </w:t>
      </w:r>
      <w:r w:rsidR="00BB57E1">
        <w:t>výstavby</w:t>
      </w:r>
      <w:r w:rsidRPr="00A120A2">
        <w:t xml:space="preserve"> v rámci </w:t>
      </w:r>
      <w:r w:rsidR="00BB57E1">
        <w:t>operačních programů</w:t>
      </w:r>
      <w:r w:rsidRPr="00A120A2">
        <w:t xml:space="preserve"> na českou ekonomiku</w:t>
      </w:r>
      <w:r w:rsidR="005E78BB">
        <w:t xml:space="preserve"> </w:t>
      </w:r>
    </w:p>
    <w:p w:rsidR="002E3F08" w:rsidRPr="00A120A2" w:rsidRDefault="002E3F08" w:rsidP="0089559F">
      <w:pPr>
        <w:keepNext/>
        <w:widowControl w:val="0"/>
      </w:pPr>
      <w:r w:rsidRPr="00A120A2">
        <w:rPr>
          <w:noProof/>
          <w:lang w:eastAsia="cs-CZ"/>
        </w:rPr>
        <w:drawing>
          <wp:inline distT="0" distB="0" distL="0" distR="0" wp14:anchorId="62CB8083" wp14:editId="340E14E8">
            <wp:extent cx="5751260" cy="3026979"/>
            <wp:effectExtent l="0" t="0" r="1905"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56283" cy="3029623"/>
                    </a:xfrm>
                    <a:prstGeom prst="rect">
                      <a:avLst/>
                    </a:prstGeom>
                    <a:noFill/>
                    <a:ln>
                      <a:noFill/>
                    </a:ln>
                  </pic:spPr>
                </pic:pic>
              </a:graphicData>
            </a:graphic>
          </wp:inline>
        </w:drawing>
      </w:r>
    </w:p>
    <w:p w:rsidR="002E3F08" w:rsidRPr="00A120A2" w:rsidRDefault="002E3F08" w:rsidP="0089559F">
      <w:pPr>
        <w:pStyle w:val="Citt"/>
        <w:keepNext/>
      </w:pPr>
      <w:r w:rsidRPr="00A120A2">
        <w:t>Zdroj: EEIP - Přínosy strukturálních fondů a kohezní politiky v České republice, 2014</w:t>
      </w:r>
    </w:p>
    <w:p w:rsidR="002E3F08" w:rsidRPr="00A120A2" w:rsidRDefault="002E3F08" w:rsidP="003E4A5D">
      <w:pPr>
        <w:widowControl w:val="0"/>
      </w:pPr>
      <w:r w:rsidRPr="00A120A2">
        <w:t>Obrázek znázorňuje pákový efekt, kterého je dosaženo díky možnosti využívat zdroje z</w:t>
      </w:r>
      <w:r w:rsidR="00777DDE">
        <w:t> </w:t>
      </w:r>
      <w:r w:rsidRPr="00A120A2">
        <w:t>evropských fondů. Nejprve je za evropské prostředky doplněné o veřejné zdroje ČR</w:t>
      </w:r>
      <w:r w:rsidR="002B5CF2">
        <w:t>, případně i </w:t>
      </w:r>
      <w:r w:rsidR="0099000F">
        <w:t>o soukromé prostředky</w:t>
      </w:r>
      <w:r w:rsidRPr="00A120A2">
        <w:t xml:space="preserve"> na základ</w:t>
      </w:r>
      <w:r w:rsidR="00533C4B">
        <w:t>ě principu spolufinancování zrealizována stavba</w:t>
      </w:r>
      <w:r w:rsidRPr="00A120A2">
        <w:t xml:space="preserve">, která má přímý dopad na </w:t>
      </w:r>
      <w:r w:rsidR="003B4D78">
        <w:t>HPH</w:t>
      </w:r>
      <w:r w:rsidRPr="00A120A2">
        <w:t xml:space="preserve"> stavebního sektoru. Dále již fungují multiplikativní efekty popsané v předešlé části. Po ukončení realizace stavby přichází fáze užití stavby, která přináší řadu dalších pozitivních synergických efektů.</w:t>
      </w:r>
    </w:p>
    <w:p w:rsidR="002E3F08" w:rsidRPr="00A120A2" w:rsidRDefault="002E3F08" w:rsidP="003E4A5D">
      <w:pPr>
        <w:widowControl w:val="0"/>
      </w:pPr>
      <w:r w:rsidRPr="00A120A2">
        <w:t>Ztráta z oddálení uvedení stavby do provozu závisí na vnitřním výnosovém procentu a výnosu z alternativního využití finančních prostředků. Při výpočtu ekonomické ztráty je proto důležité</w:t>
      </w:r>
      <w:r w:rsidR="00EA22C2">
        <w:t>,</w:t>
      </w:r>
      <w:r w:rsidRPr="00A120A2">
        <w:t xml:space="preserve"> v jaké fázi projektu byla stavba zdržena, a tedy jaké bylo alternativní využití zdrojů v okamžiku, kdy došlo ke zdržení. Pro ilustraci si představme, že ke zdržení o jeden rok došlo ve fázi stavebního řízení,</w:t>
      </w:r>
      <w:r w:rsidR="001C61F1">
        <w:t xml:space="preserve"> kde </w:t>
      </w:r>
      <w:r w:rsidRPr="00A120A2">
        <w:t xml:space="preserve">již </w:t>
      </w:r>
      <w:r w:rsidR="001C61F1">
        <w:t>byla zpracována</w:t>
      </w:r>
      <w:r w:rsidRPr="00A120A2">
        <w:t xml:space="preserve"> kompletní </w:t>
      </w:r>
      <w:r w:rsidR="001C61F1" w:rsidRPr="00A120A2">
        <w:t>projektov</w:t>
      </w:r>
      <w:r w:rsidR="001C61F1">
        <w:t>á</w:t>
      </w:r>
      <w:r w:rsidR="001C61F1" w:rsidRPr="00A120A2">
        <w:t xml:space="preserve"> </w:t>
      </w:r>
      <w:r w:rsidRPr="00A120A2">
        <w:t xml:space="preserve">dokumentace. Dále předpokládejme, že 10% investičních nákladů představují </w:t>
      </w:r>
      <w:r w:rsidR="00EA22C2">
        <w:t>výdaje v přípravné fázi</w:t>
      </w:r>
      <w:r w:rsidRPr="00A120A2">
        <w:t xml:space="preserve"> a zbylých 90% samotná výstavba. Při oddálení </w:t>
      </w:r>
      <w:r w:rsidR="00EA22C2">
        <w:t>realizace stavby</w:t>
      </w:r>
      <w:r w:rsidRPr="00A120A2">
        <w:t xml:space="preserve"> dochází k vyšší ztrátě z důvodu již investovaných prostředků na vypracování dokumentace</w:t>
      </w:r>
      <w:r w:rsidR="00EA22C2">
        <w:t xml:space="preserve"> apod.</w:t>
      </w:r>
      <w:r w:rsidRPr="00A120A2">
        <w:t xml:space="preserve">, protože tyto prostředky již nemají alternativní využití, </w:t>
      </w:r>
      <w:r w:rsidR="00EA22C2">
        <w:t>při němž</w:t>
      </w:r>
      <w:r w:rsidRPr="00A120A2">
        <w:t xml:space="preserve"> by došlo ke zhodnocení. </w:t>
      </w:r>
      <w:r w:rsidR="00EA22C2">
        <w:t>Naopak z</w:t>
      </w:r>
      <w:r w:rsidRPr="00A120A2">
        <w:t xml:space="preserve">tráta z oddálení </w:t>
      </w:r>
      <w:r w:rsidR="00EA22C2">
        <w:t xml:space="preserve">realizace stavby </w:t>
      </w:r>
      <w:r w:rsidRPr="00A120A2">
        <w:t xml:space="preserve">je </w:t>
      </w:r>
      <w:r w:rsidR="00EA22C2">
        <w:t>v</w:t>
      </w:r>
      <w:r w:rsidRPr="00A120A2">
        <w:t xml:space="preserve"> případ</w:t>
      </w:r>
      <w:r w:rsidR="00EA22C2">
        <w:t>ě</w:t>
      </w:r>
      <w:r w:rsidRPr="00A120A2">
        <w:t xml:space="preserve">, kdy ještě nebyly vynaloženy žádné prostředky (nebo jejich větší část – v uváděném případě 90% z celkových nákladů) menší než u již proinvestovaných </w:t>
      </w:r>
      <w:r w:rsidR="00EA22C2">
        <w:t>projektů</w:t>
      </w:r>
      <w:r w:rsidRPr="00A120A2">
        <w:t xml:space="preserve">. </w:t>
      </w:r>
      <w:r w:rsidR="00EA22C2">
        <w:t>Výše</w:t>
      </w:r>
      <w:r w:rsidRPr="00A120A2">
        <w:t xml:space="preserve"> ztráty pak závisí na diskontní míře, která odpovídá rizikovosti projektu. </w:t>
      </w:r>
      <w:r w:rsidR="00354112">
        <w:t xml:space="preserve">Pro vysvětlení uveďme teoretický příklad s jednoduchými hodnotami pro ilustraci postupu výpočtu, který budeme při hodnocení přínosů využívat. </w:t>
      </w:r>
      <w:r w:rsidRPr="00A120A2">
        <w:t xml:space="preserve">Předpokládejme </w:t>
      </w:r>
      <w:r w:rsidR="00EA22C2">
        <w:t xml:space="preserve">pro ilustraci </w:t>
      </w:r>
      <w:r w:rsidRPr="00A120A2">
        <w:t>vnitřní výnosové procento</w:t>
      </w:r>
      <w:r w:rsidR="00354112">
        <w:t xml:space="preserve"> konkrétní</w:t>
      </w:r>
      <w:r w:rsidRPr="00A120A2">
        <w:t xml:space="preserve"> stavby 6 % </w:t>
      </w:r>
      <w:r w:rsidR="001C61F1" w:rsidRPr="00A120A2">
        <w:t>a</w:t>
      </w:r>
      <w:r w:rsidR="001C61F1">
        <w:t> </w:t>
      </w:r>
      <w:r w:rsidRPr="00A120A2">
        <w:t>požadovanou diskontní míru 5 %</w:t>
      </w:r>
      <w:r w:rsidR="00EA22C2">
        <w:t>. P</w:t>
      </w:r>
      <w:r w:rsidRPr="00A120A2">
        <w:t xml:space="preserve">ak </w:t>
      </w:r>
      <w:r w:rsidR="00354112">
        <w:t xml:space="preserve">teoretická </w:t>
      </w:r>
      <w:r w:rsidRPr="00A120A2">
        <w:t xml:space="preserve">ztráta při ročním zdržení projektu za 1 mld. Kč </w:t>
      </w:r>
      <w:r w:rsidR="00EA22C2">
        <w:t>v případě</w:t>
      </w:r>
      <w:r w:rsidRPr="00A120A2">
        <w:t xml:space="preserve"> již investovaných </w:t>
      </w:r>
      <w:r w:rsidR="00EA22C2">
        <w:t xml:space="preserve">10 % </w:t>
      </w:r>
      <w:r w:rsidRPr="00A120A2">
        <w:t xml:space="preserve">prostředků </w:t>
      </w:r>
      <w:r w:rsidR="00354112" w:rsidRPr="00A120A2">
        <w:t>bude</w:t>
      </w:r>
      <w:r w:rsidR="00354112">
        <w:t xml:space="preserve"> </w:t>
      </w:r>
      <w:r w:rsidR="00EA22C2">
        <w:t xml:space="preserve">činit </w:t>
      </w:r>
      <w:r w:rsidRPr="00A120A2">
        <w:t xml:space="preserve">5,66 mil. Kč a ztráta počítaná z oddálení výstavby (včetně oddálení </w:t>
      </w:r>
      <w:r w:rsidR="00EA22C2">
        <w:t>vynaložení finančních prostředků</w:t>
      </w:r>
      <w:r w:rsidRPr="00A120A2">
        <w:t xml:space="preserve">) 8,91 mil. Kč, celkově tedy 14,571 mil. Kč. </w:t>
      </w:r>
    </w:p>
    <w:p w:rsidR="002E3F08" w:rsidRPr="00A120A2" w:rsidRDefault="002E3F08" w:rsidP="003E4A5D">
      <w:pPr>
        <w:widowControl w:val="0"/>
      </w:pPr>
      <w:r w:rsidRPr="00A120A2">
        <w:t xml:space="preserve">Další aspekt výpočtu ztráty představují evropské fondy. Pro ně neplatí jako pro případ zdrojů </w:t>
      </w:r>
      <w:r w:rsidR="00EA22C2">
        <w:t xml:space="preserve">soukromých investorů či </w:t>
      </w:r>
      <w:r w:rsidRPr="00A120A2">
        <w:t xml:space="preserve">ze státního rozpočtu, že v případě, kdy nejsou čerpány, tak mají alternativní využití v jiném projektu s kladným výnosem. I kdybychom předpokládali optimistickou variantu, že se nevyčerpané zdroje ze strukturálních fondů převedou do příštího programového období, budou převedeny jen v nominální výši, </w:t>
      </w:r>
      <w:r w:rsidR="00AA6168">
        <w:t xml:space="preserve">tj. nebude </w:t>
      </w:r>
      <w:r w:rsidRPr="00A120A2">
        <w:t>docházet k jejich zhodnocení. U projektů, u nichž je počítáno s kofinancováním ze strukturálních fondů</w:t>
      </w:r>
      <w:r w:rsidR="00AA6168">
        <w:t>,</w:t>
      </w:r>
      <w:r w:rsidRPr="00A120A2">
        <w:t xml:space="preserve"> je proto </w:t>
      </w:r>
      <w:r w:rsidRPr="00A120A2">
        <w:lastRenderedPageBreak/>
        <w:t xml:space="preserve">racionální předpokládat, že v případě </w:t>
      </w:r>
      <w:r w:rsidR="00AA6168">
        <w:t>posunu realizace</w:t>
      </w:r>
      <w:r w:rsidRPr="00A120A2">
        <w:t xml:space="preserve"> stavby nebude docházet k</w:t>
      </w:r>
      <w:r w:rsidR="00AA6168">
        <w:t>e</w:t>
      </w:r>
      <w:r w:rsidRPr="00A120A2">
        <w:t xml:space="preserve"> zhodnocení </w:t>
      </w:r>
      <w:r w:rsidR="00AA6168">
        <w:t>příslušných</w:t>
      </w:r>
      <w:r w:rsidR="00AA6168" w:rsidRPr="00A120A2">
        <w:t xml:space="preserve"> </w:t>
      </w:r>
      <w:r w:rsidRPr="00A120A2">
        <w:t xml:space="preserve">evropských prostředků. </w:t>
      </w:r>
      <w:r w:rsidR="0099000F">
        <w:t>V horším, a nikoli nepravděpodobném případě nebudou čerpány vůbec a bude docházet nejen k jejich čisté ztrátě, ale i ke ztrátě příležitosti jejich multiplikace.</w:t>
      </w:r>
    </w:p>
    <w:p w:rsidR="002E3F08" w:rsidRPr="00A120A2" w:rsidRDefault="002E3F08" w:rsidP="003E4A5D">
      <w:pPr>
        <w:widowControl w:val="0"/>
      </w:pPr>
      <w:r>
        <w:t xml:space="preserve">Důvody </w:t>
      </w:r>
      <w:r w:rsidR="00D71CF0">
        <w:t>časových posunů</w:t>
      </w:r>
      <w:r>
        <w:t xml:space="preserve"> </w:t>
      </w:r>
      <w:r w:rsidR="00D71CF0">
        <w:t xml:space="preserve">uvedení </w:t>
      </w:r>
      <w:r>
        <w:t xml:space="preserve">jednotlivých staveb </w:t>
      </w:r>
      <w:r w:rsidR="00D71CF0">
        <w:t xml:space="preserve">do provozu </w:t>
      </w:r>
      <w:r>
        <w:t>se v rámci ČR různí</w:t>
      </w:r>
      <w:r w:rsidR="00D71CF0">
        <w:t>.</w:t>
      </w:r>
      <w:r>
        <w:t xml:space="preserve"> </w:t>
      </w:r>
      <w:r w:rsidR="00D71CF0">
        <w:t>P</w:t>
      </w:r>
      <w:r>
        <w:t xml:space="preserve">ro účely tohoto dokumentu </w:t>
      </w:r>
      <w:r w:rsidRPr="00A120A2">
        <w:t xml:space="preserve">budeme vycházet z průměrných poměrů nákladovosti mezi </w:t>
      </w:r>
      <w:r w:rsidR="000B63CA">
        <w:t>před</w:t>
      </w:r>
      <w:r w:rsidR="008A4A31">
        <w:t>-</w:t>
      </w:r>
      <w:r w:rsidR="000B63CA">
        <w:t>přípravnou a</w:t>
      </w:r>
      <w:r w:rsidR="008A4A31">
        <w:t> </w:t>
      </w:r>
      <w:r w:rsidR="000B63CA">
        <w:t>přípravnou fází</w:t>
      </w:r>
      <w:r w:rsidRPr="00A120A2">
        <w:t xml:space="preserve"> a </w:t>
      </w:r>
      <w:r w:rsidR="000B63CA">
        <w:t>realizační</w:t>
      </w:r>
      <w:r w:rsidRPr="00A120A2">
        <w:t xml:space="preserve"> částí projektů, odhadnutých na základě konzultací</w:t>
      </w:r>
      <w:r w:rsidRPr="00A120A2">
        <w:rPr>
          <w:rStyle w:val="Znakapoznpodarou"/>
        </w:rPr>
        <w:footnoteReference w:id="7"/>
      </w:r>
      <w:r w:rsidRPr="00A120A2">
        <w:t>. Dále budeme při kalkulaci socioekonomických přín</w:t>
      </w:r>
      <w:r w:rsidR="000B63CA">
        <w:t>osů využívat diskontní míru 5 %</w:t>
      </w:r>
      <w:r w:rsidRPr="00A120A2">
        <w:t xml:space="preserve">. </w:t>
      </w:r>
    </w:p>
    <w:p w:rsidR="00A423FE" w:rsidRDefault="00A423FE" w:rsidP="003E4A5D">
      <w:pPr>
        <w:widowControl w:val="0"/>
      </w:pPr>
      <w:r>
        <w:t>Dle analýz provedených při přípravě</w:t>
      </w:r>
      <w:r w:rsidRPr="00A423FE">
        <w:t xml:space="preserve"> </w:t>
      </w:r>
      <w:r w:rsidR="00F6486B">
        <w:t xml:space="preserve">hodnocení dopadů regulace </w:t>
      </w:r>
      <w:r w:rsidR="002A1B2C">
        <w:t xml:space="preserve">(RIA) </w:t>
      </w:r>
      <w:r w:rsidR="00F6486B">
        <w:t>k věcnému záměru zákona o liniových dopravních stavbách (2014)</w:t>
      </w:r>
      <w:r w:rsidRPr="00416CE5">
        <w:t xml:space="preserve"> způsobují největší ztráty problémy ve fázi územního řízení a výkupu a vyvlastnění pozemků (obojí přibližně 40%). V těchto částech povolovacího procesu je proto největší potenciál pro zlepšení současného stavu. Jen u vybraných silničních staveb </w:t>
      </w:r>
      <w:r w:rsidR="00820ACF">
        <w:t xml:space="preserve">(viz následující tabulky – vybrány byly velké stavby, za které byly dostupná data) </w:t>
      </w:r>
      <w:r w:rsidRPr="00416CE5">
        <w:t>představovalo zdržení oproti investičnímu záměru ztrátu 22,4 mld. Kč</w:t>
      </w:r>
      <w:r w:rsidR="00F6486B">
        <w:t>;</w:t>
      </w:r>
      <w:r w:rsidR="00F6486B" w:rsidRPr="00416CE5">
        <w:t xml:space="preserve"> </w:t>
      </w:r>
      <w:r w:rsidRPr="00416CE5">
        <w:t>u železničních staveb 2,75 mld. Kč (menší výběr než v případě silničních staveb</w:t>
      </w:r>
      <w:r w:rsidR="00820ACF">
        <w:t xml:space="preserve"> provedený stejným postupem jako </w:t>
      </w:r>
      <w:r w:rsidR="00F6486B">
        <w:t>u </w:t>
      </w:r>
      <w:r w:rsidR="00820ACF">
        <w:t>silničních staveb</w:t>
      </w:r>
      <w:r w:rsidRPr="00416CE5">
        <w:t xml:space="preserve">). V průměru u silničních staveb vychází, že prodloužení povolovacího procesu </w:t>
      </w:r>
      <w:r w:rsidR="00F6486B" w:rsidRPr="00416CE5">
        <w:t>o</w:t>
      </w:r>
      <w:r w:rsidR="00F6486B">
        <w:t> </w:t>
      </w:r>
      <w:r w:rsidRPr="00416CE5">
        <w:t>jeden rok představuje zvýšení nákladů (jen na oddálení přínosů výstavby) o 5,07%. U</w:t>
      </w:r>
      <w:r w:rsidR="00F6486B">
        <w:t> </w:t>
      </w:r>
      <w:r w:rsidRPr="00416CE5">
        <w:t>železničních dopravních staveb je to 5,72%.</w:t>
      </w:r>
    </w:p>
    <w:p w:rsidR="00820ACF" w:rsidRDefault="00820ACF" w:rsidP="00820ACF">
      <w:pPr>
        <w:pStyle w:val="Titulek"/>
        <w:keepNext/>
      </w:pPr>
      <w:r>
        <w:t xml:space="preserve">Tabulka </w:t>
      </w:r>
      <w:r w:rsidR="00AB65E9">
        <w:rPr>
          <w:noProof/>
        </w:rPr>
        <w:fldChar w:fldCharType="begin"/>
      </w:r>
      <w:r w:rsidR="008416A6">
        <w:rPr>
          <w:noProof/>
        </w:rPr>
        <w:instrText xml:space="preserve"> SEQ Tabulka \* ARABIC </w:instrText>
      </w:r>
      <w:r w:rsidR="00AB65E9">
        <w:rPr>
          <w:noProof/>
        </w:rPr>
        <w:fldChar w:fldCharType="separate"/>
      </w:r>
      <w:r w:rsidR="00263A1B">
        <w:rPr>
          <w:noProof/>
        </w:rPr>
        <w:t>6</w:t>
      </w:r>
      <w:r w:rsidR="00AB65E9">
        <w:rPr>
          <w:noProof/>
        </w:rPr>
        <w:fldChar w:fldCharType="end"/>
      </w:r>
      <w:r w:rsidRPr="00A120A2">
        <w:t>: Ekonomické ztráty z oddálení přínosů vybraných silničních staveb</w:t>
      </w:r>
    </w:p>
    <w:tbl>
      <w:tblPr>
        <w:tblStyle w:val="Barevntabulkaseznamu6zvraznn51"/>
        <w:tblW w:w="9072" w:type="dxa"/>
        <w:tblInd w:w="108" w:type="dxa"/>
        <w:tblLook w:val="04A0" w:firstRow="1" w:lastRow="0" w:firstColumn="1" w:lastColumn="0" w:noHBand="0" w:noVBand="1"/>
      </w:tblPr>
      <w:tblGrid>
        <w:gridCol w:w="1955"/>
        <w:gridCol w:w="1374"/>
        <w:gridCol w:w="1367"/>
        <w:gridCol w:w="1542"/>
        <w:gridCol w:w="1371"/>
        <w:gridCol w:w="1463"/>
      </w:tblGrid>
      <w:tr w:rsidR="00354112" w:rsidRPr="00354112" w:rsidTr="008712F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820ACF" w:rsidRDefault="00354112" w:rsidP="00354112">
            <w:pPr>
              <w:spacing w:before="0" w:after="0"/>
              <w:jc w:val="center"/>
              <w:rPr>
                <w:rFonts w:asciiTheme="minorHAnsi" w:eastAsia="Times New Roman" w:hAnsiTheme="minorHAnsi" w:cstheme="minorHAnsi"/>
                <w:b w:val="0"/>
                <w:bCs w:val="0"/>
                <w:color w:val="auto"/>
                <w:sz w:val="18"/>
                <w:szCs w:val="18"/>
                <w:lang w:eastAsia="cs-CZ"/>
              </w:rPr>
            </w:pPr>
            <w:r w:rsidRPr="00820ACF">
              <w:rPr>
                <w:rFonts w:asciiTheme="minorHAnsi" w:eastAsia="Times New Roman" w:hAnsiTheme="minorHAnsi" w:cstheme="minorHAnsi"/>
                <w:color w:val="auto"/>
                <w:sz w:val="18"/>
                <w:szCs w:val="18"/>
                <w:lang w:eastAsia="cs-CZ"/>
              </w:rPr>
              <w:t>Název akce</w:t>
            </w:r>
          </w:p>
        </w:tc>
        <w:tc>
          <w:tcPr>
            <w:tcW w:w="1374"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cs-CZ"/>
              </w:rPr>
            </w:pPr>
            <w:r w:rsidRPr="00820ACF">
              <w:rPr>
                <w:rFonts w:asciiTheme="minorHAnsi" w:eastAsia="Times New Roman" w:hAnsiTheme="minorHAnsi" w:cstheme="minorHAnsi"/>
                <w:color w:val="auto"/>
                <w:sz w:val="18"/>
                <w:szCs w:val="18"/>
                <w:lang w:eastAsia="cs-CZ"/>
              </w:rPr>
              <w:t>Aktuální</w:t>
            </w:r>
            <w:r w:rsidRPr="00820ACF">
              <w:rPr>
                <w:rFonts w:asciiTheme="minorHAnsi" w:eastAsia="Times New Roman" w:hAnsiTheme="minorHAnsi" w:cstheme="minorHAnsi"/>
                <w:color w:val="auto"/>
                <w:sz w:val="18"/>
                <w:szCs w:val="18"/>
                <w:lang w:eastAsia="cs-CZ"/>
              </w:rPr>
              <w:br/>
              <w:t>stav</w:t>
            </w:r>
          </w:p>
        </w:tc>
        <w:tc>
          <w:tcPr>
            <w:tcW w:w="1367"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cs-CZ"/>
              </w:rPr>
            </w:pPr>
            <w:r w:rsidRPr="00820ACF">
              <w:rPr>
                <w:rFonts w:asciiTheme="minorHAnsi" w:eastAsia="Times New Roman" w:hAnsiTheme="minorHAnsi" w:cstheme="minorHAnsi"/>
                <w:color w:val="auto"/>
                <w:sz w:val="18"/>
                <w:szCs w:val="18"/>
                <w:lang w:eastAsia="cs-CZ"/>
              </w:rPr>
              <w:t>Délka hlavní trasy (v km)</w:t>
            </w:r>
          </w:p>
        </w:tc>
        <w:tc>
          <w:tcPr>
            <w:tcW w:w="1542"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cs-CZ"/>
              </w:rPr>
            </w:pPr>
            <w:r w:rsidRPr="00820ACF">
              <w:rPr>
                <w:rFonts w:asciiTheme="minorHAnsi" w:eastAsia="Times New Roman" w:hAnsiTheme="minorHAnsi" w:cstheme="minorHAnsi"/>
                <w:color w:val="auto"/>
                <w:sz w:val="18"/>
                <w:szCs w:val="18"/>
                <w:lang w:eastAsia="cs-CZ"/>
              </w:rPr>
              <w:t xml:space="preserve">Převládající důvod oddálení výstavby </w:t>
            </w:r>
          </w:p>
        </w:tc>
        <w:tc>
          <w:tcPr>
            <w:tcW w:w="1371"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cs-CZ"/>
              </w:rPr>
            </w:pPr>
            <w:r w:rsidRPr="00820ACF">
              <w:rPr>
                <w:rFonts w:asciiTheme="minorHAnsi" w:eastAsia="Times New Roman" w:hAnsiTheme="minorHAnsi" w:cstheme="minorHAnsi"/>
                <w:color w:val="auto"/>
                <w:sz w:val="18"/>
                <w:szCs w:val="18"/>
                <w:lang w:eastAsia="cs-CZ"/>
              </w:rPr>
              <w:t>Zdržení v letech</w:t>
            </w:r>
          </w:p>
        </w:tc>
        <w:tc>
          <w:tcPr>
            <w:tcW w:w="1463"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cs-CZ"/>
              </w:rPr>
            </w:pPr>
            <w:r w:rsidRPr="00820ACF">
              <w:rPr>
                <w:rFonts w:asciiTheme="minorHAnsi" w:eastAsia="Times New Roman" w:hAnsiTheme="minorHAnsi" w:cstheme="minorHAnsi"/>
                <w:color w:val="auto"/>
                <w:sz w:val="18"/>
                <w:szCs w:val="18"/>
                <w:lang w:eastAsia="cs-CZ"/>
              </w:rPr>
              <w:t xml:space="preserve">Ztráta </w:t>
            </w:r>
          </w:p>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cs-CZ"/>
              </w:rPr>
            </w:pPr>
            <w:r w:rsidRPr="00820ACF">
              <w:rPr>
                <w:rFonts w:asciiTheme="minorHAnsi" w:eastAsia="Times New Roman" w:hAnsiTheme="minorHAnsi" w:cstheme="minorHAnsi"/>
                <w:color w:val="auto"/>
                <w:sz w:val="18"/>
                <w:szCs w:val="18"/>
                <w:lang w:eastAsia="cs-CZ"/>
              </w:rPr>
              <w:t>(v mil. Kč)</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D1 0136 Říkovice-Přerov</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10,10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11,0</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1 251,8</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D3 0301 Praha - Jílové</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9,33</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plán</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7,4</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119,1</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D3 0302 Jílové - Hostěradice</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4,85</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plán</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5,4</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112,9</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D3 0303 Hostěradice - Václavice</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11,30</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plán</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5,4</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119,9</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D3 0304 Václavice - Voračice</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16,52</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plán</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6,5</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50,0</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D3 0305/I Voračice - Nová Hospoda</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16,83</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plán</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7,5</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50,0</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D3 0307 A Tábor - Soběslav</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Smlouva o dílo na realizaci</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16,30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3,8</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1 351,5</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 xml:space="preserve">D3 0309/III Borek </w:t>
            </w:r>
            <w:r w:rsidR="00366EDF">
              <w:rPr>
                <w:rFonts w:asciiTheme="minorHAnsi" w:eastAsia="Times New Roman" w:hAnsiTheme="minorHAnsi" w:cstheme="minorHAnsi"/>
                <w:color w:val="000000"/>
                <w:sz w:val="18"/>
                <w:szCs w:val="18"/>
                <w:lang w:eastAsia="cs-CZ"/>
              </w:rPr>
              <w:t>–</w:t>
            </w:r>
            <w:r w:rsidRPr="00354112">
              <w:rPr>
                <w:rFonts w:asciiTheme="minorHAnsi" w:eastAsia="Times New Roman" w:hAnsiTheme="minorHAnsi" w:cstheme="minorHAnsi"/>
                <w:color w:val="000000"/>
                <w:sz w:val="18"/>
                <w:szCs w:val="18"/>
                <w:lang w:eastAsia="cs-CZ"/>
              </w:rPr>
              <w:t xml:space="preserve"> Úsilné</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3,16</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6,1</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514,9</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D3 0310/I Úsilné - Hodějovice</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7,20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10,0</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0,1</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D3 0310/II Hodějovice - Třebonín</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12,55</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9,0</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0,1</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R1 511 Běchovice - D1</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12,57</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10,9</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1 500,0</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R1 518 Ruzyně - Suchdol</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0,00</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obstrukce OS a procesní chyby v ÚŘ</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12,6</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1 375,4</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R1 519 Suchdol - Březiněves</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0,00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obstrukce OS a procesní chyby v ÚŘ</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12,6</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1 375,4</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R35 Časy - Ostrov</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13,50</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3,5</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2 734,8</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R35 Opatovice nad Labem - Časy</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12,61</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2,5</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2 734,8</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R4 Čimelice - Mirotice</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8,46</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11,2</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103,3</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lastRenderedPageBreak/>
              <w:t>R4 Mirotice, rozšíření</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3,52</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11,9</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4,6</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R48 Rychaltice - Frýdek Místek</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Smlouva o dílo na realizaci</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7,14</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5,3</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38,9</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R49 4901 Hulín - Fryšták</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Smlouva o dílo na realizaci</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17,30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stavební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7,9</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1 158,7</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R49 4902.1 Fryšták - Lípa 1. etapa</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1,70</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řízení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8,7</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748,3</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R49 4902.2 Fryšták - Lípa 2.etapa</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13,50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8,3</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735,7</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R49 4903 Lípa - Pozděchov</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12,50</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řízení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11,1</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232,3</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R49 4904 Pozděchov - Horní Lideč</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8,40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11,1</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245,0</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R49 4905 Horní Lideč - hranice ČR/SR</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6,25</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EIA/územní řízení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14,1</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248,1</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 xml:space="preserve">R52 5204 Pohořelice </w:t>
            </w:r>
            <w:r w:rsidR="00366EDF">
              <w:rPr>
                <w:rFonts w:asciiTheme="minorHAnsi" w:eastAsia="Times New Roman" w:hAnsiTheme="minorHAnsi" w:cstheme="minorHAnsi"/>
                <w:color w:val="000000"/>
                <w:sz w:val="18"/>
                <w:szCs w:val="18"/>
                <w:lang w:eastAsia="cs-CZ"/>
              </w:rPr>
              <w:t>–</w:t>
            </w:r>
            <w:r w:rsidRPr="00354112">
              <w:rPr>
                <w:rFonts w:asciiTheme="minorHAnsi" w:eastAsia="Times New Roman" w:hAnsiTheme="minorHAnsi" w:cstheme="minorHAnsi"/>
                <w:color w:val="000000"/>
                <w:sz w:val="18"/>
                <w:szCs w:val="18"/>
                <w:lang w:eastAsia="cs-CZ"/>
              </w:rPr>
              <w:t xml:space="preserve"> Ivaň</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6,90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8,9</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79,9</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R52 5206 Perná - st. hranice ČR/Rakousko</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8,19</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6,9</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103,0</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 xml:space="preserve">R55 5506 Napajedla </w:t>
            </w:r>
            <w:r w:rsidR="00366EDF">
              <w:rPr>
                <w:rFonts w:asciiTheme="minorHAnsi" w:eastAsia="Times New Roman" w:hAnsiTheme="minorHAnsi" w:cstheme="minorHAnsi"/>
                <w:color w:val="000000"/>
                <w:sz w:val="18"/>
                <w:szCs w:val="18"/>
                <w:lang w:eastAsia="cs-CZ"/>
              </w:rPr>
              <w:t>–</w:t>
            </w:r>
            <w:r w:rsidRPr="00354112">
              <w:rPr>
                <w:rFonts w:asciiTheme="minorHAnsi" w:eastAsia="Times New Roman" w:hAnsiTheme="minorHAnsi" w:cstheme="minorHAnsi"/>
                <w:color w:val="000000"/>
                <w:sz w:val="18"/>
                <w:szCs w:val="18"/>
                <w:lang w:eastAsia="cs-CZ"/>
              </w:rPr>
              <w:t xml:space="preserve"> Babice</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8,43</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8,5</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1352,7</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R55 5507 Babice - Staré Město</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8,50</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8,2</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1 209,4</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R55 5508 Staré Město - Moravský Písek</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8,76</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9,6</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387,9</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R55 5509 Moravský Písek - Bzenec</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4,13</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9,6</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387,9</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R55 5510 Bzenec - Bzenec Přívoz</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3,20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8,6</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387,8</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R55 5511 Bzenec Přívoz - Rohatec</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10,60</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8,6</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387,8</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 xml:space="preserve">R55 5512 Rohatec </w:t>
            </w:r>
            <w:r w:rsidR="00366EDF">
              <w:rPr>
                <w:rFonts w:asciiTheme="minorHAnsi" w:eastAsia="Times New Roman" w:hAnsiTheme="minorHAnsi" w:cstheme="minorHAnsi"/>
                <w:color w:val="000000"/>
                <w:sz w:val="18"/>
                <w:szCs w:val="18"/>
                <w:lang w:eastAsia="cs-CZ"/>
              </w:rPr>
              <w:t>–</w:t>
            </w:r>
            <w:r w:rsidRPr="00354112">
              <w:rPr>
                <w:rFonts w:asciiTheme="minorHAnsi" w:eastAsia="Times New Roman" w:hAnsiTheme="minorHAnsi" w:cstheme="minorHAnsi"/>
                <w:color w:val="000000"/>
                <w:sz w:val="18"/>
                <w:szCs w:val="18"/>
                <w:lang w:eastAsia="cs-CZ"/>
              </w:rPr>
              <w:t xml:space="preserve"> Lužice</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11,50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12,6</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387,8</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 xml:space="preserve">R55 5513 Lužice </w:t>
            </w:r>
            <w:r w:rsidR="00366EDF">
              <w:rPr>
                <w:rFonts w:asciiTheme="minorHAnsi" w:eastAsia="Times New Roman" w:hAnsiTheme="minorHAnsi" w:cstheme="minorHAnsi"/>
                <w:color w:val="000000"/>
                <w:sz w:val="18"/>
                <w:szCs w:val="18"/>
                <w:lang w:eastAsia="cs-CZ"/>
              </w:rPr>
              <w:t>–</w:t>
            </w:r>
            <w:r w:rsidRPr="00354112">
              <w:rPr>
                <w:rFonts w:asciiTheme="minorHAnsi" w:eastAsia="Times New Roman" w:hAnsiTheme="minorHAnsi" w:cstheme="minorHAnsi"/>
                <w:color w:val="000000"/>
                <w:sz w:val="18"/>
                <w:szCs w:val="18"/>
                <w:lang w:eastAsia="cs-CZ"/>
              </w:rPr>
              <w:t xml:space="preserve"> Břeclav</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12,00</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EIA</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12,6</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387,8</w:t>
            </w:r>
          </w:p>
        </w:tc>
      </w:tr>
      <w:tr w:rsidR="00354112" w:rsidRPr="00354112" w:rsidTr="00871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R7 MÚK Droužkovice - MÚK Nové Spořice</w:t>
            </w:r>
          </w:p>
        </w:tc>
        <w:tc>
          <w:tcPr>
            <w:tcW w:w="1374"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Smlouva o dílo na realizaci</w:t>
            </w:r>
          </w:p>
        </w:tc>
        <w:tc>
          <w:tcPr>
            <w:tcW w:w="1367"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6,40</w:t>
            </w:r>
          </w:p>
        </w:tc>
        <w:tc>
          <w:tcPr>
            <w:tcW w:w="1542"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výkup/vyvlastnění</w:t>
            </w:r>
          </w:p>
        </w:tc>
        <w:tc>
          <w:tcPr>
            <w:tcW w:w="1371"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2,5</w:t>
            </w:r>
          </w:p>
        </w:tc>
        <w:tc>
          <w:tcPr>
            <w:tcW w:w="1463" w:type="dxa"/>
            <w:vAlign w:val="center"/>
            <w:hideMark/>
          </w:tcPr>
          <w:p w:rsidR="00354112" w:rsidRPr="00354112"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407,7</w:t>
            </w:r>
          </w:p>
        </w:tc>
      </w:tr>
      <w:tr w:rsidR="00354112" w:rsidRPr="00354112" w:rsidTr="008712FB">
        <w:trPr>
          <w:trHeight w:val="283"/>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rsidR="00354112" w:rsidRPr="00354112" w:rsidRDefault="00354112" w:rsidP="00354112">
            <w:pPr>
              <w:spacing w:before="0" w:after="0"/>
              <w:jc w:val="left"/>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R7 Postoloprty zkapacitnění obchvatu</w:t>
            </w:r>
          </w:p>
        </w:tc>
        <w:tc>
          <w:tcPr>
            <w:tcW w:w="1374"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Akce v přípravě</w:t>
            </w:r>
          </w:p>
        </w:tc>
        <w:tc>
          <w:tcPr>
            <w:tcW w:w="1367"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4,85</w:t>
            </w:r>
          </w:p>
        </w:tc>
        <w:tc>
          <w:tcPr>
            <w:tcW w:w="1542"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územní řízení</w:t>
            </w:r>
          </w:p>
        </w:tc>
        <w:tc>
          <w:tcPr>
            <w:tcW w:w="1371"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10,3</w:t>
            </w:r>
          </w:p>
        </w:tc>
        <w:tc>
          <w:tcPr>
            <w:tcW w:w="1463" w:type="dxa"/>
            <w:vAlign w:val="center"/>
            <w:hideMark/>
          </w:tcPr>
          <w:p w:rsidR="00354112" w:rsidRPr="00354112"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354112">
              <w:rPr>
                <w:rFonts w:asciiTheme="minorHAnsi" w:eastAsia="Times New Roman" w:hAnsiTheme="minorHAnsi" w:cstheme="minorHAnsi"/>
                <w:color w:val="000000"/>
                <w:sz w:val="18"/>
                <w:szCs w:val="18"/>
                <w:lang w:eastAsia="cs-CZ"/>
              </w:rPr>
              <w:t>134,9</w:t>
            </w:r>
          </w:p>
        </w:tc>
      </w:tr>
    </w:tbl>
    <w:p w:rsidR="00354112" w:rsidRPr="00A120A2" w:rsidRDefault="00354112" w:rsidP="00354112">
      <w:pPr>
        <w:pStyle w:val="Citt"/>
      </w:pPr>
      <w:r w:rsidRPr="00A120A2">
        <w:t>Zdroj: výpočet EEIP na základě dat z ŘSD</w:t>
      </w:r>
    </w:p>
    <w:p w:rsidR="00354112" w:rsidRPr="00A120A2" w:rsidRDefault="00354112" w:rsidP="00354112"/>
    <w:p w:rsidR="00354112" w:rsidRPr="00A120A2" w:rsidRDefault="00354112" w:rsidP="00354112">
      <w:pPr>
        <w:pStyle w:val="Titulek"/>
      </w:pPr>
      <w:r w:rsidRPr="00A120A2">
        <w:t xml:space="preserve">Tabulka </w:t>
      </w:r>
      <w:r w:rsidR="00AB65E9">
        <w:rPr>
          <w:noProof/>
        </w:rPr>
        <w:fldChar w:fldCharType="begin"/>
      </w:r>
      <w:r w:rsidR="008416A6">
        <w:rPr>
          <w:noProof/>
        </w:rPr>
        <w:instrText xml:space="preserve"> SEQ Tabulka \* ARABIC </w:instrText>
      </w:r>
      <w:r w:rsidR="00AB65E9">
        <w:rPr>
          <w:noProof/>
        </w:rPr>
        <w:fldChar w:fldCharType="separate"/>
      </w:r>
      <w:r w:rsidR="00263A1B">
        <w:rPr>
          <w:noProof/>
        </w:rPr>
        <w:t>7</w:t>
      </w:r>
      <w:r w:rsidR="00AB65E9">
        <w:rPr>
          <w:noProof/>
        </w:rPr>
        <w:fldChar w:fldCharType="end"/>
      </w:r>
      <w:r w:rsidRPr="00A120A2">
        <w:t>: Ekonomické ztráty z oddálení přínosů vybraných železničních staveb</w:t>
      </w:r>
    </w:p>
    <w:tbl>
      <w:tblPr>
        <w:tblStyle w:val="Barevntabulkaseznamu6zvraznn51"/>
        <w:tblW w:w="9072" w:type="dxa"/>
        <w:tblInd w:w="108" w:type="dxa"/>
        <w:tblLook w:val="04A0" w:firstRow="1" w:lastRow="0" w:firstColumn="1" w:lastColumn="0" w:noHBand="0" w:noVBand="1"/>
      </w:tblPr>
      <w:tblGrid>
        <w:gridCol w:w="4372"/>
        <w:gridCol w:w="922"/>
        <w:gridCol w:w="992"/>
        <w:gridCol w:w="1701"/>
        <w:gridCol w:w="1085"/>
      </w:tblGrid>
      <w:tr w:rsidR="00354112" w:rsidRPr="00820ACF" w:rsidTr="008712FB">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center"/>
              <w:rPr>
                <w:rFonts w:asciiTheme="minorHAnsi" w:eastAsia="Times New Roman" w:hAnsiTheme="minorHAnsi" w:cstheme="minorHAnsi"/>
                <w:bCs w:val="0"/>
                <w:color w:val="auto"/>
                <w:sz w:val="18"/>
                <w:szCs w:val="18"/>
                <w:lang w:eastAsia="cs-CZ"/>
              </w:rPr>
            </w:pPr>
            <w:r w:rsidRPr="00820ACF">
              <w:rPr>
                <w:rFonts w:asciiTheme="minorHAnsi" w:eastAsia="Times New Roman" w:hAnsiTheme="minorHAnsi" w:cstheme="minorHAnsi"/>
                <w:bCs w:val="0"/>
                <w:color w:val="auto"/>
                <w:sz w:val="18"/>
                <w:szCs w:val="18"/>
                <w:lang w:eastAsia="cs-CZ"/>
              </w:rPr>
              <w:t>Název akce</w:t>
            </w:r>
          </w:p>
        </w:tc>
        <w:tc>
          <w:tcPr>
            <w:tcW w:w="922"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18"/>
                <w:szCs w:val="18"/>
                <w:lang w:eastAsia="cs-CZ"/>
              </w:rPr>
            </w:pPr>
            <w:r w:rsidRPr="00820ACF">
              <w:rPr>
                <w:rFonts w:asciiTheme="minorHAnsi" w:eastAsia="Times New Roman" w:hAnsiTheme="minorHAnsi" w:cstheme="minorHAnsi"/>
                <w:bCs w:val="0"/>
                <w:color w:val="auto"/>
                <w:sz w:val="18"/>
                <w:szCs w:val="18"/>
                <w:lang w:eastAsia="cs-CZ"/>
              </w:rPr>
              <w:t>Zdržení v letech</w:t>
            </w:r>
          </w:p>
        </w:tc>
        <w:tc>
          <w:tcPr>
            <w:tcW w:w="992"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18"/>
                <w:szCs w:val="18"/>
                <w:lang w:eastAsia="cs-CZ"/>
              </w:rPr>
            </w:pPr>
            <w:r w:rsidRPr="00820ACF">
              <w:rPr>
                <w:rFonts w:asciiTheme="minorHAnsi" w:eastAsia="Times New Roman" w:hAnsiTheme="minorHAnsi" w:cstheme="minorHAnsi"/>
                <w:bCs w:val="0"/>
                <w:color w:val="auto"/>
                <w:sz w:val="18"/>
                <w:szCs w:val="18"/>
                <w:lang w:eastAsia="cs-CZ"/>
              </w:rPr>
              <w:t xml:space="preserve">Investiční náklady </w:t>
            </w:r>
          </w:p>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18"/>
                <w:szCs w:val="18"/>
                <w:lang w:eastAsia="cs-CZ"/>
              </w:rPr>
            </w:pPr>
            <w:r w:rsidRPr="00820ACF">
              <w:rPr>
                <w:rFonts w:asciiTheme="minorHAnsi" w:eastAsia="Times New Roman" w:hAnsiTheme="minorHAnsi" w:cstheme="minorHAnsi"/>
                <w:bCs w:val="0"/>
                <w:color w:val="auto"/>
                <w:sz w:val="18"/>
                <w:szCs w:val="18"/>
                <w:lang w:eastAsia="cs-CZ"/>
              </w:rPr>
              <w:t>(v mil. Kč)</w:t>
            </w:r>
          </w:p>
        </w:tc>
        <w:tc>
          <w:tcPr>
            <w:tcW w:w="1701"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18"/>
                <w:szCs w:val="18"/>
                <w:lang w:eastAsia="cs-CZ"/>
              </w:rPr>
            </w:pPr>
            <w:r w:rsidRPr="00820ACF">
              <w:rPr>
                <w:rFonts w:asciiTheme="minorHAnsi" w:eastAsia="Times New Roman" w:hAnsiTheme="minorHAnsi" w:cstheme="minorHAnsi"/>
                <w:bCs w:val="0"/>
                <w:color w:val="auto"/>
                <w:sz w:val="18"/>
                <w:szCs w:val="18"/>
                <w:lang w:eastAsia="cs-CZ"/>
              </w:rPr>
              <w:t>Vnitřní výnosové procento</w:t>
            </w:r>
          </w:p>
        </w:tc>
        <w:tc>
          <w:tcPr>
            <w:tcW w:w="1085" w:type="dxa"/>
            <w:vAlign w:val="center"/>
            <w:hideMark/>
          </w:tcPr>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18"/>
                <w:szCs w:val="18"/>
                <w:lang w:eastAsia="cs-CZ"/>
              </w:rPr>
            </w:pPr>
            <w:r w:rsidRPr="00820ACF">
              <w:rPr>
                <w:rFonts w:asciiTheme="minorHAnsi" w:eastAsia="Times New Roman" w:hAnsiTheme="minorHAnsi" w:cstheme="minorHAnsi"/>
                <w:bCs w:val="0"/>
                <w:color w:val="auto"/>
                <w:sz w:val="18"/>
                <w:szCs w:val="18"/>
                <w:lang w:eastAsia="cs-CZ"/>
              </w:rPr>
              <w:t xml:space="preserve">Ztráta </w:t>
            </w:r>
          </w:p>
          <w:p w:rsidR="00354112" w:rsidRPr="00820ACF" w:rsidRDefault="00354112" w:rsidP="003541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18"/>
                <w:szCs w:val="18"/>
                <w:lang w:eastAsia="cs-CZ"/>
              </w:rPr>
            </w:pPr>
            <w:r w:rsidRPr="00820ACF">
              <w:rPr>
                <w:rFonts w:asciiTheme="minorHAnsi" w:eastAsia="Times New Roman" w:hAnsiTheme="minorHAnsi" w:cstheme="minorHAnsi"/>
                <w:bCs w:val="0"/>
                <w:color w:val="auto"/>
                <w:sz w:val="18"/>
                <w:szCs w:val="18"/>
                <w:lang w:eastAsia="cs-CZ"/>
              </w:rPr>
              <w:t>(v mil. Kč)</w:t>
            </w:r>
          </w:p>
        </w:tc>
      </w:tr>
      <w:tr w:rsidR="00354112" w:rsidRPr="00820ACF" w:rsidTr="008712FB">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Optimalizace trati Bystřice nad Olší - Český Těšín</w:t>
            </w:r>
          </w:p>
        </w:tc>
        <w:tc>
          <w:tcPr>
            <w:tcW w:w="92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3,0</w:t>
            </w:r>
          </w:p>
        </w:tc>
        <w:tc>
          <w:tcPr>
            <w:tcW w:w="99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2 820,5</w:t>
            </w:r>
          </w:p>
        </w:tc>
        <w:tc>
          <w:tcPr>
            <w:tcW w:w="1701"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6,83</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 (dle schválené SP 2011)</w:t>
            </w:r>
          </w:p>
        </w:tc>
        <w:tc>
          <w:tcPr>
            <w:tcW w:w="1085"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194,3</w:t>
            </w:r>
          </w:p>
        </w:tc>
      </w:tr>
      <w:tr w:rsidR="00354112" w:rsidRPr="00820ACF" w:rsidTr="008712FB">
        <w:trPr>
          <w:trHeight w:val="448"/>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 xml:space="preserve">Optimalizace trati Český Těšín </w:t>
            </w:r>
            <w:r w:rsidR="00A53DB2">
              <w:rPr>
                <w:rFonts w:asciiTheme="minorHAnsi" w:eastAsia="Times New Roman" w:hAnsiTheme="minorHAnsi" w:cstheme="minorHAnsi"/>
                <w:color w:val="000000"/>
                <w:sz w:val="18"/>
                <w:szCs w:val="18"/>
                <w:lang w:eastAsia="cs-CZ"/>
              </w:rPr>
              <w:t>–</w:t>
            </w:r>
            <w:r w:rsidRPr="00820ACF">
              <w:rPr>
                <w:rFonts w:asciiTheme="minorHAnsi" w:eastAsia="Times New Roman" w:hAnsiTheme="minorHAnsi" w:cstheme="minorHAnsi"/>
                <w:color w:val="000000"/>
                <w:sz w:val="18"/>
                <w:szCs w:val="18"/>
                <w:lang w:eastAsia="cs-CZ"/>
              </w:rPr>
              <w:t xml:space="preserve"> Dětmarovice</w:t>
            </w:r>
          </w:p>
        </w:tc>
        <w:tc>
          <w:tcPr>
            <w:tcW w:w="92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3,5</w:t>
            </w:r>
          </w:p>
        </w:tc>
        <w:tc>
          <w:tcPr>
            <w:tcW w:w="99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2 798,5</w:t>
            </w:r>
          </w:p>
        </w:tc>
        <w:tc>
          <w:tcPr>
            <w:tcW w:w="1701"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6,83</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 (dle schválené SP 2011)</w:t>
            </w:r>
          </w:p>
        </w:tc>
        <w:tc>
          <w:tcPr>
            <w:tcW w:w="1085"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190,4</w:t>
            </w:r>
          </w:p>
        </w:tc>
      </w:tr>
      <w:tr w:rsidR="00354112" w:rsidRPr="00820ACF" w:rsidTr="008712FB">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 xml:space="preserve">Optimalizace trati Ostrava Kunčice - Frýdek Místek - Český Těšín, vč. PEÚ a optimalizace </w:t>
            </w:r>
            <w:proofErr w:type="spellStart"/>
            <w:r w:rsidRPr="00820ACF">
              <w:rPr>
                <w:rFonts w:asciiTheme="minorHAnsi" w:eastAsia="Times New Roman" w:hAnsiTheme="minorHAnsi" w:cstheme="minorHAnsi"/>
                <w:sz w:val="18"/>
                <w:szCs w:val="18"/>
                <w:lang w:eastAsia="cs-CZ"/>
              </w:rPr>
              <w:t>žst</w:t>
            </w:r>
            <w:proofErr w:type="spellEnd"/>
            <w:r w:rsidRPr="00820ACF">
              <w:rPr>
                <w:rFonts w:asciiTheme="minorHAnsi" w:eastAsia="Times New Roman" w:hAnsiTheme="minorHAnsi" w:cstheme="minorHAnsi"/>
                <w:sz w:val="18"/>
                <w:szCs w:val="18"/>
                <w:lang w:eastAsia="cs-CZ"/>
              </w:rPr>
              <w:t>. Č. Těšín, 1.</w:t>
            </w:r>
            <w:r w:rsidR="0059298E">
              <w:rPr>
                <w:rFonts w:asciiTheme="minorHAnsi" w:eastAsia="Times New Roman" w:hAnsiTheme="minorHAnsi" w:cstheme="minorHAnsi"/>
                <w:sz w:val="18"/>
                <w:szCs w:val="18"/>
                <w:lang w:eastAsia="cs-CZ"/>
              </w:rPr>
              <w:t xml:space="preserve"> </w:t>
            </w:r>
            <w:r w:rsidRPr="00820ACF">
              <w:rPr>
                <w:rFonts w:asciiTheme="minorHAnsi" w:eastAsia="Times New Roman" w:hAnsiTheme="minorHAnsi" w:cstheme="minorHAnsi"/>
                <w:sz w:val="18"/>
                <w:szCs w:val="18"/>
                <w:lang w:eastAsia="cs-CZ"/>
              </w:rPr>
              <w:t>část</w:t>
            </w:r>
          </w:p>
        </w:tc>
        <w:tc>
          <w:tcPr>
            <w:tcW w:w="92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6,9</w:t>
            </w:r>
          </w:p>
        </w:tc>
        <w:tc>
          <w:tcPr>
            <w:tcW w:w="99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2 971,1</w:t>
            </w:r>
          </w:p>
        </w:tc>
        <w:tc>
          <w:tcPr>
            <w:tcW w:w="1701"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7,6</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w:t>
            </w:r>
          </w:p>
        </w:tc>
        <w:tc>
          <w:tcPr>
            <w:tcW w:w="1085"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244,0</w:t>
            </w:r>
          </w:p>
        </w:tc>
      </w:tr>
      <w:tr w:rsidR="00354112" w:rsidRPr="00820ACF" w:rsidTr="008712FB">
        <w:trPr>
          <w:trHeight w:val="406"/>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 xml:space="preserve">Optimalizace trati Ostrava Kunčice - Frýdek Místek - Český Těšín, vč. PEÚ a optimalizace </w:t>
            </w:r>
            <w:proofErr w:type="spellStart"/>
            <w:r w:rsidRPr="00820ACF">
              <w:rPr>
                <w:rFonts w:asciiTheme="minorHAnsi" w:eastAsia="Times New Roman" w:hAnsiTheme="minorHAnsi" w:cstheme="minorHAnsi"/>
                <w:sz w:val="18"/>
                <w:szCs w:val="18"/>
                <w:lang w:eastAsia="cs-CZ"/>
              </w:rPr>
              <w:t>žst</w:t>
            </w:r>
            <w:proofErr w:type="spellEnd"/>
            <w:r w:rsidRPr="00820ACF">
              <w:rPr>
                <w:rFonts w:asciiTheme="minorHAnsi" w:eastAsia="Times New Roman" w:hAnsiTheme="minorHAnsi" w:cstheme="minorHAnsi"/>
                <w:sz w:val="18"/>
                <w:szCs w:val="18"/>
                <w:lang w:eastAsia="cs-CZ"/>
              </w:rPr>
              <w:t>. Č. Těšín, 2.</w:t>
            </w:r>
            <w:r w:rsidR="0059298E">
              <w:rPr>
                <w:rFonts w:asciiTheme="minorHAnsi" w:eastAsia="Times New Roman" w:hAnsiTheme="minorHAnsi" w:cstheme="minorHAnsi"/>
                <w:sz w:val="18"/>
                <w:szCs w:val="18"/>
                <w:lang w:eastAsia="cs-CZ"/>
              </w:rPr>
              <w:t xml:space="preserve"> </w:t>
            </w:r>
            <w:r w:rsidRPr="00820ACF">
              <w:rPr>
                <w:rFonts w:asciiTheme="minorHAnsi" w:eastAsia="Times New Roman" w:hAnsiTheme="minorHAnsi" w:cstheme="minorHAnsi"/>
                <w:sz w:val="18"/>
                <w:szCs w:val="18"/>
                <w:lang w:eastAsia="cs-CZ"/>
              </w:rPr>
              <w:t>část</w:t>
            </w:r>
          </w:p>
        </w:tc>
        <w:tc>
          <w:tcPr>
            <w:tcW w:w="92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4,8</w:t>
            </w:r>
          </w:p>
        </w:tc>
        <w:tc>
          <w:tcPr>
            <w:tcW w:w="99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4 596,0</w:t>
            </w:r>
          </w:p>
        </w:tc>
        <w:tc>
          <w:tcPr>
            <w:tcW w:w="1701"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akce v přípravě</w:t>
            </w:r>
          </w:p>
        </w:tc>
        <w:tc>
          <w:tcPr>
            <w:tcW w:w="1085"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p>
        </w:tc>
      </w:tr>
      <w:tr w:rsidR="00354112" w:rsidRPr="00820ACF" w:rsidTr="008712F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Optimalizace trati Český Těšín - Dětmarovice, část v km 332,200 - 333,076</w:t>
            </w:r>
          </w:p>
        </w:tc>
        <w:tc>
          <w:tcPr>
            <w:tcW w:w="92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1,6</w:t>
            </w:r>
          </w:p>
        </w:tc>
        <w:tc>
          <w:tcPr>
            <w:tcW w:w="99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307,1</w:t>
            </w:r>
          </w:p>
        </w:tc>
        <w:tc>
          <w:tcPr>
            <w:tcW w:w="1701"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6,1</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w:t>
            </w:r>
          </w:p>
        </w:tc>
        <w:tc>
          <w:tcPr>
            <w:tcW w:w="1085"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16,9</w:t>
            </w:r>
          </w:p>
        </w:tc>
      </w:tr>
      <w:tr w:rsidR="00354112" w:rsidRPr="00820ACF" w:rsidTr="008712FB">
        <w:trPr>
          <w:trHeight w:val="432"/>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Optimalizace trati Praha Smíchov (mimo) - Černošice (mimo)</w:t>
            </w:r>
          </w:p>
        </w:tc>
        <w:tc>
          <w:tcPr>
            <w:tcW w:w="92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3,5</w:t>
            </w:r>
          </w:p>
        </w:tc>
        <w:tc>
          <w:tcPr>
            <w:tcW w:w="99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2 257,8</w:t>
            </w:r>
          </w:p>
        </w:tc>
        <w:tc>
          <w:tcPr>
            <w:tcW w:w="1701"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6,03</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 (dle schválené SP 2010)</w:t>
            </w:r>
          </w:p>
        </w:tc>
        <w:tc>
          <w:tcPr>
            <w:tcW w:w="1085"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122,6</w:t>
            </w:r>
          </w:p>
        </w:tc>
      </w:tr>
      <w:tr w:rsidR="00354112" w:rsidRPr="00820ACF" w:rsidTr="008712FB">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 xml:space="preserve">Optimalizace trati Černošice (včetně) – Beroun (mimo) </w:t>
            </w:r>
          </w:p>
        </w:tc>
        <w:tc>
          <w:tcPr>
            <w:tcW w:w="92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4,3</w:t>
            </w:r>
          </w:p>
        </w:tc>
        <w:tc>
          <w:tcPr>
            <w:tcW w:w="99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4 350,0</w:t>
            </w:r>
          </w:p>
        </w:tc>
        <w:tc>
          <w:tcPr>
            <w:tcW w:w="1701"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6,03</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 (dle schválené SP 2010)</w:t>
            </w:r>
          </w:p>
        </w:tc>
        <w:tc>
          <w:tcPr>
            <w:tcW w:w="1085"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235,9</w:t>
            </w:r>
          </w:p>
        </w:tc>
      </w:tr>
      <w:tr w:rsidR="00354112" w:rsidRPr="00820ACF" w:rsidTr="008712FB">
        <w:trPr>
          <w:trHeight w:val="194"/>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Modernizace traťového úseku Praha Běchovice - Úvaly</w:t>
            </w:r>
          </w:p>
        </w:tc>
        <w:tc>
          <w:tcPr>
            <w:tcW w:w="92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5,7</w:t>
            </w:r>
          </w:p>
        </w:tc>
        <w:tc>
          <w:tcPr>
            <w:tcW w:w="99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1 736,1</w:t>
            </w:r>
          </w:p>
        </w:tc>
        <w:tc>
          <w:tcPr>
            <w:tcW w:w="1701"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14,5</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w:t>
            </w:r>
          </w:p>
        </w:tc>
        <w:tc>
          <w:tcPr>
            <w:tcW w:w="1085"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502,9</w:t>
            </w:r>
          </w:p>
        </w:tc>
      </w:tr>
      <w:tr w:rsidR="00354112" w:rsidRPr="00820ACF" w:rsidTr="008712F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Elektrizace tratě vč. PEÚ Brno - Zastávka u Brna</w:t>
            </w:r>
          </w:p>
        </w:tc>
        <w:tc>
          <w:tcPr>
            <w:tcW w:w="92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3,8</w:t>
            </w:r>
          </w:p>
        </w:tc>
        <w:tc>
          <w:tcPr>
            <w:tcW w:w="99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3 706,8</w:t>
            </w:r>
          </w:p>
        </w:tc>
        <w:tc>
          <w:tcPr>
            <w:tcW w:w="1701"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7,8</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w:t>
            </w:r>
          </w:p>
        </w:tc>
        <w:tc>
          <w:tcPr>
            <w:tcW w:w="1085"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316,6</w:t>
            </w:r>
          </w:p>
        </w:tc>
      </w:tr>
      <w:tr w:rsidR="00354112" w:rsidRPr="00820ACF" w:rsidTr="008712FB">
        <w:trPr>
          <w:trHeight w:val="172"/>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lastRenderedPageBreak/>
              <w:t>Rekonstrukce trati Praha Smíchov - Rudná - Beroun</w:t>
            </w:r>
          </w:p>
        </w:tc>
        <w:tc>
          <w:tcPr>
            <w:tcW w:w="92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2,9</w:t>
            </w:r>
          </w:p>
        </w:tc>
        <w:tc>
          <w:tcPr>
            <w:tcW w:w="99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764,6</w:t>
            </w:r>
          </w:p>
        </w:tc>
        <w:tc>
          <w:tcPr>
            <w:tcW w:w="1701"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7,1</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w:t>
            </w:r>
          </w:p>
        </w:tc>
        <w:tc>
          <w:tcPr>
            <w:tcW w:w="1085"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54,8</w:t>
            </w:r>
          </w:p>
        </w:tc>
      </w:tr>
      <w:tr w:rsidR="00354112" w:rsidRPr="00820ACF" w:rsidTr="008712FB">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Průjezd železničním uzlem Ústí nad Orlicí</w:t>
            </w:r>
          </w:p>
        </w:tc>
        <w:tc>
          <w:tcPr>
            <w:tcW w:w="92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2,9</w:t>
            </w:r>
          </w:p>
        </w:tc>
        <w:tc>
          <w:tcPr>
            <w:tcW w:w="99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1 082,2</w:t>
            </w:r>
          </w:p>
        </w:tc>
        <w:tc>
          <w:tcPr>
            <w:tcW w:w="1701"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5,6</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w:t>
            </w:r>
          </w:p>
        </w:tc>
        <w:tc>
          <w:tcPr>
            <w:tcW w:w="1085"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50,8</w:t>
            </w:r>
          </w:p>
        </w:tc>
      </w:tr>
      <w:tr w:rsidR="00354112" w:rsidRPr="00820ACF" w:rsidTr="008712FB">
        <w:trPr>
          <w:trHeight w:val="178"/>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 xml:space="preserve">Optimalizace traťového úseku Praha Hostivař - Praha hl. n., I. část - </w:t>
            </w:r>
            <w:proofErr w:type="spellStart"/>
            <w:r w:rsidRPr="00820ACF">
              <w:rPr>
                <w:rFonts w:asciiTheme="minorHAnsi" w:eastAsia="Times New Roman" w:hAnsiTheme="minorHAnsi" w:cstheme="minorHAnsi"/>
                <w:sz w:val="18"/>
                <w:szCs w:val="18"/>
                <w:lang w:eastAsia="cs-CZ"/>
              </w:rPr>
              <w:t>žst</w:t>
            </w:r>
            <w:proofErr w:type="spellEnd"/>
            <w:r w:rsidRPr="00820ACF">
              <w:rPr>
                <w:rFonts w:asciiTheme="minorHAnsi" w:eastAsia="Times New Roman" w:hAnsiTheme="minorHAnsi" w:cstheme="minorHAnsi"/>
                <w:sz w:val="18"/>
                <w:szCs w:val="18"/>
                <w:lang w:eastAsia="cs-CZ"/>
              </w:rPr>
              <w:t>. Praha Hostivař</w:t>
            </w:r>
          </w:p>
        </w:tc>
        <w:tc>
          <w:tcPr>
            <w:tcW w:w="92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1,4</w:t>
            </w:r>
          </w:p>
        </w:tc>
        <w:tc>
          <w:tcPr>
            <w:tcW w:w="99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1 214,3</w:t>
            </w:r>
          </w:p>
        </w:tc>
        <w:tc>
          <w:tcPr>
            <w:tcW w:w="1701"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6,2</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w:t>
            </w:r>
          </w:p>
        </w:tc>
        <w:tc>
          <w:tcPr>
            <w:tcW w:w="1085"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68,8</w:t>
            </w:r>
          </w:p>
        </w:tc>
      </w:tr>
      <w:tr w:rsidR="00354112" w:rsidRPr="00820ACF" w:rsidTr="008712F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 xml:space="preserve">Modernizace trati Rokycany </w:t>
            </w:r>
            <w:r w:rsidR="00A53DB2">
              <w:rPr>
                <w:rFonts w:asciiTheme="minorHAnsi" w:eastAsia="Times New Roman" w:hAnsiTheme="minorHAnsi" w:cstheme="minorHAnsi"/>
                <w:sz w:val="18"/>
                <w:szCs w:val="18"/>
                <w:lang w:eastAsia="cs-CZ"/>
              </w:rPr>
              <w:t>–</w:t>
            </w:r>
            <w:r w:rsidRPr="00820ACF">
              <w:rPr>
                <w:rFonts w:asciiTheme="minorHAnsi" w:eastAsia="Times New Roman" w:hAnsiTheme="minorHAnsi" w:cstheme="minorHAnsi"/>
                <w:sz w:val="18"/>
                <w:szCs w:val="18"/>
                <w:lang w:eastAsia="cs-CZ"/>
              </w:rPr>
              <w:t xml:space="preserve"> Plzeň</w:t>
            </w:r>
          </w:p>
        </w:tc>
        <w:tc>
          <w:tcPr>
            <w:tcW w:w="92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3,8</w:t>
            </w:r>
          </w:p>
        </w:tc>
        <w:tc>
          <w:tcPr>
            <w:tcW w:w="99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4 995,4</w:t>
            </w:r>
          </w:p>
        </w:tc>
        <w:tc>
          <w:tcPr>
            <w:tcW w:w="1701"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6,03</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 (dle schválené SP 2010)</w:t>
            </w:r>
          </w:p>
        </w:tc>
        <w:tc>
          <w:tcPr>
            <w:tcW w:w="1085"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271,5</w:t>
            </w:r>
          </w:p>
        </w:tc>
      </w:tr>
      <w:tr w:rsidR="00354112" w:rsidRPr="00820ACF" w:rsidTr="008712FB">
        <w:trPr>
          <w:trHeight w:val="419"/>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 xml:space="preserve">Modernizace trati Sudoměřice </w:t>
            </w:r>
            <w:r w:rsidR="00A53DB2">
              <w:rPr>
                <w:rFonts w:asciiTheme="minorHAnsi" w:eastAsia="Times New Roman" w:hAnsiTheme="minorHAnsi" w:cstheme="minorHAnsi"/>
                <w:sz w:val="18"/>
                <w:szCs w:val="18"/>
                <w:lang w:eastAsia="cs-CZ"/>
              </w:rPr>
              <w:t>–</w:t>
            </w:r>
            <w:r w:rsidRPr="00820ACF">
              <w:rPr>
                <w:rFonts w:asciiTheme="minorHAnsi" w:eastAsia="Times New Roman" w:hAnsiTheme="minorHAnsi" w:cstheme="minorHAnsi"/>
                <w:sz w:val="18"/>
                <w:szCs w:val="18"/>
                <w:lang w:eastAsia="cs-CZ"/>
              </w:rPr>
              <w:t xml:space="preserve"> Votice</w:t>
            </w:r>
          </w:p>
        </w:tc>
        <w:tc>
          <w:tcPr>
            <w:tcW w:w="92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1,8</w:t>
            </w:r>
          </w:p>
        </w:tc>
        <w:tc>
          <w:tcPr>
            <w:tcW w:w="992"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5 999,5</w:t>
            </w:r>
          </w:p>
        </w:tc>
        <w:tc>
          <w:tcPr>
            <w:tcW w:w="1701"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5,71</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 (dle schválené ASP 2012)</w:t>
            </w:r>
          </w:p>
        </w:tc>
        <w:tc>
          <w:tcPr>
            <w:tcW w:w="1085" w:type="dxa"/>
            <w:vAlign w:val="center"/>
            <w:hideMark/>
          </w:tcPr>
          <w:p w:rsidR="00354112" w:rsidRPr="00820ACF" w:rsidRDefault="00354112" w:rsidP="00820AC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295,5</w:t>
            </w:r>
          </w:p>
        </w:tc>
      </w:tr>
      <w:tr w:rsidR="00354112" w:rsidRPr="00820ACF" w:rsidTr="008712F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372" w:type="dxa"/>
            <w:vAlign w:val="center"/>
            <w:hideMark/>
          </w:tcPr>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 xml:space="preserve">Modernizace trati Veselí n. L. – Tábor - II. část, úsek </w:t>
            </w:r>
          </w:p>
          <w:p w:rsidR="00354112" w:rsidRPr="00820ACF" w:rsidRDefault="00354112" w:rsidP="00354112">
            <w:pPr>
              <w:spacing w:before="0" w:after="0"/>
              <w:jc w:val="left"/>
              <w:rPr>
                <w:rFonts w:asciiTheme="minorHAnsi" w:eastAsia="Times New Roman" w:hAnsiTheme="minorHAnsi" w:cstheme="minorHAnsi"/>
                <w:sz w:val="18"/>
                <w:szCs w:val="18"/>
                <w:lang w:eastAsia="cs-CZ"/>
              </w:rPr>
            </w:pPr>
            <w:r w:rsidRPr="00820ACF">
              <w:rPr>
                <w:rFonts w:asciiTheme="minorHAnsi" w:eastAsia="Times New Roman" w:hAnsiTheme="minorHAnsi" w:cstheme="minorHAnsi"/>
                <w:sz w:val="18"/>
                <w:szCs w:val="18"/>
                <w:lang w:eastAsia="cs-CZ"/>
              </w:rPr>
              <w:t>Veselí n. L. - Doubí u Tábora 2. etapa: Soběslav - Doubí</w:t>
            </w:r>
          </w:p>
        </w:tc>
        <w:tc>
          <w:tcPr>
            <w:tcW w:w="92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2,9</w:t>
            </w:r>
          </w:p>
        </w:tc>
        <w:tc>
          <w:tcPr>
            <w:tcW w:w="992"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3 510,0</w:t>
            </w:r>
          </w:p>
        </w:tc>
        <w:tc>
          <w:tcPr>
            <w:tcW w:w="1701"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5,71</w:t>
            </w:r>
            <w:r w:rsidR="00820ACF">
              <w:rPr>
                <w:rFonts w:asciiTheme="minorHAnsi" w:eastAsia="Times New Roman" w:hAnsiTheme="minorHAnsi" w:cstheme="minorHAnsi"/>
                <w:color w:val="000000"/>
                <w:sz w:val="18"/>
                <w:szCs w:val="18"/>
                <w:lang w:eastAsia="cs-CZ"/>
              </w:rPr>
              <w:t xml:space="preserve"> </w:t>
            </w:r>
            <w:r w:rsidRPr="00820ACF">
              <w:rPr>
                <w:rFonts w:asciiTheme="minorHAnsi" w:eastAsia="Times New Roman" w:hAnsiTheme="minorHAnsi" w:cstheme="minorHAnsi"/>
                <w:color w:val="000000"/>
                <w:sz w:val="18"/>
                <w:szCs w:val="18"/>
                <w:lang w:eastAsia="cs-CZ"/>
              </w:rPr>
              <w:t>% (dle schválené ASP 2012)</w:t>
            </w:r>
          </w:p>
        </w:tc>
        <w:tc>
          <w:tcPr>
            <w:tcW w:w="1085" w:type="dxa"/>
            <w:vAlign w:val="center"/>
            <w:hideMark/>
          </w:tcPr>
          <w:p w:rsidR="00354112" w:rsidRPr="00820ACF" w:rsidRDefault="00354112" w:rsidP="00820AC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820ACF">
              <w:rPr>
                <w:rFonts w:asciiTheme="minorHAnsi" w:eastAsia="Times New Roman" w:hAnsiTheme="minorHAnsi" w:cstheme="minorHAnsi"/>
                <w:color w:val="000000"/>
                <w:sz w:val="18"/>
                <w:szCs w:val="18"/>
                <w:lang w:eastAsia="cs-CZ"/>
              </w:rPr>
              <w:t>172,7</w:t>
            </w:r>
          </w:p>
        </w:tc>
      </w:tr>
    </w:tbl>
    <w:p w:rsidR="00354112" w:rsidRPr="00A120A2" w:rsidRDefault="00354112" w:rsidP="00354112">
      <w:pPr>
        <w:pStyle w:val="Citt"/>
      </w:pPr>
      <w:r w:rsidRPr="00A120A2">
        <w:t xml:space="preserve">Zdroj: EEIP na základě dat SŽDC </w:t>
      </w:r>
    </w:p>
    <w:p w:rsidR="00A423FE" w:rsidRPr="00416CE5" w:rsidRDefault="00A423FE" w:rsidP="003E4A5D">
      <w:pPr>
        <w:widowControl w:val="0"/>
        <w:rPr>
          <w:i/>
        </w:rPr>
      </w:pPr>
      <w:r>
        <w:t>Pokud s</w:t>
      </w:r>
      <w:r w:rsidRPr="00416CE5">
        <w:t xml:space="preserve">e podíváme na ostatní náklady </w:t>
      </w:r>
      <w:r w:rsidR="00AD4F3E">
        <w:t>vyjmen</w:t>
      </w:r>
      <w:r w:rsidR="002A1B2C">
        <w:t>ované v následujícím odstavci a </w:t>
      </w:r>
      <w:r w:rsidR="00AD4F3E">
        <w:t>indukované</w:t>
      </w:r>
      <w:r w:rsidRPr="00416CE5">
        <w:t xml:space="preserve"> dlouhým povolovacím procesem </w:t>
      </w:r>
      <w:r>
        <w:t xml:space="preserve">liniových </w:t>
      </w:r>
      <w:r w:rsidRPr="00416CE5">
        <w:t>dopravních staveb</w:t>
      </w:r>
      <w:r w:rsidR="002A1B2C">
        <w:t xml:space="preserve"> (tj. nejedná se o </w:t>
      </w:r>
      <w:r w:rsidR="00AD4F3E">
        <w:t>náklady spojené s tím, že stavbu mohu začít užívat a mít z ní přínosy déle, které byly odhadnuty výše)</w:t>
      </w:r>
      <w:r w:rsidR="00A840B0">
        <w:t xml:space="preserve">, </w:t>
      </w:r>
      <w:r w:rsidR="00AD4F3E" w:rsidRPr="00416CE5">
        <w:t xml:space="preserve">rostly </w:t>
      </w:r>
      <w:r w:rsidRPr="00416CE5">
        <w:t xml:space="preserve">dle Věstníku NKÚ (2013) </w:t>
      </w:r>
      <w:r w:rsidR="00AD4F3E">
        <w:t>v</w:t>
      </w:r>
      <w:r w:rsidR="00AD4F3E" w:rsidRPr="00416CE5">
        <w:t xml:space="preserve"> období 2008 – 9/2012 </w:t>
      </w:r>
      <w:r w:rsidRPr="00416CE5">
        <w:t xml:space="preserve">nejvíce předpokládané náklady v průběhu územních řízení </w:t>
      </w:r>
      <w:r w:rsidRPr="00416CE5">
        <w:rPr>
          <w:i/>
        </w:rPr>
        <w:t xml:space="preserve">(nárůst činil 21,9 mld. Kč) </w:t>
      </w:r>
      <w:r w:rsidRPr="005E78BB">
        <w:t xml:space="preserve">a stavebních řízení </w:t>
      </w:r>
      <w:r w:rsidRPr="00416CE5">
        <w:rPr>
          <w:i/>
        </w:rPr>
        <w:t>(nárůst činil 5,9 mld. Kč).</w:t>
      </w:r>
    </w:p>
    <w:p w:rsidR="00A423FE" w:rsidRPr="00416CE5" w:rsidRDefault="00A423FE" w:rsidP="003E4A5D">
      <w:pPr>
        <w:widowControl w:val="0"/>
      </w:pPr>
      <w:r w:rsidRPr="00416CE5">
        <w:t xml:space="preserve">Nejvíce rostly předpokládané náklady v průběhu územních řízení a stavebních řízení. Náklady zvyšovala rostoucí cena stavebních prací, náklady na přepracování dokumentace apod. Náklady zvyšovaly i požadavky účastníků územních a stavebních řízení na zařazení dodatečných stavebních objektů nebo na změny těch stávajících. Tyto požadavky však nebyly v některých případech dostatečně odůvodněné, a pokud byly odmítnuty, docházelo k dalším průtahům v přípravě staveb. Ne všechny tyto dodatečné náklady je však možné přičíst na vrub pouhému prodlužování přípravné fáze. Také není možné počítat zvýšené náklady na výstavbu z důvodu zařazení dodatečných stavebních objektů jako čistou ztrátu, protože i tyto objekty (ač mnohdy neefektivní) mají nějaké přínosy. Konzervativní odhad ztrát způsobených prodlužováním povolovacího procesu (bez efektu oddálení přínosů stavby) je </w:t>
      </w:r>
      <w:r w:rsidR="00AD4F3E">
        <w:t xml:space="preserve">dle údajů NKÚ a konzultací s ŘSD a SŽDC </w:t>
      </w:r>
      <w:r w:rsidRPr="00416CE5">
        <w:t xml:space="preserve">3 % na 1 rok. </w:t>
      </w:r>
    </w:p>
    <w:p w:rsidR="00A423FE" w:rsidRPr="00416CE5" w:rsidRDefault="00A423FE" w:rsidP="003E4A5D">
      <w:pPr>
        <w:widowControl w:val="0"/>
      </w:pPr>
      <w:r w:rsidRPr="00416CE5">
        <w:t xml:space="preserve">Z makroekonomického pohledu </w:t>
      </w:r>
      <w:r w:rsidR="00AD4F3E">
        <w:t xml:space="preserve">tedy </w:t>
      </w:r>
      <w:r w:rsidRPr="00416CE5">
        <w:t xml:space="preserve">budeme počítat, že pokud se podaří zkrátit povolovací proces liniových </w:t>
      </w:r>
      <w:r>
        <w:t xml:space="preserve">dopravních </w:t>
      </w:r>
      <w:r w:rsidRPr="00416CE5">
        <w:t>staveb o jeden rok, přínosy z tohoto zkrácení budou představovat 8,07% investičních nákladů u silničních staveb a 8,72% u železničních staveb</w:t>
      </w:r>
      <w:r w:rsidR="00AD4F3E">
        <w:t xml:space="preserve"> (jde o součet dvou výše uvedených hodnot)</w:t>
      </w:r>
      <w:r w:rsidRPr="00416CE5">
        <w:t>.</w:t>
      </w:r>
      <w:r w:rsidR="00837A41" w:rsidRPr="00837A41">
        <w:t xml:space="preserve"> </w:t>
      </w:r>
    </w:p>
    <w:p w:rsidR="00A423FE" w:rsidRDefault="00A423FE" w:rsidP="003E4A5D">
      <w:pPr>
        <w:widowControl w:val="0"/>
      </w:pPr>
      <w:r w:rsidRPr="00416CE5">
        <w:t>Jak se bude rozpočet SŽDC a ŘSD vyvíjet v budoucnu není jasné</w:t>
      </w:r>
      <w:r>
        <w:t xml:space="preserve">. Dle výše uvedené RIA </w:t>
      </w:r>
      <w:r w:rsidRPr="00416CE5">
        <w:t>budeme předpokládat, že přibližně 44 mld. Kč (25 mld. Kč u silničních staveb a 19 mld. Kč u</w:t>
      </w:r>
      <w:r w:rsidR="006A2E9E">
        <w:t> </w:t>
      </w:r>
      <w:r w:rsidRPr="00416CE5">
        <w:t xml:space="preserve">železničních) ročně bude investováno do výstavby nových liniových </w:t>
      </w:r>
      <w:r w:rsidRPr="007864DE">
        <w:t>dopravní</w:t>
      </w:r>
      <w:r>
        <w:t xml:space="preserve">ch </w:t>
      </w:r>
      <w:r w:rsidRPr="00416CE5">
        <w:t>staveb, které mu</w:t>
      </w:r>
      <w:r w:rsidR="00AD4F3E">
        <w:t>s</w:t>
      </w:r>
      <w:r w:rsidRPr="00416CE5">
        <w:t>í projít povolovacím procesem.</w:t>
      </w:r>
      <w:r>
        <w:t xml:space="preserve"> </w:t>
      </w:r>
      <w:r w:rsidRPr="00416CE5">
        <w:t xml:space="preserve">Podaří-li se zkrátit povolovací proces o jeden rok, očekáváme (na základě výpočtů a odhadů výše) roční přínosy </w:t>
      </w:r>
      <w:r w:rsidRPr="00416CE5">
        <w:rPr>
          <w:b/>
        </w:rPr>
        <w:t>2,02 mld. Kč</w:t>
      </w:r>
      <w:r w:rsidRPr="00416CE5">
        <w:t xml:space="preserve"> u silničních staveb a </w:t>
      </w:r>
      <w:r w:rsidRPr="00416CE5">
        <w:rPr>
          <w:b/>
        </w:rPr>
        <w:t>1,66 mld. Kč</w:t>
      </w:r>
      <w:r w:rsidRPr="00416CE5">
        <w:t xml:space="preserve"> u železničních staveb.</w:t>
      </w:r>
    </w:p>
    <w:p w:rsidR="002E3F08" w:rsidRDefault="00A423FE" w:rsidP="003E4A5D">
      <w:pPr>
        <w:widowControl w:val="0"/>
      </w:pPr>
      <w:r>
        <w:t>U ostatních kategorií staveb využijeme údajů z RIA k n</w:t>
      </w:r>
      <w:r w:rsidRPr="00A423FE">
        <w:t>ávrh</w:t>
      </w:r>
      <w:r>
        <w:t>u</w:t>
      </w:r>
      <w:r w:rsidRPr="00A423FE">
        <w:t xml:space="preserve"> </w:t>
      </w:r>
      <w:r w:rsidR="002A1B2C">
        <w:t xml:space="preserve">zákona, kterým se mění zákon </w:t>
      </w:r>
      <w:r w:rsidR="00BA30EC">
        <w:t>stávající stavební zákon</w:t>
      </w:r>
      <w:r w:rsidRPr="00A423FE">
        <w:t xml:space="preserve"> a další související zákony</w:t>
      </w:r>
      <w:r>
        <w:t xml:space="preserve"> (</w:t>
      </w:r>
      <w:r w:rsidR="00125057">
        <w:t>zákon č. 225/</w:t>
      </w:r>
      <w:r>
        <w:t>2017</w:t>
      </w:r>
      <w:r w:rsidR="00125057">
        <w:t>Sb.</w:t>
      </w:r>
      <w:r>
        <w:t>), abychom nemuseli dotčené subjekty zatěžovat vyplňováním dotazníkového šetření. Nepředpokládáme, že by se od roku 2017 níže uvedené hodnoty výrazněji změnily.</w:t>
      </w:r>
    </w:p>
    <w:p w:rsidR="006B3635" w:rsidRDefault="006B3635" w:rsidP="003E4A5D">
      <w:pPr>
        <w:widowControl w:val="0"/>
        <w:spacing w:before="0" w:after="0"/>
        <w:jc w:val="left"/>
        <w:rPr>
          <w:rFonts w:eastAsia="Times New Roman"/>
          <w:b/>
          <w:bCs/>
          <w:color w:val="000000"/>
          <w:sz w:val="22"/>
          <w:szCs w:val="20"/>
          <w:lang w:eastAsia="cs-CZ"/>
        </w:rPr>
      </w:pPr>
      <w:r>
        <w:br w:type="page"/>
      </w:r>
    </w:p>
    <w:p w:rsidR="00E56AB8" w:rsidRDefault="00E56AB8" w:rsidP="003E4A5D">
      <w:pPr>
        <w:pStyle w:val="Titulek"/>
      </w:pPr>
      <w:r>
        <w:lastRenderedPageBreak/>
        <w:t xml:space="preserve">Tabulka </w:t>
      </w:r>
      <w:r w:rsidR="00AB65E9">
        <w:rPr>
          <w:noProof/>
        </w:rPr>
        <w:fldChar w:fldCharType="begin"/>
      </w:r>
      <w:r w:rsidR="00790BCF">
        <w:rPr>
          <w:noProof/>
        </w:rPr>
        <w:instrText xml:space="preserve"> SEQ Tabulka \* ARABIC </w:instrText>
      </w:r>
      <w:r w:rsidR="00AB65E9">
        <w:rPr>
          <w:noProof/>
        </w:rPr>
        <w:fldChar w:fldCharType="separate"/>
      </w:r>
      <w:r w:rsidR="00263A1B">
        <w:rPr>
          <w:noProof/>
        </w:rPr>
        <w:t>8</w:t>
      </w:r>
      <w:r w:rsidR="00AB65E9">
        <w:rPr>
          <w:noProof/>
        </w:rPr>
        <w:fldChar w:fldCharType="end"/>
      </w:r>
      <w:r>
        <w:t xml:space="preserve">: </w:t>
      </w:r>
      <w:r w:rsidR="00031DFC">
        <w:t>Předpoklady pro výpočet přínosů ze zkrácení přípravné fáze výstavby komerčních nemovitostí a bytové výstavby</w:t>
      </w:r>
    </w:p>
    <w:tbl>
      <w:tblPr>
        <w:tblStyle w:val="Svtlstnovn1"/>
        <w:tblW w:w="0" w:type="auto"/>
        <w:tblInd w:w="108" w:type="dxa"/>
        <w:tblLook w:val="04A0" w:firstRow="1" w:lastRow="0" w:firstColumn="1" w:lastColumn="0" w:noHBand="0" w:noVBand="1"/>
      </w:tblPr>
      <w:tblGrid>
        <w:gridCol w:w="2803"/>
        <w:gridCol w:w="3024"/>
        <w:gridCol w:w="3245"/>
      </w:tblGrid>
      <w:tr w:rsidR="00D92381" w:rsidRPr="00D92381" w:rsidTr="008712F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3" w:type="dxa"/>
            <w:vAlign w:val="center"/>
          </w:tcPr>
          <w:p w:rsidR="00D92381" w:rsidRPr="00D92381" w:rsidRDefault="00D92381" w:rsidP="003E4A5D">
            <w:pPr>
              <w:widowControl w:val="0"/>
              <w:spacing w:before="0" w:after="0"/>
              <w:rPr>
                <w:rFonts w:asciiTheme="minorHAnsi" w:hAnsiTheme="minorHAnsi" w:cstheme="minorHAnsi"/>
                <w:sz w:val="20"/>
                <w:szCs w:val="20"/>
              </w:rPr>
            </w:pPr>
          </w:p>
        </w:tc>
        <w:tc>
          <w:tcPr>
            <w:tcW w:w="3024" w:type="dxa"/>
            <w:vAlign w:val="center"/>
          </w:tcPr>
          <w:p w:rsidR="00D92381" w:rsidRPr="00D92381" w:rsidRDefault="00D92381" w:rsidP="003E4A5D">
            <w:pPr>
              <w:widowControl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D92381">
              <w:rPr>
                <w:rFonts w:asciiTheme="minorHAnsi" w:hAnsiTheme="minorHAnsi" w:cstheme="minorHAnsi"/>
                <w:sz w:val="20"/>
                <w:szCs w:val="20"/>
              </w:rPr>
              <w:t>Komerční nemovitosti</w:t>
            </w:r>
          </w:p>
        </w:tc>
        <w:tc>
          <w:tcPr>
            <w:tcW w:w="3245" w:type="dxa"/>
            <w:vAlign w:val="center"/>
          </w:tcPr>
          <w:p w:rsidR="00D92381" w:rsidRPr="00D92381" w:rsidRDefault="00D92381" w:rsidP="003E4A5D">
            <w:pPr>
              <w:widowControl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D92381">
              <w:rPr>
                <w:rFonts w:asciiTheme="minorHAnsi" w:hAnsiTheme="minorHAnsi" w:cstheme="minorHAnsi"/>
                <w:sz w:val="20"/>
                <w:szCs w:val="20"/>
              </w:rPr>
              <w:t>Developerská bytová výstavba</w:t>
            </w:r>
          </w:p>
        </w:tc>
      </w:tr>
      <w:tr w:rsidR="00D92381" w:rsidRPr="00D92381" w:rsidTr="008712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3" w:type="dxa"/>
            <w:vAlign w:val="center"/>
          </w:tcPr>
          <w:p w:rsidR="00D92381" w:rsidRPr="00D92381" w:rsidRDefault="00D92381" w:rsidP="003E4A5D">
            <w:pPr>
              <w:widowControl w:val="0"/>
              <w:spacing w:before="0" w:after="0"/>
              <w:rPr>
                <w:rFonts w:asciiTheme="minorHAnsi" w:hAnsiTheme="minorHAnsi" w:cstheme="minorHAnsi"/>
                <w:sz w:val="20"/>
                <w:szCs w:val="20"/>
              </w:rPr>
            </w:pPr>
            <w:r w:rsidRPr="00D92381">
              <w:rPr>
                <w:rFonts w:asciiTheme="minorHAnsi" w:hAnsiTheme="minorHAnsi" w:cstheme="minorHAnsi"/>
                <w:sz w:val="20"/>
                <w:szCs w:val="20"/>
              </w:rPr>
              <w:t>Roční přínos ze zkrácení</w:t>
            </w:r>
          </w:p>
        </w:tc>
        <w:tc>
          <w:tcPr>
            <w:tcW w:w="3024" w:type="dxa"/>
            <w:vAlign w:val="center"/>
          </w:tcPr>
          <w:p w:rsidR="00D92381" w:rsidRPr="00D92381" w:rsidRDefault="00D92381"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92381">
              <w:rPr>
                <w:rFonts w:asciiTheme="minorHAnsi" w:hAnsiTheme="minorHAnsi" w:cstheme="minorHAnsi"/>
                <w:sz w:val="20"/>
                <w:szCs w:val="20"/>
              </w:rPr>
              <w:t>8 % investičních nákladů</w:t>
            </w:r>
          </w:p>
        </w:tc>
        <w:tc>
          <w:tcPr>
            <w:tcW w:w="3245" w:type="dxa"/>
            <w:vAlign w:val="center"/>
          </w:tcPr>
          <w:p w:rsidR="00D92381" w:rsidRPr="00D92381" w:rsidRDefault="00D92381"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92381">
              <w:rPr>
                <w:rFonts w:asciiTheme="minorHAnsi" w:hAnsiTheme="minorHAnsi" w:cstheme="minorHAnsi"/>
                <w:sz w:val="20"/>
                <w:szCs w:val="20"/>
              </w:rPr>
              <w:t>8 % investičních nákladů</w:t>
            </w:r>
          </w:p>
        </w:tc>
      </w:tr>
      <w:tr w:rsidR="00D92381" w:rsidRPr="00D92381" w:rsidTr="008712FB">
        <w:trPr>
          <w:trHeight w:val="397"/>
        </w:trPr>
        <w:tc>
          <w:tcPr>
            <w:cnfStyle w:val="001000000000" w:firstRow="0" w:lastRow="0" w:firstColumn="1" w:lastColumn="0" w:oddVBand="0" w:evenVBand="0" w:oddHBand="0" w:evenHBand="0" w:firstRowFirstColumn="0" w:firstRowLastColumn="0" w:lastRowFirstColumn="0" w:lastRowLastColumn="0"/>
            <w:tcW w:w="2803" w:type="dxa"/>
            <w:vAlign w:val="center"/>
          </w:tcPr>
          <w:p w:rsidR="00D92381" w:rsidRPr="00D92381" w:rsidRDefault="00D92381" w:rsidP="003E4A5D">
            <w:pPr>
              <w:widowControl w:val="0"/>
              <w:spacing w:before="0" w:after="0"/>
              <w:rPr>
                <w:rFonts w:asciiTheme="minorHAnsi" w:hAnsiTheme="minorHAnsi" w:cstheme="minorHAnsi"/>
                <w:sz w:val="20"/>
                <w:szCs w:val="20"/>
              </w:rPr>
            </w:pPr>
            <w:r w:rsidRPr="00D92381">
              <w:rPr>
                <w:rFonts w:asciiTheme="minorHAnsi" w:hAnsiTheme="minorHAnsi" w:cstheme="minorHAnsi"/>
                <w:sz w:val="20"/>
                <w:szCs w:val="20"/>
              </w:rPr>
              <w:t>Přínos ze zkrácení o 1 měsíc</w:t>
            </w:r>
          </w:p>
        </w:tc>
        <w:tc>
          <w:tcPr>
            <w:tcW w:w="3024" w:type="dxa"/>
            <w:vAlign w:val="center"/>
          </w:tcPr>
          <w:p w:rsidR="00D92381" w:rsidRPr="00D92381" w:rsidRDefault="00D92381" w:rsidP="003E4A5D">
            <w:pPr>
              <w:widowControl w:val="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92381">
              <w:rPr>
                <w:rFonts w:asciiTheme="minorHAnsi" w:hAnsiTheme="minorHAnsi" w:cstheme="minorHAnsi"/>
                <w:sz w:val="20"/>
                <w:szCs w:val="20"/>
              </w:rPr>
              <w:t>0,67</w:t>
            </w:r>
            <w:r>
              <w:rPr>
                <w:rFonts w:asciiTheme="minorHAnsi" w:hAnsiTheme="minorHAnsi" w:cstheme="minorHAnsi"/>
                <w:sz w:val="20"/>
                <w:szCs w:val="20"/>
              </w:rPr>
              <w:t xml:space="preserve"> </w:t>
            </w:r>
            <w:r w:rsidRPr="00D92381">
              <w:rPr>
                <w:rFonts w:asciiTheme="minorHAnsi" w:hAnsiTheme="minorHAnsi" w:cstheme="minorHAnsi"/>
                <w:sz w:val="20"/>
                <w:szCs w:val="20"/>
              </w:rPr>
              <w:t>%</w:t>
            </w:r>
          </w:p>
        </w:tc>
        <w:tc>
          <w:tcPr>
            <w:tcW w:w="3245" w:type="dxa"/>
            <w:vAlign w:val="center"/>
          </w:tcPr>
          <w:p w:rsidR="00D92381" w:rsidRPr="00D92381" w:rsidRDefault="00D92381" w:rsidP="003E4A5D">
            <w:pPr>
              <w:widowControl w:val="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92381">
              <w:rPr>
                <w:rFonts w:asciiTheme="minorHAnsi" w:hAnsiTheme="minorHAnsi" w:cstheme="minorHAnsi"/>
                <w:sz w:val="20"/>
                <w:szCs w:val="20"/>
              </w:rPr>
              <w:t>0,67</w:t>
            </w:r>
            <w:r>
              <w:rPr>
                <w:rFonts w:asciiTheme="minorHAnsi" w:hAnsiTheme="minorHAnsi" w:cstheme="minorHAnsi"/>
                <w:sz w:val="20"/>
                <w:szCs w:val="20"/>
              </w:rPr>
              <w:t xml:space="preserve"> </w:t>
            </w:r>
            <w:r w:rsidRPr="00D92381">
              <w:rPr>
                <w:rFonts w:asciiTheme="minorHAnsi" w:hAnsiTheme="minorHAnsi" w:cstheme="minorHAnsi"/>
                <w:sz w:val="20"/>
                <w:szCs w:val="20"/>
              </w:rPr>
              <w:t>%</w:t>
            </w:r>
          </w:p>
        </w:tc>
      </w:tr>
      <w:tr w:rsidR="00D92381" w:rsidRPr="00D92381" w:rsidTr="008712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3" w:type="dxa"/>
            <w:vAlign w:val="center"/>
          </w:tcPr>
          <w:p w:rsidR="00D92381" w:rsidRPr="00D92381" w:rsidRDefault="00D92381" w:rsidP="003E4A5D">
            <w:pPr>
              <w:widowControl w:val="0"/>
              <w:spacing w:before="0" w:after="0"/>
              <w:rPr>
                <w:rFonts w:asciiTheme="minorHAnsi" w:hAnsiTheme="minorHAnsi" w:cstheme="minorHAnsi"/>
                <w:sz w:val="20"/>
                <w:szCs w:val="20"/>
              </w:rPr>
            </w:pPr>
            <w:r w:rsidRPr="00D92381">
              <w:rPr>
                <w:rFonts w:asciiTheme="minorHAnsi" w:hAnsiTheme="minorHAnsi" w:cstheme="minorHAnsi"/>
                <w:sz w:val="20"/>
                <w:szCs w:val="20"/>
              </w:rPr>
              <w:t>Výše investic / rok</w:t>
            </w:r>
          </w:p>
        </w:tc>
        <w:tc>
          <w:tcPr>
            <w:tcW w:w="3024" w:type="dxa"/>
            <w:vAlign w:val="center"/>
          </w:tcPr>
          <w:p w:rsidR="00D92381" w:rsidRPr="00D92381" w:rsidRDefault="00D92381"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92381">
              <w:rPr>
                <w:rFonts w:asciiTheme="minorHAnsi" w:hAnsiTheme="minorHAnsi" w:cstheme="minorHAnsi"/>
                <w:sz w:val="20"/>
                <w:szCs w:val="20"/>
              </w:rPr>
              <w:t>20 mld. Kč</w:t>
            </w:r>
          </w:p>
        </w:tc>
        <w:tc>
          <w:tcPr>
            <w:tcW w:w="3245" w:type="dxa"/>
            <w:vAlign w:val="center"/>
          </w:tcPr>
          <w:p w:rsidR="00D92381" w:rsidRPr="00D92381" w:rsidRDefault="00D92381"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92381">
              <w:rPr>
                <w:rFonts w:asciiTheme="minorHAnsi" w:hAnsiTheme="minorHAnsi" w:cstheme="minorHAnsi"/>
                <w:sz w:val="20"/>
                <w:szCs w:val="20"/>
              </w:rPr>
              <w:t>20 mld. Kč</w:t>
            </w:r>
          </w:p>
        </w:tc>
      </w:tr>
    </w:tbl>
    <w:p w:rsidR="00391E39" w:rsidRPr="00031DFC" w:rsidRDefault="00031DFC" w:rsidP="003E4A5D">
      <w:pPr>
        <w:widowControl w:val="0"/>
        <w:rPr>
          <w:rFonts w:eastAsia="Times New Roman"/>
          <w:i/>
          <w:iCs/>
          <w:color w:val="000000"/>
          <w:sz w:val="22"/>
          <w:szCs w:val="20"/>
          <w:lang w:eastAsia="cs-CZ"/>
        </w:rPr>
      </w:pPr>
      <w:r w:rsidRPr="00031DFC">
        <w:rPr>
          <w:rFonts w:eastAsia="Times New Roman"/>
          <w:i/>
          <w:iCs/>
          <w:color w:val="000000"/>
          <w:sz w:val="22"/>
          <w:szCs w:val="20"/>
          <w:lang w:eastAsia="cs-CZ"/>
        </w:rPr>
        <w:t>Zdroj: MMR</w:t>
      </w:r>
    </w:p>
    <w:p w:rsidR="003C13D2" w:rsidRDefault="003C13D2" w:rsidP="003E4A5D">
      <w:pPr>
        <w:pStyle w:val="Nadpis4"/>
        <w:keepNext w:val="0"/>
        <w:keepLines w:val="0"/>
        <w:widowControl w:val="0"/>
      </w:pPr>
      <w:bookmarkStart w:id="13" w:name="_Toc536553888"/>
      <w:r w:rsidRPr="003C13D2">
        <w:t>Konkrétní problémy spojené s oddalováním realizace výstavb</w:t>
      </w:r>
      <w:r w:rsidR="0032110B">
        <w:t>y</w:t>
      </w:r>
      <w:bookmarkEnd w:id="13"/>
    </w:p>
    <w:p w:rsidR="00F16D67" w:rsidRPr="0089559F" w:rsidRDefault="00E80D0F" w:rsidP="003E4A5D">
      <w:pPr>
        <w:pStyle w:val="Text-Normaln"/>
        <w:widowControl w:val="0"/>
      </w:pPr>
      <w:r w:rsidRPr="0089559F">
        <w:t>K</w:t>
      </w:r>
      <w:r w:rsidR="00297D3D" w:rsidRPr="0089559F">
        <w:t>onkrétní</w:t>
      </w:r>
      <w:r w:rsidR="00F16D67" w:rsidRPr="0089559F">
        <w:t xml:space="preserve"> problémy spojené s </w:t>
      </w:r>
      <w:r w:rsidRPr="0089559F">
        <w:t>oddalováním realizace výstavby</w:t>
      </w:r>
      <w:r w:rsidR="003C13D2" w:rsidRPr="0089559F">
        <w:t xml:space="preserve"> pak mohou být následující:</w:t>
      </w:r>
      <w:r w:rsidR="00837A41" w:rsidRPr="0089559F">
        <w:t xml:space="preserve"> </w:t>
      </w:r>
    </w:p>
    <w:p w:rsidR="00F16D67" w:rsidRPr="0089559F" w:rsidRDefault="00F16D67" w:rsidP="003E4A5D">
      <w:pPr>
        <w:pStyle w:val="Odstavecseseznamem"/>
        <w:widowControl w:val="0"/>
        <w:numPr>
          <w:ilvl w:val="0"/>
          <w:numId w:val="26"/>
        </w:numPr>
      </w:pPr>
      <w:r w:rsidRPr="0089559F">
        <w:t>oddalování realizace výstavby vede i ke zvyšování nákladů na stavbu oproti plánovaným investičním výdajům (v důsledku růstu cen stavebních prací, cen pozemků apod.);</w:t>
      </w:r>
    </w:p>
    <w:p w:rsidR="00F16D67" w:rsidRPr="0089559F" w:rsidRDefault="00F16D67" w:rsidP="003E4A5D">
      <w:pPr>
        <w:pStyle w:val="Odstavecseseznamem"/>
        <w:widowControl w:val="0"/>
        <w:numPr>
          <w:ilvl w:val="0"/>
          <w:numId w:val="26"/>
        </w:numPr>
      </w:pPr>
      <w:r w:rsidRPr="0089559F">
        <w:t xml:space="preserve">ztráty představuje i zbytečné vynakládání prostředků z důvodu přerušování </w:t>
      </w:r>
      <w:r w:rsidR="00125057">
        <w:t xml:space="preserve">stavební činnosti </w:t>
      </w:r>
      <w:r w:rsidRPr="0089559F">
        <w:t xml:space="preserve">(v případě nutnosti stavbu zakonzervovat), prodlužování a opakování činností; </w:t>
      </w:r>
    </w:p>
    <w:p w:rsidR="00F16D67" w:rsidRPr="0089559F" w:rsidRDefault="00F16D67" w:rsidP="003E4A5D">
      <w:pPr>
        <w:pStyle w:val="Odstavecseseznamem"/>
        <w:widowControl w:val="0"/>
        <w:numPr>
          <w:ilvl w:val="0"/>
          <w:numId w:val="26"/>
        </w:numPr>
      </w:pPr>
      <w:r w:rsidRPr="0089559F">
        <w:t>v důsledku oddalování výstavby a tím možných změn podmínek může dojít ke změně záměru znamenající náklady na nová řízení</w:t>
      </w:r>
      <w:r w:rsidR="006F7FBC" w:rsidRPr="0089559F">
        <w:t>,</w:t>
      </w:r>
      <w:r w:rsidRPr="0089559F">
        <w:t xml:space="preserve"> příp. dodatečné náklady výstavby spojené se změnou projektu;</w:t>
      </w:r>
    </w:p>
    <w:p w:rsidR="00F16D67" w:rsidRPr="0089559F" w:rsidRDefault="00F16D67" w:rsidP="003E4A5D">
      <w:pPr>
        <w:pStyle w:val="Odstavecseseznamem"/>
        <w:widowControl w:val="0"/>
        <w:numPr>
          <w:ilvl w:val="0"/>
          <w:numId w:val="26"/>
        </w:numPr>
      </w:pPr>
      <w:r w:rsidRPr="0089559F">
        <w:t>dochází k neefektivnímu plánování kapacit u všech dotčených stran;</w:t>
      </w:r>
    </w:p>
    <w:p w:rsidR="00F16D67" w:rsidRPr="0089559F" w:rsidRDefault="00F16D67" w:rsidP="003E4A5D">
      <w:pPr>
        <w:pStyle w:val="Odstavecseseznamem"/>
        <w:widowControl w:val="0"/>
        <w:numPr>
          <w:ilvl w:val="0"/>
          <w:numId w:val="26"/>
        </w:numPr>
      </w:pPr>
      <w:r w:rsidRPr="0089559F">
        <w:t xml:space="preserve">dochází k neúměrnému zdražování staveb v důsledku </w:t>
      </w:r>
      <w:r w:rsidR="005D728A" w:rsidRPr="0089559F">
        <w:t xml:space="preserve">obsahu </w:t>
      </w:r>
      <w:r w:rsidR="002A1B2C">
        <w:t>množství stanovisek, námitek a </w:t>
      </w:r>
      <w:r w:rsidRPr="0089559F">
        <w:t xml:space="preserve">připomínek, které je v průběhu jednotlivých řízení </w:t>
      </w:r>
      <w:r w:rsidR="00F01EEE">
        <w:t xml:space="preserve">nutné </w:t>
      </w:r>
      <w:r w:rsidRPr="0089559F">
        <w:t>zohlednit;</w:t>
      </w:r>
    </w:p>
    <w:p w:rsidR="00F16D67" w:rsidRDefault="00F16D67" w:rsidP="003E4A5D">
      <w:pPr>
        <w:pStyle w:val="Odstavecseseznamem"/>
        <w:widowControl w:val="0"/>
        <w:numPr>
          <w:ilvl w:val="0"/>
          <w:numId w:val="26"/>
        </w:numPr>
      </w:pPr>
      <w:r w:rsidRPr="0089559F">
        <w:t>u staveb ve veřejném zájmu</w:t>
      </w:r>
      <w:r>
        <w:t xml:space="preserve"> mohou v důsledku dlouho trvajícího procesu vyvlastňování vzniknout dodatečné náklady ve formě potřeby vybudovat provizorní napojení na stávající komunikace apod.</w:t>
      </w:r>
      <w:r w:rsidR="006F7FBC">
        <w:t>;</w:t>
      </w:r>
    </w:p>
    <w:p w:rsidR="00EF4818" w:rsidRDefault="00EF4818" w:rsidP="003E4A5D">
      <w:pPr>
        <w:pStyle w:val="Odstavecseseznamem"/>
        <w:widowControl w:val="0"/>
        <w:numPr>
          <w:ilvl w:val="0"/>
          <w:numId w:val="26"/>
        </w:numPr>
      </w:pPr>
      <w:r>
        <w:t xml:space="preserve">při přiznávání odkladných účinků žalobám soudy ve správním soudnictví </w:t>
      </w:r>
      <w:r w:rsidR="00D60A83">
        <w:t>vznikají konzervace projektů na mnoho let (průměrná doba rozhodování Městského soudu v Praze v prvním stupni ve správním soudnictví je 3-4 roky, doba rozhodován</w:t>
      </w:r>
      <w:r w:rsidR="00C30C6F">
        <w:t>í Nejvyššího správního soudu je </w:t>
      </w:r>
      <w:r w:rsidR="00D60A83">
        <w:t>dalších 6 měsíců až 1 rok)</w:t>
      </w:r>
      <w:r w:rsidR="00405401">
        <w:t>;</w:t>
      </w:r>
    </w:p>
    <w:p w:rsidR="00EF4818" w:rsidRDefault="00EF4818" w:rsidP="003E4A5D">
      <w:pPr>
        <w:pStyle w:val="Odstavecseseznamem"/>
        <w:widowControl w:val="0"/>
        <w:numPr>
          <w:ilvl w:val="0"/>
          <w:numId w:val="26"/>
        </w:numPr>
      </w:pPr>
      <w:r>
        <w:t xml:space="preserve">při rušení již </w:t>
      </w:r>
      <w:r w:rsidR="00C30C6F">
        <w:t xml:space="preserve">vydaných </w:t>
      </w:r>
      <w:r>
        <w:t xml:space="preserve">pravomocných povolení </w:t>
      </w:r>
      <w:r w:rsidR="00C30C6F">
        <w:t xml:space="preserve">správními orgány v rámci přezkumných řízení či obnov řízení a soudy ve správním soudnictví se povolovací procesy dostávají i po letech od </w:t>
      </w:r>
      <w:r w:rsidR="00475B1D">
        <w:t xml:space="preserve">jejich </w:t>
      </w:r>
      <w:r w:rsidR="00C30C6F">
        <w:t xml:space="preserve">skončení </w:t>
      </w:r>
      <w:r w:rsidR="00405401">
        <w:t>téměř na počátek a probíhají znovu bez ohledu na aktuální stav projektu či již probíhající stavby;</w:t>
      </w:r>
    </w:p>
    <w:p w:rsidR="00405401" w:rsidRDefault="00405401" w:rsidP="003E4A5D">
      <w:pPr>
        <w:pStyle w:val="Odstavecseseznamem"/>
        <w:widowControl w:val="0"/>
        <w:numPr>
          <w:ilvl w:val="0"/>
          <w:numId w:val="26"/>
        </w:numPr>
      </w:pPr>
      <w:r>
        <w:t xml:space="preserve">při rušení územních plánů </w:t>
      </w:r>
      <w:r w:rsidR="00475B1D">
        <w:t xml:space="preserve">nebo jejich částí </w:t>
      </w:r>
      <w:r>
        <w:t xml:space="preserve">dochází </w:t>
      </w:r>
      <w:r w:rsidR="0049672C">
        <w:t xml:space="preserve">k nemožnosti vydat povolení pro projekty, které byly připraveny investory a vlastníky pozemků v dobré víře a </w:t>
      </w:r>
      <w:r w:rsidR="00475B1D">
        <w:t xml:space="preserve">případně </w:t>
      </w:r>
      <w:r w:rsidR="008E7FA9">
        <w:t>k zahajování obnov již pravomocně skončených povolovacích procesů;</w:t>
      </w:r>
    </w:p>
    <w:p w:rsidR="006F7FBC" w:rsidRDefault="006F7FBC" w:rsidP="003E4A5D">
      <w:pPr>
        <w:pStyle w:val="Odstavecseseznamem"/>
        <w:widowControl w:val="0"/>
        <w:numPr>
          <w:ilvl w:val="0"/>
          <w:numId w:val="26"/>
        </w:numPr>
      </w:pPr>
      <w:r>
        <w:t xml:space="preserve">s ohledem na rychlý vývoj </w:t>
      </w:r>
      <w:r w:rsidR="00A81B34">
        <w:t xml:space="preserve">materiálů, </w:t>
      </w:r>
      <w:r>
        <w:t>technologií</w:t>
      </w:r>
      <w:r w:rsidR="00A81B34">
        <w:t>, požadavků na bezpečnost, užitnou hodnotu, ochranu životního prostředí, designu a představ o dobré architektuře projekty morálně zastarávají</w:t>
      </w:r>
      <w:r w:rsidR="00521A1D">
        <w:t xml:space="preserve"> a v době dokončování po mnoha letech trvání povolovacích procesů již nepředstavují špičku světové architektury, jakkoli </w:t>
      </w:r>
      <w:r w:rsidR="00EF4818">
        <w:t xml:space="preserve">tak </w:t>
      </w:r>
      <w:r w:rsidR="00521A1D">
        <w:t xml:space="preserve">mohly </w:t>
      </w:r>
      <w:r w:rsidR="00EF4818">
        <w:t>být připravovány</w:t>
      </w:r>
      <w:r w:rsidR="00521A1D">
        <w:t>.</w:t>
      </w:r>
    </w:p>
    <w:p w:rsidR="00D92381" w:rsidRDefault="003C13D2" w:rsidP="003E4A5D">
      <w:pPr>
        <w:widowControl w:val="0"/>
      </w:pPr>
      <w:r>
        <w:t>Průměrnou délku povolovacího procesu v ČR znázorňují další obrázky. S touto délkou povolovacího řízení bude dále pracováno při výpočtu přínosů z jeho zkrácení.</w:t>
      </w:r>
    </w:p>
    <w:p w:rsidR="008B023D" w:rsidRDefault="008B023D" w:rsidP="003E4A5D">
      <w:pPr>
        <w:widowControl w:val="0"/>
        <w:spacing w:before="0" w:after="0"/>
        <w:jc w:val="left"/>
        <w:rPr>
          <w:rFonts w:eastAsia="Times New Roman"/>
          <w:b/>
          <w:bCs/>
          <w:color w:val="000000"/>
          <w:sz w:val="22"/>
          <w:szCs w:val="20"/>
          <w:lang w:eastAsia="cs-CZ"/>
        </w:rPr>
      </w:pPr>
      <w:r>
        <w:br w:type="page"/>
      </w:r>
    </w:p>
    <w:p w:rsidR="009926F2" w:rsidRDefault="009926F2" w:rsidP="003E4A5D">
      <w:pPr>
        <w:pStyle w:val="Titulek"/>
      </w:pPr>
      <w:r>
        <w:lastRenderedPageBreak/>
        <w:t xml:space="preserve">Obrázek </w:t>
      </w:r>
      <w:r w:rsidR="00AB65E9">
        <w:rPr>
          <w:noProof/>
        </w:rPr>
        <w:fldChar w:fldCharType="begin"/>
      </w:r>
      <w:r w:rsidR="00790BCF">
        <w:rPr>
          <w:noProof/>
        </w:rPr>
        <w:instrText xml:space="preserve"> SEQ Obrázek \* ARABIC </w:instrText>
      </w:r>
      <w:r w:rsidR="00AB65E9">
        <w:rPr>
          <w:noProof/>
        </w:rPr>
        <w:fldChar w:fldCharType="separate"/>
      </w:r>
      <w:r w:rsidR="00263A1B">
        <w:rPr>
          <w:noProof/>
        </w:rPr>
        <w:t>8</w:t>
      </w:r>
      <w:r w:rsidR="00AB65E9">
        <w:rPr>
          <w:noProof/>
        </w:rPr>
        <w:fldChar w:fldCharType="end"/>
      </w:r>
      <w:r>
        <w:t xml:space="preserve">: Celková doba </w:t>
      </w:r>
      <w:r w:rsidR="008A3B28">
        <w:t xml:space="preserve">správních </w:t>
      </w:r>
      <w:r>
        <w:t>povolovacích procesů</w:t>
      </w:r>
      <w:r w:rsidR="006B3635">
        <w:t xml:space="preserve"> pro všechny projekty ve výběrovém vzorku</w:t>
      </w:r>
      <w:r w:rsidR="008A3B28">
        <w:t xml:space="preserve"> (bez soudního přezkumu)</w:t>
      </w:r>
    </w:p>
    <w:p w:rsidR="00D92381" w:rsidRPr="00D92381" w:rsidRDefault="00D92381" w:rsidP="003E4A5D">
      <w:pPr>
        <w:widowControl w:val="0"/>
        <w:spacing w:before="0" w:after="0"/>
        <w:rPr>
          <w:lang w:eastAsia="cs-CZ"/>
        </w:rPr>
      </w:pPr>
      <w:r w:rsidRPr="00D92381">
        <w:rPr>
          <w:noProof/>
          <w:lang w:eastAsia="cs-CZ"/>
        </w:rPr>
        <w:drawing>
          <wp:inline distT="0" distB="0" distL="0" distR="0" wp14:anchorId="2BA83178" wp14:editId="6E7E8BA7">
            <wp:extent cx="5760720" cy="348615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blip>
                    <a:srcRect t="10702" b="2128"/>
                    <a:stretch/>
                  </pic:blipFill>
                  <pic:spPr bwMode="auto">
                    <a:xfrm>
                      <a:off x="0" y="0"/>
                      <a:ext cx="5760720" cy="3486150"/>
                    </a:xfrm>
                    <a:prstGeom prst="rect">
                      <a:avLst/>
                    </a:prstGeom>
                    <a:ln>
                      <a:noFill/>
                    </a:ln>
                    <a:extLst>
                      <a:ext uri="{53640926-AAD7-44D8-BBD7-CCE9431645EC}">
                        <a14:shadowObscured xmlns:a14="http://schemas.microsoft.com/office/drawing/2010/main"/>
                      </a:ext>
                    </a:extLst>
                  </pic:spPr>
                </pic:pic>
              </a:graphicData>
            </a:graphic>
          </wp:inline>
        </w:drawing>
      </w:r>
    </w:p>
    <w:p w:rsidR="008B023D" w:rsidRDefault="008B023D" w:rsidP="003E4A5D">
      <w:pPr>
        <w:pStyle w:val="Citt"/>
        <w:contextualSpacing/>
        <w:rPr>
          <w:highlight w:val="yellow"/>
        </w:rPr>
      </w:pPr>
      <w:r>
        <w:t xml:space="preserve">Zdroj: </w:t>
      </w:r>
      <w:proofErr w:type="spellStart"/>
      <w:r>
        <w:t>Deloitte</w:t>
      </w:r>
      <w:proofErr w:type="spellEnd"/>
      <w:r>
        <w:t xml:space="preserve"> </w:t>
      </w:r>
    </w:p>
    <w:p w:rsidR="008B023D" w:rsidRPr="00D57A8C" w:rsidRDefault="008B023D" w:rsidP="003E4A5D">
      <w:pPr>
        <w:widowControl w:val="0"/>
        <w:spacing w:before="0" w:after="0"/>
        <w:contextualSpacing/>
        <w:rPr>
          <w:rFonts w:eastAsia="Times New Roman"/>
          <w:i/>
          <w:iCs/>
          <w:color w:val="000000"/>
          <w:sz w:val="22"/>
          <w:szCs w:val="20"/>
          <w:lang w:eastAsia="cs-CZ"/>
        </w:rPr>
      </w:pPr>
      <w:r w:rsidRPr="00D57A8C">
        <w:rPr>
          <w:rFonts w:eastAsia="Times New Roman"/>
          <w:i/>
          <w:iCs/>
          <w:color w:val="000000"/>
          <w:sz w:val="22"/>
          <w:szCs w:val="20"/>
          <w:lang w:eastAsia="cs-CZ"/>
        </w:rPr>
        <w:t xml:space="preserve">Pozn.: </w:t>
      </w:r>
      <w:r>
        <w:rPr>
          <w:rFonts w:eastAsia="Times New Roman"/>
          <w:i/>
          <w:iCs/>
          <w:color w:val="000000"/>
          <w:sz w:val="22"/>
          <w:szCs w:val="20"/>
          <w:lang w:eastAsia="cs-CZ"/>
        </w:rPr>
        <w:t>P</w:t>
      </w:r>
      <w:r w:rsidRPr="00D57A8C">
        <w:rPr>
          <w:rFonts w:eastAsia="Times New Roman"/>
          <w:i/>
          <w:iCs/>
          <w:color w:val="000000"/>
          <w:sz w:val="22"/>
          <w:szCs w:val="20"/>
          <w:lang w:eastAsia="cs-CZ"/>
        </w:rPr>
        <w:t xml:space="preserve">očet rezidenčních projektů ve vzorku </w:t>
      </w:r>
      <w:r>
        <w:rPr>
          <w:rFonts w:eastAsia="Times New Roman"/>
          <w:i/>
          <w:iCs/>
          <w:color w:val="000000"/>
          <w:sz w:val="22"/>
          <w:szCs w:val="20"/>
          <w:lang w:eastAsia="cs-CZ"/>
        </w:rPr>
        <w:t xml:space="preserve">činil </w:t>
      </w:r>
      <w:r w:rsidRPr="00D57A8C">
        <w:rPr>
          <w:rFonts w:eastAsia="Times New Roman"/>
          <w:i/>
          <w:iCs/>
          <w:color w:val="000000"/>
          <w:sz w:val="22"/>
          <w:szCs w:val="20"/>
          <w:lang w:eastAsia="cs-CZ"/>
        </w:rPr>
        <w:t>celkem 844</w:t>
      </w:r>
      <w:r>
        <w:rPr>
          <w:rFonts w:eastAsia="Times New Roman"/>
          <w:i/>
          <w:iCs/>
          <w:color w:val="000000"/>
          <w:sz w:val="22"/>
          <w:szCs w:val="20"/>
          <w:lang w:eastAsia="cs-CZ"/>
        </w:rPr>
        <w:t xml:space="preserve"> (s celkovým počtem</w:t>
      </w:r>
      <w:r w:rsidRPr="00D57A8C">
        <w:rPr>
          <w:rFonts w:eastAsia="Times New Roman"/>
          <w:i/>
          <w:iCs/>
          <w:color w:val="000000"/>
          <w:sz w:val="22"/>
          <w:szCs w:val="20"/>
          <w:lang w:eastAsia="cs-CZ"/>
        </w:rPr>
        <w:t xml:space="preserve"> bytů 42 047 </w:t>
      </w:r>
      <w:r>
        <w:rPr>
          <w:rFonts w:eastAsia="Times New Roman"/>
          <w:i/>
          <w:iCs/>
          <w:color w:val="000000"/>
          <w:sz w:val="22"/>
          <w:szCs w:val="20"/>
          <w:lang w:eastAsia="cs-CZ"/>
        </w:rPr>
        <w:t>a p</w:t>
      </w:r>
      <w:r w:rsidRPr="00D57A8C">
        <w:rPr>
          <w:rFonts w:eastAsia="Times New Roman"/>
          <w:i/>
          <w:iCs/>
          <w:color w:val="000000"/>
          <w:sz w:val="22"/>
          <w:szCs w:val="20"/>
          <w:lang w:eastAsia="cs-CZ"/>
        </w:rPr>
        <w:t>očt</w:t>
      </w:r>
      <w:r>
        <w:rPr>
          <w:rFonts w:eastAsia="Times New Roman"/>
          <w:i/>
          <w:iCs/>
          <w:color w:val="000000"/>
          <w:sz w:val="22"/>
          <w:szCs w:val="20"/>
          <w:lang w:eastAsia="cs-CZ"/>
        </w:rPr>
        <w:t>em</w:t>
      </w:r>
      <w:r w:rsidRPr="00D57A8C">
        <w:rPr>
          <w:rFonts w:eastAsia="Times New Roman"/>
          <w:i/>
          <w:iCs/>
          <w:color w:val="000000"/>
          <w:sz w:val="22"/>
          <w:szCs w:val="20"/>
          <w:lang w:eastAsia="cs-CZ"/>
        </w:rPr>
        <w:t xml:space="preserve"> rodinných domů 1</w:t>
      </w:r>
      <w:r>
        <w:rPr>
          <w:rFonts w:eastAsia="Times New Roman"/>
          <w:i/>
          <w:iCs/>
          <w:color w:val="000000"/>
          <w:sz w:val="22"/>
          <w:szCs w:val="20"/>
          <w:lang w:eastAsia="cs-CZ"/>
        </w:rPr>
        <w:t> </w:t>
      </w:r>
      <w:r w:rsidRPr="00D57A8C">
        <w:rPr>
          <w:rFonts w:eastAsia="Times New Roman"/>
          <w:i/>
          <w:iCs/>
          <w:color w:val="000000"/>
          <w:sz w:val="22"/>
          <w:szCs w:val="20"/>
          <w:lang w:eastAsia="cs-CZ"/>
        </w:rPr>
        <w:t>700</w:t>
      </w:r>
      <w:r>
        <w:rPr>
          <w:rFonts w:eastAsia="Times New Roman"/>
          <w:i/>
          <w:iCs/>
          <w:color w:val="000000"/>
          <w:sz w:val="22"/>
          <w:szCs w:val="20"/>
          <w:lang w:eastAsia="cs-CZ"/>
        </w:rPr>
        <w:t>).</w:t>
      </w:r>
    </w:p>
    <w:p w:rsidR="008B023D" w:rsidRPr="008B023D" w:rsidRDefault="008B023D" w:rsidP="003E4A5D">
      <w:pPr>
        <w:pStyle w:val="Titulek"/>
      </w:pPr>
      <w:r>
        <w:t xml:space="preserve">Obrázek </w:t>
      </w:r>
      <w:r w:rsidR="00AB65E9">
        <w:rPr>
          <w:noProof/>
        </w:rPr>
        <w:fldChar w:fldCharType="begin"/>
      </w:r>
      <w:r w:rsidR="002F76C3">
        <w:rPr>
          <w:noProof/>
        </w:rPr>
        <w:instrText xml:space="preserve"> SEQ Obrázek \* ARABIC </w:instrText>
      </w:r>
      <w:r w:rsidR="00AB65E9">
        <w:rPr>
          <w:noProof/>
        </w:rPr>
        <w:fldChar w:fldCharType="separate"/>
      </w:r>
      <w:r w:rsidR="00263A1B">
        <w:rPr>
          <w:noProof/>
        </w:rPr>
        <w:t>9</w:t>
      </w:r>
      <w:r w:rsidR="00AB65E9">
        <w:rPr>
          <w:noProof/>
        </w:rPr>
        <w:fldChar w:fldCharType="end"/>
      </w:r>
      <w:r>
        <w:t xml:space="preserve">: </w:t>
      </w:r>
      <w:r w:rsidRPr="008B023D">
        <w:t xml:space="preserve">Celková doba </w:t>
      </w:r>
      <w:r w:rsidR="00F558C1">
        <w:t xml:space="preserve">správních </w:t>
      </w:r>
      <w:r w:rsidRPr="008B023D">
        <w:t>povolovacích procesů pro projekty ve výběrovém vzorku</w:t>
      </w:r>
      <w:r>
        <w:t>, které prošly celým povolovacím procesem</w:t>
      </w:r>
      <w:r w:rsidR="00F558C1">
        <w:t xml:space="preserve"> (bez soudního přezkumu)</w:t>
      </w:r>
    </w:p>
    <w:p w:rsidR="00D92381" w:rsidRDefault="00D92381" w:rsidP="003E4A5D">
      <w:pPr>
        <w:widowControl w:val="0"/>
        <w:spacing w:before="0" w:after="0"/>
        <w:rPr>
          <w:lang w:eastAsia="cs-CZ"/>
        </w:rPr>
      </w:pPr>
      <w:r w:rsidRPr="00D92381">
        <w:rPr>
          <w:noProof/>
          <w:lang w:eastAsia="cs-CZ"/>
        </w:rPr>
        <w:drawing>
          <wp:inline distT="0" distB="0" distL="0" distR="0" wp14:anchorId="07C07551" wp14:editId="7D614A69">
            <wp:extent cx="5760720" cy="3460750"/>
            <wp:effectExtent l="0" t="0" r="0" b="635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blip>
                    <a:srcRect t="11667" b="1465"/>
                    <a:stretch/>
                  </pic:blipFill>
                  <pic:spPr bwMode="auto">
                    <a:xfrm>
                      <a:off x="0" y="0"/>
                      <a:ext cx="5760720" cy="3460750"/>
                    </a:xfrm>
                    <a:prstGeom prst="rect">
                      <a:avLst/>
                    </a:prstGeom>
                    <a:ln>
                      <a:noFill/>
                    </a:ln>
                    <a:extLst>
                      <a:ext uri="{53640926-AAD7-44D8-BBD7-CCE9431645EC}">
                        <a14:shadowObscured xmlns:a14="http://schemas.microsoft.com/office/drawing/2010/main"/>
                      </a:ext>
                    </a:extLst>
                  </pic:spPr>
                </pic:pic>
              </a:graphicData>
            </a:graphic>
          </wp:inline>
        </w:drawing>
      </w:r>
    </w:p>
    <w:p w:rsidR="00D92381" w:rsidRDefault="00D92381" w:rsidP="003E4A5D">
      <w:pPr>
        <w:pStyle w:val="Citt"/>
        <w:contextualSpacing/>
        <w:rPr>
          <w:highlight w:val="yellow"/>
        </w:rPr>
      </w:pPr>
      <w:r>
        <w:t xml:space="preserve">Zdroj: </w:t>
      </w:r>
      <w:proofErr w:type="spellStart"/>
      <w:r>
        <w:t>Deloitte</w:t>
      </w:r>
      <w:proofErr w:type="spellEnd"/>
      <w:r w:rsidR="00D530AC">
        <w:t xml:space="preserve"> </w:t>
      </w:r>
    </w:p>
    <w:p w:rsidR="008B14D9" w:rsidRPr="00D57A8C" w:rsidRDefault="00D57A8C" w:rsidP="003E4A5D">
      <w:pPr>
        <w:widowControl w:val="0"/>
        <w:spacing w:before="0" w:after="0"/>
        <w:contextualSpacing/>
        <w:rPr>
          <w:rFonts w:eastAsia="Times New Roman"/>
          <w:i/>
          <w:iCs/>
          <w:color w:val="000000"/>
          <w:sz w:val="22"/>
          <w:szCs w:val="20"/>
          <w:lang w:eastAsia="cs-CZ"/>
        </w:rPr>
      </w:pPr>
      <w:r w:rsidRPr="00D57A8C">
        <w:rPr>
          <w:rFonts w:eastAsia="Times New Roman"/>
          <w:i/>
          <w:iCs/>
          <w:color w:val="000000"/>
          <w:sz w:val="22"/>
          <w:szCs w:val="20"/>
          <w:lang w:eastAsia="cs-CZ"/>
        </w:rPr>
        <w:t xml:space="preserve">Pozn.: </w:t>
      </w:r>
      <w:r w:rsidR="006B3635">
        <w:rPr>
          <w:rFonts w:eastAsia="Times New Roman"/>
          <w:i/>
          <w:iCs/>
          <w:color w:val="000000"/>
          <w:sz w:val="22"/>
          <w:szCs w:val="20"/>
          <w:lang w:eastAsia="cs-CZ"/>
        </w:rPr>
        <w:t>P</w:t>
      </w:r>
      <w:r w:rsidR="008B14D9" w:rsidRPr="00D57A8C">
        <w:rPr>
          <w:rFonts w:eastAsia="Times New Roman"/>
          <w:i/>
          <w:iCs/>
          <w:color w:val="000000"/>
          <w:sz w:val="22"/>
          <w:szCs w:val="20"/>
          <w:lang w:eastAsia="cs-CZ"/>
        </w:rPr>
        <w:t xml:space="preserve">očet rezidenčních projektů </w:t>
      </w:r>
      <w:r w:rsidRPr="00D57A8C">
        <w:rPr>
          <w:rFonts w:eastAsia="Times New Roman"/>
          <w:i/>
          <w:iCs/>
          <w:color w:val="000000"/>
          <w:sz w:val="22"/>
          <w:szCs w:val="20"/>
          <w:lang w:eastAsia="cs-CZ"/>
        </w:rPr>
        <w:t xml:space="preserve">ve vzorku </w:t>
      </w:r>
      <w:r>
        <w:rPr>
          <w:rFonts w:eastAsia="Times New Roman"/>
          <w:i/>
          <w:iCs/>
          <w:color w:val="000000"/>
          <w:sz w:val="22"/>
          <w:szCs w:val="20"/>
          <w:lang w:eastAsia="cs-CZ"/>
        </w:rPr>
        <w:t xml:space="preserve">činil </w:t>
      </w:r>
      <w:r w:rsidR="008B14D9" w:rsidRPr="00D57A8C">
        <w:rPr>
          <w:rFonts w:eastAsia="Times New Roman"/>
          <w:i/>
          <w:iCs/>
          <w:color w:val="000000"/>
          <w:sz w:val="22"/>
          <w:szCs w:val="20"/>
          <w:lang w:eastAsia="cs-CZ"/>
        </w:rPr>
        <w:t>celkem 844</w:t>
      </w:r>
      <w:r>
        <w:rPr>
          <w:rFonts w:eastAsia="Times New Roman"/>
          <w:i/>
          <w:iCs/>
          <w:color w:val="000000"/>
          <w:sz w:val="22"/>
          <w:szCs w:val="20"/>
          <w:lang w:eastAsia="cs-CZ"/>
        </w:rPr>
        <w:t xml:space="preserve"> (s celkovým počtem</w:t>
      </w:r>
      <w:r w:rsidRPr="00D57A8C">
        <w:rPr>
          <w:rFonts w:eastAsia="Times New Roman"/>
          <w:i/>
          <w:iCs/>
          <w:color w:val="000000"/>
          <w:sz w:val="22"/>
          <w:szCs w:val="20"/>
          <w:lang w:eastAsia="cs-CZ"/>
        </w:rPr>
        <w:t xml:space="preserve"> bytů 42 047 </w:t>
      </w:r>
      <w:r>
        <w:rPr>
          <w:rFonts w:eastAsia="Times New Roman"/>
          <w:i/>
          <w:iCs/>
          <w:color w:val="000000"/>
          <w:sz w:val="22"/>
          <w:szCs w:val="20"/>
          <w:lang w:eastAsia="cs-CZ"/>
        </w:rPr>
        <w:t>a p</w:t>
      </w:r>
      <w:r w:rsidRPr="00D57A8C">
        <w:rPr>
          <w:rFonts w:eastAsia="Times New Roman"/>
          <w:i/>
          <w:iCs/>
          <w:color w:val="000000"/>
          <w:sz w:val="22"/>
          <w:szCs w:val="20"/>
          <w:lang w:eastAsia="cs-CZ"/>
        </w:rPr>
        <w:t>očt</w:t>
      </w:r>
      <w:r>
        <w:rPr>
          <w:rFonts w:eastAsia="Times New Roman"/>
          <w:i/>
          <w:iCs/>
          <w:color w:val="000000"/>
          <w:sz w:val="22"/>
          <w:szCs w:val="20"/>
          <w:lang w:eastAsia="cs-CZ"/>
        </w:rPr>
        <w:t>em</w:t>
      </w:r>
      <w:r w:rsidRPr="00D57A8C">
        <w:rPr>
          <w:rFonts w:eastAsia="Times New Roman"/>
          <w:i/>
          <w:iCs/>
          <w:color w:val="000000"/>
          <w:sz w:val="22"/>
          <w:szCs w:val="20"/>
          <w:lang w:eastAsia="cs-CZ"/>
        </w:rPr>
        <w:t xml:space="preserve"> rodinných domů 1</w:t>
      </w:r>
      <w:r>
        <w:rPr>
          <w:rFonts w:eastAsia="Times New Roman"/>
          <w:i/>
          <w:iCs/>
          <w:color w:val="000000"/>
          <w:sz w:val="22"/>
          <w:szCs w:val="20"/>
          <w:lang w:eastAsia="cs-CZ"/>
        </w:rPr>
        <w:t> </w:t>
      </w:r>
      <w:r w:rsidRPr="00D57A8C">
        <w:rPr>
          <w:rFonts w:eastAsia="Times New Roman"/>
          <w:i/>
          <w:iCs/>
          <w:color w:val="000000"/>
          <w:sz w:val="22"/>
          <w:szCs w:val="20"/>
          <w:lang w:eastAsia="cs-CZ"/>
        </w:rPr>
        <w:t>700)</w:t>
      </w:r>
      <w:r>
        <w:rPr>
          <w:rFonts w:eastAsia="Times New Roman"/>
          <w:i/>
          <w:iCs/>
          <w:color w:val="000000"/>
          <w:sz w:val="22"/>
          <w:szCs w:val="20"/>
          <w:lang w:eastAsia="cs-CZ"/>
        </w:rPr>
        <w:t>;</w:t>
      </w:r>
      <w:r w:rsidR="00632837" w:rsidRPr="00D57A8C">
        <w:rPr>
          <w:rFonts w:eastAsia="Times New Roman"/>
          <w:i/>
          <w:iCs/>
          <w:color w:val="000000"/>
          <w:sz w:val="22"/>
          <w:szCs w:val="20"/>
          <w:lang w:eastAsia="cs-CZ"/>
        </w:rPr>
        <w:t xml:space="preserve"> </w:t>
      </w:r>
      <w:r w:rsidR="006B3635">
        <w:rPr>
          <w:rFonts w:eastAsia="Times New Roman"/>
          <w:i/>
          <w:iCs/>
          <w:color w:val="000000"/>
          <w:sz w:val="22"/>
          <w:szCs w:val="20"/>
          <w:lang w:eastAsia="cs-CZ"/>
        </w:rPr>
        <w:t xml:space="preserve">z toho </w:t>
      </w:r>
      <w:r w:rsidR="00632837" w:rsidRPr="00D57A8C">
        <w:rPr>
          <w:rFonts w:eastAsia="Times New Roman"/>
          <w:i/>
          <w:iCs/>
          <w:color w:val="000000"/>
          <w:sz w:val="22"/>
          <w:szCs w:val="20"/>
          <w:lang w:eastAsia="cs-CZ"/>
        </w:rPr>
        <w:t xml:space="preserve">projektů, které </w:t>
      </w:r>
      <w:r w:rsidR="006B3635">
        <w:rPr>
          <w:rFonts w:eastAsia="Times New Roman"/>
          <w:i/>
          <w:iCs/>
          <w:color w:val="000000"/>
          <w:sz w:val="22"/>
          <w:szCs w:val="20"/>
          <w:lang w:eastAsia="cs-CZ"/>
        </w:rPr>
        <w:t>prošly</w:t>
      </w:r>
      <w:r w:rsidR="00632837" w:rsidRPr="00D57A8C">
        <w:rPr>
          <w:rFonts w:eastAsia="Times New Roman"/>
          <w:i/>
          <w:iCs/>
          <w:color w:val="000000"/>
          <w:sz w:val="22"/>
          <w:szCs w:val="20"/>
          <w:lang w:eastAsia="cs-CZ"/>
        </w:rPr>
        <w:t xml:space="preserve"> celý</w:t>
      </w:r>
      <w:r w:rsidR="006B3635">
        <w:rPr>
          <w:rFonts w:eastAsia="Times New Roman"/>
          <w:i/>
          <w:iCs/>
          <w:color w:val="000000"/>
          <w:sz w:val="22"/>
          <w:szCs w:val="20"/>
          <w:lang w:eastAsia="cs-CZ"/>
        </w:rPr>
        <w:t>m</w:t>
      </w:r>
      <w:r w:rsidR="00632837" w:rsidRPr="00D57A8C">
        <w:rPr>
          <w:rFonts w:eastAsia="Times New Roman"/>
          <w:i/>
          <w:iCs/>
          <w:color w:val="000000"/>
          <w:sz w:val="22"/>
          <w:szCs w:val="20"/>
          <w:lang w:eastAsia="cs-CZ"/>
        </w:rPr>
        <w:t xml:space="preserve"> legislativní</w:t>
      </w:r>
      <w:r w:rsidR="006B3635">
        <w:rPr>
          <w:rFonts w:eastAsia="Times New Roman"/>
          <w:i/>
          <w:iCs/>
          <w:color w:val="000000"/>
          <w:sz w:val="22"/>
          <w:szCs w:val="20"/>
          <w:lang w:eastAsia="cs-CZ"/>
        </w:rPr>
        <w:t>m</w:t>
      </w:r>
      <w:r w:rsidR="00632837" w:rsidRPr="00D57A8C">
        <w:rPr>
          <w:rFonts w:eastAsia="Times New Roman"/>
          <w:i/>
          <w:iCs/>
          <w:color w:val="000000"/>
          <w:sz w:val="22"/>
          <w:szCs w:val="20"/>
          <w:lang w:eastAsia="cs-CZ"/>
        </w:rPr>
        <w:t xml:space="preserve"> proces</w:t>
      </w:r>
      <w:r w:rsidR="006B3635">
        <w:rPr>
          <w:rFonts w:eastAsia="Times New Roman"/>
          <w:i/>
          <w:iCs/>
          <w:color w:val="000000"/>
          <w:sz w:val="22"/>
          <w:szCs w:val="20"/>
          <w:lang w:eastAsia="cs-CZ"/>
        </w:rPr>
        <w:t>em</w:t>
      </w:r>
      <w:r>
        <w:rPr>
          <w:rFonts w:eastAsia="Times New Roman"/>
          <w:i/>
          <w:iCs/>
          <w:color w:val="000000"/>
          <w:sz w:val="22"/>
          <w:szCs w:val="20"/>
          <w:lang w:eastAsia="cs-CZ"/>
        </w:rPr>
        <w:t>,</w:t>
      </w:r>
      <w:r w:rsidRPr="00D57A8C">
        <w:rPr>
          <w:rFonts w:eastAsia="Times New Roman"/>
          <w:i/>
          <w:iCs/>
          <w:color w:val="000000"/>
          <w:sz w:val="22"/>
          <w:szCs w:val="20"/>
          <w:lang w:eastAsia="cs-CZ"/>
        </w:rPr>
        <w:t xml:space="preserve"> bylo 24</w:t>
      </w:r>
      <w:r w:rsidR="00B643D5">
        <w:rPr>
          <w:rFonts w:eastAsia="Times New Roman"/>
          <w:i/>
          <w:iCs/>
          <w:color w:val="000000"/>
          <w:sz w:val="22"/>
          <w:szCs w:val="20"/>
          <w:lang w:eastAsia="cs-CZ"/>
        </w:rPr>
        <w:t xml:space="preserve"> (3.736 bytů)</w:t>
      </w:r>
      <w:r w:rsidR="006B3635">
        <w:rPr>
          <w:rFonts w:eastAsia="Times New Roman"/>
          <w:i/>
          <w:iCs/>
          <w:color w:val="000000"/>
          <w:sz w:val="22"/>
          <w:szCs w:val="20"/>
          <w:lang w:eastAsia="cs-CZ"/>
        </w:rPr>
        <w:t>.</w:t>
      </w:r>
    </w:p>
    <w:p w:rsidR="00B714CF" w:rsidRDefault="00D4266B" w:rsidP="00D4266B">
      <w:pPr>
        <w:pStyle w:val="Nadpis4"/>
        <w:rPr>
          <w:lang w:eastAsia="cs-CZ"/>
        </w:rPr>
      </w:pPr>
      <w:bookmarkStart w:id="14" w:name="_Toc536553889"/>
      <w:r>
        <w:rPr>
          <w:lang w:eastAsia="cs-CZ"/>
        </w:rPr>
        <w:lastRenderedPageBreak/>
        <w:t>Problémy dle jednotlivých věcných okruhů</w:t>
      </w:r>
      <w:bookmarkEnd w:id="14"/>
    </w:p>
    <w:p w:rsidR="00F16D67" w:rsidRDefault="00F16D67" w:rsidP="003E4A5D">
      <w:pPr>
        <w:widowControl w:val="0"/>
        <w:rPr>
          <w:lang w:eastAsia="cs-CZ"/>
        </w:rPr>
      </w:pPr>
      <w:r w:rsidRPr="001205F2">
        <w:rPr>
          <w:lang w:eastAsia="cs-CZ"/>
        </w:rPr>
        <w:t xml:space="preserve">Následující část hodnocení dopadů detailněji rozvádí </w:t>
      </w:r>
      <w:r w:rsidR="0032110B" w:rsidRPr="001205F2">
        <w:rPr>
          <w:lang w:eastAsia="cs-CZ"/>
        </w:rPr>
        <w:t xml:space="preserve">současný stav a </w:t>
      </w:r>
      <w:r w:rsidRPr="001205F2">
        <w:rPr>
          <w:lang w:eastAsia="cs-CZ"/>
        </w:rPr>
        <w:t>problémy identifikované výše. Tato část vychází především z konzultací uskutečněných v průběhu zpracovávání hodnocení dopadů s jednotlivými dotčenými subjekty.</w:t>
      </w:r>
      <w:r w:rsidR="00D4266B" w:rsidRPr="001205F2">
        <w:rPr>
          <w:lang w:eastAsia="cs-CZ"/>
        </w:rPr>
        <w:t xml:space="preserve"> Seznam konzultovaných stran je uveden v závěrečné kapitole RIA </w:t>
      </w:r>
      <w:r w:rsidR="00D4266B" w:rsidRPr="001205F2">
        <w:rPr>
          <w:i/>
          <w:lang w:eastAsia="cs-CZ"/>
        </w:rPr>
        <w:t>7. Konzultace</w:t>
      </w:r>
      <w:r w:rsidR="00D4266B" w:rsidRPr="001205F2">
        <w:rPr>
          <w:lang w:eastAsia="cs-CZ"/>
        </w:rPr>
        <w:t>.</w:t>
      </w:r>
    </w:p>
    <w:p w:rsidR="00E05F37" w:rsidRPr="00D4266B" w:rsidRDefault="00E05F37" w:rsidP="00D4266B">
      <w:pPr>
        <w:pStyle w:val="Nadpis5"/>
      </w:pPr>
      <w:bookmarkStart w:id="15" w:name="_Toc536553890"/>
      <w:r w:rsidRPr="00D4266B">
        <w:t>Ú</w:t>
      </w:r>
      <w:r w:rsidR="00EF35D1" w:rsidRPr="00D4266B">
        <w:t>zemní plánování</w:t>
      </w:r>
      <w:bookmarkEnd w:id="15"/>
      <w:r w:rsidRPr="00D4266B">
        <w:t xml:space="preserve"> </w:t>
      </w:r>
    </w:p>
    <w:p w:rsidR="0045064F" w:rsidRPr="0045064F" w:rsidRDefault="0045064F" w:rsidP="003E4A5D">
      <w:pPr>
        <w:widowControl w:val="0"/>
      </w:pPr>
      <w:r w:rsidRPr="0045064F">
        <w:t xml:space="preserve">Územní plánování je proces, při </w:t>
      </w:r>
      <w:r w:rsidR="003B1185">
        <w:t xml:space="preserve">němž dochází k závaznému </w:t>
      </w:r>
      <w:r w:rsidR="00D236AD">
        <w:t xml:space="preserve">předpokládanému </w:t>
      </w:r>
      <w:r w:rsidR="003B1185">
        <w:t>určení</w:t>
      </w:r>
      <w:r w:rsidRPr="0045064F">
        <w:t xml:space="preserve"> způsob</w:t>
      </w:r>
      <w:r w:rsidR="003B1185">
        <w:t>u</w:t>
      </w:r>
      <w:r w:rsidR="002A1B2C">
        <w:t xml:space="preserve"> využití území, a to </w:t>
      </w:r>
      <w:r w:rsidRPr="0045064F">
        <w:t>na úrovni</w:t>
      </w:r>
    </w:p>
    <w:p w:rsidR="003B1185" w:rsidRDefault="00C85BD6" w:rsidP="009D4B5F">
      <w:pPr>
        <w:pStyle w:val="Odstavecseseznamem"/>
        <w:widowControl w:val="0"/>
        <w:numPr>
          <w:ilvl w:val="0"/>
          <w:numId w:val="54"/>
        </w:numPr>
        <w:ind w:left="284" w:hanging="284"/>
      </w:pPr>
      <w:r>
        <w:t>ČR</w:t>
      </w:r>
      <w:r w:rsidR="003B1185">
        <w:t xml:space="preserve"> – </w:t>
      </w:r>
      <w:r w:rsidR="00D236AD">
        <w:t>p</w:t>
      </w:r>
      <w:r w:rsidR="003B1185">
        <w:t>olitikou územního rozvoje</w:t>
      </w:r>
    </w:p>
    <w:p w:rsidR="003B1185" w:rsidRDefault="003B1185" w:rsidP="009D4B5F">
      <w:pPr>
        <w:pStyle w:val="Odstavecseseznamem"/>
        <w:widowControl w:val="0"/>
        <w:numPr>
          <w:ilvl w:val="0"/>
          <w:numId w:val="54"/>
        </w:numPr>
        <w:ind w:left="284" w:hanging="284"/>
      </w:pPr>
      <w:r>
        <w:t>Krajů – v </w:t>
      </w:r>
      <w:r w:rsidR="00D236AD">
        <w:t>z</w:t>
      </w:r>
      <w:r>
        <w:t xml:space="preserve">ásadách </w:t>
      </w:r>
      <w:r w:rsidRPr="0045064F">
        <w:t>územního rozvoje</w:t>
      </w:r>
    </w:p>
    <w:p w:rsidR="0045064F" w:rsidRPr="0045064F" w:rsidRDefault="0045064F" w:rsidP="009D4B5F">
      <w:pPr>
        <w:pStyle w:val="Odstavecseseznamem"/>
        <w:widowControl w:val="0"/>
        <w:numPr>
          <w:ilvl w:val="0"/>
          <w:numId w:val="54"/>
        </w:numPr>
        <w:ind w:left="284" w:hanging="284"/>
      </w:pPr>
      <w:r w:rsidRPr="0045064F">
        <w:t xml:space="preserve">obcí – </w:t>
      </w:r>
      <w:r w:rsidR="003B1185">
        <w:t>v</w:t>
      </w:r>
      <w:r w:rsidRPr="0045064F">
        <w:t xml:space="preserve"> územní</w:t>
      </w:r>
      <w:r w:rsidR="003B1185">
        <w:t>ch</w:t>
      </w:r>
      <w:r w:rsidRPr="0045064F">
        <w:t xml:space="preserve"> plán</w:t>
      </w:r>
      <w:r w:rsidR="003B1185">
        <w:t>ech, příp. regulačních plánech (v konkrétně vymezených plochách).</w:t>
      </w:r>
    </w:p>
    <w:p w:rsidR="0045064F" w:rsidRPr="0045064F" w:rsidRDefault="00D236AD" w:rsidP="003E4A5D">
      <w:pPr>
        <w:widowControl w:val="0"/>
      </w:pPr>
      <w:r>
        <w:t>V</w:t>
      </w:r>
      <w:r w:rsidR="003B1185">
        <w:t xml:space="preserve"> rámci těchto dokumentů </w:t>
      </w:r>
      <w:r>
        <w:t xml:space="preserve">se například </w:t>
      </w:r>
      <w:r w:rsidR="003B1185">
        <w:t xml:space="preserve">stanovuje, kudy povedou liniové dopravní stavby, </w:t>
      </w:r>
      <w:r w:rsidR="0045064F" w:rsidRPr="0045064F">
        <w:t xml:space="preserve">kde </w:t>
      </w:r>
      <w:r w:rsidR="003B1185">
        <w:t>lze</w:t>
      </w:r>
      <w:r w:rsidR="0045064F" w:rsidRPr="0045064F">
        <w:t xml:space="preserve"> vystav</w:t>
      </w:r>
      <w:r w:rsidR="003B1185">
        <w:t>ět</w:t>
      </w:r>
      <w:r w:rsidR="0045064F" w:rsidRPr="0045064F">
        <w:t xml:space="preserve"> průmyslov</w:t>
      </w:r>
      <w:r w:rsidR="003B1185">
        <w:t>ou</w:t>
      </w:r>
      <w:r w:rsidR="0045064F" w:rsidRPr="0045064F">
        <w:t xml:space="preserve"> zón</w:t>
      </w:r>
      <w:r w:rsidR="003B1185">
        <w:t>u</w:t>
      </w:r>
      <w:r w:rsidR="0045064F" w:rsidRPr="0045064F">
        <w:t xml:space="preserve">, </w:t>
      </w:r>
      <w:r w:rsidR="003B1185">
        <w:t>kam se může</w:t>
      </w:r>
      <w:r w:rsidR="0045064F" w:rsidRPr="0045064F">
        <w:t xml:space="preserve"> rozšiřovat zástavba rodinných domů v obci,</w:t>
      </w:r>
      <w:r w:rsidR="003B1185">
        <w:t xml:space="preserve"> kde lze postavit komerční nemovitost, školu či jiný objekt občanské vybavenosti </w:t>
      </w:r>
      <w:r w:rsidR="003A67F2">
        <w:t>atd.</w:t>
      </w:r>
    </w:p>
    <w:p w:rsidR="0045064F" w:rsidRPr="0045064F" w:rsidRDefault="001205F2" w:rsidP="003E4A5D">
      <w:pPr>
        <w:widowControl w:val="0"/>
      </w:pPr>
      <w:r>
        <w:t>Vyžaduje-li to zákon, jsou j</w:t>
      </w:r>
      <w:r w:rsidR="0045064F" w:rsidRPr="0045064F">
        <w:t xml:space="preserve">ednotlivé stavby </w:t>
      </w:r>
      <w:r>
        <w:t>umisťovány</w:t>
      </w:r>
      <w:r w:rsidR="003B1185">
        <w:t xml:space="preserve"> v</w:t>
      </w:r>
      <w:r w:rsidR="0045064F" w:rsidRPr="0045064F">
        <w:t xml:space="preserve"> územním </w:t>
      </w:r>
      <w:r>
        <w:t>řízení,</w:t>
      </w:r>
      <w:r w:rsidR="0045064F" w:rsidRPr="0045064F">
        <w:t xml:space="preserve"> </w:t>
      </w:r>
      <w:r>
        <w:t xml:space="preserve">povolovány </w:t>
      </w:r>
      <w:r w:rsidR="003B1185">
        <w:t xml:space="preserve">ve </w:t>
      </w:r>
      <w:r w:rsidR="0045064F" w:rsidRPr="0045064F">
        <w:t>stavebním</w:t>
      </w:r>
      <w:r>
        <w:t xml:space="preserve"> řízení</w:t>
      </w:r>
      <w:r w:rsidR="0045064F" w:rsidRPr="0045064F">
        <w:t xml:space="preserve"> </w:t>
      </w:r>
      <w:r w:rsidR="00A24CEA">
        <w:t xml:space="preserve">a </w:t>
      </w:r>
      <w:r>
        <w:t>užívány na základě kolaudačního souhlasu</w:t>
      </w:r>
      <w:r w:rsidR="0016039F">
        <w:t xml:space="preserve"> nebo kolaudačního rozhodnutí.</w:t>
      </w:r>
      <w:r>
        <w:t xml:space="preserve"> </w:t>
      </w:r>
      <w:r w:rsidR="0016039F">
        <w:t>Umisťovat stavby a jejich změny na k</w:t>
      </w:r>
      <w:r w:rsidR="003B1185">
        <w:t xml:space="preserve">onkrétní pozemky však lze </w:t>
      </w:r>
      <w:r w:rsidR="0016039F">
        <w:t xml:space="preserve">jen v souladu s </w:t>
      </w:r>
      <w:r w:rsidR="003B1185">
        <w:t xml:space="preserve">výše </w:t>
      </w:r>
      <w:r w:rsidR="0016039F">
        <w:t xml:space="preserve">uvedenými </w:t>
      </w:r>
      <w:r w:rsidR="003B1185">
        <w:t xml:space="preserve">územně </w:t>
      </w:r>
      <w:r w:rsidR="0016039F">
        <w:t>plánovacími dokumenty</w:t>
      </w:r>
      <w:r w:rsidR="00BD1262">
        <w:t>,</w:t>
      </w:r>
      <w:r w:rsidR="0016039F">
        <w:t xml:space="preserve"> nestanoví-li zá</w:t>
      </w:r>
      <w:r w:rsidR="00BD1262">
        <w:t>kon jinak</w:t>
      </w:r>
      <w:r w:rsidR="003B1185">
        <w:t>.</w:t>
      </w:r>
      <w:r w:rsidR="00612F53">
        <w:t xml:space="preserve"> Vlastní</w:t>
      </w:r>
      <w:r w:rsidR="00E61BDC">
        <w:t>ci</w:t>
      </w:r>
      <w:r w:rsidR="00612F53">
        <w:t xml:space="preserve"> pozemk</w:t>
      </w:r>
      <w:r w:rsidR="00E61BDC">
        <w:t xml:space="preserve">ů mohou v procesu pořizování územně plánovacích dokumentů vyjádřit svůj nesouhlas se zařazením pozemku (viz dále). </w:t>
      </w:r>
    </w:p>
    <w:p w:rsidR="00E61BDC" w:rsidRPr="00A120A2" w:rsidRDefault="0045064F" w:rsidP="003E4A5D">
      <w:pPr>
        <w:widowControl w:val="0"/>
        <w:rPr>
          <w:noProof/>
        </w:rPr>
      </w:pPr>
      <w:r w:rsidRPr="0045064F">
        <w:t xml:space="preserve">Při pořizování </w:t>
      </w:r>
      <w:r w:rsidR="00E61BDC">
        <w:t xml:space="preserve">územně </w:t>
      </w:r>
      <w:r w:rsidRPr="0045064F">
        <w:t>plánovací</w:t>
      </w:r>
      <w:r w:rsidR="00E61BDC">
        <w:t>ch</w:t>
      </w:r>
      <w:r w:rsidRPr="0045064F">
        <w:t xml:space="preserve"> dokument</w:t>
      </w:r>
      <w:r w:rsidR="00E61BDC">
        <w:t>ů</w:t>
      </w:r>
      <w:r w:rsidRPr="0045064F">
        <w:t xml:space="preserve"> se vychází z územně</w:t>
      </w:r>
      <w:r w:rsidR="00BD1262">
        <w:t xml:space="preserve"> </w:t>
      </w:r>
      <w:r w:rsidRPr="0045064F">
        <w:t>plánovacích podkladů.</w:t>
      </w:r>
      <w:r w:rsidR="00E61BDC">
        <w:t xml:space="preserve"> </w:t>
      </w:r>
      <w:r w:rsidR="00E61BDC" w:rsidRPr="00A120A2">
        <w:rPr>
          <w:noProof/>
        </w:rPr>
        <w:t>Územně plánovací podklady tvoří:</w:t>
      </w:r>
    </w:p>
    <w:p w:rsidR="00E61BDC" w:rsidRPr="0032110B" w:rsidRDefault="00E61BDC" w:rsidP="0066490C">
      <w:pPr>
        <w:pStyle w:val="Odstavecseseznamem"/>
        <w:widowControl w:val="0"/>
        <w:numPr>
          <w:ilvl w:val="0"/>
          <w:numId w:val="55"/>
        </w:numPr>
        <w:rPr>
          <w:noProof/>
        </w:rPr>
      </w:pPr>
      <w:r w:rsidRPr="0032110B">
        <w:rPr>
          <w:noProof/>
        </w:rPr>
        <w:t xml:space="preserve">Územně analytické podklady - obsahují zjištění a vyhodnocení stavu a vývoje území, jeho hodnot, omezení změn v území </w:t>
      </w:r>
      <w:r w:rsidR="00BD1262" w:rsidRPr="0032110B">
        <w:rPr>
          <w:noProof/>
        </w:rPr>
        <w:t>(</w:t>
      </w:r>
      <w:r w:rsidRPr="0032110B">
        <w:rPr>
          <w:noProof/>
        </w:rPr>
        <w:t xml:space="preserve">limity využití území), záměrů na provedení změn v území, </w:t>
      </w:r>
      <w:r w:rsidR="0066490C" w:rsidRPr="0066490C">
        <w:rPr>
          <w:noProof/>
        </w:rPr>
        <w:t xml:space="preserve">zjišťování a vyhodnocování udržitelného rozvoje území a určení problémů k řešení v </w:t>
      </w:r>
      <w:r w:rsidR="0066490C">
        <w:rPr>
          <w:noProof/>
        </w:rPr>
        <w:t>ÚPD</w:t>
      </w:r>
      <w:r w:rsidRPr="0032110B">
        <w:rPr>
          <w:noProof/>
        </w:rPr>
        <w:t xml:space="preserve">. Pořizuje je </w:t>
      </w:r>
      <w:r w:rsidR="002A1B2C">
        <w:rPr>
          <w:noProof/>
        </w:rPr>
        <w:t>úřad územního plánování</w:t>
      </w:r>
      <w:r w:rsidR="0025562E">
        <w:rPr>
          <w:noProof/>
        </w:rPr>
        <w:t xml:space="preserve">, kterým je </w:t>
      </w:r>
      <w:r w:rsidR="00BD1262">
        <w:rPr>
          <w:noProof/>
        </w:rPr>
        <w:t xml:space="preserve">obecní úřad </w:t>
      </w:r>
      <w:r w:rsidR="002A1B2C">
        <w:rPr>
          <w:noProof/>
        </w:rPr>
        <w:t>obec s </w:t>
      </w:r>
      <w:r w:rsidRPr="0032110B">
        <w:rPr>
          <w:noProof/>
        </w:rPr>
        <w:t>rozšířenou působností</w:t>
      </w:r>
      <w:r w:rsidR="0025562E">
        <w:rPr>
          <w:noProof/>
        </w:rPr>
        <w:t xml:space="preserve"> (OÚ ORP),</w:t>
      </w:r>
      <w:r w:rsidRPr="0032110B">
        <w:rPr>
          <w:noProof/>
        </w:rPr>
        <w:t xml:space="preserve"> pro svůj správní obvod, </w:t>
      </w:r>
      <w:r w:rsidR="0011409E">
        <w:rPr>
          <w:noProof/>
        </w:rPr>
        <w:t xml:space="preserve">újezdní úřad pro území vojenského újezdu, </w:t>
      </w:r>
      <w:r w:rsidRPr="0032110B">
        <w:rPr>
          <w:noProof/>
        </w:rPr>
        <w:t>krajský úřad pro území kraje</w:t>
      </w:r>
      <w:r w:rsidR="00292B9E">
        <w:rPr>
          <w:noProof/>
        </w:rPr>
        <w:t xml:space="preserve"> a</w:t>
      </w:r>
      <w:r w:rsidR="0066490C">
        <w:rPr>
          <w:noProof/>
        </w:rPr>
        <w:t> </w:t>
      </w:r>
      <w:r w:rsidR="006A3B48" w:rsidRPr="00A120A2">
        <w:rPr>
          <w:noProof/>
        </w:rPr>
        <w:t xml:space="preserve">Ministerstvo pro místní rozvoj </w:t>
      </w:r>
      <w:r w:rsidR="00E40466">
        <w:rPr>
          <w:noProof/>
        </w:rPr>
        <w:t>(MMR)</w:t>
      </w:r>
      <w:r w:rsidR="00F76FB3">
        <w:rPr>
          <w:noProof/>
        </w:rPr>
        <w:t xml:space="preserve"> v rozsahu nezbytném pro plnění svých úkolů</w:t>
      </w:r>
      <w:r w:rsidR="00292B9E">
        <w:rPr>
          <w:noProof/>
        </w:rPr>
        <w:t>.</w:t>
      </w:r>
    </w:p>
    <w:p w:rsidR="00E61BDC" w:rsidRDefault="00E61BDC" w:rsidP="009D4B5F">
      <w:pPr>
        <w:pStyle w:val="Odstavecseseznamem"/>
        <w:widowControl w:val="0"/>
        <w:numPr>
          <w:ilvl w:val="0"/>
          <w:numId w:val="55"/>
        </w:numPr>
        <w:rPr>
          <w:noProof/>
        </w:rPr>
      </w:pPr>
      <w:r w:rsidRPr="0032110B">
        <w:rPr>
          <w:noProof/>
        </w:rPr>
        <w:t>Územní studie - navrhuje, prověřuje a posuzuje možná řešení vybraných problémů, případně úprav nebo rozvoj některých funkčních systémů v území, například veřejné infrastruktury, územního systému ekologické stability, které by mohly významně ovlivňovat nebo podmiňovat využití a uspořádání území ne</w:t>
      </w:r>
      <w:r w:rsidRPr="00A120A2">
        <w:rPr>
          <w:noProof/>
        </w:rPr>
        <w:t>bo jejich vybraných částí.</w:t>
      </w:r>
      <w:r w:rsidRPr="00A120A2">
        <w:rPr>
          <w:i/>
          <w:noProof/>
        </w:rPr>
        <w:t xml:space="preserve"> </w:t>
      </w:r>
      <w:r w:rsidRPr="00A120A2">
        <w:rPr>
          <w:noProof/>
        </w:rPr>
        <w:t xml:space="preserve">Územní studie </w:t>
      </w:r>
      <w:r>
        <w:rPr>
          <w:noProof/>
        </w:rPr>
        <w:t>s</w:t>
      </w:r>
      <w:r w:rsidRPr="00A120A2">
        <w:rPr>
          <w:noProof/>
        </w:rPr>
        <w:t>louží k</w:t>
      </w:r>
      <w:r w:rsidR="00F873F1">
        <w:rPr>
          <w:noProof/>
        </w:rPr>
        <w:t> </w:t>
      </w:r>
      <w:r w:rsidRPr="00A120A2">
        <w:rPr>
          <w:noProof/>
        </w:rPr>
        <w:t>prověření různých rozvojov</w:t>
      </w:r>
      <w:r w:rsidR="00BD1262">
        <w:rPr>
          <w:noProof/>
        </w:rPr>
        <w:t>ých</w:t>
      </w:r>
      <w:r w:rsidRPr="00A120A2">
        <w:rPr>
          <w:noProof/>
        </w:rPr>
        <w:t xml:space="preserve"> aktivit v území</w:t>
      </w:r>
      <w:r w:rsidR="00BD1262">
        <w:rPr>
          <w:noProof/>
        </w:rPr>
        <w:t>.</w:t>
      </w:r>
    </w:p>
    <w:p w:rsidR="00E61BDC" w:rsidRDefault="00E61BDC" w:rsidP="003E4A5D">
      <w:pPr>
        <w:widowControl w:val="0"/>
      </w:pPr>
      <w:r>
        <w:t>Zjednodušeně řečeno tak ú</w:t>
      </w:r>
      <w:r w:rsidRPr="0045064F">
        <w:t>zemně analytick</w:t>
      </w:r>
      <w:r>
        <w:t>é</w:t>
      </w:r>
      <w:r w:rsidRPr="0045064F">
        <w:t xml:space="preserve"> podklad</w:t>
      </w:r>
      <w:r>
        <w:t>y odpovídají na otázku</w:t>
      </w:r>
      <w:r w:rsidRPr="0045064F">
        <w:t xml:space="preserve"> „</w:t>
      </w:r>
      <w:r>
        <w:t>jaký je současný stav</w:t>
      </w:r>
      <w:r w:rsidR="00BD1262">
        <w:t xml:space="preserve"> a jaké jsou problémy v území</w:t>
      </w:r>
      <w:r w:rsidRPr="0045064F">
        <w:t xml:space="preserve">“, </w:t>
      </w:r>
      <w:r>
        <w:t>ú</w:t>
      </w:r>
      <w:r w:rsidRPr="0045064F">
        <w:t xml:space="preserve">zemní studie </w:t>
      </w:r>
      <w:r>
        <w:t>řeší</w:t>
      </w:r>
      <w:r w:rsidRPr="0045064F">
        <w:t xml:space="preserve"> otázk</w:t>
      </w:r>
      <w:r>
        <w:t>y</w:t>
      </w:r>
      <w:r w:rsidRPr="0045064F">
        <w:t xml:space="preserve"> </w:t>
      </w:r>
      <w:r>
        <w:t xml:space="preserve">typu </w:t>
      </w:r>
      <w:r w:rsidRPr="0045064F">
        <w:t>„</w:t>
      </w:r>
      <w:r w:rsidR="00BD1262">
        <w:t>jak daný problém řešit</w:t>
      </w:r>
      <w:r w:rsidRPr="0045064F">
        <w:t xml:space="preserve">“. </w:t>
      </w:r>
    </w:p>
    <w:p w:rsidR="006A3B48" w:rsidRDefault="006A3B48" w:rsidP="003E4A5D">
      <w:pPr>
        <w:widowControl w:val="0"/>
      </w:pPr>
      <w:r w:rsidRPr="008443EA">
        <w:t xml:space="preserve">Územně plánovací podklady slouží jako podklad pro pořizování závazných územně plánovacích dokumentů a </w:t>
      </w:r>
      <w:r w:rsidR="008443EA" w:rsidRPr="008443EA">
        <w:t xml:space="preserve">jako podklad </w:t>
      </w:r>
      <w:r w:rsidR="008443EA">
        <w:t xml:space="preserve">pro </w:t>
      </w:r>
      <w:r w:rsidRPr="008443EA">
        <w:t>rozhodování v území.</w:t>
      </w:r>
    </w:p>
    <w:p w:rsidR="00E61BDC" w:rsidRPr="0032110B" w:rsidRDefault="00E61BDC" w:rsidP="00D4266B">
      <w:pPr>
        <w:pStyle w:val="Nadpis6"/>
        <w:rPr>
          <w:noProof/>
        </w:rPr>
      </w:pPr>
      <w:bookmarkStart w:id="16" w:name="_Toc536553891"/>
      <w:r w:rsidRPr="0032110B">
        <w:rPr>
          <w:noProof/>
        </w:rPr>
        <w:t>Politika územního rozvoje</w:t>
      </w:r>
      <w:r w:rsidR="007F4230" w:rsidRPr="0032110B">
        <w:rPr>
          <w:noProof/>
        </w:rPr>
        <w:t xml:space="preserve"> (PÚR)</w:t>
      </w:r>
      <w:bookmarkEnd w:id="16"/>
    </w:p>
    <w:p w:rsidR="00E61BDC" w:rsidRPr="00A120A2" w:rsidRDefault="00192039" w:rsidP="003E4A5D">
      <w:pPr>
        <w:widowControl w:val="0"/>
        <w:rPr>
          <w:noProof/>
        </w:rPr>
      </w:pPr>
      <w:r>
        <w:rPr>
          <w:noProof/>
        </w:rPr>
        <w:t>PÚR</w:t>
      </w:r>
      <w:r w:rsidR="00E61BDC" w:rsidRPr="00A120A2">
        <w:rPr>
          <w:noProof/>
        </w:rPr>
        <w:t xml:space="preserve"> pořizuje </w:t>
      </w:r>
      <w:r w:rsidR="00E61BDC">
        <w:rPr>
          <w:noProof/>
        </w:rPr>
        <w:t xml:space="preserve">MMR </w:t>
      </w:r>
      <w:r w:rsidR="00E61BDC" w:rsidRPr="00A120A2">
        <w:rPr>
          <w:noProof/>
        </w:rPr>
        <w:t xml:space="preserve">pro celé území </w:t>
      </w:r>
      <w:r w:rsidR="00C85BD6">
        <w:t>ČR</w:t>
      </w:r>
      <w:r w:rsidR="00E61BDC" w:rsidRPr="00A120A2">
        <w:rPr>
          <w:noProof/>
        </w:rPr>
        <w:t xml:space="preserve"> a schvaluje ji vláda. </w:t>
      </w:r>
      <w:r>
        <w:rPr>
          <w:noProof/>
        </w:rPr>
        <w:t>PÚR</w:t>
      </w:r>
      <w:r w:rsidR="00E61BDC" w:rsidRPr="00A120A2">
        <w:rPr>
          <w:noProof/>
        </w:rPr>
        <w:t xml:space="preserve"> je závazná pro pořizování a</w:t>
      </w:r>
      <w:r>
        <w:rPr>
          <w:noProof/>
        </w:rPr>
        <w:t> </w:t>
      </w:r>
      <w:r w:rsidR="00E61BDC" w:rsidRPr="00A120A2">
        <w:rPr>
          <w:noProof/>
        </w:rPr>
        <w:t xml:space="preserve">vydávání </w:t>
      </w:r>
      <w:r>
        <w:rPr>
          <w:noProof/>
        </w:rPr>
        <w:t>ZÚR</w:t>
      </w:r>
      <w:r w:rsidR="00E61BDC" w:rsidRPr="00A120A2">
        <w:rPr>
          <w:noProof/>
        </w:rPr>
        <w:t xml:space="preserve">, </w:t>
      </w:r>
      <w:r>
        <w:rPr>
          <w:noProof/>
        </w:rPr>
        <w:t>ÚP</w:t>
      </w:r>
      <w:r w:rsidR="008443EA">
        <w:rPr>
          <w:noProof/>
        </w:rPr>
        <w:t xml:space="preserve">, </w:t>
      </w:r>
      <w:r w:rsidR="00E61BDC" w:rsidRPr="00A120A2">
        <w:rPr>
          <w:noProof/>
        </w:rPr>
        <w:t>regulačních plánů</w:t>
      </w:r>
      <w:r w:rsidR="005D728A">
        <w:rPr>
          <w:noProof/>
        </w:rPr>
        <w:t xml:space="preserve"> a </w:t>
      </w:r>
      <w:r w:rsidR="008443EA">
        <w:rPr>
          <w:noProof/>
        </w:rPr>
        <w:t xml:space="preserve">pro </w:t>
      </w:r>
      <w:r w:rsidR="005D728A">
        <w:rPr>
          <w:noProof/>
        </w:rPr>
        <w:t>rozhodování v</w:t>
      </w:r>
      <w:r>
        <w:rPr>
          <w:noProof/>
        </w:rPr>
        <w:t> </w:t>
      </w:r>
      <w:r w:rsidR="005D728A">
        <w:rPr>
          <w:noProof/>
        </w:rPr>
        <w:t>území</w:t>
      </w:r>
      <w:r w:rsidR="00E61BDC" w:rsidRPr="00A120A2">
        <w:rPr>
          <w:noProof/>
        </w:rPr>
        <w:t>.</w:t>
      </w:r>
    </w:p>
    <w:p w:rsidR="00E61BDC" w:rsidRDefault="00E61BDC" w:rsidP="003E4A5D">
      <w:pPr>
        <w:widowControl w:val="0"/>
        <w:rPr>
          <w:noProof/>
        </w:rPr>
      </w:pPr>
      <w:r w:rsidRPr="00A120A2">
        <w:rPr>
          <w:noProof/>
        </w:rPr>
        <w:t xml:space="preserve">Význam </w:t>
      </w:r>
      <w:r w:rsidR="006639E4" w:rsidRPr="0032110B">
        <w:rPr>
          <w:noProof/>
        </w:rPr>
        <w:t>PÚR</w:t>
      </w:r>
      <w:r w:rsidR="006639E4" w:rsidRPr="00A120A2" w:rsidDel="006639E4">
        <w:rPr>
          <w:noProof/>
        </w:rPr>
        <w:t xml:space="preserve"> </w:t>
      </w:r>
      <w:r w:rsidRPr="00A120A2">
        <w:rPr>
          <w:noProof/>
        </w:rPr>
        <w:t xml:space="preserve">spočívá především ve vymezení ploch a koridorů pro </w:t>
      </w:r>
      <w:r>
        <w:rPr>
          <w:noProof/>
        </w:rPr>
        <w:t xml:space="preserve">důležité </w:t>
      </w:r>
      <w:r w:rsidR="00751B58">
        <w:rPr>
          <w:noProof/>
        </w:rPr>
        <w:t xml:space="preserve">(nejen) </w:t>
      </w:r>
      <w:r>
        <w:rPr>
          <w:noProof/>
        </w:rPr>
        <w:t xml:space="preserve">infrastukturní stavby </w:t>
      </w:r>
      <w:r w:rsidRPr="00A120A2">
        <w:rPr>
          <w:noProof/>
        </w:rPr>
        <w:t xml:space="preserve">mezinárodního, republikového a nadregionálního významu. </w:t>
      </w:r>
      <w:r w:rsidR="006639E4" w:rsidRPr="0032110B">
        <w:rPr>
          <w:noProof/>
        </w:rPr>
        <w:t>PÚR</w:t>
      </w:r>
      <w:r w:rsidR="00FD6552">
        <w:rPr>
          <w:noProof/>
        </w:rPr>
        <w:t xml:space="preserve"> určuje ve stanoveném období požadavky na konkretizaci úkolů územního plánování v republikových, </w:t>
      </w:r>
      <w:r w:rsidR="00FD6552">
        <w:rPr>
          <w:noProof/>
        </w:rPr>
        <w:lastRenderedPageBreak/>
        <w:t>přeshraničních a mezinárodních souvislostech, zejména s ohledem na udržitelný rozvoj území, a</w:t>
      </w:r>
      <w:r w:rsidR="00192039">
        <w:rPr>
          <w:noProof/>
        </w:rPr>
        <w:t> </w:t>
      </w:r>
      <w:r w:rsidR="00FD6552">
        <w:rPr>
          <w:noProof/>
        </w:rPr>
        <w:t>určuje strategii a základní podmínky pro naplňování těchto úkolů.</w:t>
      </w:r>
      <w:r w:rsidR="001704C8">
        <w:rPr>
          <w:noProof/>
        </w:rPr>
        <w:t xml:space="preserve"> </w:t>
      </w:r>
      <w:r w:rsidR="006639E4" w:rsidRPr="0032110B">
        <w:rPr>
          <w:noProof/>
        </w:rPr>
        <w:t>PÚR</w:t>
      </w:r>
      <w:r w:rsidR="00FD6552">
        <w:rPr>
          <w:noProof/>
        </w:rPr>
        <w:t xml:space="preserve"> s ohledem na možnosti území koordinuje tvorbu a aktualizaci </w:t>
      </w:r>
      <w:r w:rsidR="00356F70">
        <w:rPr>
          <w:noProof/>
        </w:rPr>
        <w:t>ZÚR</w:t>
      </w:r>
      <w:r w:rsidR="00FD6552">
        <w:rPr>
          <w:noProof/>
        </w:rPr>
        <w:t xml:space="preserve">, </w:t>
      </w:r>
      <w:r w:rsidR="00B648AF">
        <w:rPr>
          <w:noProof/>
        </w:rPr>
        <w:t xml:space="preserve">tvorbu a změny </w:t>
      </w:r>
      <w:r w:rsidR="00356F70">
        <w:rPr>
          <w:noProof/>
        </w:rPr>
        <w:t>ÚP</w:t>
      </w:r>
      <w:r w:rsidR="00B648AF">
        <w:rPr>
          <w:noProof/>
        </w:rPr>
        <w:t xml:space="preserve"> a</w:t>
      </w:r>
      <w:r w:rsidR="00192039">
        <w:rPr>
          <w:noProof/>
        </w:rPr>
        <w:t> </w:t>
      </w:r>
      <w:r w:rsidR="00B648AF">
        <w:rPr>
          <w:noProof/>
        </w:rPr>
        <w:t xml:space="preserve">regulačních plánů, </w:t>
      </w:r>
      <w:r w:rsidR="00FD6552">
        <w:rPr>
          <w:noProof/>
        </w:rPr>
        <w:t>tvorbu koncepcí schvalovaných ministerstvy a jinými ústředními správními úřady</w:t>
      </w:r>
      <w:r w:rsidR="00B648AF">
        <w:rPr>
          <w:noProof/>
        </w:rPr>
        <w:t>, které mají územní půmět řešitelný územním plánováním,</w:t>
      </w:r>
      <w:r w:rsidR="00FD6552">
        <w:rPr>
          <w:noProof/>
        </w:rPr>
        <w:t xml:space="preserve"> a stanoví úkoly zajišťující tuto koordinaci.</w:t>
      </w:r>
    </w:p>
    <w:p w:rsidR="00192741" w:rsidRDefault="00192741" w:rsidP="003E4A5D">
      <w:pPr>
        <w:widowControl w:val="0"/>
      </w:pPr>
      <w:r w:rsidRPr="00192741">
        <w:t xml:space="preserve">K návrhu </w:t>
      </w:r>
      <w:r w:rsidR="006639E4" w:rsidRPr="0032110B">
        <w:rPr>
          <w:noProof/>
        </w:rPr>
        <w:t>PÚR</w:t>
      </w:r>
      <w:r w:rsidRPr="00192741">
        <w:t xml:space="preserve"> </w:t>
      </w:r>
      <w:r w:rsidR="006639E4">
        <w:t>MMR</w:t>
      </w:r>
      <w:r w:rsidR="006639E4" w:rsidRPr="00192741">
        <w:t xml:space="preserve"> </w:t>
      </w:r>
      <w:r w:rsidRPr="00192741">
        <w:t>zajistí vyhodnocení vlivů na udržitelný rozvoj území. Ve vyhodnocení vlivů na životní prostředí se popíš</w:t>
      </w:r>
      <w:r w:rsidR="00E83E57">
        <w:t>í</w:t>
      </w:r>
      <w:r w:rsidRPr="00192741">
        <w:t xml:space="preserve"> </w:t>
      </w:r>
      <w:r w:rsidRPr="0089636C">
        <w:t xml:space="preserve">a vyhodnotí zjištěné a předpokládané závažné vlivy </w:t>
      </w:r>
      <w:r w:rsidR="006639E4" w:rsidRPr="00FD656C">
        <w:rPr>
          <w:noProof/>
        </w:rPr>
        <w:t>PÚR</w:t>
      </w:r>
      <w:r w:rsidRPr="00FD656C">
        <w:t xml:space="preserve"> na životní prostředí a přijatelné alternativy naplňující cíle </w:t>
      </w:r>
      <w:r w:rsidR="00356F70" w:rsidRPr="00FD656C">
        <w:t>PÚR</w:t>
      </w:r>
      <w:r w:rsidRPr="0089636C">
        <w:t>.</w:t>
      </w:r>
    </w:p>
    <w:p w:rsidR="00751B58" w:rsidRDefault="00E61BDC" w:rsidP="003E4A5D">
      <w:pPr>
        <w:widowControl w:val="0"/>
      </w:pPr>
      <w:r w:rsidRPr="0045064F">
        <w:t xml:space="preserve">K návrhu </w:t>
      </w:r>
      <w:r w:rsidR="006639E4" w:rsidRPr="0032110B">
        <w:rPr>
          <w:noProof/>
        </w:rPr>
        <w:t>PÚR</w:t>
      </w:r>
      <w:r w:rsidRPr="0045064F">
        <w:t xml:space="preserve"> se </w:t>
      </w:r>
      <w:r>
        <w:t>lze</w:t>
      </w:r>
      <w:r w:rsidRPr="0045064F">
        <w:t xml:space="preserve"> vyjádřit formou připomínek. </w:t>
      </w:r>
      <w:r w:rsidR="00751B58">
        <w:t>MMR</w:t>
      </w:r>
      <w:r w:rsidR="00751B58" w:rsidRPr="00751B58">
        <w:t xml:space="preserve"> zašle návrh politiky územního rozvoje spolu s vyhodnocením vlivů na udržitelný rozvoj území ministerstvům, jiným ústředním správním úřadům a krajům, které mohou uplatnit svá stanoviska do 60 dnů po obdržení návrhu </w:t>
      </w:r>
      <w:r w:rsidR="00DD6EF5">
        <w:t>PÚR</w:t>
      </w:r>
      <w:r w:rsidR="00751B58" w:rsidRPr="00751B58">
        <w:t xml:space="preserve">. </w:t>
      </w:r>
      <w:r w:rsidR="00751B58">
        <w:t xml:space="preserve">MMR na internetu zveřejní návrh </w:t>
      </w:r>
      <w:r w:rsidR="006639E4" w:rsidRPr="0032110B">
        <w:rPr>
          <w:noProof/>
        </w:rPr>
        <w:t>PÚR</w:t>
      </w:r>
      <w:r w:rsidR="00751B58">
        <w:t xml:space="preserve"> včetně vyhodnocení vlivů na udržitelný rozvoj území, oznámí místo a dobu konání veřejného projednání nejméně 30 dnů předem a stanoví lhůtu pro pod</w:t>
      </w:r>
      <w:r w:rsidR="002A1B2C">
        <w:t>ání písemných připomínek obcí a </w:t>
      </w:r>
      <w:r w:rsidR="00751B58">
        <w:t xml:space="preserve">veřejnosti, která nesmí být kratší než 30 dnů ode dne veřejného projednání. Připomínky se podávají </w:t>
      </w:r>
      <w:r w:rsidR="006639E4">
        <w:t>MMR</w:t>
      </w:r>
      <w:r w:rsidR="00751B58">
        <w:t xml:space="preserve">. </w:t>
      </w:r>
      <w:r w:rsidR="006639E4" w:rsidRPr="0032110B">
        <w:rPr>
          <w:noProof/>
        </w:rPr>
        <w:t>PÚR</w:t>
      </w:r>
      <w:r w:rsidR="00751B58">
        <w:t xml:space="preserve"> finálně schvaluje vláda.</w:t>
      </w:r>
    </w:p>
    <w:p w:rsidR="00E61BDC" w:rsidRPr="0045064F" w:rsidRDefault="00E61BDC" w:rsidP="003E4A5D">
      <w:pPr>
        <w:widowControl w:val="0"/>
      </w:pPr>
      <w:r w:rsidRPr="0045064F">
        <w:t xml:space="preserve">Jednou za 4 roky zpracovává </w:t>
      </w:r>
      <w:r w:rsidR="00751B58">
        <w:t>MMR</w:t>
      </w:r>
      <w:r w:rsidRPr="0045064F">
        <w:t xml:space="preserve"> zprávu o uplatňování </w:t>
      </w:r>
      <w:r w:rsidR="00237669" w:rsidRPr="0032110B">
        <w:rPr>
          <w:noProof/>
        </w:rPr>
        <w:t>PÚR</w:t>
      </w:r>
      <w:r w:rsidR="00751B58">
        <w:t xml:space="preserve">. </w:t>
      </w:r>
      <w:r w:rsidR="00B9160C">
        <w:t>N</w:t>
      </w:r>
      <w:r w:rsidRPr="0045064F">
        <w:t xml:space="preserve">ávrh zprávy </w:t>
      </w:r>
      <w:r w:rsidR="00B9160C">
        <w:t>lze</w:t>
      </w:r>
      <w:r w:rsidRPr="0045064F">
        <w:t xml:space="preserve"> </w:t>
      </w:r>
      <w:r w:rsidR="00751B58">
        <w:t>také</w:t>
      </w:r>
      <w:r w:rsidRPr="0045064F">
        <w:t xml:space="preserve"> </w:t>
      </w:r>
      <w:r w:rsidR="00B9160C">
        <w:t>připomínkovat</w:t>
      </w:r>
      <w:r w:rsidRPr="0045064F">
        <w:t xml:space="preserve">. Na základě </w:t>
      </w:r>
      <w:r w:rsidR="00B9160C">
        <w:t xml:space="preserve">této </w:t>
      </w:r>
      <w:r w:rsidRPr="0045064F">
        <w:t xml:space="preserve">zprávy může vláda rozhodnout o </w:t>
      </w:r>
      <w:r w:rsidR="00B9160C">
        <w:t>potřebě</w:t>
      </w:r>
      <w:r w:rsidRPr="0045064F">
        <w:t xml:space="preserve"> </w:t>
      </w:r>
      <w:r w:rsidR="00237669" w:rsidRPr="0032110B">
        <w:rPr>
          <w:noProof/>
        </w:rPr>
        <w:t>PÚR</w:t>
      </w:r>
      <w:r w:rsidRPr="0045064F">
        <w:t xml:space="preserve"> aktualizovat</w:t>
      </w:r>
      <w:r w:rsidR="00751B58">
        <w:t xml:space="preserve"> či dokonce přepracovat</w:t>
      </w:r>
      <w:r w:rsidRPr="0045064F">
        <w:t>.</w:t>
      </w:r>
    </w:p>
    <w:p w:rsidR="00E61BDC" w:rsidRPr="0045064F" w:rsidRDefault="00751B58" w:rsidP="003E4A5D">
      <w:pPr>
        <w:widowControl w:val="0"/>
      </w:pPr>
      <w:r>
        <w:t xml:space="preserve">Aktuální </w:t>
      </w:r>
      <w:r w:rsidR="00237669" w:rsidRPr="0032110B">
        <w:rPr>
          <w:noProof/>
        </w:rPr>
        <w:t>PÚR</w:t>
      </w:r>
      <w:r w:rsidR="00E61BDC" w:rsidRPr="0045064F">
        <w:t xml:space="preserve"> byla vládou schválena v roce 2009. </w:t>
      </w:r>
      <w:r w:rsidR="00B9160C">
        <w:t>V říjnu 2014 pořídilo MMR</w:t>
      </w:r>
      <w:r w:rsidR="00E61BDC" w:rsidRPr="0045064F">
        <w:t xml:space="preserve"> návrh Aktualizace č. 1 </w:t>
      </w:r>
      <w:r w:rsidR="00237669" w:rsidRPr="0032110B">
        <w:rPr>
          <w:noProof/>
        </w:rPr>
        <w:t>PÚR</w:t>
      </w:r>
      <w:r w:rsidR="00E61BDC" w:rsidRPr="0045064F">
        <w:t xml:space="preserve">. Vláda předloženou aktualizaci schválila v dubnu </w:t>
      </w:r>
      <w:r w:rsidR="00B9160C">
        <w:t>následujícího roku</w:t>
      </w:r>
      <w:r w:rsidR="00E61BDC" w:rsidRPr="0045064F">
        <w:t>.</w:t>
      </w:r>
      <w:r w:rsidR="00237669">
        <w:t xml:space="preserve"> V současné době se zpracovává další zpráva o uplatňování </w:t>
      </w:r>
      <w:r w:rsidR="00237669" w:rsidRPr="0032110B">
        <w:rPr>
          <w:noProof/>
        </w:rPr>
        <w:t>PÚR</w:t>
      </w:r>
      <w:r w:rsidR="00237669">
        <w:rPr>
          <w:noProof/>
        </w:rPr>
        <w:t>.</w:t>
      </w:r>
    </w:p>
    <w:p w:rsidR="00E61BDC" w:rsidRPr="00A120A2" w:rsidRDefault="00237669" w:rsidP="003E4A5D">
      <w:pPr>
        <w:widowControl w:val="0"/>
        <w:rPr>
          <w:noProof/>
        </w:rPr>
      </w:pPr>
      <w:r w:rsidRPr="0032110B">
        <w:rPr>
          <w:noProof/>
        </w:rPr>
        <w:t>PÚR</w:t>
      </w:r>
      <w:r w:rsidR="00E61BDC" w:rsidRPr="00A120A2">
        <w:rPr>
          <w:noProof/>
        </w:rPr>
        <w:t xml:space="preserve"> je nepřezkoumatelný dokument. V praxi tento fakt </w:t>
      </w:r>
      <w:r w:rsidR="00B9160C">
        <w:rPr>
          <w:noProof/>
        </w:rPr>
        <w:t>znamená, že</w:t>
      </w:r>
      <w:r w:rsidR="00E61BDC" w:rsidRPr="00A120A2">
        <w:rPr>
          <w:noProof/>
        </w:rPr>
        <w:t xml:space="preserve"> </w:t>
      </w:r>
      <w:r w:rsidR="00B9160C">
        <w:rPr>
          <w:noProof/>
        </w:rPr>
        <w:t>nelze</w:t>
      </w:r>
      <w:r w:rsidR="00E61BDC" w:rsidRPr="00A120A2">
        <w:rPr>
          <w:noProof/>
        </w:rPr>
        <w:t xml:space="preserve"> napad</w:t>
      </w:r>
      <w:r w:rsidR="00B9160C">
        <w:rPr>
          <w:noProof/>
        </w:rPr>
        <w:t>nout</w:t>
      </w:r>
      <w:r w:rsidR="00E61BDC" w:rsidRPr="00A120A2">
        <w:rPr>
          <w:noProof/>
        </w:rPr>
        <w:t xml:space="preserve"> koncepční záměr </w:t>
      </w:r>
      <w:r w:rsidR="00B9160C">
        <w:rPr>
          <w:noProof/>
        </w:rPr>
        <w:t xml:space="preserve">stavby </w:t>
      </w:r>
      <w:r w:rsidR="00E61BDC" w:rsidRPr="00A120A2">
        <w:rPr>
          <w:noProof/>
        </w:rPr>
        <w:t>jako takov</w:t>
      </w:r>
      <w:r w:rsidR="00B9160C">
        <w:rPr>
          <w:noProof/>
        </w:rPr>
        <w:t>ý</w:t>
      </w:r>
      <w:r w:rsidR="00E61BDC" w:rsidRPr="00A120A2">
        <w:rPr>
          <w:noProof/>
        </w:rPr>
        <w:t xml:space="preserve"> a posouvá tak možné právní střety na úroveň </w:t>
      </w:r>
      <w:r w:rsidR="00DD6EF5">
        <w:rPr>
          <w:noProof/>
        </w:rPr>
        <w:t>ZÚR případně ÚP.</w:t>
      </w:r>
      <w:r>
        <w:rPr>
          <w:noProof/>
        </w:rPr>
        <w:t xml:space="preserve"> </w:t>
      </w:r>
    </w:p>
    <w:p w:rsidR="00E61BDC" w:rsidRPr="0032110B" w:rsidRDefault="00E61BDC" w:rsidP="00D4266B">
      <w:pPr>
        <w:pStyle w:val="Nadpis6"/>
        <w:rPr>
          <w:noProof/>
        </w:rPr>
      </w:pPr>
      <w:bookmarkStart w:id="17" w:name="_Toc536553892"/>
      <w:r w:rsidRPr="0032110B">
        <w:rPr>
          <w:noProof/>
        </w:rPr>
        <w:t>Zásady územního rozvoje</w:t>
      </w:r>
      <w:r w:rsidR="007F4230" w:rsidRPr="0032110B">
        <w:rPr>
          <w:noProof/>
        </w:rPr>
        <w:t xml:space="preserve"> (ZÚR)</w:t>
      </w:r>
      <w:bookmarkEnd w:id="17"/>
    </w:p>
    <w:p w:rsidR="00624334" w:rsidRPr="00A120A2" w:rsidRDefault="00237669" w:rsidP="003E4A5D">
      <w:pPr>
        <w:widowControl w:val="0"/>
        <w:rPr>
          <w:noProof/>
        </w:rPr>
      </w:pPr>
      <w:r>
        <w:t>ZÚR</w:t>
      </w:r>
      <w:r w:rsidRPr="00A120A2" w:rsidDel="00237669">
        <w:rPr>
          <w:noProof/>
        </w:rPr>
        <w:t xml:space="preserve"> </w:t>
      </w:r>
      <w:r w:rsidR="00E60887" w:rsidRPr="00A120A2">
        <w:rPr>
          <w:noProof/>
        </w:rPr>
        <w:t xml:space="preserve">zpřesňují požadavky stanovené v </w:t>
      </w:r>
      <w:r>
        <w:rPr>
          <w:noProof/>
        </w:rPr>
        <w:t>PÚR</w:t>
      </w:r>
      <w:r w:rsidR="00E60887" w:rsidRPr="00A120A2">
        <w:rPr>
          <w:noProof/>
        </w:rPr>
        <w:t xml:space="preserve"> pro celé území kraje. </w:t>
      </w:r>
      <w:r w:rsidR="00E60887">
        <w:rPr>
          <w:noProof/>
        </w:rPr>
        <w:t>V</w:t>
      </w:r>
      <w:r w:rsidR="00E60887" w:rsidRPr="00A120A2">
        <w:rPr>
          <w:noProof/>
        </w:rPr>
        <w:t>ymez</w:t>
      </w:r>
      <w:r w:rsidR="00E60887">
        <w:rPr>
          <w:noProof/>
        </w:rPr>
        <w:t xml:space="preserve">ují </w:t>
      </w:r>
      <w:r w:rsidR="008201FA" w:rsidRPr="008201FA">
        <w:rPr>
          <w:noProof/>
        </w:rPr>
        <w:t>například</w:t>
      </w:r>
      <w:r w:rsidR="00E60887" w:rsidRPr="00A120A2">
        <w:rPr>
          <w:noProof/>
        </w:rPr>
        <w:t xml:space="preserve"> plochy </w:t>
      </w:r>
      <w:r>
        <w:rPr>
          <w:noProof/>
        </w:rPr>
        <w:t>a </w:t>
      </w:r>
      <w:r w:rsidR="00E60887" w:rsidRPr="00A120A2">
        <w:rPr>
          <w:noProof/>
        </w:rPr>
        <w:t>koridory nadmístního významu</w:t>
      </w:r>
      <w:r w:rsidR="00E60887">
        <w:rPr>
          <w:noProof/>
        </w:rPr>
        <w:t>,</w:t>
      </w:r>
      <w:r w:rsidR="00E60887" w:rsidRPr="00A120A2">
        <w:rPr>
          <w:noProof/>
        </w:rPr>
        <w:t xml:space="preserve"> plochy nebo koridory pro veřejně prospěšné stavby, veřejně prospěšná opatření</w:t>
      </w:r>
      <w:r w:rsidR="00E60887">
        <w:rPr>
          <w:noProof/>
        </w:rPr>
        <w:t xml:space="preserve"> apod</w:t>
      </w:r>
      <w:r w:rsidR="00E60887" w:rsidRPr="00A120A2">
        <w:rPr>
          <w:noProof/>
        </w:rPr>
        <w:t xml:space="preserve">. </w:t>
      </w:r>
      <w:r>
        <w:rPr>
          <w:noProof/>
        </w:rPr>
        <w:t>Pořizování (p</w:t>
      </w:r>
      <w:r w:rsidR="00E60887" w:rsidRPr="00A120A2">
        <w:rPr>
          <w:noProof/>
        </w:rPr>
        <w:t>říprava</w:t>
      </w:r>
      <w:r>
        <w:rPr>
          <w:noProof/>
        </w:rPr>
        <w:t>)</w:t>
      </w:r>
      <w:r w:rsidR="00E60887" w:rsidRPr="00A120A2">
        <w:rPr>
          <w:noProof/>
        </w:rPr>
        <w:t xml:space="preserve"> Z</w:t>
      </w:r>
      <w:r w:rsidR="00E83E57">
        <w:rPr>
          <w:noProof/>
        </w:rPr>
        <w:t>ÚR</w:t>
      </w:r>
      <w:r w:rsidR="00E60887" w:rsidRPr="00A120A2">
        <w:rPr>
          <w:noProof/>
        </w:rPr>
        <w:t xml:space="preserve"> je svěřena krajskému úřadu a </w:t>
      </w:r>
      <w:r w:rsidR="00E60887">
        <w:rPr>
          <w:noProof/>
        </w:rPr>
        <w:t>jejich</w:t>
      </w:r>
      <w:r w:rsidR="00E60887" w:rsidRPr="00A120A2">
        <w:rPr>
          <w:noProof/>
        </w:rPr>
        <w:t xml:space="preserve"> schválení zastupitelstv</w:t>
      </w:r>
      <w:r w:rsidR="00E60887">
        <w:rPr>
          <w:noProof/>
        </w:rPr>
        <w:t>u</w:t>
      </w:r>
      <w:r w:rsidR="00E60887" w:rsidRPr="00A120A2">
        <w:rPr>
          <w:noProof/>
        </w:rPr>
        <w:t xml:space="preserve"> kraje. </w:t>
      </w:r>
      <w:r>
        <w:t>ZÚR</w:t>
      </w:r>
      <w:r w:rsidR="00E60887" w:rsidRPr="00A120A2">
        <w:rPr>
          <w:noProof/>
        </w:rPr>
        <w:t xml:space="preserve"> se pořizují pro celé území kraje a vydávají se formou opatření obecné povahy</w:t>
      </w:r>
      <w:r w:rsidR="00E60887">
        <w:rPr>
          <w:noProof/>
        </w:rPr>
        <w:t>, tj</w:t>
      </w:r>
      <w:r w:rsidR="00E60887" w:rsidRPr="00A120A2">
        <w:rPr>
          <w:noProof/>
        </w:rPr>
        <w:t>. již není vyloučen jejich soudní přezkum.</w:t>
      </w:r>
      <w:r w:rsidR="00E60887" w:rsidRPr="00E60887">
        <w:rPr>
          <w:noProof/>
        </w:rPr>
        <w:t xml:space="preserve"> </w:t>
      </w:r>
      <w:r w:rsidR="00E60887">
        <w:rPr>
          <w:noProof/>
        </w:rPr>
        <w:t xml:space="preserve">Jejich </w:t>
      </w:r>
      <w:r w:rsidR="00E60887" w:rsidRPr="00A120A2">
        <w:rPr>
          <w:noProof/>
        </w:rPr>
        <w:t xml:space="preserve">nedílnou součástí </w:t>
      </w:r>
      <w:r w:rsidR="00E60887">
        <w:rPr>
          <w:noProof/>
        </w:rPr>
        <w:t xml:space="preserve">je </w:t>
      </w:r>
      <w:r w:rsidR="00E60887" w:rsidRPr="00A120A2">
        <w:rPr>
          <w:noProof/>
        </w:rPr>
        <w:t>vyhodnocení vlivů na trvale udržitelný rozvoj.</w:t>
      </w:r>
    </w:p>
    <w:tbl>
      <w:tblPr>
        <w:tblStyle w:val="Mkatabulky"/>
        <w:tblW w:w="0" w:type="auto"/>
        <w:tblInd w:w="108" w:type="dxa"/>
        <w:tblLook w:val="04A0" w:firstRow="1" w:lastRow="0" w:firstColumn="1" w:lastColumn="0" w:noHBand="0" w:noVBand="1"/>
      </w:tblPr>
      <w:tblGrid>
        <w:gridCol w:w="9072"/>
      </w:tblGrid>
      <w:tr w:rsidR="00353E5E" w:rsidTr="00FD656C">
        <w:tc>
          <w:tcPr>
            <w:tcW w:w="9072" w:type="dxa"/>
            <w:tcBorders>
              <w:top w:val="nil"/>
              <w:left w:val="nil"/>
              <w:bottom w:val="nil"/>
              <w:right w:val="nil"/>
            </w:tcBorders>
            <w:shd w:val="clear" w:color="auto" w:fill="D9D9D9" w:themeFill="background1" w:themeFillShade="D9"/>
          </w:tcPr>
          <w:p w:rsidR="00D530AC" w:rsidRDefault="004435D6" w:rsidP="003E4A5D">
            <w:pPr>
              <w:pStyle w:val="Titulek"/>
            </w:pPr>
            <w:r>
              <w:t xml:space="preserve">Box </w:t>
            </w:r>
            <w:r w:rsidR="00AB65E9">
              <w:rPr>
                <w:noProof/>
              </w:rPr>
              <w:fldChar w:fldCharType="begin"/>
            </w:r>
            <w:r w:rsidR="002F76C3">
              <w:rPr>
                <w:noProof/>
              </w:rPr>
              <w:instrText xml:space="preserve"> SEQ Box \* ARABIC </w:instrText>
            </w:r>
            <w:r w:rsidR="00AB65E9">
              <w:rPr>
                <w:noProof/>
              </w:rPr>
              <w:fldChar w:fldCharType="separate"/>
            </w:r>
            <w:r w:rsidR="00263A1B">
              <w:rPr>
                <w:noProof/>
              </w:rPr>
              <w:t>1</w:t>
            </w:r>
            <w:r w:rsidR="00AB65E9">
              <w:rPr>
                <w:noProof/>
              </w:rPr>
              <w:fldChar w:fldCharType="end"/>
            </w:r>
          </w:p>
          <w:p w:rsidR="00353E5E" w:rsidRPr="00C7723F" w:rsidRDefault="00353E5E" w:rsidP="00165A9F">
            <w:pPr>
              <w:pStyle w:val="Odstavecseseznamem"/>
              <w:widowControl w:val="0"/>
              <w:ind w:left="0"/>
              <w:rPr>
                <w:noProof/>
                <w:sz w:val="20"/>
                <w:szCs w:val="20"/>
              </w:rPr>
            </w:pPr>
            <w:r w:rsidRPr="00C7723F">
              <w:rPr>
                <w:noProof/>
                <w:sz w:val="20"/>
                <w:szCs w:val="20"/>
              </w:rPr>
              <w:t xml:space="preserve">Postup pořizování </w:t>
            </w:r>
            <w:r w:rsidR="003A67F2" w:rsidRPr="00C7723F">
              <w:rPr>
                <w:noProof/>
                <w:sz w:val="20"/>
                <w:szCs w:val="20"/>
              </w:rPr>
              <w:t>ZÚR</w:t>
            </w:r>
            <w:r w:rsidRPr="00C7723F">
              <w:rPr>
                <w:noProof/>
                <w:sz w:val="20"/>
                <w:szCs w:val="20"/>
              </w:rPr>
              <w:t xml:space="preserve"> je časově náročný, velmi zjednodušeně </w:t>
            </w:r>
            <w:r w:rsidR="00E83E57" w:rsidRPr="00C7723F">
              <w:rPr>
                <w:noProof/>
                <w:sz w:val="20"/>
                <w:szCs w:val="20"/>
              </w:rPr>
              <w:t xml:space="preserve">ho </w:t>
            </w:r>
            <w:r w:rsidRPr="00C7723F">
              <w:rPr>
                <w:noProof/>
                <w:sz w:val="20"/>
                <w:szCs w:val="20"/>
              </w:rPr>
              <w:t>lze popsat následovně:</w:t>
            </w:r>
          </w:p>
          <w:p w:rsidR="00353E5E" w:rsidRPr="00C7723F" w:rsidRDefault="00165A9F" w:rsidP="00C873B4">
            <w:pPr>
              <w:pStyle w:val="Odstavecseseznamem"/>
              <w:widowControl w:val="0"/>
              <w:numPr>
                <w:ilvl w:val="0"/>
                <w:numId w:val="75"/>
              </w:numPr>
              <w:ind w:left="357" w:hanging="357"/>
              <w:rPr>
                <w:noProof/>
                <w:sz w:val="20"/>
                <w:szCs w:val="20"/>
              </w:rPr>
            </w:pPr>
            <w:r>
              <w:rPr>
                <w:noProof/>
                <w:sz w:val="20"/>
                <w:szCs w:val="20"/>
              </w:rPr>
              <w:t>z</w:t>
            </w:r>
            <w:r w:rsidRPr="00C7723F">
              <w:rPr>
                <w:noProof/>
                <w:sz w:val="20"/>
                <w:szCs w:val="20"/>
              </w:rPr>
              <w:t xml:space="preserve">adání </w:t>
            </w:r>
            <w:r w:rsidR="00353E5E" w:rsidRPr="00C7723F">
              <w:rPr>
                <w:noProof/>
                <w:sz w:val="20"/>
                <w:szCs w:val="20"/>
              </w:rPr>
              <w:t xml:space="preserve">nebo </w:t>
            </w:r>
            <w:r w:rsidRPr="00C7723F">
              <w:rPr>
                <w:noProof/>
                <w:sz w:val="20"/>
                <w:szCs w:val="20"/>
              </w:rPr>
              <w:t>zpráv</w:t>
            </w:r>
            <w:r>
              <w:rPr>
                <w:noProof/>
                <w:sz w:val="20"/>
                <w:szCs w:val="20"/>
              </w:rPr>
              <w:t>u</w:t>
            </w:r>
            <w:r w:rsidRPr="00C7723F">
              <w:rPr>
                <w:noProof/>
                <w:sz w:val="20"/>
                <w:szCs w:val="20"/>
              </w:rPr>
              <w:t xml:space="preserve"> </w:t>
            </w:r>
            <w:r w:rsidR="00353E5E" w:rsidRPr="00C7723F">
              <w:rPr>
                <w:noProof/>
                <w:sz w:val="20"/>
                <w:szCs w:val="20"/>
              </w:rPr>
              <w:t xml:space="preserve">o uplatňování </w:t>
            </w:r>
            <w:r>
              <w:rPr>
                <w:noProof/>
                <w:sz w:val="20"/>
                <w:szCs w:val="20"/>
              </w:rPr>
              <w:t>ZÚR</w:t>
            </w:r>
            <w:r w:rsidR="00353E5E" w:rsidRPr="00C7723F">
              <w:rPr>
                <w:noProof/>
                <w:sz w:val="20"/>
                <w:szCs w:val="20"/>
              </w:rPr>
              <w:t xml:space="preserve"> → návrh </w:t>
            </w:r>
            <w:r>
              <w:rPr>
                <w:noProof/>
                <w:sz w:val="20"/>
                <w:szCs w:val="20"/>
              </w:rPr>
              <w:t>ZÚR</w:t>
            </w:r>
            <w:r w:rsidR="00353E5E" w:rsidRPr="00C7723F">
              <w:rPr>
                <w:noProof/>
                <w:sz w:val="20"/>
                <w:szCs w:val="20"/>
              </w:rPr>
              <w:t xml:space="preserve"> a vyhodnocení vlivů na udržitelný rozvoj území (pořizuje krajský úřad) </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společné jednání (krajský úřad, </w:t>
            </w:r>
            <w:r w:rsidR="0078162F" w:rsidRPr="00C7723F">
              <w:rPr>
                <w:noProof/>
                <w:sz w:val="20"/>
                <w:szCs w:val="20"/>
              </w:rPr>
              <w:t>DO</w:t>
            </w:r>
            <w:r w:rsidRPr="00C7723F">
              <w:rPr>
                <w:noProof/>
                <w:sz w:val="20"/>
                <w:szCs w:val="20"/>
              </w:rPr>
              <w:t xml:space="preserve">, MMR, sousední kraje) a následná výzva </w:t>
            </w:r>
            <w:r w:rsidR="0078162F" w:rsidRPr="00C7723F">
              <w:rPr>
                <w:noProof/>
                <w:sz w:val="20"/>
                <w:szCs w:val="20"/>
              </w:rPr>
              <w:t>DO</w:t>
            </w:r>
            <w:r w:rsidRPr="00C7723F">
              <w:rPr>
                <w:noProof/>
                <w:sz w:val="20"/>
                <w:szCs w:val="20"/>
              </w:rPr>
              <w:t xml:space="preserve"> k uplatnění stanovisek, sousedním krajům k uplatnění připomínek </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doručení návrhu a vyhodnocení veřejnou vyhláškou → 30 dní na připomínky </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projednání vyhodnocení s ministerstvy a krajskou hygienickou stanicí → 30 dní na vyjádření</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zaslání návrhu, vyhodnocení stanovisek, připomínek, vyjádření a případných výsledků konzultací na MŽP → MŽP vydá stanovisko k návrhu koncepce podle zákona o posuzování vlivů na životní prostředí (pokud MŽP stanovisko neuplatní ve třicetidenní lhůtě ani v prodloužené lhůtě, je možné </w:t>
            </w:r>
            <w:r w:rsidR="00165A9F">
              <w:rPr>
                <w:noProof/>
                <w:sz w:val="20"/>
                <w:szCs w:val="20"/>
              </w:rPr>
              <w:t xml:space="preserve">ZÚR </w:t>
            </w:r>
            <w:r w:rsidRPr="00C7723F">
              <w:rPr>
                <w:noProof/>
                <w:sz w:val="20"/>
                <w:szCs w:val="20"/>
              </w:rPr>
              <w:t>vydat i</w:t>
            </w:r>
            <w:r w:rsidR="00165A9F">
              <w:rPr>
                <w:noProof/>
                <w:sz w:val="20"/>
                <w:szCs w:val="20"/>
              </w:rPr>
              <w:t> </w:t>
            </w:r>
            <w:r w:rsidRPr="00C7723F">
              <w:rPr>
                <w:noProof/>
                <w:sz w:val="20"/>
                <w:szCs w:val="20"/>
              </w:rPr>
              <w:t>bez jeho stanoviska)</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MMR zašle stanovisko k návrhu </w:t>
            </w:r>
            <w:r w:rsidR="00165A9F">
              <w:rPr>
                <w:noProof/>
                <w:sz w:val="20"/>
                <w:szCs w:val="20"/>
              </w:rPr>
              <w:t>ZÚR</w:t>
            </w:r>
            <w:r w:rsidRPr="00C7723F">
              <w:rPr>
                <w:noProof/>
                <w:sz w:val="20"/>
                <w:szCs w:val="20"/>
              </w:rPr>
              <w:t xml:space="preserve"> z hledisek zajištění koordinace využívání území, zejména s ohledem na širší územní vztahy a mezinárodní závazky, a souladu s </w:t>
            </w:r>
            <w:r w:rsidR="007A61B8">
              <w:rPr>
                <w:noProof/>
                <w:sz w:val="20"/>
                <w:szCs w:val="20"/>
              </w:rPr>
              <w:t>PÚR</w:t>
            </w:r>
            <w:r w:rsidRPr="00C7723F">
              <w:rPr>
                <w:noProof/>
                <w:sz w:val="20"/>
                <w:szCs w:val="20"/>
              </w:rPr>
              <w:t xml:space="preserve"> (pokud MMR stanovisko neuplatní ve třicetidenní lhůtě, je možné </w:t>
            </w:r>
            <w:r w:rsidR="00165A9F">
              <w:rPr>
                <w:noProof/>
                <w:sz w:val="20"/>
                <w:szCs w:val="20"/>
              </w:rPr>
              <w:t>ZÚR</w:t>
            </w:r>
            <w:r w:rsidRPr="00C7723F">
              <w:rPr>
                <w:noProof/>
                <w:sz w:val="20"/>
                <w:szCs w:val="20"/>
              </w:rPr>
              <w:t xml:space="preserve"> vydat i bez jeho stanoviska; v případě, že upozorní na nedostatky, lze zahájit řízení o </w:t>
            </w:r>
            <w:r w:rsidR="00165A9F">
              <w:rPr>
                <w:noProof/>
                <w:sz w:val="20"/>
                <w:szCs w:val="20"/>
              </w:rPr>
              <w:t>ZÚR</w:t>
            </w:r>
            <w:r w:rsidRPr="00C7723F">
              <w:rPr>
                <w:noProof/>
                <w:sz w:val="20"/>
                <w:szCs w:val="20"/>
              </w:rPr>
              <w:t xml:space="preserve"> až na základě potvrzení </w:t>
            </w:r>
            <w:r w:rsidR="00687D5F">
              <w:rPr>
                <w:noProof/>
                <w:sz w:val="20"/>
                <w:szCs w:val="20"/>
              </w:rPr>
              <w:t>MMR</w:t>
            </w:r>
            <w:r w:rsidR="00687D5F" w:rsidRPr="00C7723F">
              <w:rPr>
                <w:noProof/>
                <w:sz w:val="20"/>
                <w:szCs w:val="20"/>
              </w:rPr>
              <w:t xml:space="preserve"> </w:t>
            </w:r>
            <w:r w:rsidRPr="00C7723F">
              <w:rPr>
                <w:noProof/>
                <w:sz w:val="20"/>
                <w:szCs w:val="20"/>
              </w:rPr>
              <w:t>o odstranění nedostatků)</w:t>
            </w:r>
          </w:p>
          <w:p w:rsidR="00353E5E" w:rsidRPr="00C7723F" w:rsidRDefault="00353E5E" w:rsidP="00C873B4">
            <w:pPr>
              <w:pStyle w:val="Odstavecseseznamem"/>
              <w:widowControl w:val="0"/>
              <w:numPr>
                <w:ilvl w:val="0"/>
                <w:numId w:val="75"/>
              </w:numPr>
              <w:ind w:left="357" w:hanging="357"/>
              <w:rPr>
                <w:noProof/>
                <w:sz w:val="20"/>
                <w:szCs w:val="20"/>
              </w:rPr>
            </w:pPr>
            <w:bookmarkStart w:id="18" w:name="_Hlk533095865"/>
            <w:r w:rsidRPr="00C7723F">
              <w:rPr>
                <w:noProof/>
                <w:sz w:val="20"/>
                <w:szCs w:val="20"/>
              </w:rPr>
              <w:t xml:space="preserve">krajský úřad vyhodnotí výsledky projednání návrhu </w:t>
            </w:r>
            <w:r w:rsidR="00687D5F">
              <w:rPr>
                <w:noProof/>
                <w:sz w:val="20"/>
                <w:szCs w:val="20"/>
              </w:rPr>
              <w:t>ZÚR</w:t>
            </w:r>
            <w:r w:rsidRPr="00C7723F">
              <w:rPr>
                <w:noProof/>
                <w:sz w:val="20"/>
                <w:szCs w:val="20"/>
              </w:rPr>
              <w:t xml:space="preserve"> a zajistí řešení případných rozporů</w:t>
            </w:r>
          </w:p>
          <w:bookmarkEnd w:id="18"/>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pokud návrh </w:t>
            </w:r>
            <w:r w:rsidR="00687D5F">
              <w:rPr>
                <w:noProof/>
                <w:sz w:val="20"/>
                <w:szCs w:val="20"/>
              </w:rPr>
              <w:t>ZÚR</w:t>
            </w:r>
            <w:r w:rsidRPr="00C7723F">
              <w:rPr>
                <w:noProof/>
                <w:sz w:val="20"/>
                <w:szCs w:val="20"/>
              </w:rPr>
              <w:t xml:space="preserve"> obsahuje varianty řešení, navrhne krajský úřad na základě vyhodnocení výsledků projednání a vyhodnocení vlivů na udržitelný rozvoj území zastupitelstvu kraje ke schválení výběr nejvhodnější varianty, který může obsahovat i podmínky k její úpravě </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na základě výsledků projednání, vyhodnocení vlivů na udržitelný rozvoj území a schválení nejvhodnější </w:t>
            </w:r>
            <w:r w:rsidRPr="00C7723F">
              <w:rPr>
                <w:noProof/>
                <w:sz w:val="20"/>
                <w:szCs w:val="20"/>
              </w:rPr>
              <w:lastRenderedPageBreak/>
              <w:t>varianty krajský úřad zajistí upravení návrhu</w:t>
            </w:r>
          </w:p>
          <w:p w:rsidR="00353E5E" w:rsidRPr="00C7723F" w:rsidRDefault="00C7723F" w:rsidP="00C873B4">
            <w:pPr>
              <w:pStyle w:val="Odstavecseseznamem"/>
              <w:widowControl w:val="0"/>
              <w:numPr>
                <w:ilvl w:val="0"/>
                <w:numId w:val="75"/>
              </w:numPr>
              <w:ind w:left="357" w:hanging="357"/>
              <w:rPr>
                <w:noProof/>
                <w:sz w:val="20"/>
                <w:szCs w:val="20"/>
              </w:rPr>
            </w:pPr>
            <w:r w:rsidRPr="00C7723F">
              <w:rPr>
                <w:noProof/>
                <w:sz w:val="20"/>
                <w:szCs w:val="20"/>
              </w:rPr>
              <w:t>(</w:t>
            </w:r>
            <w:r w:rsidR="00353E5E" w:rsidRPr="00C7723F">
              <w:rPr>
                <w:noProof/>
                <w:sz w:val="20"/>
                <w:szCs w:val="20"/>
              </w:rPr>
              <w:t xml:space="preserve">dojde-li krajský úřad na základě výsledků projednání k závěru, že je potřebné pořídit nový návrh </w:t>
            </w:r>
            <w:r w:rsidR="00687D5F">
              <w:rPr>
                <w:noProof/>
                <w:sz w:val="20"/>
                <w:szCs w:val="20"/>
              </w:rPr>
              <w:t>ZÚR</w:t>
            </w:r>
            <w:r w:rsidR="00353E5E" w:rsidRPr="00C7723F">
              <w:rPr>
                <w:noProof/>
                <w:sz w:val="20"/>
                <w:szCs w:val="20"/>
              </w:rPr>
              <w:t xml:space="preserve">, navrhne pokyny pro jeho zpracování, vyžádá </w:t>
            </w:r>
            <w:r w:rsidR="007A61B8">
              <w:rPr>
                <w:noProof/>
                <w:sz w:val="20"/>
                <w:szCs w:val="20"/>
              </w:rPr>
              <w:t xml:space="preserve">si </w:t>
            </w:r>
            <w:r w:rsidR="00353E5E" w:rsidRPr="00C7723F">
              <w:rPr>
                <w:noProof/>
                <w:sz w:val="20"/>
                <w:szCs w:val="20"/>
              </w:rPr>
              <w:t xml:space="preserve">stanovisko MŽP o tom, zda má být nový návrh posuzován </w:t>
            </w:r>
            <w:r w:rsidR="007A61B8" w:rsidRPr="00C7723F">
              <w:rPr>
                <w:noProof/>
                <w:sz w:val="20"/>
                <w:szCs w:val="20"/>
              </w:rPr>
              <w:t>z</w:t>
            </w:r>
            <w:r w:rsidR="007A61B8">
              <w:rPr>
                <w:noProof/>
                <w:sz w:val="20"/>
                <w:szCs w:val="20"/>
              </w:rPr>
              <w:t> </w:t>
            </w:r>
            <w:r w:rsidR="00353E5E" w:rsidRPr="00C7723F">
              <w:rPr>
                <w:noProof/>
                <w:sz w:val="20"/>
                <w:szCs w:val="20"/>
              </w:rPr>
              <w:t>hlediska vlivů na životní prostředí a stanovisko příslušného orgánu ochrany přírody a návrh pokynů předloží spolu s odůvodněním zastupitelstvu kraje ke schválení)</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upravený a posouzený návrh </w:t>
            </w:r>
            <w:r w:rsidR="00687D5F">
              <w:rPr>
                <w:noProof/>
                <w:sz w:val="20"/>
                <w:szCs w:val="20"/>
              </w:rPr>
              <w:t>ZÚR</w:t>
            </w:r>
            <w:r w:rsidRPr="00C7723F">
              <w:rPr>
                <w:noProof/>
                <w:sz w:val="20"/>
                <w:szCs w:val="20"/>
              </w:rPr>
              <w:t>, vyhodnocení vlivů na udržitelný</w:t>
            </w:r>
            <w:r w:rsidR="002A1B2C" w:rsidRPr="00C7723F">
              <w:rPr>
                <w:noProof/>
                <w:sz w:val="20"/>
                <w:szCs w:val="20"/>
              </w:rPr>
              <w:t xml:space="preserve"> rozvoj území a </w:t>
            </w:r>
            <w:r w:rsidRPr="00C7723F">
              <w:rPr>
                <w:noProof/>
                <w:sz w:val="20"/>
                <w:szCs w:val="20"/>
              </w:rPr>
              <w:t>oznámení o konání veřejného projednání krajský úřad doručí veřejnou vyhláškou</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dotčené obce, oprávněný investor a zástupce veřejnosti mohou podat námitky s odůvodněním proti návrhu </w:t>
            </w:r>
            <w:r w:rsidR="00687D5F">
              <w:rPr>
                <w:noProof/>
                <w:sz w:val="20"/>
                <w:szCs w:val="20"/>
              </w:rPr>
              <w:t>ZÚR</w:t>
            </w:r>
            <w:r w:rsidRPr="00C7723F">
              <w:rPr>
                <w:noProof/>
                <w:sz w:val="20"/>
                <w:szCs w:val="20"/>
              </w:rPr>
              <w:t xml:space="preserve"> do 7 dnů ode dne veřejného projednání; </w:t>
            </w:r>
            <w:r w:rsidR="0078162F" w:rsidRPr="00C7723F">
              <w:rPr>
                <w:noProof/>
                <w:sz w:val="20"/>
                <w:szCs w:val="20"/>
              </w:rPr>
              <w:t>DO</w:t>
            </w:r>
            <w:r w:rsidRPr="00C7723F">
              <w:rPr>
                <w:noProof/>
                <w:sz w:val="20"/>
                <w:szCs w:val="20"/>
              </w:rPr>
              <w:t xml:space="preserve"> a MMR uplatňují ve stejné lhůtě stanoviska jen k částem řešení, které byly od společného jednání změněny; ve stejné lhůtě m</w:t>
            </w:r>
            <w:r w:rsidR="002A1B2C" w:rsidRPr="00C7723F">
              <w:rPr>
                <w:noProof/>
                <w:sz w:val="20"/>
                <w:szCs w:val="20"/>
              </w:rPr>
              <w:t>ůže každý uplatnit připomínky k </w:t>
            </w:r>
            <w:r w:rsidRPr="00C7723F">
              <w:rPr>
                <w:noProof/>
                <w:sz w:val="20"/>
                <w:szCs w:val="20"/>
              </w:rPr>
              <w:t>návrhu</w:t>
            </w:r>
            <w:r w:rsidR="00687D5F">
              <w:rPr>
                <w:noProof/>
                <w:sz w:val="20"/>
                <w:szCs w:val="20"/>
              </w:rPr>
              <w:t xml:space="preserve"> </w:t>
            </w:r>
            <w:r w:rsidRPr="00C7723F">
              <w:rPr>
                <w:noProof/>
                <w:sz w:val="20"/>
                <w:szCs w:val="20"/>
              </w:rPr>
              <w:t>a</w:t>
            </w:r>
            <w:r w:rsidR="00687D5F" w:rsidRPr="00E40466">
              <w:rPr>
                <w:noProof/>
                <w:sz w:val="20"/>
                <w:szCs w:val="20"/>
              </w:rPr>
              <w:t> </w:t>
            </w:r>
            <w:r w:rsidRPr="00C7723F">
              <w:rPr>
                <w:noProof/>
                <w:sz w:val="20"/>
                <w:szCs w:val="20"/>
              </w:rPr>
              <w:t>vyhodnocení</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krajský úřad vyhodnotí výsledky projednání a zpracuje s ohledem na veře</w:t>
            </w:r>
            <w:r w:rsidR="002A1B2C" w:rsidRPr="00C7723F">
              <w:rPr>
                <w:noProof/>
                <w:sz w:val="20"/>
                <w:szCs w:val="20"/>
              </w:rPr>
              <w:t>jné zájmy návrh rozhodnutí o </w:t>
            </w:r>
            <w:r w:rsidRPr="00C7723F">
              <w:rPr>
                <w:noProof/>
                <w:sz w:val="20"/>
                <w:szCs w:val="20"/>
              </w:rPr>
              <w:t>námitkách a návrh vyhodnocení připomínek</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návrhy doručí </w:t>
            </w:r>
            <w:r w:rsidR="0078162F" w:rsidRPr="00C7723F">
              <w:rPr>
                <w:noProof/>
                <w:sz w:val="20"/>
                <w:szCs w:val="20"/>
              </w:rPr>
              <w:t>DO</w:t>
            </w:r>
            <w:r w:rsidRPr="00C7723F">
              <w:rPr>
                <w:noProof/>
                <w:sz w:val="20"/>
                <w:szCs w:val="20"/>
              </w:rPr>
              <w:t xml:space="preserve"> a MMR k uplatnění případných stanovisek</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pokud je to nezbytné, krajský úřad zajistí úpravu návrhu </w:t>
            </w:r>
            <w:r w:rsidR="00687D5F">
              <w:rPr>
                <w:noProof/>
                <w:sz w:val="20"/>
                <w:szCs w:val="20"/>
              </w:rPr>
              <w:t xml:space="preserve">ZÚR </w:t>
            </w:r>
            <w:r w:rsidRPr="00C7723F">
              <w:rPr>
                <w:noProof/>
                <w:sz w:val="20"/>
                <w:szCs w:val="20"/>
              </w:rPr>
              <w:t>v souladu s výsledky projednání</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dojde-li na základě veřejného projednání k podstatné úpravě návrhu </w:t>
            </w:r>
            <w:r w:rsidR="00687D5F">
              <w:rPr>
                <w:noProof/>
                <w:sz w:val="20"/>
                <w:szCs w:val="20"/>
              </w:rPr>
              <w:t>ZÚR</w:t>
            </w:r>
            <w:r w:rsidRPr="00C7723F">
              <w:rPr>
                <w:noProof/>
                <w:sz w:val="20"/>
                <w:szCs w:val="20"/>
              </w:rPr>
              <w:t>, krajský úřad si vyžádá stanovisko MŽP a stanovisko příslušného orgánu ochrany přírody, zda podstatná úprava vyžaduje posouzení z hlediska vlivů na životní prostředí, a upravený návrh a případně upravené nebo doplněné vyhodnocení vlivů na udržitelný rozvoj území</w:t>
            </w:r>
            <w:r w:rsidR="007B01F6" w:rsidRPr="00C7723F">
              <w:rPr>
                <w:noProof/>
                <w:sz w:val="20"/>
                <w:szCs w:val="20"/>
              </w:rPr>
              <w:t>,</w:t>
            </w:r>
            <w:r w:rsidRPr="00C7723F">
              <w:rPr>
                <w:noProof/>
                <w:sz w:val="20"/>
                <w:szCs w:val="20"/>
              </w:rPr>
              <w:t xml:space="preserve"> se v rozsahu těchto úprav projedná na opakovaném veřejném projednání</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krajský úřad předkládá zastupitelstvu kraje návrh na vydání </w:t>
            </w:r>
            <w:r w:rsidR="00C007FA">
              <w:rPr>
                <w:noProof/>
                <w:sz w:val="20"/>
                <w:szCs w:val="20"/>
              </w:rPr>
              <w:t xml:space="preserve">ZÚR </w:t>
            </w:r>
            <w:r w:rsidRPr="00C7723F">
              <w:rPr>
                <w:noProof/>
                <w:sz w:val="20"/>
                <w:szCs w:val="20"/>
              </w:rPr>
              <w:t>s jejich odůvodněním</w:t>
            </w:r>
          </w:p>
          <w:p w:rsidR="00353E5E" w:rsidRPr="00C7723F" w:rsidRDefault="00353E5E" w:rsidP="00C873B4">
            <w:pPr>
              <w:pStyle w:val="Odstavecseseznamem"/>
              <w:widowControl w:val="0"/>
              <w:numPr>
                <w:ilvl w:val="0"/>
                <w:numId w:val="75"/>
              </w:numPr>
              <w:ind w:left="357" w:hanging="357"/>
              <w:rPr>
                <w:noProof/>
                <w:sz w:val="20"/>
                <w:szCs w:val="20"/>
              </w:rPr>
            </w:pPr>
            <w:r w:rsidRPr="00C7723F">
              <w:rPr>
                <w:noProof/>
                <w:sz w:val="20"/>
                <w:szCs w:val="20"/>
              </w:rPr>
              <w:t xml:space="preserve">zastupitelstvo kraje si před vydáním </w:t>
            </w:r>
            <w:r w:rsidR="00C007FA">
              <w:rPr>
                <w:noProof/>
                <w:sz w:val="20"/>
                <w:szCs w:val="20"/>
              </w:rPr>
              <w:t xml:space="preserve">ZÚR </w:t>
            </w:r>
            <w:r w:rsidRPr="00C7723F">
              <w:rPr>
                <w:noProof/>
                <w:sz w:val="20"/>
                <w:szCs w:val="20"/>
              </w:rPr>
              <w:t xml:space="preserve">ověří, zda-li nejsou v rozporu s </w:t>
            </w:r>
            <w:r w:rsidR="00C007FA">
              <w:rPr>
                <w:noProof/>
                <w:sz w:val="20"/>
                <w:szCs w:val="20"/>
              </w:rPr>
              <w:t>PÚR</w:t>
            </w:r>
            <w:r w:rsidRPr="00C7723F">
              <w:rPr>
                <w:noProof/>
                <w:sz w:val="20"/>
                <w:szCs w:val="20"/>
              </w:rPr>
              <w:t xml:space="preserve">, se stanovisky </w:t>
            </w:r>
            <w:r w:rsidR="0078162F" w:rsidRPr="00C7723F">
              <w:rPr>
                <w:noProof/>
                <w:sz w:val="20"/>
                <w:szCs w:val="20"/>
              </w:rPr>
              <w:t>DO</w:t>
            </w:r>
            <w:r w:rsidRPr="00C7723F">
              <w:rPr>
                <w:noProof/>
                <w:sz w:val="20"/>
                <w:szCs w:val="20"/>
              </w:rPr>
              <w:t xml:space="preserve"> nebo výsledkem řešení rozporu a se stanoviskem MMR.</w:t>
            </w:r>
          </w:p>
          <w:p w:rsidR="00353E5E" w:rsidRPr="00353E5E" w:rsidRDefault="00353E5E" w:rsidP="003E4A5D">
            <w:pPr>
              <w:widowControl w:val="0"/>
              <w:rPr>
                <w:noProof/>
                <w:sz w:val="20"/>
                <w:szCs w:val="20"/>
              </w:rPr>
            </w:pPr>
            <w:r w:rsidRPr="00353E5E">
              <w:rPr>
                <w:noProof/>
                <w:sz w:val="20"/>
                <w:szCs w:val="20"/>
              </w:rPr>
              <w:t xml:space="preserve">Dojde-li ke změně nebo zrušení rozhodnutí o námitkách, je kraj povinen uvést </w:t>
            </w:r>
            <w:r w:rsidR="00C007FA">
              <w:rPr>
                <w:noProof/>
                <w:sz w:val="20"/>
                <w:szCs w:val="20"/>
              </w:rPr>
              <w:t>ZÚR</w:t>
            </w:r>
            <w:r w:rsidRPr="00353E5E">
              <w:rPr>
                <w:noProof/>
                <w:sz w:val="20"/>
                <w:szCs w:val="20"/>
              </w:rPr>
              <w:t xml:space="preserve"> do souladu s tímto rozhodnutím; do té doby nelze rozhodovat a postupovat podle těch částí </w:t>
            </w:r>
            <w:r w:rsidR="00C007FA">
              <w:rPr>
                <w:noProof/>
                <w:sz w:val="20"/>
                <w:szCs w:val="20"/>
              </w:rPr>
              <w:t>ZÚR</w:t>
            </w:r>
            <w:r w:rsidRPr="00353E5E">
              <w:rPr>
                <w:noProof/>
                <w:sz w:val="20"/>
                <w:szCs w:val="20"/>
              </w:rPr>
              <w:t>, které jsou vymezeny v rozhodnutí o zrušení rozhodnutí o námitkách.</w:t>
            </w:r>
          </w:p>
          <w:p w:rsidR="00353E5E" w:rsidRDefault="00C007FA" w:rsidP="003E4A5D">
            <w:pPr>
              <w:widowControl w:val="0"/>
              <w:rPr>
                <w:noProof/>
                <w:sz w:val="20"/>
                <w:szCs w:val="20"/>
              </w:rPr>
            </w:pPr>
            <w:r>
              <w:rPr>
                <w:noProof/>
                <w:sz w:val="20"/>
                <w:szCs w:val="20"/>
              </w:rPr>
              <w:t>ZÚR</w:t>
            </w:r>
            <w:r w:rsidR="00353E5E" w:rsidRPr="00353E5E">
              <w:rPr>
                <w:noProof/>
                <w:sz w:val="20"/>
                <w:szCs w:val="20"/>
              </w:rPr>
              <w:t xml:space="preserve"> nelze změnit rozhodnutím podle § 97 odst. 3 správního řádu.</w:t>
            </w:r>
          </w:p>
          <w:p w:rsidR="0051550F" w:rsidRDefault="0051550F" w:rsidP="00F7481F">
            <w:pPr>
              <w:widowControl w:val="0"/>
              <w:rPr>
                <w:noProof/>
              </w:rPr>
            </w:pPr>
            <w:r>
              <w:rPr>
                <w:noProof/>
                <w:sz w:val="20"/>
                <w:szCs w:val="20"/>
              </w:rPr>
              <w:t>Od 1.</w:t>
            </w:r>
            <w:r w:rsidR="00F7481F">
              <w:rPr>
                <w:noProof/>
                <w:sz w:val="20"/>
                <w:szCs w:val="20"/>
              </w:rPr>
              <w:t xml:space="preserve"> </w:t>
            </w:r>
            <w:r>
              <w:rPr>
                <w:noProof/>
                <w:sz w:val="20"/>
                <w:szCs w:val="20"/>
              </w:rPr>
              <w:t>1.</w:t>
            </w:r>
            <w:r w:rsidR="00F7481F">
              <w:rPr>
                <w:noProof/>
                <w:sz w:val="20"/>
                <w:szCs w:val="20"/>
              </w:rPr>
              <w:t xml:space="preserve"> </w:t>
            </w:r>
            <w:r>
              <w:rPr>
                <w:noProof/>
                <w:sz w:val="20"/>
                <w:szCs w:val="20"/>
              </w:rPr>
              <w:t>2018 lze aktualizac</w:t>
            </w:r>
            <w:r w:rsidR="00F7481F">
              <w:rPr>
                <w:noProof/>
                <w:sz w:val="20"/>
                <w:szCs w:val="20"/>
              </w:rPr>
              <w:t>i</w:t>
            </w:r>
            <w:r>
              <w:rPr>
                <w:noProof/>
                <w:sz w:val="20"/>
                <w:szCs w:val="20"/>
              </w:rPr>
              <w:t xml:space="preserve"> ZÚR pořizovat zkráceným postupem, kdy fáze projednávání a schvalování zprávy o</w:t>
            </w:r>
            <w:r w:rsidR="00F7481F">
              <w:rPr>
                <w:noProof/>
                <w:sz w:val="20"/>
                <w:szCs w:val="20"/>
              </w:rPr>
              <w:t> </w:t>
            </w:r>
            <w:r>
              <w:rPr>
                <w:noProof/>
                <w:sz w:val="20"/>
                <w:szCs w:val="20"/>
              </w:rPr>
              <w:t xml:space="preserve">uplatňování ZÚR je nahrazena rozhodnutím zastupitelstva kraje o pořizení aktualizace </w:t>
            </w:r>
            <w:r w:rsidR="00F7481F">
              <w:rPr>
                <w:noProof/>
                <w:sz w:val="20"/>
                <w:szCs w:val="20"/>
              </w:rPr>
              <w:t xml:space="preserve">ZÚR </w:t>
            </w:r>
            <w:r>
              <w:rPr>
                <w:noProof/>
                <w:sz w:val="20"/>
                <w:szCs w:val="20"/>
              </w:rPr>
              <w:t xml:space="preserve">a o jejím obsahu. </w:t>
            </w:r>
            <w:r w:rsidR="00F7481F">
              <w:rPr>
                <w:noProof/>
                <w:sz w:val="20"/>
                <w:szCs w:val="20"/>
              </w:rPr>
              <w:t>P</w:t>
            </w:r>
            <w:r>
              <w:rPr>
                <w:noProof/>
                <w:sz w:val="20"/>
                <w:szCs w:val="20"/>
              </w:rPr>
              <w:t xml:space="preserve">o vyhotovení </w:t>
            </w:r>
            <w:r w:rsidR="00F7481F">
              <w:rPr>
                <w:noProof/>
                <w:sz w:val="20"/>
                <w:szCs w:val="20"/>
              </w:rPr>
              <w:t xml:space="preserve">návrhu aktualizace ZÚR se rovnou koná veřejné projednání. </w:t>
            </w:r>
          </w:p>
        </w:tc>
      </w:tr>
    </w:tbl>
    <w:p w:rsidR="00E61BDC" w:rsidRPr="0032110B" w:rsidRDefault="00E61BDC" w:rsidP="00D4266B">
      <w:pPr>
        <w:pStyle w:val="Nadpis6"/>
        <w:rPr>
          <w:noProof/>
        </w:rPr>
      </w:pPr>
      <w:bookmarkStart w:id="19" w:name="_Toc536553893"/>
      <w:r w:rsidRPr="0032110B">
        <w:rPr>
          <w:noProof/>
        </w:rPr>
        <w:lastRenderedPageBreak/>
        <w:t xml:space="preserve">Územní plány </w:t>
      </w:r>
      <w:r w:rsidR="007F4230" w:rsidRPr="0032110B">
        <w:rPr>
          <w:noProof/>
        </w:rPr>
        <w:t>(ÚP)</w:t>
      </w:r>
      <w:bookmarkEnd w:id="19"/>
    </w:p>
    <w:p w:rsidR="00E61BDC" w:rsidRPr="00412925" w:rsidRDefault="00C007FA" w:rsidP="003E4A5D">
      <w:pPr>
        <w:widowControl w:val="0"/>
        <w:rPr>
          <w:noProof/>
          <w:szCs w:val="24"/>
        </w:rPr>
      </w:pPr>
      <w:r w:rsidRPr="00FD656C">
        <w:rPr>
          <w:noProof/>
          <w:szCs w:val="24"/>
        </w:rPr>
        <w:t>ÚP</w:t>
      </w:r>
      <w:r w:rsidR="00E61BDC" w:rsidRPr="00FD656C">
        <w:rPr>
          <w:noProof/>
          <w:szCs w:val="24"/>
        </w:rPr>
        <w:t xml:space="preserve"> </w:t>
      </w:r>
      <w:r w:rsidR="002176D4" w:rsidRPr="00FD656C">
        <w:rPr>
          <w:noProof/>
          <w:szCs w:val="24"/>
        </w:rPr>
        <w:t xml:space="preserve">je </w:t>
      </w:r>
      <w:r w:rsidR="00E61BDC" w:rsidRPr="00FD656C">
        <w:rPr>
          <w:noProof/>
          <w:szCs w:val="24"/>
        </w:rPr>
        <w:t xml:space="preserve">institut navazujícím na </w:t>
      </w:r>
      <w:r w:rsidRPr="00FD656C">
        <w:rPr>
          <w:noProof/>
          <w:szCs w:val="24"/>
        </w:rPr>
        <w:t>ZÚR</w:t>
      </w:r>
      <w:r w:rsidR="002A1B2C" w:rsidRPr="00412925">
        <w:rPr>
          <w:noProof/>
          <w:szCs w:val="24"/>
        </w:rPr>
        <w:t xml:space="preserve">. </w:t>
      </w:r>
      <w:r w:rsidR="002176D4" w:rsidRPr="009231C6">
        <w:rPr>
          <w:noProof/>
          <w:szCs w:val="24"/>
        </w:rPr>
        <w:t xml:space="preserve">Jeho </w:t>
      </w:r>
      <w:r w:rsidR="00AB65E9" w:rsidRPr="00AB65E9">
        <w:rPr>
          <w:noProof/>
          <w:szCs w:val="24"/>
        </w:rPr>
        <w:t xml:space="preserve">obsah nesmí být v rozporu se </w:t>
      </w:r>
      <w:r w:rsidRPr="00FD656C">
        <w:rPr>
          <w:noProof/>
          <w:szCs w:val="24"/>
        </w:rPr>
        <w:t>ZÚR</w:t>
      </w:r>
      <w:r w:rsidR="00E61BDC" w:rsidRPr="00FD656C">
        <w:rPr>
          <w:noProof/>
          <w:szCs w:val="24"/>
        </w:rPr>
        <w:t xml:space="preserve"> a </w:t>
      </w:r>
      <w:r w:rsidR="00CE55D6" w:rsidRPr="00FD656C">
        <w:rPr>
          <w:noProof/>
          <w:szCs w:val="24"/>
        </w:rPr>
        <w:t>s </w:t>
      </w:r>
      <w:r w:rsidRPr="00412925">
        <w:rPr>
          <w:noProof/>
          <w:szCs w:val="24"/>
        </w:rPr>
        <w:t>PÚR</w:t>
      </w:r>
      <w:r w:rsidR="00CE55D6" w:rsidRPr="00412925">
        <w:rPr>
          <w:noProof/>
          <w:szCs w:val="24"/>
        </w:rPr>
        <w:t xml:space="preserve">. </w:t>
      </w:r>
      <w:r w:rsidR="00AB65E9" w:rsidRPr="00AB65E9">
        <w:rPr>
          <w:noProof/>
          <w:szCs w:val="24"/>
        </w:rPr>
        <w:t>Zpřesňuj</w:t>
      </w:r>
      <w:r w:rsidR="00AB65E9" w:rsidRPr="00616A8F">
        <w:rPr>
          <w:noProof/>
          <w:szCs w:val="24"/>
        </w:rPr>
        <w:t xml:space="preserve">e obsah PÚR a </w:t>
      </w:r>
      <w:r w:rsidR="00AB65E9" w:rsidRPr="00C05621">
        <w:rPr>
          <w:noProof/>
          <w:szCs w:val="24"/>
        </w:rPr>
        <w:t>ZÚR</w:t>
      </w:r>
      <w:r w:rsidR="00AB65E9" w:rsidRPr="00BE1DC9">
        <w:rPr>
          <w:noProof/>
          <w:szCs w:val="24"/>
        </w:rPr>
        <w:t xml:space="preserve"> pro území obce</w:t>
      </w:r>
      <w:r w:rsidR="00AB65E9" w:rsidRPr="003B6334">
        <w:rPr>
          <w:noProof/>
          <w:szCs w:val="24"/>
        </w:rPr>
        <w:t xml:space="preserve">. </w:t>
      </w:r>
      <w:r w:rsidR="00AB65E9" w:rsidRPr="00054780">
        <w:rPr>
          <w:noProof/>
          <w:szCs w:val="24"/>
        </w:rPr>
        <w:t xml:space="preserve">Je </w:t>
      </w:r>
      <w:r w:rsidR="00AB65E9" w:rsidRPr="00E05DA4">
        <w:rPr>
          <w:noProof/>
          <w:szCs w:val="24"/>
        </w:rPr>
        <w:t xml:space="preserve">koncepčním materiálem, který mj. stanoví plochy s rozdílným způsobem využití a koridory pro veřejnou dopravní či </w:t>
      </w:r>
      <w:r w:rsidR="00AB65E9" w:rsidRPr="001D3B77">
        <w:rPr>
          <w:noProof/>
          <w:szCs w:val="24"/>
        </w:rPr>
        <w:t xml:space="preserve">technickou </w:t>
      </w:r>
      <w:r w:rsidR="00AB65E9" w:rsidRPr="00696E9E">
        <w:rPr>
          <w:noProof/>
          <w:szCs w:val="24"/>
        </w:rPr>
        <w:t>infrastrukturu</w:t>
      </w:r>
      <w:r w:rsidR="003A3636">
        <w:rPr>
          <w:noProof/>
          <w:szCs w:val="24"/>
        </w:rPr>
        <w:t>.</w:t>
      </w:r>
      <w:r w:rsidR="00E61BDC" w:rsidRPr="00FD656C">
        <w:rPr>
          <w:noProof/>
          <w:szCs w:val="24"/>
        </w:rPr>
        <w:t xml:space="preserve"> </w:t>
      </w:r>
      <w:r w:rsidR="003A3636">
        <w:rPr>
          <w:noProof/>
          <w:szCs w:val="24"/>
        </w:rPr>
        <w:t>ÚP</w:t>
      </w:r>
      <w:r w:rsidRPr="00FD656C">
        <w:rPr>
          <w:noProof/>
          <w:szCs w:val="24"/>
        </w:rPr>
        <w:t> </w:t>
      </w:r>
      <w:r w:rsidR="00E61BDC" w:rsidRPr="00FD656C">
        <w:rPr>
          <w:noProof/>
          <w:szCs w:val="24"/>
        </w:rPr>
        <w:t xml:space="preserve">stejně jako </w:t>
      </w:r>
      <w:r w:rsidR="002176D4" w:rsidRPr="00FD656C">
        <w:rPr>
          <w:noProof/>
          <w:szCs w:val="24"/>
        </w:rPr>
        <w:t xml:space="preserve">ZÚR </w:t>
      </w:r>
      <w:r w:rsidR="003A3636">
        <w:rPr>
          <w:noProof/>
          <w:szCs w:val="24"/>
        </w:rPr>
        <w:t xml:space="preserve">může </w:t>
      </w:r>
      <w:r w:rsidR="003A3636" w:rsidRPr="003A3636">
        <w:rPr>
          <w:noProof/>
          <w:szCs w:val="24"/>
        </w:rPr>
        <w:t>vymezit plochu nebo koridor a stanovit jejich využití, jehož potřebu a</w:t>
      </w:r>
      <w:r w:rsidR="00220E68">
        <w:rPr>
          <w:noProof/>
          <w:szCs w:val="24"/>
        </w:rPr>
        <w:t> </w:t>
      </w:r>
      <w:r w:rsidR="003A3636" w:rsidRPr="003A3636">
        <w:rPr>
          <w:noProof/>
          <w:szCs w:val="24"/>
        </w:rPr>
        <w:t>plošné nároky je nutno prověřit (územní rezerva)</w:t>
      </w:r>
      <w:r w:rsidR="00220E68">
        <w:rPr>
          <w:noProof/>
          <w:szCs w:val="24"/>
        </w:rPr>
        <w:t xml:space="preserve">. Toto prověření se provádí obvykle pořízením </w:t>
      </w:r>
      <w:r w:rsidR="00E61BDC" w:rsidRPr="00412925">
        <w:rPr>
          <w:noProof/>
          <w:szCs w:val="24"/>
        </w:rPr>
        <w:t xml:space="preserve">územní studie. </w:t>
      </w:r>
      <w:r w:rsidR="00220E68">
        <w:rPr>
          <w:noProof/>
          <w:szCs w:val="24"/>
        </w:rPr>
        <w:t xml:space="preserve">ÚP může </w:t>
      </w:r>
      <w:r w:rsidR="00220E68" w:rsidRPr="00220E68">
        <w:rPr>
          <w:noProof/>
          <w:szCs w:val="24"/>
        </w:rPr>
        <w:t>vymezit plochu nebo koridor, v němž je rozhodování o změnách v</w:t>
      </w:r>
      <w:r w:rsidR="00220E68">
        <w:rPr>
          <w:noProof/>
          <w:szCs w:val="24"/>
        </w:rPr>
        <w:t> </w:t>
      </w:r>
      <w:r w:rsidR="00220E68" w:rsidRPr="00220E68">
        <w:rPr>
          <w:noProof/>
          <w:szCs w:val="24"/>
        </w:rPr>
        <w:t xml:space="preserve">území </w:t>
      </w:r>
      <w:r w:rsidR="00220E68">
        <w:rPr>
          <w:noProof/>
          <w:szCs w:val="24"/>
        </w:rPr>
        <w:t xml:space="preserve">(například územní rozhodnutí) </w:t>
      </w:r>
      <w:r w:rsidR="00220E68" w:rsidRPr="00220E68">
        <w:rPr>
          <w:noProof/>
          <w:szCs w:val="24"/>
        </w:rPr>
        <w:t>podmíněno smlouvou s vlastníky pozemků a staveb, které budou dotčeny navrhovaným záměrem, jejímž obsahem musí být souhlas s tímto záměrem a</w:t>
      </w:r>
      <w:r w:rsidR="00220E68">
        <w:rPr>
          <w:noProof/>
          <w:szCs w:val="24"/>
        </w:rPr>
        <w:t> </w:t>
      </w:r>
      <w:r w:rsidR="00220E68" w:rsidRPr="00220E68">
        <w:rPr>
          <w:noProof/>
          <w:szCs w:val="24"/>
        </w:rPr>
        <w:t xml:space="preserve">souhlas s rozdělením nákladů a prospěchů spojených s jeho realizací (dohoda o parcelaci), zpracováním územní studie nebo vydáním regulačního plánu. V případě podmínění rozhodování územní studií jsou součástí </w:t>
      </w:r>
      <w:r w:rsidR="00220E68">
        <w:rPr>
          <w:noProof/>
          <w:szCs w:val="24"/>
        </w:rPr>
        <w:t>ÚP</w:t>
      </w:r>
      <w:r w:rsidR="00220E68" w:rsidRPr="00220E68">
        <w:rPr>
          <w:noProof/>
          <w:szCs w:val="24"/>
        </w:rPr>
        <w:t xml:space="preserve"> podmínky pro její pořízení a přiměřená lhůta pro vložení dat o ní do evidence územně plánovací činnosti; marným uplynutím lhůty omezení změn v území zaniká. V případě podmínění rozhodování regulačním plánem je součástí </w:t>
      </w:r>
      <w:r w:rsidR="00220E68">
        <w:rPr>
          <w:noProof/>
          <w:szCs w:val="24"/>
        </w:rPr>
        <w:t>ÚP</w:t>
      </w:r>
      <w:r w:rsidR="00220E68" w:rsidRPr="00220E68">
        <w:rPr>
          <w:noProof/>
          <w:szCs w:val="24"/>
        </w:rPr>
        <w:t xml:space="preserve"> zadání regulačního plánu a</w:t>
      </w:r>
      <w:r w:rsidR="009A0917">
        <w:rPr>
          <w:noProof/>
          <w:szCs w:val="24"/>
        </w:rPr>
        <w:t> </w:t>
      </w:r>
      <w:r w:rsidR="00220E68" w:rsidRPr="00220E68">
        <w:rPr>
          <w:noProof/>
          <w:szCs w:val="24"/>
        </w:rPr>
        <w:t xml:space="preserve">u regulačního plánu z podnětu přiměřená lhůta pro jeho vydání. Podmínka vydání regulačního plánu z podnětu pozbývá platnosti marným uplynutím uvedené lhůty. </w:t>
      </w:r>
      <w:r w:rsidR="00E61BDC" w:rsidRPr="00FD656C">
        <w:rPr>
          <w:noProof/>
          <w:szCs w:val="24"/>
        </w:rPr>
        <w:t xml:space="preserve">O pořízení </w:t>
      </w:r>
      <w:r w:rsidR="002176D4" w:rsidRPr="00FD656C">
        <w:rPr>
          <w:noProof/>
          <w:szCs w:val="24"/>
        </w:rPr>
        <w:t>ÚP</w:t>
      </w:r>
      <w:r w:rsidR="00E61BDC" w:rsidRPr="00FD656C">
        <w:rPr>
          <w:noProof/>
          <w:szCs w:val="24"/>
        </w:rPr>
        <w:t xml:space="preserve"> rozhoduje zastupitelstvo</w:t>
      </w:r>
      <w:r w:rsidR="004F7A53" w:rsidRPr="00FD656C">
        <w:rPr>
          <w:noProof/>
          <w:szCs w:val="24"/>
        </w:rPr>
        <w:t xml:space="preserve">, a to a) z vlastního podnětu, b) na </w:t>
      </w:r>
      <w:r w:rsidR="004F7A53" w:rsidRPr="00412925">
        <w:rPr>
          <w:noProof/>
          <w:szCs w:val="24"/>
        </w:rPr>
        <w:t>náv</w:t>
      </w:r>
      <w:r w:rsidR="002A1B2C" w:rsidRPr="00412925">
        <w:rPr>
          <w:noProof/>
          <w:szCs w:val="24"/>
        </w:rPr>
        <w:t>rh orgánu veřejné správy, c) na </w:t>
      </w:r>
      <w:r w:rsidR="00AB65E9" w:rsidRPr="00AB65E9">
        <w:rPr>
          <w:noProof/>
          <w:szCs w:val="24"/>
        </w:rPr>
        <w:t xml:space="preserve">návrh občana obce, d) na návrh fyzické nebo právnické osoby, která má vlastnická nebo obdobná práva </w:t>
      </w:r>
      <w:r w:rsidR="00AB65E9" w:rsidRPr="00616A8F">
        <w:rPr>
          <w:noProof/>
          <w:szCs w:val="24"/>
        </w:rPr>
        <w:t>k</w:t>
      </w:r>
      <w:r w:rsidR="009A0917">
        <w:rPr>
          <w:noProof/>
          <w:szCs w:val="24"/>
        </w:rPr>
        <w:t> </w:t>
      </w:r>
      <w:r w:rsidR="004F7A53" w:rsidRPr="00FD656C">
        <w:rPr>
          <w:noProof/>
          <w:szCs w:val="24"/>
        </w:rPr>
        <w:t>pozemku nebo stavbě na území obce, e) na návrh oprávněného investora.</w:t>
      </w:r>
    </w:p>
    <w:p w:rsidR="00E61BDC" w:rsidRDefault="002176D4" w:rsidP="003E4A5D">
      <w:pPr>
        <w:widowControl w:val="0"/>
        <w:rPr>
          <w:noProof/>
        </w:rPr>
      </w:pPr>
      <w:r>
        <w:rPr>
          <w:noProof/>
        </w:rPr>
        <w:t>ÚP</w:t>
      </w:r>
      <w:r w:rsidR="00E61BDC" w:rsidRPr="00A120A2">
        <w:rPr>
          <w:noProof/>
        </w:rPr>
        <w:t xml:space="preserve"> se </w:t>
      </w:r>
      <w:r w:rsidR="00E61BDC">
        <w:rPr>
          <w:noProof/>
        </w:rPr>
        <w:t>vydává</w:t>
      </w:r>
      <w:r w:rsidR="00E61BDC" w:rsidRPr="00A120A2">
        <w:rPr>
          <w:noProof/>
        </w:rPr>
        <w:t xml:space="preserve"> formou opatření obecné povahy (OOP) a </w:t>
      </w:r>
      <w:r w:rsidR="00E61BDC">
        <w:rPr>
          <w:noProof/>
        </w:rPr>
        <w:t>oznamuje</w:t>
      </w:r>
      <w:r w:rsidR="00E61BDC" w:rsidRPr="00A120A2">
        <w:rPr>
          <w:noProof/>
        </w:rPr>
        <w:t xml:space="preserve"> ho </w:t>
      </w:r>
      <w:r w:rsidR="00E61BDC">
        <w:rPr>
          <w:noProof/>
        </w:rPr>
        <w:t>vyvěšením veřejné vyhlášky</w:t>
      </w:r>
      <w:r w:rsidR="00E61BDC" w:rsidRPr="00A120A2">
        <w:rPr>
          <w:noProof/>
        </w:rPr>
        <w:t xml:space="preserve"> zastupitelstvo obce. Účinným se stává po uplynutí zákonné lhůty</w:t>
      </w:r>
      <w:r w:rsidR="00E61BDC">
        <w:rPr>
          <w:noProof/>
        </w:rPr>
        <w:t xml:space="preserve"> 15 dnů od vyvěšení veřejné vyhlášky</w:t>
      </w:r>
      <w:r w:rsidR="00E61BDC" w:rsidRPr="00A120A2">
        <w:rPr>
          <w:noProof/>
        </w:rPr>
        <w:t xml:space="preserve">. Samotný </w:t>
      </w:r>
      <w:r w:rsidR="00BC28A1">
        <w:rPr>
          <w:noProof/>
        </w:rPr>
        <w:t>ÚP</w:t>
      </w:r>
      <w:r w:rsidR="00E61BDC" w:rsidRPr="00A120A2">
        <w:rPr>
          <w:noProof/>
        </w:rPr>
        <w:t xml:space="preserve"> je tvořen textovou částí (</w:t>
      </w:r>
      <w:r w:rsidR="009A0917">
        <w:rPr>
          <w:noProof/>
        </w:rPr>
        <w:t xml:space="preserve">text </w:t>
      </w:r>
      <w:r w:rsidR="00BC28A1">
        <w:rPr>
          <w:noProof/>
        </w:rPr>
        <w:t>závazn</w:t>
      </w:r>
      <w:r w:rsidR="009A0917">
        <w:rPr>
          <w:noProof/>
        </w:rPr>
        <w:t>é</w:t>
      </w:r>
      <w:r w:rsidR="00BC28A1">
        <w:rPr>
          <w:noProof/>
        </w:rPr>
        <w:t xml:space="preserve"> část</w:t>
      </w:r>
      <w:r w:rsidR="009A0917">
        <w:rPr>
          <w:noProof/>
        </w:rPr>
        <w:t>i</w:t>
      </w:r>
      <w:r w:rsidR="00BC28A1">
        <w:rPr>
          <w:noProof/>
        </w:rPr>
        <w:t xml:space="preserve"> a </w:t>
      </w:r>
      <w:r w:rsidR="009A0917">
        <w:rPr>
          <w:noProof/>
        </w:rPr>
        <w:t xml:space="preserve">text </w:t>
      </w:r>
      <w:r w:rsidR="00E61BDC" w:rsidRPr="00A120A2">
        <w:rPr>
          <w:noProof/>
        </w:rPr>
        <w:t xml:space="preserve">odůvodnění) </w:t>
      </w:r>
      <w:r w:rsidR="009A0917" w:rsidRPr="00A120A2">
        <w:rPr>
          <w:noProof/>
        </w:rPr>
        <w:t>a</w:t>
      </w:r>
      <w:r w:rsidR="009A0917">
        <w:rPr>
          <w:noProof/>
        </w:rPr>
        <w:t> </w:t>
      </w:r>
      <w:r w:rsidR="009A0917" w:rsidRPr="00A120A2">
        <w:rPr>
          <w:noProof/>
        </w:rPr>
        <w:t>z</w:t>
      </w:r>
      <w:r w:rsidR="009A0917">
        <w:rPr>
          <w:noProof/>
        </w:rPr>
        <w:t> </w:t>
      </w:r>
      <w:r w:rsidR="00E61BDC" w:rsidRPr="00A120A2">
        <w:rPr>
          <w:noProof/>
        </w:rPr>
        <w:t>grafické části</w:t>
      </w:r>
      <w:r w:rsidR="00BC28A1">
        <w:rPr>
          <w:noProof/>
        </w:rPr>
        <w:t xml:space="preserve"> </w:t>
      </w:r>
      <w:r w:rsidR="00BC28A1" w:rsidRPr="00A120A2">
        <w:rPr>
          <w:noProof/>
        </w:rPr>
        <w:t>(</w:t>
      </w:r>
      <w:r w:rsidR="00BC28A1">
        <w:rPr>
          <w:noProof/>
        </w:rPr>
        <w:t xml:space="preserve">výkresy závazné části a výkresy </w:t>
      </w:r>
      <w:r w:rsidR="00BC28A1" w:rsidRPr="00A120A2">
        <w:rPr>
          <w:noProof/>
        </w:rPr>
        <w:t>odůvodnění)</w:t>
      </w:r>
      <w:r w:rsidR="00E61BDC" w:rsidRPr="00A120A2">
        <w:rPr>
          <w:noProof/>
        </w:rPr>
        <w:t xml:space="preserve">. </w:t>
      </w:r>
    </w:p>
    <w:p w:rsidR="00E61BDC" w:rsidRDefault="00E61BDC" w:rsidP="003E4A5D">
      <w:pPr>
        <w:widowControl w:val="0"/>
        <w:rPr>
          <w:noProof/>
        </w:rPr>
      </w:pPr>
      <w:r w:rsidRPr="00A120A2">
        <w:rPr>
          <w:noProof/>
        </w:rPr>
        <w:lastRenderedPageBreak/>
        <w:t xml:space="preserve">Nesouhlas </w:t>
      </w:r>
      <w:r w:rsidR="00F30A91">
        <w:rPr>
          <w:noProof/>
        </w:rPr>
        <w:t>s</w:t>
      </w:r>
      <w:r w:rsidRPr="00A120A2">
        <w:rPr>
          <w:noProof/>
        </w:rPr>
        <w:t xml:space="preserve"> </w:t>
      </w:r>
      <w:r w:rsidR="00184DC0">
        <w:rPr>
          <w:noProof/>
        </w:rPr>
        <w:t>ÚP</w:t>
      </w:r>
      <w:r w:rsidRPr="00A120A2">
        <w:rPr>
          <w:noProof/>
        </w:rPr>
        <w:t xml:space="preserve"> </w:t>
      </w:r>
      <w:r w:rsidR="00184DC0">
        <w:rPr>
          <w:noProof/>
        </w:rPr>
        <w:t xml:space="preserve">v průběhu jeho pořizování </w:t>
      </w:r>
      <w:r w:rsidRPr="00A120A2">
        <w:rPr>
          <w:noProof/>
        </w:rPr>
        <w:t xml:space="preserve">může být uplatněn </w:t>
      </w:r>
      <w:r w:rsidR="002A1B2C">
        <w:rPr>
          <w:noProof/>
        </w:rPr>
        <w:t>dvěma možnými způsoby. Jednou z </w:t>
      </w:r>
      <w:r w:rsidRPr="00A120A2">
        <w:rPr>
          <w:noProof/>
        </w:rPr>
        <w:t xml:space="preserve">těchto možností jsou námitky, které </w:t>
      </w:r>
      <w:r w:rsidR="003A67F2">
        <w:rPr>
          <w:noProof/>
        </w:rPr>
        <w:t>mohou</w:t>
      </w:r>
      <w:r w:rsidRPr="00A120A2">
        <w:rPr>
          <w:noProof/>
        </w:rPr>
        <w:t xml:space="preserve"> využívat tzv. dotčené osoby. </w:t>
      </w:r>
      <w:r w:rsidR="00184DC0">
        <w:rPr>
          <w:noProof/>
        </w:rPr>
        <w:t xml:space="preserve">O námitkách rozhoduje zastupitelstvo obce a toto rozhodnutí (včetně odůvodnění tohoto rozhodnutí) je součástí odůvodnění ÚP. </w:t>
      </w:r>
      <w:r w:rsidRPr="00A120A2">
        <w:rPr>
          <w:noProof/>
        </w:rPr>
        <w:t>Druhou možností jsou připomínky, které může uplatňovat každý</w:t>
      </w:r>
      <w:r w:rsidR="00B74D06">
        <w:rPr>
          <w:noProof/>
        </w:rPr>
        <w:t>. Vypořádání připomínek je také součástí odůvodnění ÚP</w:t>
      </w:r>
      <w:r w:rsidRPr="00A120A2">
        <w:rPr>
          <w:noProof/>
        </w:rPr>
        <w:t xml:space="preserve">. Důležitou roli zde hraje úloha námitek </w:t>
      </w:r>
      <w:r w:rsidR="009A0917" w:rsidRPr="00A120A2">
        <w:rPr>
          <w:noProof/>
        </w:rPr>
        <w:t>a</w:t>
      </w:r>
      <w:r w:rsidR="009A0917">
        <w:rPr>
          <w:noProof/>
        </w:rPr>
        <w:t> </w:t>
      </w:r>
      <w:r w:rsidRPr="00A120A2">
        <w:rPr>
          <w:noProof/>
        </w:rPr>
        <w:t xml:space="preserve">připomínek již podaných v řízení o pořízení </w:t>
      </w:r>
      <w:r w:rsidR="00B74D06">
        <w:rPr>
          <w:noProof/>
        </w:rPr>
        <w:t>ZÚR</w:t>
      </w:r>
      <w:r w:rsidRPr="00A120A2">
        <w:rPr>
          <w:noProof/>
        </w:rPr>
        <w:t xml:space="preserve">. K těmto námitkám a připomínkám, pokud již o nich bylo rozhodnuto, se při řízení o </w:t>
      </w:r>
      <w:r w:rsidR="00B74D06">
        <w:rPr>
          <w:noProof/>
        </w:rPr>
        <w:t>ÚP</w:t>
      </w:r>
      <w:r w:rsidRPr="00A120A2">
        <w:rPr>
          <w:noProof/>
        </w:rPr>
        <w:t xml:space="preserve"> nepřihlíží. Pokud se při řízení o </w:t>
      </w:r>
      <w:r w:rsidR="00B74D06">
        <w:rPr>
          <w:noProof/>
        </w:rPr>
        <w:t>ÚP</w:t>
      </w:r>
      <w:r w:rsidRPr="00A120A2">
        <w:rPr>
          <w:noProof/>
        </w:rPr>
        <w:t xml:space="preserve"> nenajdou jiné argumenty nebo cesty k napadení </w:t>
      </w:r>
      <w:r w:rsidR="00F30A91">
        <w:rPr>
          <w:noProof/>
        </w:rPr>
        <w:t xml:space="preserve">konkrétních </w:t>
      </w:r>
      <w:r w:rsidRPr="00A120A2">
        <w:rPr>
          <w:noProof/>
        </w:rPr>
        <w:t xml:space="preserve">staveb, opakovaná tvrzení nemají žádný význam, pokud se s nimi krajský úřad v řízení o vydání </w:t>
      </w:r>
      <w:r w:rsidR="00B74D06">
        <w:rPr>
          <w:noProof/>
        </w:rPr>
        <w:t>ZÚR</w:t>
      </w:r>
      <w:r w:rsidRPr="00A120A2">
        <w:rPr>
          <w:noProof/>
        </w:rPr>
        <w:t xml:space="preserve"> vypořádal.</w:t>
      </w:r>
    </w:p>
    <w:p w:rsidR="00B74D06" w:rsidRPr="00A120A2" w:rsidRDefault="00B74D06" w:rsidP="003E4A5D">
      <w:pPr>
        <w:widowControl w:val="0"/>
        <w:rPr>
          <w:noProof/>
        </w:rPr>
      </w:pPr>
      <w:r w:rsidRPr="00A120A2">
        <w:rPr>
          <w:noProof/>
        </w:rPr>
        <w:t xml:space="preserve">Správní řád neumožňuje podat opravný prostředek </w:t>
      </w:r>
      <w:r>
        <w:rPr>
          <w:noProof/>
        </w:rPr>
        <w:t xml:space="preserve">(odvolání) </w:t>
      </w:r>
      <w:r w:rsidRPr="00A120A2">
        <w:rPr>
          <w:noProof/>
        </w:rPr>
        <w:t>proti opatření obecné povahy</w:t>
      </w:r>
      <w:r>
        <w:rPr>
          <w:noProof/>
        </w:rPr>
        <w:t>, ale je možné podat podnět krajskému úřadu, aby přezkoumal soulad ÚP se zákonem.</w:t>
      </w:r>
    </w:p>
    <w:p w:rsidR="00E61BDC" w:rsidRDefault="00E61BDC" w:rsidP="003E4A5D">
      <w:pPr>
        <w:pStyle w:val="Textkomente"/>
        <w:widowControl w:val="0"/>
        <w:rPr>
          <w:noProof/>
          <w:sz w:val="24"/>
          <w:szCs w:val="22"/>
        </w:rPr>
      </w:pPr>
      <w:r w:rsidRPr="005B6508">
        <w:rPr>
          <w:noProof/>
          <w:sz w:val="24"/>
          <w:szCs w:val="22"/>
        </w:rPr>
        <w:t>Další možností</w:t>
      </w:r>
      <w:r w:rsidR="00F30A91">
        <w:rPr>
          <w:noProof/>
          <w:sz w:val="24"/>
          <w:szCs w:val="22"/>
        </w:rPr>
        <w:t>,</w:t>
      </w:r>
      <w:r w:rsidRPr="005B6508">
        <w:rPr>
          <w:noProof/>
          <w:sz w:val="24"/>
          <w:szCs w:val="22"/>
        </w:rPr>
        <w:t xml:space="preserve"> </w:t>
      </w:r>
      <w:r>
        <w:rPr>
          <w:noProof/>
          <w:sz w:val="24"/>
          <w:szCs w:val="22"/>
        </w:rPr>
        <w:t xml:space="preserve">jak usilovat o zrušení </w:t>
      </w:r>
      <w:r w:rsidR="00B74D06">
        <w:rPr>
          <w:noProof/>
          <w:sz w:val="24"/>
          <w:szCs w:val="22"/>
        </w:rPr>
        <w:t>OOP</w:t>
      </w:r>
      <w:r>
        <w:rPr>
          <w:noProof/>
          <w:sz w:val="24"/>
          <w:szCs w:val="22"/>
        </w:rPr>
        <w:t xml:space="preserve"> nebo jeho části</w:t>
      </w:r>
      <w:r w:rsidR="00F30A91">
        <w:rPr>
          <w:noProof/>
          <w:sz w:val="24"/>
          <w:szCs w:val="22"/>
        </w:rPr>
        <w:t>,</w:t>
      </w:r>
      <w:r>
        <w:rPr>
          <w:noProof/>
          <w:sz w:val="24"/>
          <w:szCs w:val="22"/>
        </w:rPr>
        <w:t xml:space="preserve"> </w:t>
      </w:r>
      <w:r w:rsidRPr="005B6508">
        <w:rPr>
          <w:noProof/>
          <w:sz w:val="24"/>
          <w:szCs w:val="22"/>
        </w:rPr>
        <w:t xml:space="preserve">je speciální řízení o zrušení </w:t>
      </w:r>
      <w:r w:rsidR="00B74D06">
        <w:rPr>
          <w:noProof/>
          <w:sz w:val="24"/>
          <w:szCs w:val="22"/>
        </w:rPr>
        <w:t>OOP</w:t>
      </w:r>
      <w:r w:rsidRPr="005B6508">
        <w:rPr>
          <w:noProof/>
          <w:sz w:val="24"/>
          <w:szCs w:val="22"/>
        </w:rPr>
        <w:t xml:space="preserve">, které je vedeno před </w:t>
      </w:r>
      <w:r>
        <w:rPr>
          <w:noProof/>
          <w:sz w:val="24"/>
          <w:szCs w:val="22"/>
        </w:rPr>
        <w:t>krajským</w:t>
      </w:r>
      <w:r w:rsidRPr="005B6508">
        <w:rPr>
          <w:noProof/>
          <w:sz w:val="24"/>
          <w:szCs w:val="22"/>
        </w:rPr>
        <w:t xml:space="preserve"> soudem, přičemž zákon dává obecnou aktivní legitimaci každému, kdo by mohl být na svých právech napadeným </w:t>
      </w:r>
      <w:r w:rsidR="00B74D06">
        <w:rPr>
          <w:noProof/>
          <w:sz w:val="24"/>
          <w:szCs w:val="22"/>
        </w:rPr>
        <w:t>OOP</w:t>
      </w:r>
      <w:r w:rsidRPr="005B6508">
        <w:rPr>
          <w:noProof/>
          <w:sz w:val="24"/>
          <w:szCs w:val="22"/>
        </w:rPr>
        <w:t xml:space="preserve"> zkrácen (nejedná se o zástupce veřejnosti). Soudu je stanovena lhůta 90 dní pro vydání rozhodnutí o</w:t>
      </w:r>
      <w:r w:rsidR="008936D0">
        <w:rPr>
          <w:noProof/>
          <w:sz w:val="24"/>
          <w:szCs w:val="22"/>
        </w:rPr>
        <w:t>d</w:t>
      </w:r>
      <w:r w:rsidRPr="005B6508">
        <w:rPr>
          <w:noProof/>
          <w:sz w:val="24"/>
          <w:szCs w:val="22"/>
        </w:rPr>
        <w:t xml:space="preserve"> </w:t>
      </w:r>
      <w:r w:rsidR="008936D0">
        <w:rPr>
          <w:noProof/>
          <w:sz w:val="24"/>
          <w:szCs w:val="22"/>
        </w:rPr>
        <w:t xml:space="preserve">podání </w:t>
      </w:r>
      <w:r w:rsidRPr="005B6508">
        <w:rPr>
          <w:noProof/>
          <w:sz w:val="24"/>
          <w:szCs w:val="22"/>
        </w:rPr>
        <w:t xml:space="preserve">návrhu. Lhůta pro podání návrhu na zrušení </w:t>
      </w:r>
      <w:r w:rsidR="00B74D06">
        <w:rPr>
          <w:noProof/>
          <w:sz w:val="24"/>
          <w:szCs w:val="22"/>
        </w:rPr>
        <w:t>OOP</w:t>
      </w:r>
      <w:r w:rsidRPr="005B6508">
        <w:rPr>
          <w:noProof/>
          <w:sz w:val="24"/>
          <w:szCs w:val="22"/>
        </w:rPr>
        <w:t xml:space="preserve"> je </w:t>
      </w:r>
      <w:r w:rsidR="008936D0">
        <w:rPr>
          <w:noProof/>
          <w:sz w:val="24"/>
          <w:szCs w:val="22"/>
        </w:rPr>
        <w:t xml:space="preserve">v důsledku </w:t>
      </w:r>
      <w:r w:rsidR="00032201">
        <w:rPr>
          <w:noProof/>
          <w:sz w:val="24"/>
          <w:szCs w:val="22"/>
        </w:rPr>
        <w:t>negativních následků soudního přezkumu do právní jistoty postupně zkracována. V původní právní úpravě § 101</w:t>
      </w:r>
      <w:r w:rsidR="000F4604">
        <w:rPr>
          <w:noProof/>
          <w:sz w:val="24"/>
          <w:szCs w:val="22"/>
        </w:rPr>
        <w:t>a</w:t>
      </w:r>
      <w:r w:rsidR="00032201">
        <w:rPr>
          <w:noProof/>
          <w:sz w:val="24"/>
          <w:szCs w:val="22"/>
        </w:rPr>
        <w:t xml:space="preserve"> a násl. soudního řádu správního tato lhůta absentovala zcela, následně byla </w:t>
      </w:r>
      <w:r w:rsidR="00B103A4">
        <w:rPr>
          <w:noProof/>
          <w:sz w:val="24"/>
          <w:szCs w:val="22"/>
        </w:rPr>
        <w:t xml:space="preserve">od 1. 1. 2012 </w:t>
      </w:r>
      <w:r w:rsidRPr="005B6508">
        <w:rPr>
          <w:noProof/>
          <w:sz w:val="24"/>
          <w:szCs w:val="22"/>
        </w:rPr>
        <w:t>stanovena v délce 3 let od nabytí účinnosti</w:t>
      </w:r>
      <w:r>
        <w:rPr>
          <w:noProof/>
          <w:sz w:val="24"/>
          <w:szCs w:val="22"/>
        </w:rPr>
        <w:t xml:space="preserve"> </w:t>
      </w:r>
      <w:r w:rsidR="00B103A4">
        <w:rPr>
          <w:noProof/>
          <w:sz w:val="24"/>
          <w:szCs w:val="22"/>
        </w:rPr>
        <w:t xml:space="preserve">opatření obecné povahy a následně byla od 1. 1. 2018 zkrácena na 1 rok </w:t>
      </w:r>
      <w:r w:rsidR="00B103A4" w:rsidRPr="005B6508">
        <w:rPr>
          <w:noProof/>
          <w:sz w:val="24"/>
          <w:szCs w:val="22"/>
        </w:rPr>
        <w:t>od nabytí účinnosti</w:t>
      </w:r>
      <w:r w:rsidR="00B103A4">
        <w:rPr>
          <w:noProof/>
          <w:sz w:val="24"/>
          <w:szCs w:val="22"/>
        </w:rPr>
        <w:t xml:space="preserve"> </w:t>
      </w:r>
      <w:r w:rsidR="002B4B30">
        <w:rPr>
          <w:noProof/>
          <w:sz w:val="24"/>
          <w:szCs w:val="22"/>
        </w:rPr>
        <w:t>OOP</w:t>
      </w:r>
      <w:r w:rsidR="00B103A4">
        <w:rPr>
          <w:noProof/>
          <w:sz w:val="24"/>
          <w:szCs w:val="22"/>
        </w:rPr>
        <w:t xml:space="preserve"> </w:t>
      </w:r>
      <w:r w:rsidRPr="005B6508">
        <w:rPr>
          <w:noProof/>
          <w:sz w:val="24"/>
          <w:szCs w:val="22"/>
        </w:rPr>
        <w:t>(</w:t>
      </w:r>
      <w:r w:rsidR="007D6AED">
        <w:rPr>
          <w:noProof/>
          <w:sz w:val="24"/>
          <w:szCs w:val="22"/>
        </w:rPr>
        <w:t xml:space="preserve">byť je existence této lhůty </w:t>
      </w:r>
      <w:r w:rsidR="009339D7">
        <w:rPr>
          <w:noProof/>
          <w:sz w:val="24"/>
          <w:szCs w:val="22"/>
        </w:rPr>
        <w:t xml:space="preserve">v některých názorech </w:t>
      </w:r>
      <w:r w:rsidR="007D6AED">
        <w:rPr>
          <w:noProof/>
          <w:sz w:val="24"/>
          <w:szCs w:val="22"/>
        </w:rPr>
        <w:t>zpochybňován</w:t>
      </w:r>
      <w:r w:rsidR="009339D7">
        <w:rPr>
          <w:noProof/>
          <w:sz w:val="24"/>
          <w:szCs w:val="22"/>
        </w:rPr>
        <w:t>a</w:t>
      </w:r>
      <w:r w:rsidR="007D6AED">
        <w:rPr>
          <w:noProof/>
          <w:sz w:val="24"/>
          <w:szCs w:val="22"/>
        </w:rPr>
        <w:t>)</w:t>
      </w:r>
      <w:r w:rsidR="009339D7">
        <w:rPr>
          <w:noProof/>
          <w:sz w:val="24"/>
          <w:szCs w:val="22"/>
        </w:rPr>
        <w:t>,</w:t>
      </w:r>
      <w:r w:rsidR="007D6AED">
        <w:rPr>
          <w:noProof/>
          <w:sz w:val="24"/>
          <w:szCs w:val="22"/>
        </w:rPr>
        <w:t xml:space="preserve"> </w:t>
      </w:r>
      <w:r w:rsidRPr="005B6508">
        <w:rPr>
          <w:noProof/>
          <w:sz w:val="24"/>
          <w:szCs w:val="22"/>
        </w:rPr>
        <w:t xml:space="preserve">tj. </w:t>
      </w:r>
      <w:r w:rsidR="00874146">
        <w:rPr>
          <w:noProof/>
          <w:sz w:val="24"/>
          <w:szCs w:val="22"/>
        </w:rPr>
        <w:t xml:space="preserve">i dnes </w:t>
      </w:r>
      <w:r w:rsidRPr="005B6508">
        <w:rPr>
          <w:noProof/>
          <w:sz w:val="24"/>
          <w:szCs w:val="22"/>
        </w:rPr>
        <w:t xml:space="preserve">může dojít k situaci, kdy </w:t>
      </w:r>
      <w:r>
        <w:rPr>
          <w:noProof/>
          <w:sz w:val="24"/>
          <w:szCs w:val="22"/>
        </w:rPr>
        <w:t>je</w:t>
      </w:r>
      <w:r w:rsidRPr="005B6508">
        <w:rPr>
          <w:noProof/>
          <w:sz w:val="24"/>
          <w:szCs w:val="22"/>
        </w:rPr>
        <w:t xml:space="preserve"> </w:t>
      </w:r>
      <w:r w:rsidR="00874146">
        <w:rPr>
          <w:noProof/>
          <w:sz w:val="24"/>
          <w:szCs w:val="22"/>
        </w:rPr>
        <w:t xml:space="preserve">investorem v dobré víře v platnost </w:t>
      </w:r>
      <w:r w:rsidR="002B4B30">
        <w:rPr>
          <w:noProof/>
          <w:sz w:val="24"/>
          <w:szCs w:val="22"/>
        </w:rPr>
        <w:t>ÚP</w:t>
      </w:r>
      <w:r w:rsidR="00874146">
        <w:rPr>
          <w:noProof/>
          <w:sz w:val="24"/>
          <w:szCs w:val="22"/>
        </w:rPr>
        <w:t xml:space="preserve"> </w:t>
      </w:r>
      <w:r w:rsidR="00917652">
        <w:rPr>
          <w:noProof/>
          <w:sz w:val="24"/>
          <w:szCs w:val="22"/>
        </w:rPr>
        <w:t xml:space="preserve">zajištěno financování záměru, pořízen určitý pozemek, připraven určitý projekt </w:t>
      </w:r>
      <w:r>
        <w:rPr>
          <w:noProof/>
          <w:sz w:val="24"/>
          <w:szCs w:val="22"/>
        </w:rPr>
        <w:t>k vydání</w:t>
      </w:r>
      <w:r w:rsidRPr="005B6508">
        <w:rPr>
          <w:noProof/>
          <w:sz w:val="24"/>
          <w:szCs w:val="22"/>
        </w:rPr>
        <w:t xml:space="preserve"> územní</w:t>
      </w:r>
      <w:r>
        <w:rPr>
          <w:noProof/>
          <w:sz w:val="24"/>
          <w:szCs w:val="22"/>
        </w:rPr>
        <w:t>ho</w:t>
      </w:r>
      <w:r w:rsidRPr="005B6508">
        <w:rPr>
          <w:noProof/>
          <w:sz w:val="24"/>
          <w:szCs w:val="22"/>
        </w:rPr>
        <w:t xml:space="preserve"> rozhodnutí a soudu je </w:t>
      </w:r>
      <w:r w:rsidR="00571133">
        <w:rPr>
          <w:noProof/>
          <w:sz w:val="24"/>
          <w:szCs w:val="22"/>
        </w:rPr>
        <w:t xml:space="preserve">posléze </w:t>
      </w:r>
      <w:r w:rsidRPr="005B6508">
        <w:rPr>
          <w:noProof/>
          <w:sz w:val="24"/>
          <w:szCs w:val="22"/>
        </w:rPr>
        <w:t xml:space="preserve">doručen návrh na zrušení </w:t>
      </w:r>
      <w:r w:rsidR="002B4B30">
        <w:rPr>
          <w:noProof/>
          <w:sz w:val="24"/>
          <w:szCs w:val="22"/>
        </w:rPr>
        <w:t>ÚP</w:t>
      </w:r>
      <w:r w:rsidRPr="005B6508">
        <w:rPr>
          <w:noProof/>
          <w:sz w:val="24"/>
          <w:szCs w:val="22"/>
        </w:rPr>
        <w:t xml:space="preserve"> nebo </w:t>
      </w:r>
      <w:r w:rsidR="002B4B30">
        <w:rPr>
          <w:noProof/>
          <w:sz w:val="24"/>
          <w:szCs w:val="22"/>
        </w:rPr>
        <w:t>ZÚR</w:t>
      </w:r>
      <w:r w:rsidRPr="005B6508">
        <w:rPr>
          <w:noProof/>
          <w:sz w:val="24"/>
          <w:szCs w:val="22"/>
        </w:rPr>
        <w:t xml:space="preserve">, na základě kterého je pak </w:t>
      </w:r>
      <w:r w:rsidR="00571133">
        <w:rPr>
          <w:noProof/>
          <w:sz w:val="24"/>
          <w:szCs w:val="22"/>
        </w:rPr>
        <w:t xml:space="preserve">příslušné </w:t>
      </w:r>
      <w:r w:rsidR="002B4B30">
        <w:rPr>
          <w:noProof/>
          <w:sz w:val="24"/>
          <w:szCs w:val="22"/>
        </w:rPr>
        <w:t>OOP</w:t>
      </w:r>
      <w:r w:rsidR="00141512">
        <w:rPr>
          <w:noProof/>
          <w:sz w:val="24"/>
          <w:szCs w:val="22"/>
        </w:rPr>
        <w:t xml:space="preserve"> </w:t>
      </w:r>
      <w:r w:rsidRPr="005B6508">
        <w:rPr>
          <w:noProof/>
          <w:sz w:val="24"/>
          <w:szCs w:val="22"/>
        </w:rPr>
        <w:t>zrušen</w:t>
      </w:r>
      <w:r w:rsidR="00141512">
        <w:rPr>
          <w:noProof/>
          <w:sz w:val="24"/>
          <w:szCs w:val="22"/>
        </w:rPr>
        <w:t>o</w:t>
      </w:r>
      <w:r w:rsidR="002B4B30">
        <w:rPr>
          <w:noProof/>
          <w:sz w:val="24"/>
          <w:szCs w:val="22"/>
        </w:rPr>
        <w:t>. Tato skutečnost má negativní dopady na pravomocně neukončen</w:t>
      </w:r>
      <w:r w:rsidR="0051550F">
        <w:rPr>
          <w:noProof/>
          <w:sz w:val="24"/>
          <w:szCs w:val="22"/>
        </w:rPr>
        <w:t>á</w:t>
      </w:r>
      <w:r w:rsidR="002B4B30">
        <w:rPr>
          <w:noProof/>
          <w:sz w:val="24"/>
          <w:szCs w:val="22"/>
        </w:rPr>
        <w:t xml:space="preserve"> územní řízení</w:t>
      </w:r>
      <w:r w:rsidR="00141512">
        <w:rPr>
          <w:noProof/>
          <w:sz w:val="24"/>
          <w:szCs w:val="22"/>
        </w:rPr>
        <w:t xml:space="preserve"> </w:t>
      </w:r>
      <w:r w:rsidR="002B4B30">
        <w:rPr>
          <w:noProof/>
          <w:sz w:val="24"/>
          <w:szCs w:val="22"/>
        </w:rPr>
        <w:t xml:space="preserve">(většinou </w:t>
      </w:r>
      <w:r w:rsidR="00141512">
        <w:rPr>
          <w:noProof/>
          <w:sz w:val="24"/>
          <w:szCs w:val="22"/>
        </w:rPr>
        <w:t>zcela znemožňuje</w:t>
      </w:r>
      <w:r w:rsidR="002B4B30">
        <w:rPr>
          <w:noProof/>
          <w:sz w:val="24"/>
          <w:szCs w:val="22"/>
        </w:rPr>
        <w:t xml:space="preserve"> jejich vydání)</w:t>
      </w:r>
      <w:r w:rsidR="0051550F">
        <w:rPr>
          <w:noProof/>
          <w:sz w:val="24"/>
          <w:szCs w:val="22"/>
        </w:rPr>
        <w:t xml:space="preserve">. V této souvislosti </w:t>
      </w:r>
      <w:r w:rsidR="00141512">
        <w:rPr>
          <w:noProof/>
          <w:sz w:val="24"/>
          <w:szCs w:val="22"/>
        </w:rPr>
        <w:t xml:space="preserve">vznikají </w:t>
      </w:r>
      <w:r w:rsidR="0051550F">
        <w:rPr>
          <w:noProof/>
          <w:sz w:val="24"/>
          <w:szCs w:val="22"/>
        </w:rPr>
        <w:t xml:space="preserve">zejména investorům </w:t>
      </w:r>
      <w:r w:rsidR="00141512">
        <w:rPr>
          <w:noProof/>
          <w:sz w:val="24"/>
          <w:szCs w:val="22"/>
        </w:rPr>
        <w:t>rozsáhlé škody</w:t>
      </w:r>
      <w:r w:rsidRPr="005B6508">
        <w:rPr>
          <w:noProof/>
          <w:sz w:val="24"/>
          <w:szCs w:val="22"/>
        </w:rPr>
        <w:t>.</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72"/>
      </w:tblGrid>
      <w:tr w:rsidR="00AF5BD8" w:rsidRPr="00AF5BD8" w:rsidTr="00412925">
        <w:tc>
          <w:tcPr>
            <w:tcW w:w="9072" w:type="dxa"/>
            <w:shd w:val="clear" w:color="auto" w:fill="D9D9D9" w:themeFill="background1" w:themeFillShade="D9"/>
          </w:tcPr>
          <w:p w:rsidR="00D530AC" w:rsidRDefault="004435D6" w:rsidP="003E4A5D">
            <w:pPr>
              <w:pStyle w:val="Titulek"/>
              <w:rPr>
                <w:noProof/>
              </w:rPr>
            </w:pPr>
            <w:r>
              <w:t xml:space="preserve">Box </w:t>
            </w:r>
            <w:r w:rsidR="00AB65E9">
              <w:rPr>
                <w:noProof/>
              </w:rPr>
              <w:fldChar w:fldCharType="begin"/>
            </w:r>
            <w:r w:rsidR="002F76C3">
              <w:rPr>
                <w:noProof/>
              </w:rPr>
              <w:instrText xml:space="preserve"> SEQ Box \* ARABIC </w:instrText>
            </w:r>
            <w:r w:rsidR="00AB65E9">
              <w:rPr>
                <w:noProof/>
              </w:rPr>
              <w:fldChar w:fldCharType="separate"/>
            </w:r>
            <w:r w:rsidR="00263A1B">
              <w:rPr>
                <w:noProof/>
              </w:rPr>
              <w:t>2</w:t>
            </w:r>
            <w:r w:rsidR="00AB65E9">
              <w:rPr>
                <w:noProof/>
              </w:rPr>
              <w:fldChar w:fldCharType="end"/>
            </w:r>
          </w:p>
          <w:p w:rsidR="00AF5BD8" w:rsidRPr="00AF5BD8" w:rsidRDefault="00AF5BD8" w:rsidP="003E4A5D">
            <w:pPr>
              <w:pStyle w:val="Textkomente"/>
              <w:widowControl w:val="0"/>
              <w:rPr>
                <w:noProof/>
              </w:rPr>
            </w:pPr>
            <w:r>
              <w:rPr>
                <w:noProof/>
              </w:rPr>
              <w:t>Postup pořizování územního plánu</w:t>
            </w:r>
          </w:p>
          <w:p w:rsidR="00AF5BD8" w:rsidRPr="00F7481F" w:rsidRDefault="0078159F" w:rsidP="00C873B4">
            <w:pPr>
              <w:pStyle w:val="Odstavecseseznamem"/>
              <w:widowControl w:val="0"/>
              <w:numPr>
                <w:ilvl w:val="0"/>
                <w:numId w:val="75"/>
              </w:numPr>
              <w:ind w:left="357" w:hanging="357"/>
              <w:rPr>
                <w:noProof/>
                <w:sz w:val="20"/>
                <w:szCs w:val="20"/>
              </w:rPr>
            </w:pPr>
            <w:r>
              <w:rPr>
                <w:noProof/>
              </w:rPr>
              <w:t>n</w:t>
            </w:r>
            <w:r w:rsidR="00AF5BD8" w:rsidRPr="00F7481F">
              <w:rPr>
                <w:noProof/>
                <w:sz w:val="20"/>
                <w:szCs w:val="20"/>
              </w:rPr>
              <w:t xml:space="preserve">ávrh na pořízení </w:t>
            </w:r>
            <w:r>
              <w:rPr>
                <w:noProof/>
                <w:sz w:val="20"/>
                <w:szCs w:val="20"/>
              </w:rPr>
              <w:t>ÚP</w:t>
            </w:r>
            <w:r w:rsidR="00AF5BD8" w:rsidRPr="00F7481F">
              <w:rPr>
                <w:noProof/>
                <w:sz w:val="20"/>
                <w:szCs w:val="20"/>
              </w:rPr>
              <w:t xml:space="preserve"> se podává u obce, pro jejíž území se </w:t>
            </w:r>
            <w:r>
              <w:rPr>
                <w:noProof/>
                <w:sz w:val="20"/>
                <w:szCs w:val="20"/>
              </w:rPr>
              <w:t xml:space="preserve">ÚP </w:t>
            </w:r>
            <w:r w:rsidR="00AF5BD8" w:rsidRPr="00F7481F">
              <w:rPr>
                <w:noProof/>
                <w:sz w:val="20"/>
                <w:szCs w:val="20"/>
              </w:rPr>
              <w:t>pořizuje</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pořizovatel po převzetí návrhu na pořízení </w:t>
            </w:r>
            <w:r w:rsidR="0078159F">
              <w:rPr>
                <w:noProof/>
                <w:sz w:val="20"/>
                <w:szCs w:val="20"/>
              </w:rPr>
              <w:t xml:space="preserve">ÚP </w:t>
            </w:r>
            <w:r w:rsidRPr="00F7481F">
              <w:rPr>
                <w:noProof/>
                <w:sz w:val="20"/>
                <w:szCs w:val="20"/>
              </w:rPr>
              <w:t>posoudí úplnost návrhu, jeho soulad s právními předpisy (</w:t>
            </w:r>
            <w:r w:rsidR="00321580" w:rsidRPr="00F7481F">
              <w:rPr>
                <w:noProof/>
                <w:sz w:val="20"/>
                <w:szCs w:val="20"/>
              </w:rPr>
              <w:t>v</w:t>
            </w:r>
            <w:r w:rsidR="00321580">
              <w:rPr>
                <w:noProof/>
                <w:sz w:val="20"/>
                <w:szCs w:val="20"/>
              </w:rPr>
              <w:t> </w:t>
            </w:r>
            <w:r w:rsidRPr="00F7481F">
              <w:rPr>
                <w:noProof/>
                <w:sz w:val="20"/>
                <w:szCs w:val="20"/>
              </w:rPr>
              <w:t xml:space="preserve">případě nedostatků vyzve navrhovatele, aby je v přiměřené lhůtě odstranil) a se svým stanoviskem bezodkladně předloží k rozhodnutí zastupitelstvu obce příslušné k vydání </w:t>
            </w:r>
            <w:r w:rsidR="0078159F">
              <w:rPr>
                <w:noProof/>
                <w:sz w:val="20"/>
                <w:szCs w:val="20"/>
              </w:rPr>
              <w:t>ÚP</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o výsledku jednání zastupitelstva informuje obec navrhovatele a úřad územního plánování</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pořizovatel zpracuje návrh zadání </w:t>
            </w:r>
            <w:r w:rsidR="0078159F">
              <w:rPr>
                <w:noProof/>
                <w:sz w:val="20"/>
                <w:szCs w:val="20"/>
              </w:rPr>
              <w:t>ÚP</w:t>
            </w:r>
            <w:r w:rsidR="0078159F" w:rsidRPr="00F7481F" w:rsidDel="0078159F">
              <w:rPr>
                <w:noProof/>
                <w:sz w:val="20"/>
                <w:szCs w:val="20"/>
              </w:rPr>
              <w:t xml:space="preserve"> </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zaslání návrhu zadání </w:t>
            </w:r>
            <w:r w:rsidR="00D35289">
              <w:rPr>
                <w:noProof/>
                <w:sz w:val="20"/>
                <w:szCs w:val="20"/>
              </w:rPr>
              <w:t>ÚP</w:t>
            </w:r>
            <w:r w:rsidRPr="00F7481F">
              <w:rPr>
                <w:noProof/>
                <w:sz w:val="20"/>
                <w:szCs w:val="20"/>
              </w:rPr>
              <w:t xml:space="preserve"> </w:t>
            </w:r>
            <w:r w:rsidR="0078162F" w:rsidRPr="00F7481F">
              <w:rPr>
                <w:noProof/>
                <w:sz w:val="20"/>
                <w:szCs w:val="20"/>
              </w:rPr>
              <w:t>DO</w:t>
            </w:r>
            <w:r w:rsidRPr="00F7481F">
              <w:rPr>
                <w:noProof/>
                <w:sz w:val="20"/>
                <w:szCs w:val="20"/>
              </w:rPr>
              <w:t xml:space="preserve">, sousedním obcím, krajskému úřadu → 30 dní pro </w:t>
            </w:r>
            <w:r w:rsidR="0078162F" w:rsidRPr="00F7481F">
              <w:rPr>
                <w:noProof/>
                <w:sz w:val="20"/>
                <w:szCs w:val="20"/>
              </w:rPr>
              <w:t>DO</w:t>
            </w:r>
            <w:r w:rsidRPr="00F7481F">
              <w:rPr>
                <w:noProof/>
                <w:sz w:val="20"/>
                <w:szCs w:val="20"/>
              </w:rPr>
              <w:t xml:space="preserve"> a krajský úřad jako nadřízený orgán na vyjádření, pro krajský úřad jako příslušný úřad na stanovisko, pro sousední obce na podněty + nejpozději 7 dní před uplynutím této lhůty doručení stanoviska podle zákona o ochraně přírody a</w:t>
            </w:r>
            <w:r w:rsidR="00902462" w:rsidRPr="00F7481F">
              <w:rPr>
                <w:noProof/>
                <w:sz w:val="20"/>
                <w:szCs w:val="20"/>
              </w:rPr>
              <w:t> </w:t>
            </w:r>
            <w:r w:rsidRPr="00F7481F">
              <w:rPr>
                <w:noProof/>
                <w:sz w:val="20"/>
                <w:szCs w:val="20"/>
              </w:rPr>
              <w:t>krajiny příslušn</w:t>
            </w:r>
            <w:r w:rsidR="006234A9" w:rsidRPr="00F7481F">
              <w:rPr>
                <w:noProof/>
                <w:sz w:val="20"/>
                <w:szCs w:val="20"/>
              </w:rPr>
              <w:t>é</w:t>
            </w:r>
            <w:r w:rsidRPr="00F7481F">
              <w:rPr>
                <w:noProof/>
                <w:sz w:val="20"/>
                <w:szCs w:val="20"/>
              </w:rPr>
              <w:t>m</w:t>
            </w:r>
            <w:r w:rsidR="006234A9" w:rsidRPr="00F7481F">
              <w:rPr>
                <w:noProof/>
                <w:sz w:val="20"/>
                <w:szCs w:val="20"/>
              </w:rPr>
              <w:t>u</w:t>
            </w:r>
            <w:r w:rsidRPr="00F7481F">
              <w:rPr>
                <w:noProof/>
                <w:sz w:val="20"/>
                <w:szCs w:val="20"/>
              </w:rPr>
              <w:t xml:space="preserve"> orgánu ochran</w:t>
            </w:r>
            <w:r w:rsidR="006234A9" w:rsidRPr="00F7481F">
              <w:rPr>
                <w:noProof/>
                <w:sz w:val="20"/>
                <w:szCs w:val="20"/>
              </w:rPr>
              <w:t>y</w:t>
            </w:r>
            <w:r w:rsidRPr="00F7481F">
              <w:rPr>
                <w:noProof/>
                <w:sz w:val="20"/>
                <w:szCs w:val="20"/>
              </w:rPr>
              <w:t xml:space="preserve"> přírody a zároveň</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doručení návrhu zadání </w:t>
            </w:r>
            <w:r w:rsidR="00D35289">
              <w:rPr>
                <w:noProof/>
                <w:sz w:val="20"/>
                <w:szCs w:val="20"/>
              </w:rPr>
              <w:t xml:space="preserve">ÚP </w:t>
            </w:r>
            <w:r w:rsidRPr="00F7481F">
              <w:rPr>
                <w:noProof/>
                <w:sz w:val="20"/>
                <w:szCs w:val="20"/>
              </w:rPr>
              <w:t>veřejnou vyhláškou → 15 dní na připomínky</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pokud má být návrh </w:t>
            </w:r>
            <w:r w:rsidR="00D35289">
              <w:rPr>
                <w:noProof/>
                <w:sz w:val="20"/>
                <w:szCs w:val="20"/>
              </w:rPr>
              <w:t>ÚP</w:t>
            </w:r>
            <w:r w:rsidRPr="00F7481F">
              <w:rPr>
                <w:noProof/>
                <w:sz w:val="20"/>
                <w:szCs w:val="20"/>
              </w:rPr>
              <w:t xml:space="preserve"> posuzován z hlediska vlivů na životní prostředí dle stanoviska krajského úřadu nebo příslušného orgánu ochrany přírody</w:t>
            </w:r>
            <w:r w:rsidR="00321580">
              <w:rPr>
                <w:noProof/>
                <w:sz w:val="20"/>
                <w:szCs w:val="20"/>
              </w:rPr>
              <w:t xml:space="preserve"> (není vyloučen dopad na evropsky </w:t>
            </w:r>
            <w:r w:rsidR="0089636C">
              <w:rPr>
                <w:noProof/>
                <w:sz w:val="20"/>
                <w:szCs w:val="20"/>
              </w:rPr>
              <w:t>významnou lokalitu nebo ptačí oblast)</w:t>
            </w:r>
            <w:r w:rsidRPr="00F7481F">
              <w:rPr>
                <w:noProof/>
                <w:sz w:val="20"/>
                <w:szCs w:val="20"/>
              </w:rPr>
              <w:t>, doplní pořizovatel do návrhu zadání požadavek na vyhodnocení vlivů na udržitelný rozvoj území</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úprava návrhu zadání a předložení ke schválení zastupitelstvu obce, pro jejíž území je </w:t>
            </w:r>
            <w:r w:rsidR="00D35289">
              <w:rPr>
                <w:noProof/>
                <w:sz w:val="20"/>
                <w:szCs w:val="20"/>
              </w:rPr>
              <w:t xml:space="preserve">ÚP </w:t>
            </w:r>
            <w:r w:rsidRPr="00F7481F">
              <w:rPr>
                <w:noProof/>
                <w:sz w:val="20"/>
                <w:szCs w:val="20"/>
              </w:rPr>
              <w:t>pořizován</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na základě schváleného zadání </w:t>
            </w:r>
            <w:r w:rsidR="00D35289">
              <w:rPr>
                <w:noProof/>
                <w:sz w:val="20"/>
                <w:szCs w:val="20"/>
              </w:rPr>
              <w:t xml:space="preserve">ÚP </w:t>
            </w:r>
            <w:r w:rsidRPr="00F7481F">
              <w:rPr>
                <w:noProof/>
                <w:sz w:val="20"/>
                <w:szCs w:val="20"/>
              </w:rPr>
              <w:t xml:space="preserve">nebo schválených pokynů pro zpracování návrhu </w:t>
            </w:r>
            <w:r w:rsidR="00D35289">
              <w:rPr>
                <w:noProof/>
                <w:sz w:val="20"/>
                <w:szCs w:val="20"/>
              </w:rPr>
              <w:t xml:space="preserve">ÚP </w:t>
            </w:r>
            <w:r w:rsidRPr="00F7481F">
              <w:rPr>
                <w:noProof/>
                <w:sz w:val="20"/>
                <w:szCs w:val="20"/>
              </w:rPr>
              <w:t xml:space="preserve">pořizovatel pořídí pro obec zpracování návrhu </w:t>
            </w:r>
            <w:r w:rsidR="00D35289">
              <w:rPr>
                <w:noProof/>
                <w:sz w:val="20"/>
                <w:szCs w:val="20"/>
              </w:rPr>
              <w:t>ÚP</w:t>
            </w:r>
            <w:r w:rsidRPr="00F7481F">
              <w:rPr>
                <w:noProof/>
                <w:sz w:val="20"/>
                <w:szCs w:val="20"/>
              </w:rPr>
              <w:t xml:space="preserve"> a vyhodnocení vlivů na udržitelný rozvoj území, pokud se zpracovává</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společné jednání o návrhu (krajský úřad, </w:t>
            </w:r>
            <w:r w:rsidR="0078162F" w:rsidRPr="00F7481F">
              <w:rPr>
                <w:noProof/>
                <w:sz w:val="20"/>
                <w:szCs w:val="20"/>
              </w:rPr>
              <w:t>DO</w:t>
            </w:r>
            <w:r w:rsidRPr="00F7481F">
              <w:rPr>
                <w:noProof/>
                <w:sz w:val="20"/>
                <w:szCs w:val="20"/>
              </w:rPr>
              <w:t>, MMR, obce</w:t>
            </w:r>
            <w:r w:rsidR="006234A9" w:rsidRPr="00F7481F">
              <w:rPr>
                <w:noProof/>
                <w:sz w:val="20"/>
                <w:szCs w:val="20"/>
              </w:rPr>
              <w:t>,</w:t>
            </w:r>
            <w:r w:rsidRPr="00F7481F">
              <w:rPr>
                <w:noProof/>
                <w:sz w:val="20"/>
                <w:szCs w:val="20"/>
              </w:rPr>
              <w:t xml:space="preserve"> pro kterou je </w:t>
            </w:r>
            <w:r w:rsidR="00D35289">
              <w:rPr>
                <w:noProof/>
                <w:sz w:val="20"/>
                <w:szCs w:val="20"/>
              </w:rPr>
              <w:t xml:space="preserve">ÚP </w:t>
            </w:r>
            <w:r w:rsidRPr="00F7481F">
              <w:rPr>
                <w:noProof/>
                <w:sz w:val="20"/>
                <w:szCs w:val="20"/>
              </w:rPr>
              <w:t xml:space="preserve">pořizován, sousední obce) a výzva </w:t>
            </w:r>
            <w:r w:rsidR="0078162F" w:rsidRPr="00F7481F">
              <w:rPr>
                <w:noProof/>
                <w:sz w:val="20"/>
                <w:szCs w:val="20"/>
              </w:rPr>
              <w:t>DO</w:t>
            </w:r>
            <w:r w:rsidRPr="00F7481F">
              <w:rPr>
                <w:noProof/>
                <w:sz w:val="20"/>
                <w:szCs w:val="20"/>
              </w:rPr>
              <w:t xml:space="preserve"> k uplatnění stanovisek, sousedním obcím k uplatnění připomínek </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doručení návrhu </w:t>
            </w:r>
            <w:r w:rsidR="00D35289">
              <w:rPr>
                <w:noProof/>
                <w:sz w:val="20"/>
                <w:szCs w:val="20"/>
              </w:rPr>
              <w:t xml:space="preserve">ÚP </w:t>
            </w:r>
            <w:r w:rsidRPr="00F7481F">
              <w:rPr>
                <w:noProof/>
                <w:sz w:val="20"/>
                <w:szCs w:val="20"/>
              </w:rPr>
              <w:t>a vyhodnocení veřejnou vyhláškou → 30 dní na připomínky</w:t>
            </w:r>
          </w:p>
          <w:p w:rsidR="00AF5BD8" w:rsidRPr="00F7481F" w:rsidRDefault="00AF5BD8" w:rsidP="00C873B4">
            <w:pPr>
              <w:pStyle w:val="Odstavecseseznamem"/>
              <w:widowControl w:val="0"/>
              <w:numPr>
                <w:ilvl w:val="0"/>
                <w:numId w:val="75"/>
              </w:numPr>
              <w:ind w:left="357" w:hanging="357"/>
              <w:rPr>
                <w:noProof/>
                <w:sz w:val="20"/>
                <w:szCs w:val="20"/>
              </w:rPr>
            </w:pPr>
            <w:r w:rsidRPr="00FD656C">
              <w:rPr>
                <w:noProof/>
                <w:sz w:val="20"/>
                <w:szCs w:val="20"/>
              </w:rPr>
              <w:t xml:space="preserve">pokud se zpracovává vyhodnocení vlivů </w:t>
            </w:r>
            <w:r w:rsidR="00D35289" w:rsidRPr="00FD656C">
              <w:rPr>
                <w:noProof/>
                <w:sz w:val="20"/>
                <w:szCs w:val="20"/>
              </w:rPr>
              <w:t>ÚP</w:t>
            </w:r>
            <w:r w:rsidRPr="00FD656C">
              <w:rPr>
                <w:noProof/>
                <w:sz w:val="20"/>
                <w:szCs w:val="20"/>
              </w:rPr>
              <w:t xml:space="preserve"> na udržitelný rozvoj území, zaslání stanovisek, připomínek </w:t>
            </w:r>
            <w:r w:rsidR="00FD656C" w:rsidRPr="00FD656C">
              <w:rPr>
                <w:noProof/>
                <w:sz w:val="20"/>
                <w:szCs w:val="20"/>
              </w:rPr>
              <w:t>a</w:t>
            </w:r>
            <w:r w:rsidR="00FD656C">
              <w:rPr>
                <w:noProof/>
                <w:sz w:val="20"/>
                <w:szCs w:val="20"/>
              </w:rPr>
              <w:t> </w:t>
            </w:r>
            <w:r w:rsidRPr="00FD656C">
              <w:rPr>
                <w:noProof/>
                <w:sz w:val="20"/>
                <w:szCs w:val="20"/>
              </w:rPr>
              <w:t>případných výsledků konzultací</w:t>
            </w:r>
            <w:r w:rsidRPr="00F7481F">
              <w:rPr>
                <w:noProof/>
                <w:sz w:val="20"/>
                <w:szCs w:val="20"/>
              </w:rPr>
              <w:t xml:space="preserve"> příslušnému úřadu → ten vydá stanovisko (pokud stanovisko neuplatní ve třicetidenní lhůtě ani v prodloužené lhůtě, je možné </w:t>
            </w:r>
            <w:r w:rsidR="00D35289">
              <w:rPr>
                <w:noProof/>
                <w:sz w:val="20"/>
                <w:szCs w:val="20"/>
              </w:rPr>
              <w:t>ÚP</w:t>
            </w:r>
            <w:r w:rsidRPr="00F7481F">
              <w:rPr>
                <w:noProof/>
                <w:sz w:val="20"/>
                <w:szCs w:val="20"/>
              </w:rPr>
              <w:t xml:space="preserve"> vydat i bez jeho stanoviska)</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krajský úřad zašle pořizovateli stanovisko k návrhu </w:t>
            </w:r>
            <w:r w:rsidR="00D35289">
              <w:rPr>
                <w:noProof/>
                <w:sz w:val="20"/>
                <w:szCs w:val="20"/>
              </w:rPr>
              <w:t xml:space="preserve">ÚP </w:t>
            </w:r>
            <w:r w:rsidRPr="00F7481F">
              <w:rPr>
                <w:noProof/>
                <w:sz w:val="20"/>
                <w:szCs w:val="20"/>
              </w:rPr>
              <w:t xml:space="preserve">z hledisek zajištění koordinace využívání území </w:t>
            </w:r>
            <w:r w:rsidR="00FD656C" w:rsidRPr="00F7481F">
              <w:rPr>
                <w:noProof/>
                <w:sz w:val="20"/>
                <w:szCs w:val="20"/>
              </w:rPr>
              <w:t>s</w:t>
            </w:r>
            <w:r w:rsidR="00FD656C">
              <w:rPr>
                <w:noProof/>
                <w:sz w:val="20"/>
                <w:szCs w:val="20"/>
              </w:rPr>
              <w:t> </w:t>
            </w:r>
            <w:r w:rsidRPr="00F7481F">
              <w:rPr>
                <w:noProof/>
                <w:sz w:val="20"/>
                <w:szCs w:val="20"/>
              </w:rPr>
              <w:t xml:space="preserve">ohledem na širší územní vztahy, souladu s </w:t>
            </w:r>
            <w:r w:rsidR="00D35289">
              <w:rPr>
                <w:noProof/>
                <w:sz w:val="20"/>
                <w:szCs w:val="20"/>
              </w:rPr>
              <w:t>PÚR</w:t>
            </w:r>
            <w:r w:rsidRPr="00F7481F">
              <w:rPr>
                <w:noProof/>
                <w:sz w:val="20"/>
                <w:szCs w:val="20"/>
              </w:rPr>
              <w:t xml:space="preserve"> a s </w:t>
            </w:r>
            <w:r w:rsidR="00D35289">
              <w:rPr>
                <w:noProof/>
                <w:sz w:val="20"/>
                <w:szCs w:val="20"/>
              </w:rPr>
              <w:t>ÚPD</w:t>
            </w:r>
            <w:r w:rsidRPr="00F7481F">
              <w:rPr>
                <w:noProof/>
                <w:sz w:val="20"/>
                <w:szCs w:val="20"/>
              </w:rPr>
              <w:t xml:space="preserve"> vydanou krajem (pokud nezašle stanovisko do 30 dnů, je možné </w:t>
            </w:r>
            <w:r w:rsidR="00D35289">
              <w:rPr>
                <w:noProof/>
                <w:sz w:val="20"/>
                <w:szCs w:val="20"/>
              </w:rPr>
              <w:t xml:space="preserve">ÚP </w:t>
            </w:r>
            <w:r w:rsidRPr="00F7481F">
              <w:rPr>
                <w:noProof/>
                <w:sz w:val="20"/>
                <w:szCs w:val="20"/>
              </w:rPr>
              <w:t>vydat i bez jeho stanovisk; v</w:t>
            </w:r>
            <w:r w:rsidR="00902462" w:rsidRPr="00F7481F">
              <w:rPr>
                <w:noProof/>
                <w:sz w:val="20"/>
                <w:szCs w:val="20"/>
              </w:rPr>
              <w:t> </w:t>
            </w:r>
            <w:r w:rsidRPr="00F7481F">
              <w:rPr>
                <w:noProof/>
                <w:sz w:val="20"/>
                <w:szCs w:val="20"/>
              </w:rPr>
              <w:t xml:space="preserve">případě, že krajský úřad upozorní ve stanovisku pořizovatele </w:t>
            </w:r>
            <w:r w:rsidRPr="00F7481F">
              <w:rPr>
                <w:noProof/>
                <w:sz w:val="20"/>
                <w:szCs w:val="20"/>
              </w:rPr>
              <w:lastRenderedPageBreak/>
              <w:t xml:space="preserve">na nedostatky, lze zahájit řízení o </w:t>
            </w:r>
            <w:r w:rsidR="00464230">
              <w:rPr>
                <w:noProof/>
                <w:sz w:val="20"/>
                <w:szCs w:val="20"/>
              </w:rPr>
              <w:t xml:space="preserve">ÚP </w:t>
            </w:r>
            <w:r w:rsidRPr="00F7481F">
              <w:rPr>
                <w:noProof/>
                <w:sz w:val="20"/>
                <w:szCs w:val="20"/>
              </w:rPr>
              <w:t>až na základě potvrzení krajského úřadu o odstranění nedostatků)</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pořizovatel vyhodnotí výsledky projednání návrhu </w:t>
            </w:r>
            <w:r w:rsidR="00464230">
              <w:rPr>
                <w:noProof/>
                <w:sz w:val="20"/>
                <w:szCs w:val="20"/>
              </w:rPr>
              <w:t xml:space="preserve">ÚP </w:t>
            </w:r>
            <w:r w:rsidRPr="00F7481F">
              <w:rPr>
                <w:noProof/>
                <w:sz w:val="20"/>
                <w:szCs w:val="20"/>
              </w:rPr>
              <w:t>a zajistí řešení případných rozporů</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pokud návrh </w:t>
            </w:r>
            <w:r w:rsidR="00464230">
              <w:rPr>
                <w:noProof/>
                <w:sz w:val="20"/>
                <w:szCs w:val="20"/>
              </w:rPr>
              <w:t xml:space="preserve">ÚP </w:t>
            </w:r>
            <w:r w:rsidRPr="00F7481F">
              <w:rPr>
                <w:noProof/>
                <w:sz w:val="20"/>
                <w:szCs w:val="20"/>
              </w:rPr>
              <w:t>obsahuje varianty řešení, předloží pořizovatel na základě vyhodnocení výsledků projednání, výsledku řešení rozporů a vyhodnocení vlivů na udržitelný rozvoj území, pokud se zpracovává, zastupitelstvu obce ke schválení návrh výběru nejvhodnější varianty, který může obsahovat i podmínky k její úpravě</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dojde-li pořizovatel na základě výsledků projednání k závěru, že je potřebné pořídit nový návrh </w:t>
            </w:r>
            <w:r w:rsidR="00464230">
              <w:rPr>
                <w:noProof/>
                <w:sz w:val="20"/>
                <w:szCs w:val="20"/>
              </w:rPr>
              <w:t>ÚP</w:t>
            </w:r>
            <w:r w:rsidRPr="00F7481F">
              <w:rPr>
                <w:noProof/>
                <w:sz w:val="20"/>
                <w:szCs w:val="20"/>
              </w:rPr>
              <w:t>, zpracuje ve spolupráci s určeným zastupitelem návrh pokynů pro jeho zpracování; vyžádá si stanovisko příslušného úřadu a stanovisko příslušného orgánu ochrany přírody, zda má být upravený návrh posuzován z</w:t>
            </w:r>
            <w:r w:rsidR="00902462" w:rsidRPr="00F7481F">
              <w:rPr>
                <w:noProof/>
                <w:sz w:val="20"/>
                <w:szCs w:val="20"/>
              </w:rPr>
              <w:t> </w:t>
            </w:r>
            <w:r w:rsidRPr="00F7481F">
              <w:rPr>
                <w:noProof/>
                <w:sz w:val="20"/>
                <w:szCs w:val="20"/>
              </w:rPr>
              <w:t xml:space="preserve">hlediska vlivů na životní prostředí a návrh pokynů pro zpracování návrhu </w:t>
            </w:r>
            <w:r w:rsidR="00464230">
              <w:rPr>
                <w:noProof/>
                <w:sz w:val="20"/>
                <w:szCs w:val="20"/>
              </w:rPr>
              <w:t xml:space="preserve">ÚP </w:t>
            </w:r>
            <w:r w:rsidRPr="00F7481F">
              <w:rPr>
                <w:noProof/>
                <w:sz w:val="20"/>
                <w:szCs w:val="20"/>
              </w:rPr>
              <w:t>předloží pořizovatel spolu se zdůvodněním zastupitelstvu obce ke schválení</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upravený a posouzený návrh </w:t>
            </w:r>
            <w:r w:rsidR="00464230">
              <w:rPr>
                <w:noProof/>
                <w:sz w:val="20"/>
                <w:szCs w:val="20"/>
              </w:rPr>
              <w:t>ÚP</w:t>
            </w:r>
            <w:r w:rsidRPr="00F7481F">
              <w:rPr>
                <w:noProof/>
                <w:sz w:val="20"/>
                <w:szCs w:val="20"/>
              </w:rPr>
              <w:t xml:space="preserve">, vyhodnocení vlivů na udržitelný rozvoj území, pokud se zpracovává </w:t>
            </w:r>
            <w:r w:rsidR="00FD656C" w:rsidRPr="00F7481F">
              <w:rPr>
                <w:noProof/>
                <w:sz w:val="20"/>
                <w:szCs w:val="20"/>
              </w:rPr>
              <w:t>a</w:t>
            </w:r>
            <w:r w:rsidR="00FD656C">
              <w:rPr>
                <w:noProof/>
                <w:sz w:val="20"/>
                <w:szCs w:val="20"/>
              </w:rPr>
              <w:t> </w:t>
            </w:r>
            <w:r w:rsidRPr="00F7481F">
              <w:rPr>
                <w:noProof/>
                <w:sz w:val="20"/>
                <w:szCs w:val="20"/>
              </w:rPr>
              <w:t>oznámení o konání veřejného projednání pořizovatel doručí veřejnou vyhláškou</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nejpozději do 7 dnů ode dne veřejného projednání může každý uplatnit své připomínky</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nejpozději do 7 dnů ode dne veřejného projednání mohou vlastníci pozemků a staveb dotčených návrhem řešení, oprávněný investor a </w:t>
            </w:r>
            <w:r w:rsidRPr="00412925">
              <w:rPr>
                <w:noProof/>
                <w:sz w:val="20"/>
                <w:szCs w:val="20"/>
              </w:rPr>
              <w:t xml:space="preserve">zástupce veřejnosti </w:t>
            </w:r>
            <w:r w:rsidR="00EE4ECE" w:rsidRPr="00412925">
              <w:rPr>
                <w:noProof/>
                <w:sz w:val="20"/>
                <w:szCs w:val="20"/>
              </w:rPr>
              <w:t xml:space="preserve">podat </w:t>
            </w:r>
            <w:r w:rsidRPr="00412925">
              <w:rPr>
                <w:noProof/>
                <w:sz w:val="20"/>
                <w:szCs w:val="20"/>
              </w:rPr>
              <w:t>námitky</w:t>
            </w:r>
            <w:r w:rsidRPr="00F7481F">
              <w:rPr>
                <w:noProof/>
                <w:sz w:val="20"/>
                <w:szCs w:val="20"/>
              </w:rPr>
              <w:t xml:space="preserve"> </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nejpozději do 7 dnů ode dne veřejného projednání mohou </w:t>
            </w:r>
            <w:r w:rsidR="0078162F" w:rsidRPr="00F7481F">
              <w:rPr>
                <w:noProof/>
                <w:sz w:val="20"/>
                <w:szCs w:val="20"/>
              </w:rPr>
              <w:t>DO</w:t>
            </w:r>
            <w:r w:rsidRPr="00F7481F">
              <w:rPr>
                <w:noProof/>
                <w:sz w:val="20"/>
                <w:szCs w:val="20"/>
              </w:rPr>
              <w:t xml:space="preserve"> a krajský úřad jako nadřízený orgán vydat stanoviska k částem řešení, které byly od společného jednání změněny</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pořizovatel vyhodnotí výsledky projednání, zpracuje s ohledem na veřejné zájmy návrh rozhodnutí o</w:t>
            </w:r>
            <w:r w:rsidR="00902462" w:rsidRPr="00F7481F">
              <w:rPr>
                <w:noProof/>
                <w:sz w:val="20"/>
                <w:szCs w:val="20"/>
              </w:rPr>
              <w:t> </w:t>
            </w:r>
            <w:r w:rsidRPr="00F7481F">
              <w:rPr>
                <w:noProof/>
                <w:sz w:val="20"/>
                <w:szCs w:val="20"/>
              </w:rPr>
              <w:t xml:space="preserve">námitkách a návrh vyhodnocení připomínek </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návrhy doručí </w:t>
            </w:r>
            <w:r w:rsidR="0078162F" w:rsidRPr="00F7481F">
              <w:rPr>
                <w:noProof/>
                <w:sz w:val="20"/>
                <w:szCs w:val="20"/>
              </w:rPr>
              <w:t>DO</w:t>
            </w:r>
            <w:r w:rsidRPr="00F7481F">
              <w:rPr>
                <w:noProof/>
                <w:sz w:val="20"/>
                <w:szCs w:val="20"/>
              </w:rPr>
              <w:t xml:space="preserve"> a krajskému úřadu jako nadřízenému orgánu k uplatnění případných stanovisek </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pokud je to nezbytné, pořizovatel zajistí pro obec úpravu návrhu </w:t>
            </w:r>
            <w:r w:rsidR="00464230">
              <w:rPr>
                <w:noProof/>
                <w:sz w:val="20"/>
                <w:szCs w:val="20"/>
              </w:rPr>
              <w:t>ÚP</w:t>
            </w:r>
            <w:r w:rsidRPr="00F7481F">
              <w:rPr>
                <w:noProof/>
                <w:sz w:val="20"/>
                <w:szCs w:val="20"/>
              </w:rPr>
              <w:t xml:space="preserve"> v souladu s výsledky projednání</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dojde-li na základě veřejného projednání k podstatné úpravě návrhu </w:t>
            </w:r>
            <w:r w:rsidR="00464230">
              <w:rPr>
                <w:noProof/>
                <w:sz w:val="20"/>
                <w:szCs w:val="20"/>
              </w:rPr>
              <w:t>ÚP</w:t>
            </w:r>
            <w:r w:rsidRPr="00F7481F">
              <w:rPr>
                <w:noProof/>
                <w:sz w:val="20"/>
                <w:szCs w:val="20"/>
              </w:rPr>
              <w:t xml:space="preserve">, pořizovatel si vyžádá stanovisko příslušného úřadu a stanovisko příslušného orgánu ochrany přírody, zda má být upravený návrh posuzován </w:t>
            </w:r>
            <w:r w:rsidR="00412925" w:rsidRPr="00F7481F">
              <w:rPr>
                <w:noProof/>
                <w:sz w:val="20"/>
                <w:szCs w:val="20"/>
              </w:rPr>
              <w:t>z</w:t>
            </w:r>
            <w:r w:rsidR="00412925">
              <w:rPr>
                <w:noProof/>
                <w:sz w:val="20"/>
                <w:szCs w:val="20"/>
              </w:rPr>
              <w:t> </w:t>
            </w:r>
            <w:r w:rsidRPr="00F7481F">
              <w:rPr>
                <w:noProof/>
                <w:sz w:val="20"/>
                <w:szCs w:val="20"/>
              </w:rPr>
              <w:t>hlediska vlivů na životní prostředí, a upravený návrh a případné upravené nebo doplněné vyhodnocení vlivů na udržitelný rozvoj území se v rozsahu těchto úprav projedná na opakovaném veřejném projednání</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pořizovatel předkládá zastupitelstvu příslušné obce návrh na vydání </w:t>
            </w:r>
            <w:r w:rsidR="00464230">
              <w:rPr>
                <w:noProof/>
                <w:sz w:val="20"/>
                <w:szCs w:val="20"/>
              </w:rPr>
              <w:t>ÚP</w:t>
            </w:r>
            <w:r w:rsidRPr="00F7481F">
              <w:rPr>
                <w:noProof/>
                <w:sz w:val="20"/>
                <w:szCs w:val="20"/>
              </w:rPr>
              <w:t xml:space="preserve"> s jeho odůvodněním</w:t>
            </w:r>
          </w:p>
          <w:p w:rsidR="00AF5BD8" w:rsidRPr="00F7481F" w:rsidRDefault="00AF5BD8" w:rsidP="00C873B4">
            <w:pPr>
              <w:pStyle w:val="Odstavecseseznamem"/>
              <w:widowControl w:val="0"/>
              <w:numPr>
                <w:ilvl w:val="0"/>
                <w:numId w:val="75"/>
              </w:numPr>
              <w:ind w:left="357" w:hanging="357"/>
              <w:rPr>
                <w:noProof/>
                <w:sz w:val="20"/>
                <w:szCs w:val="20"/>
              </w:rPr>
            </w:pPr>
            <w:r w:rsidRPr="00F7481F">
              <w:rPr>
                <w:noProof/>
                <w:sz w:val="20"/>
                <w:szCs w:val="20"/>
              </w:rPr>
              <w:t xml:space="preserve">zastupitelstvo obce vydá </w:t>
            </w:r>
            <w:r w:rsidR="00464230">
              <w:rPr>
                <w:noProof/>
                <w:sz w:val="20"/>
                <w:szCs w:val="20"/>
              </w:rPr>
              <w:t>ÚP</w:t>
            </w:r>
            <w:r w:rsidRPr="00F7481F">
              <w:rPr>
                <w:noProof/>
                <w:sz w:val="20"/>
                <w:szCs w:val="20"/>
              </w:rPr>
              <w:t xml:space="preserve"> po ověření, že není v rozporu s </w:t>
            </w:r>
            <w:r w:rsidR="00464230">
              <w:rPr>
                <w:noProof/>
                <w:sz w:val="20"/>
                <w:szCs w:val="20"/>
              </w:rPr>
              <w:t>PÚR</w:t>
            </w:r>
            <w:r w:rsidRPr="00F7481F">
              <w:rPr>
                <w:noProof/>
                <w:sz w:val="20"/>
                <w:szCs w:val="20"/>
              </w:rPr>
              <w:t xml:space="preserve">, s </w:t>
            </w:r>
            <w:r w:rsidR="00464230">
              <w:rPr>
                <w:noProof/>
                <w:sz w:val="20"/>
                <w:szCs w:val="20"/>
              </w:rPr>
              <w:t>ÚPD</w:t>
            </w:r>
            <w:r w:rsidRPr="00F7481F">
              <w:rPr>
                <w:noProof/>
                <w:sz w:val="20"/>
                <w:szCs w:val="20"/>
              </w:rPr>
              <w:t xml:space="preserve"> vydanou krajem nebo výsledkem řešení rozporů a se stanovisky </w:t>
            </w:r>
            <w:r w:rsidR="00464230">
              <w:rPr>
                <w:noProof/>
                <w:sz w:val="20"/>
                <w:szCs w:val="20"/>
              </w:rPr>
              <w:t>DO</w:t>
            </w:r>
            <w:r w:rsidRPr="00F7481F">
              <w:rPr>
                <w:noProof/>
                <w:sz w:val="20"/>
                <w:szCs w:val="20"/>
              </w:rPr>
              <w:t xml:space="preserve"> nebo stanoviskem krajského úřadu.</w:t>
            </w:r>
          </w:p>
          <w:p w:rsidR="00AF5BD8" w:rsidRPr="00AF5BD8" w:rsidRDefault="00AF5BD8" w:rsidP="003E4A5D">
            <w:pPr>
              <w:pStyle w:val="Textkomente"/>
              <w:widowControl w:val="0"/>
              <w:rPr>
                <w:noProof/>
              </w:rPr>
            </w:pPr>
            <w:r w:rsidRPr="00AF5BD8">
              <w:rPr>
                <w:noProof/>
              </w:rPr>
              <w:t xml:space="preserve">Dojde-li ke změně nebo zrušení rozhodnutí o námitkách, je obec povinna uvést </w:t>
            </w:r>
            <w:r w:rsidR="00464230">
              <w:rPr>
                <w:noProof/>
              </w:rPr>
              <w:t>ÚP</w:t>
            </w:r>
            <w:r w:rsidRPr="00AF5BD8">
              <w:rPr>
                <w:noProof/>
              </w:rPr>
              <w:t xml:space="preserve"> do souladu s tímto rozhodnutím; do té doby nelze rozhodovat a postupovat podle těch částí </w:t>
            </w:r>
            <w:r w:rsidR="00464230">
              <w:rPr>
                <w:noProof/>
              </w:rPr>
              <w:t>ÚP</w:t>
            </w:r>
            <w:r w:rsidR="00902462">
              <w:rPr>
                <w:noProof/>
              </w:rPr>
              <w:t>, které jsou vymezeny v </w:t>
            </w:r>
            <w:r w:rsidRPr="00AF5BD8">
              <w:rPr>
                <w:noProof/>
              </w:rPr>
              <w:t>rozhodnutí o</w:t>
            </w:r>
            <w:r w:rsidR="00464230">
              <w:rPr>
                <w:noProof/>
              </w:rPr>
              <w:t> </w:t>
            </w:r>
            <w:r w:rsidRPr="00AF5BD8">
              <w:rPr>
                <w:noProof/>
              </w:rPr>
              <w:t>zrušení rozhodnutí o námitkách.</w:t>
            </w:r>
          </w:p>
          <w:p w:rsidR="00AF5BD8" w:rsidRDefault="00464230" w:rsidP="003E4A5D">
            <w:pPr>
              <w:pStyle w:val="Textkomente"/>
              <w:widowControl w:val="0"/>
              <w:rPr>
                <w:noProof/>
              </w:rPr>
            </w:pPr>
            <w:r>
              <w:rPr>
                <w:noProof/>
              </w:rPr>
              <w:t>ÚP</w:t>
            </w:r>
            <w:r w:rsidR="00AF5BD8" w:rsidRPr="00AF5BD8">
              <w:rPr>
                <w:noProof/>
              </w:rPr>
              <w:t xml:space="preserve"> nelze změnit rozhodnutím podle § 97 odst. 3 správního řádu.</w:t>
            </w:r>
          </w:p>
          <w:p w:rsidR="005D728A" w:rsidRPr="00AF5BD8" w:rsidRDefault="00F7481F" w:rsidP="009231C6">
            <w:pPr>
              <w:pStyle w:val="Textkomente"/>
              <w:widowControl w:val="0"/>
              <w:rPr>
                <w:noProof/>
              </w:rPr>
            </w:pPr>
            <w:r>
              <w:rPr>
                <w:noProof/>
              </w:rPr>
              <w:t>Od 1. 1. 2018 lze změnu ÚP pořizovat zkráceným postupem, kdy fáze projednávání a schvalování zadání změny ÚP je nahrazena rozhodnutím zastupitelstva obce o pořizení změny ÚP a o jejím obsahu. Po vyhotovení návrhu změny ÚP se rovnou koná veřejné projednání</w:t>
            </w:r>
            <w:r w:rsidR="005D728A">
              <w:rPr>
                <w:noProof/>
              </w:rPr>
              <w:t>.</w:t>
            </w:r>
          </w:p>
        </w:tc>
      </w:tr>
    </w:tbl>
    <w:p w:rsidR="003A67F2" w:rsidRPr="00D530AC" w:rsidRDefault="003A67F2" w:rsidP="00D4266B">
      <w:pPr>
        <w:pStyle w:val="Nadpis6"/>
      </w:pPr>
      <w:bookmarkStart w:id="20" w:name="_Toc536553894"/>
      <w:r>
        <w:lastRenderedPageBreak/>
        <w:t>Regulační plán</w:t>
      </w:r>
      <w:r w:rsidR="004D0736">
        <w:t xml:space="preserve"> </w:t>
      </w:r>
      <w:r w:rsidR="004D0736" w:rsidRPr="0032110B">
        <w:rPr>
          <w:noProof/>
        </w:rPr>
        <w:t>(</w:t>
      </w:r>
      <w:r w:rsidR="004D0736">
        <w:rPr>
          <w:noProof/>
        </w:rPr>
        <w:t>R</w:t>
      </w:r>
      <w:r w:rsidR="004D0736" w:rsidRPr="0032110B">
        <w:rPr>
          <w:noProof/>
        </w:rPr>
        <w:t>P)</w:t>
      </w:r>
      <w:bookmarkEnd w:id="20"/>
    </w:p>
    <w:p w:rsidR="00D4266B" w:rsidRDefault="004D0736" w:rsidP="0089559F">
      <w:pPr>
        <w:pStyle w:val="Text-Normaln"/>
        <w:widowControl w:val="0"/>
      </w:pPr>
      <w:r>
        <w:t>RP</w:t>
      </w:r>
      <w:r w:rsidR="00BE02A9" w:rsidRPr="00BE02A9">
        <w:t xml:space="preserve"> v řešené ploše stanov</w:t>
      </w:r>
      <w:r w:rsidR="00BE02A9">
        <w:t>uje</w:t>
      </w:r>
      <w:r w:rsidR="00BE02A9" w:rsidRPr="00BE02A9">
        <w:t xml:space="preserve"> podrobné podmínky pro využití pozemků, pro umístění a</w:t>
      </w:r>
      <w:r>
        <w:t> </w:t>
      </w:r>
      <w:r w:rsidR="00BE02A9" w:rsidRPr="00BE02A9">
        <w:t xml:space="preserve">prostorové uspořádání staveb, pro ochranu hodnot a charakteru území a pro vytváření příznivého životního prostředí. </w:t>
      </w:r>
      <w:r w:rsidR="00BE02A9">
        <w:t>V</w:t>
      </w:r>
      <w:r w:rsidR="00BE02A9" w:rsidRPr="00BE02A9">
        <w:t xml:space="preserve">ždy </w:t>
      </w:r>
      <w:r w:rsidR="00BE02A9">
        <w:t xml:space="preserve">pak </w:t>
      </w:r>
      <w:r w:rsidR="00BE02A9" w:rsidRPr="00BE02A9">
        <w:t>stanov</w:t>
      </w:r>
      <w:r w:rsidR="00BE02A9">
        <w:t>uje</w:t>
      </w:r>
      <w:r w:rsidR="00BE02A9" w:rsidRPr="00BE02A9">
        <w:t xml:space="preserve"> podmínky pro vymezení a využití pozemků, pro umístění a prostorové uspořádání staveb veřejné infrastruktury a vymez</w:t>
      </w:r>
      <w:r w:rsidR="00BE02A9">
        <w:t>uje</w:t>
      </w:r>
      <w:r w:rsidR="00BE02A9" w:rsidRPr="00BE02A9">
        <w:t xml:space="preserve"> veřejně prospěšné stavby nebo veřejně prospěšná opatření.</w:t>
      </w:r>
      <w:r w:rsidR="00BE02A9">
        <w:t xml:space="preserve"> </w:t>
      </w:r>
      <w:r>
        <w:t>RP</w:t>
      </w:r>
      <w:r w:rsidR="00BE02A9" w:rsidRPr="00BE02A9">
        <w:t xml:space="preserve"> je závazný pro rozhodování v</w:t>
      </w:r>
      <w:r w:rsidR="00BE02A9">
        <w:t> </w:t>
      </w:r>
      <w:r w:rsidR="00BE02A9" w:rsidRPr="00BE02A9">
        <w:t>území</w:t>
      </w:r>
      <w:r w:rsidR="00BE02A9">
        <w:t>.</w:t>
      </w:r>
      <w:r w:rsidR="00BE02A9" w:rsidRPr="00BE02A9">
        <w:t xml:space="preserve"> </w:t>
      </w:r>
      <w:r w:rsidR="00BE02A9">
        <w:t xml:space="preserve">Zároveň </w:t>
      </w:r>
      <w:r>
        <w:t>RP</w:t>
      </w:r>
      <w:r w:rsidR="00BE02A9" w:rsidRPr="00BE02A9">
        <w:t xml:space="preserve"> vydaný krajem je závazný i pro </w:t>
      </w:r>
      <w:r>
        <w:t>ÚP a RP</w:t>
      </w:r>
      <w:r w:rsidR="00BE02A9" w:rsidRPr="00BE02A9">
        <w:t xml:space="preserve"> vydávané obcemi. </w:t>
      </w:r>
      <w:r>
        <w:t>RP</w:t>
      </w:r>
      <w:r w:rsidR="00BE02A9" w:rsidRPr="00BE02A9">
        <w:t xml:space="preserve"> lze nahradit územní rozhodnutí; </w:t>
      </w:r>
      <w:r w:rsidR="0071734F" w:rsidRPr="00BE02A9">
        <w:t>v</w:t>
      </w:r>
      <w:r w:rsidR="0071734F">
        <w:t> </w:t>
      </w:r>
      <w:r w:rsidR="00BE02A9" w:rsidRPr="00BE02A9">
        <w:t>tomto případě se v</w:t>
      </w:r>
      <w:r>
        <w:t xml:space="preserve"> RP </w:t>
      </w:r>
      <w:r w:rsidR="00BE02A9" w:rsidRPr="00BE02A9">
        <w:t xml:space="preserve">stanoví, která územní rozhodnutí nahrazuje. </w:t>
      </w:r>
      <w:r w:rsidR="0071734F">
        <w:t>K</w:t>
      </w:r>
      <w:r w:rsidR="00EF35D1" w:rsidRPr="0045064F">
        <w:t xml:space="preserve"> návrhu </w:t>
      </w:r>
      <w:r>
        <w:t>RP</w:t>
      </w:r>
      <w:r w:rsidR="00EF35D1" w:rsidRPr="0045064F">
        <w:t xml:space="preserve"> mohou podávat námitky ty osoby, které by byly účastníky územního řízení (žadatel, obec, dotčení vlastníci). </w:t>
      </w:r>
      <w:r>
        <w:t>RP</w:t>
      </w:r>
      <w:r w:rsidR="00BE02A9" w:rsidRPr="00BE02A9">
        <w:t xml:space="preserve"> nelze nahradit územní rozhodnutí pro záměr, který podléhá posuzování vlivů na životní prostředí.</w:t>
      </w:r>
    </w:p>
    <w:p w:rsidR="0058773D" w:rsidRDefault="00445D92" w:rsidP="00D4266B">
      <w:pPr>
        <w:pStyle w:val="Nadpis6"/>
        <w:rPr>
          <w:noProof/>
        </w:rPr>
      </w:pPr>
      <w:bookmarkStart w:id="21" w:name="_Toc536553895"/>
      <w:r>
        <w:rPr>
          <w:noProof/>
        </w:rPr>
        <w:t>Stávající problémy územního plánování</w:t>
      </w:r>
      <w:bookmarkEnd w:id="21"/>
    </w:p>
    <w:p w:rsidR="00D67A9A" w:rsidRDefault="00D67A9A" w:rsidP="003E4A5D">
      <w:pPr>
        <w:widowControl w:val="0"/>
      </w:pPr>
      <w:r w:rsidRPr="00D67A9A">
        <w:t>Na úseku nástrojů územního plánování, které je možné považovat za základní pilíře současné právní úpravy územního plánování, byly identifikovány zejména následující problémy:</w:t>
      </w:r>
    </w:p>
    <w:p w:rsidR="001F5E65" w:rsidRDefault="0047443A" w:rsidP="009D4B5F">
      <w:pPr>
        <w:pStyle w:val="Odstavecseseznamem"/>
        <w:widowControl w:val="0"/>
        <w:numPr>
          <w:ilvl w:val="0"/>
          <w:numId w:val="56"/>
        </w:numPr>
        <w:ind w:left="284" w:hanging="284"/>
        <w:contextualSpacing w:val="0"/>
      </w:pPr>
      <w:r>
        <w:t xml:space="preserve">v ČR neexistuje </w:t>
      </w:r>
      <w:r w:rsidR="001F5E65">
        <w:t xml:space="preserve">dokumentace v dostatečné </w:t>
      </w:r>
      <w:r>
        <w:t xml:space="preserve">míře </w:t>
      </w:r>
      <w:r w:rsidR="001F5E65">
        <w:t xml:space="preserve">podrobnosti, na jejímž základě by bylo možné </w:t>
      </w:r>
      <w:r>
        <w:t>bez zbytečných průtahů</w:t>
      </w:r>
      <w:r w:rsidR="001F5E65">
        <w:t xml:space="preserve"> umisťovat celostátně významné záměry, včetně záměrů společného zájmu, zejména tedy staveb veřejné dopravní a technické infrastruktury</w:t>
      </w:r>
      <w:r>
        <w:t xml:space="preserve"> -</w:t>
      </w:r>
      <w:r w:rsidRPr="0047443A">
        <w:t xml:space="preserve"> </w:t>
      </w:r>
      <w:r>
        <w:t xml:space="preserve">PÚR je </w:t>
      </w:r>
      <w:r>
        <w:lastRenderedPageBreak/>
        <w:t>vydávána v příliš hrubém detailu</w:t>
      </w:r>
      <w:r w:rsidR="002A2FD4">
        <w:t xml:space="preserve"> (viz </w:t>
      </w:r>
      <w:r w:rsidR="00A46B96">
        <w:t xml:space="preserve">například </w:t>
      </w:r>
      <w:r w:rsidR="002A2FD4">
        <w:t>následující obrázek)</w:t>
      </w:r>
      <w:r w:rsidR="001360D2">
        <w:t>;</w:t>
      </w:r>
    </w:p>
    <w:p w:rsidR="002A2FD4" w:rsidRDefault="002A2FD4" w:rsidP="003E4A5D">
      <w:pPr>
        <w:pStyle w:val="Titulek"/>
      </w:pPr>
      <w:r>
        <w:t xml:space="preserve">Obrázek </w:t>
      </w:r>
      <w:r w:rsidR="00AB65E9">
        <w:rPr>
          <w:noProof/>
        </w:rPr>
        <w:fldChar w:fldCharType="begin"/>
      </w:r>
      <w:r w:rsidR="00D24CDE">
        <w:rPr>
          <w:noProof/>
        </w:rPr>
        <w:instrText xml:space="preserve"> SEQ Obrázek \* ARABIC </w:instrText>
      </w:r>
      <w:r w:rsidR="00AB65E9">
        <w:rPr>
          <w:noProof/>
        </w:rPr>
        <w:fldChar w:fldCharType="separate"/>
      </w:r>
      <w:r w:rsidR="00263A1B">
        <w:rPr>
          <w:noProof/>
        </w:rPr>
        <w:t>10</w:t>
      </w:r>
      <w:r w:rsidR="00AB65E9">
        <w:rPr>
          <w:noProof/>
        </w:rPr>
        <w:fldChar w:fldCharType="end"/>
      </w:r>
      <w:r>
        <w:t>: PÚR – vymezení koridorů železniční dopravy</w:t>
      </w:r>
    </w:p>
    <w:p w:rsidR="002A2FD4" w:rsidRDefault="002A2FD4" w:rsidP="008712FB">
      <w:pPr>
        <w:pStyle w:val="Odstavecseseznamem"/>
        <w:widowControl w:val="0"/>
        <w:ind w:left="0"/>
        <w:contextualSpacing w:val="0"/>
      </w:pPr>
      <w:r w:rsidRPr="002A2FD4">
        <w:rPr>
          <w:noProof/>
          <w:lang w:eastAsia="cs-CZ"/>
        </w:rPr>
        <w:drawing>
          <wp:inline distT="0" distB="0" distL="0" distR="0" wp14:anchorId="1870A1DF" wp14:editId="33FEA814">
            <wp:extent cx="5751443" cy="3697356"/>
            <wp:effectExtent l="0" t="0" r="190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83777" cy="3718142"/>
                    </a:xfrm>
                    <a:prstGeom prst="rect">
                      <a:avLst/>
                    </a:prstGeom>
                  </pic:spPr>
                </pic:pic>
              </a:graphicData>
            </a:graphic>
          </wp:inline>
        </w:drawing>
      </w:r>
    </w:p>
    <w:p w:rsidR="00BF120B" w:rsidRDefault="00BF120B" w:rsidP="003E4A5D">
      <w:pPr>
        <w:pStyle w:val="Citt"/>
        <w:ind w:firstLine="284"/>
      </w:pPr>
      <w:r>
        <w:t xml:space="preserve">Zdroj: </w:t>
      </w:r>
      <w:r w:rsidRPr="00BF120B">
        <w:t>Politika územního rozvoje ČR, ve znění Aktualizace č. 1 – právní stav</w:t>
      </w:r>
    </w:p>
    <w:p w:rsidR="001F5E65" w:rsidRDefault="0047443A" w:rsidP="009D4B5F">
      <w:pPr>
        <w:pStyle w:val="Odstavecseseznamem"/>
        <w:widowControl w:val="0"/>
        <w:numPr>
          <w:ilvl w:val="0"/>
          <w:numId w:val="56"/>
        </w:numPr>
        <w:ind w:left="284" w:hanging="284"/>
        <w:contextualSpacing w:val="0"/>
      </w:pPr>
      <w:r>
        <w:t>není</w:t>
      </w:r>
      <w:r w:rsidR="001F5E65">
        <w:t xml:space="preserve"> </w:t>
      </w:r>
      <w:r w:rsidR="00C71E21">
        <w:t xml:space="preserve">dostatečně </w:t>
      </w:r>
      <w:r w:rsidR="0071734F">
        <w:t xml:space="preserve">využívána možnost koordinovat </w:t>
      </w:r>
      <w:r w:rsidR="001F5E65">
        <w:t xml:space="preserve">územní plánování na úrovni krajů, zejména </w:t>
      </w:r>
      <w:r w:rsidR="0071734F">
        <w:t>v </w:t>
      </w:r>
      <w:r w:rsidR="001F5E65">
        <w:t>otázk</w:t>
      </w:r>
      <w:r w:rsidR="00F10B36">
        <w:t>ách</w:t>
      </w:r>
      <w:r w:rsidR="001F5E65">
        <w:t xml:space="preserve"> nadmístního významu </w:t>
      </w:r>
      <w:r w:rsidR="006C29F7">
        <w:t>týkajících se</w:t>
      </w:r>
      <w:r w:rsidR="001F5E65">
        <w:t xml:space="preserve"> vznik</w:t>
      </w:r>
      <w:r w:rsidR="006C29F7">
        <w:t>u</w:t>
      </w:r>
      <w:r w:rsidR="001F5E65">
        <w:t xml:space="preserve"> a rozvoje aglomerací </w:t>
      </w:r>
      <w:r w:rsidR="00E02942">
        <w:t>či</w:t>
      </w:r>
      <w:r w:rsidR="001F5E65">
        <w:t xml:space="preserve"> metropolitních oblastí, </w:t>
      </w:r>
      <w:r w:rsidR="00E02942">
        <w:t>upřednostnění</w:t>
      </w:r>
      <w:r w:rsidR="001F5E65">
        <w:t xml:space="preserve"> rozvoje některých činností na </w:t>
      </w:r>
      <w:r w:rsidR="00E02942">
        <w:t>určitém</w:t>
      </w:r>
      <w:r w:rsidR="001F5E65">
        <w:t xml:space="preserve"> území kraje, kde je rozvoj těchto činností </w:t>
      </w:r>
      <w:r w:rsidR="00E02942">
        <w:t>vhodný</w:t>
      </w:r>
      <w:r w:rsidR="001F5E65">
        <w:t xml:space="preserve"> </w:t>
      </w:r>
      <w:r w:rsidR="00E02942">
        <w:t>díky</w:t>
      </w:r>
      <w:r w:rsidR="001F5E65">
        <w:t xml:space="preserve"> existující infrastruktu</w:t>
      </w:r>
      <w:r w:rsidR="00E02942">
        <w:t>ře</w:t>
      </w:r>
      <w:r w:rsidR="001F5E65">
        <w:t xml:space="preserve"> či </w:t>
      </w:r>
      <w:r w:rsidR="00E02942">
        <w:t xml:space="preserve">z </w:t>
      </w:r>
      <w:r w:rsidR="001F5E65">
        <w:t>jiných ekonomických a sociálních důvodů</w:t>
      </w:r>
      <w:r w:rsidR="008B023D">
        <w:t>;</w:t>
      </w:r>
    </w:p>
    <w:p w:rsidR="001F5E65" w:rsidRDefault="003104BD" w:rsidP="009D4B5F">
      <w:pPr>
        <w:pStyle w:val="Odstavecseseznamem"/>
        <w:widowControl w:val="0"/>
        <w:numPr>
          <w:ilvl w:val="0"/>
          <w:numId w:val="56"/>
        </w:numPr>
        <w:ind w:left="284" w:hanging="284"/>
        <w:contextualSpacing w:val="0"/>
      </w:pPr>
      <w:r w:rsidRPr="009231C6">
        <w:t>nedostatečné</w:t>
      </w:r>
      <w:r>
        <w:t xml:space="preserve"> využívání </w:t>
      </w:r>
      <w:r w:rsidR="00C71E21">
        <w:t>RP</w:t>
      </w:r>
      <w:r w:rsidR="001F5E65">
        <w:t xml:space="preserve"> a následn</w:t>
      </w:r>
      <w:r>
        <w:t>á</w:t>
      </w:r>
      <w:r w:rsidR="001F5E65">
        <w:t xml:space="preserve"> absenc</w:t>
      </w:r>
      <w:r>
        <w:t>e</w:t>
      </w:r>
      <w:r w:rsidR="001F5E65">
        <w:t xml:space="preserve"> dostatečně podrobné </w:t>
      </w:r>
      <w:r w:rsidR="00C71E21">
        <w:t>ÚPD</w:t>
      </w:r>
      <w:r w:rsidR="001F5E65">
        <w:t xml:space="preserve">, která by </w:t>
      </w:r>
      <w:r>
        <w:t>řešila</w:t>
      </w:r>
      <w:r w:rsidR="001F5E65">
        <w:t xml:space="preserve"> otázky v určitém území koncepčně a na úrovni územního plánování, nikoli teprve při povolání jednotlivého záměru ve správním řízení</w:t>
      </w:r>
      <w:r w:rsidR="008B023D">
        <w:t>;</w:t>
      </w:r>
    </w:p>
    <w:p w:rsidR="001F5E65" w:rsidRDefault="001F5E65" w:rsidP="009D4B5F">
      <w:pPr>
        <w:pStyle w:val="Odstavecseseznamem"/>
        <w:widowControl w:val="0"/>
        <w:numPr>
          <w:ilvl w:val="0"/>
          <w:numId w:val="56"/>
        </w:numPr>
        <w:ind w:left="284" w:hanging="284"/>
        <w:contextualSpacing w:val="0"/>
      </w:pPr>
      <w:r>
        <w:t>n</w:t>
      </w:r>
      <w:r w:rsidR="003104BD">
        <w:t>ízká</w:t>
      </w:r>
      <w:r>
        <w:t xml:space="preserve"> míra digitalizace </w:t>
      </w:r>
      <w:r w:rsidR="00C71E21">
        <w:t>ÚPD vydané zastupitelstvem obcí</w:t>
      </w:r>
      <w:r>
        <w:t xml:space="preserve"> před 1. 1. 2018 a </w:t>
      </w:r>
      <w:r w:rsidR="00306B25">
        <w:t>obtížné</w:t>
      </w:r>
      <w:r>
        <w:t xml:space="preserve"> zobrazování a čerpání dat v ní obsažených</w:t>
      </w:r>
      <w:r w:rsidR="008B023D">
        <w:t>;</w:t>
      </w:r>
    </w:p>
    <w:p w:rsidR="003E1731" w:rsidRDefault="001F5E65" w:rsidP="009D4B5F">
      <w:pPr>
        <w:pStyle w:val="Odstavecseseznamem"/>
        <w:widowControl w:val="0"/>
        <w:numPr>
          <w:ilvl w:val="0"/>
          <w:numId w:val="56"/>
        </w:numPr>
        <w:ind w:left="284" w:hanging="284"/>
        <w:contextualSpacing w:val="0"/>
      </w:pPr>
      <w:r>
        <w:t>roztříštěnost informací veřejné správy o území – existence velkého množství datových skladů a registrů, častá duplicita dat, jejich nepřesnost</w:t>
      </w:r>
      <w:r w:rsidR="008B023D">
        <w:t>,</w:t>
      </w:r>
      <w:r>
        <w:t xml:space="preserve"> neexistující registry veřejné správy, které by poskytovaly garantované informace o území</w:t>
      </w:r>
      <w:r w:rsidR="008B023D">
        <w:t>;</w:t>
      </w:r>
    </w:p>
    <w:p w:rsidR="00456245" w:rsidRDefault="00456245" w:rsidP="009D4B5F">
      <w:pPr>
        <w:pStyle w:val="Odstavecseseznamem"/>
        <w:widowControl w:val="0"/>
        <w:numPr>
          <w:ilvl w:val="0"/>
          <w:numId w:val="56"/>
        </w:numPr>
        <w:ind w:left="284" w:hanging="284"/>
        <w:contextualSpacing w:val="0"/>
      </w:pPr>
      <w:r>
        <w:t xml:space="preserve">dokumentace </w:t>
      </w:r>
      <w:r w:rsidR="0022319D">
        <w:t xml:space="preserve">je </w:t>
      </w:r>
      <w:r>
        <w:t>zveřejň</w:t>
      </w:r>
      <w:r w:rsidR="0022319D">
        <w:t>ována</w:t>
      </w:r>
      <w:r>
        <w:t xml:space="preserve"> </w:t>
      </w:r>
      <w:r w:rsidR="00C71E21">
        <w:t xml:space="preserve">převážně </w:t>
      </w:r>
      <w:r>
        <w:t>ve formátu PDF</w:t>
      </w:r>
      <w:r w:rsidR="00C71E21">
        <w:t xml:space="preserve">, který </w:t>
      </w:r>
      <w:r>
        <w:t>neumožňuje provádět nad výstupy územního plánování potřebné analýzy</w:t>
      </w:r>
      <w:r w:rsidR="00951F21">
        <w:t xml:space="preserve"> v otevřených strojově čitelných formátech</w:t>
      </w:r>
      <w:r w:rsidR="008B023D">
        <w:t>;</w:t>
      </w:r>
    </w:p>
    <w:p w:rsidR="00456245" w:rsidRDefault="00647A57" w:rsidP="009D4B5F">
      <w:pPr>
        <w:pStyle w:val="Odstavecseseznamem"/>
        <w:widowControl w:val="0"/>
        <w:numPr>
          <w:ilvl w:val="0"/>
          <w:numId w:val="56"/>
        </w:numPr>
        <w:ind w:left="284" w:hanging="284"/>
        <w:contextualSpacing w:val="0"/>
      </w:pPr>
      <w:r>
        <w:t xml:space="preserve">neexistence jednotného národního </w:t>
      </w:r>
      <w:proofErr w:type="spellStart"/>
      <w:r>
        <w:t>geoportálu</w:t>
      </w:r>
      <w:proofErr w:type="spellEnd"/>
      <w:r>
        <w:t xml:space="preserve"> územního plánování, který by obsahoval (nejlépe jednotnou formou) veškeré výstupy z územně plánovací činnosti v</w:t>
      </w:r>
      <w:r w:rsidR="00456245">
        <w:t xml:space="preserve"> jednotn</w:t>
      </w:r>
      <w:r w:rsidR="00E7275C">
        <w:t>ém</w:t>
      </w:r>
      <w:r w:rsidR="00456245">
        <w:t xml:space="preserve"> model</w:t>
      </w:r>
      <w:r w:rsidR="00E7275C">
        <w:t>u</w:t>
      </w:r>
      <w:r w:rsidR="00456245">
        <w:t xml:space="preserve"> a výměnn</w:t>
      </w:r>
      <w:r w:rsidR="00E7275C">
        <w:t xml:space="preserve">ém </w:t>
      </w:r>
      <w:r w:rsidR="00456245">
        <w:t>formát</w:t>
      </w:r>
      <w:r w:rsidR="0022319D">
        <w:t>u</w:t>
      </w:r>
      <w:r w:rsidR="00456245">
        <w:t>, ve kterém by se povinně zpracovávaly jednotlivé územně plánovací dokumentace</w:t>
      </w:r>
      <w:r w:rsidR="008B023D">
        <w:t>;</w:t>
      </w:r>
      <w:r w:rsidR="00B423E8" w:rsidRPr="008B023D">
        <w:t xml:space="preserve"> </w:t>
      </w:r>
      <w:r w:rsidR="00456245">
        <w:t xml:space="preserve"> </w:t>
      </w:r>
    </w:p>
    <w:p w:rsidR="00F1126D" w:rsidRDefault="00926673" w:rsidP="003E4A5D">
      <w:pPr>
        <w:widowControl w:val="0"/>
      </w:pPr>
      <w:r>
        <w:t xml:space="preserve">Dále </w:t>
      </w:r>
      <w:r w:rsidR="00456245">
        <w:t xml:space="preserve">územní plánování za současné právní úpravy pouze omezeně čelí novým výzvám. Jen </w:t>
      </w:r>
      <w:r>
        <w:t>částečně</w:t>
      </w:r>
      <w:r w:rsidR="00456245">
        <w:t xml:space="preserve"> řeší ekonomický rozměr území, přestože procesy územního plánování mají na ekonomické procesy v území nemalý vliv. </w:t>
      </w:r>
      <w:r>
        <w:t>S</w:t>
      </w:r>
      <w:r w:rsidR="00456245">
        <w:t xml:space="preserve">oučasná právní úprava neřeší </w:t>
      </w:r>
      <w:r>
        <w:t xml:space="preserve">především </w:t>
      </w:r>
      <w:r w:rsidR="00456245">
        <w:t xml:space="preserve">vazbu vymezování zastavitelných ploch, včetně případné intenzity jejich využití, na jejich zdanění, což </w:t>
      </w:r>
      <w:r w:rsidR="00456245">
        <w:lastRenderedPageBreak/>
        <w:t xml:space="preserve">by v důsledku vedlo ke spravedlivějšímu zpoplatnění využívání území a omezení spekulativně vymezovaných zastavitelných ploch. Zavedení vazby mezi vymezováním zastavitelných ploch na jejich zdanění (progresivní daň z nemovitosti) </w:t>
      </w:r>
      <w:r>
        <w:t>může vyvolat</w:t>
      </w:r>
      <w:r w:rsidR="00456245">
        <w:t xml:space="preserve"> tlak na majitele zastavitelných ploch, aby tyto plochy využili, odstran</w:t>
      </w:r>
      <w:r>
        <w:t>it</w:t>
      </w:r>
      <w:r w:rsidR="00456245">
        <w:t xml:space="preserve"> blokace území a zamez</w:t>
      </w:r>
      <w:r>
        <w:t>it</w:t>
      </w:r>
      <w:r w:rsidR="00456245">
        <w:t xml:space="preserve"> neefektivnímu zabírání půdního fondu. </w:t>
      </w:r>
    </w:p>
    <w:p w:rsidR="00BF4CDC" w:rsidRDefault="00BF4CDC" w:rsidP="00F1126D">
      <w:pPr>
        <w:pStyle w:val="Nadpis6"/>
        <w:rPr>
          <w:noProof/>
        </w:rPr>
      </w:pPr>
      <w:bookmarkStart w:id="22" w:name="_Toc536553896"/>
      <w:r>
        <w:rPr>
          <w:noProof/>
        </w:rPr>
        <w:t>Stávající problémy právní formy opatření obecné povahy a jejich přezkumu soudem</w:t>
      </w:r>
      <w:bookmarkEnd w:id="22"/>
    </w:p>
    <w:p w:rsidR="001230B9" w:rsidRDefault="00D46B31" w:rsidP="003E4A5D">
      <w:pPr>
        <w:widowControl w:val="0"/>
      </w:pPr>
      <w:r>
        <w:t>ÚPD</w:t>
      </w:r>
      <w:r w:rsidR="003E1731">
        <w:t xml:space="preserve"> </w:t>
      </w:r>
      <w:r w:rsidR="00BF4CDC">
        <w:t xml:space="preserve">se od </w:t>
      </w:r>
      <w:r w:rsidR="006C1282">
        <w:t>účinnosti stávajícího stavebního zákona (</w:t>
      </w:r>
      <w:r w:rsidR="00BF4CDC">
        <w:t>1. 1. 2007</w:t>
      </w:r>
      <w:r w:rsidR="006C1282">
        <w:t>)</w:t>
      </w:r>
      <w:r w:rsidR="00BF4CDC">
        <w:t xml:space="preserve"> </w:t>
      </w:r>
      <w:r w:rsidR="003E1731">
        <w:t xml:space="preserve">vydává formou </w:t>
      </w:r>
      <w:r>
        <w:t xml:space="preserve">OOP </w:t>
      </w:r>
      <w:r w:rsidR="003E1731">
        <w:t>podle správního řádu</w:t>
      </w:r>
      <w:r w:rsidR="000B3597">
        <w:t xml:space="preserve"> s navazujícím soudním přezkumem ve správním soudnictví podle soudního řádu správního.</w:t>
      </w:r>
      <w:r w:rsidR="003E1731">
        <w:t xml:space="preserve"> </w:t>
      </w:r>
      <w:r w:rsidR="0074532E">
        <w:t xml:space="preserve">Podle předchozí právní úpravy byly územní plány vydávány ve formě obecně závazných vyhlášek zastupitelstev územních samosprávných celků. Stávající forma </w:t>
      </w:r>
      <w:r>
        <w:t>OOP, tak jak je dnes právně nastavená,</w:t>
      </w:r>
      <w:r w:rsidR="0074532E">
        <w:t xml:space="preserve"> </w:t>
      </w:r>
      <w:r w:rsidR="006A71F9">
        <w:t xml:space="preserve">vnáší </w:t>
      </w:r>
      <w:r w:rsidR="003E1731">
        <w:t xml:space="preserve">problémy </w:t>
      </w:r>
      <w:r w:rsidR="006A71F9">
        <w:t xml:space="preserve">do právní jistoty všech osob v území jednajících </w:t>
      </w:r>
      <w:r w:rsidR="000B3597">
        <w:t>v důvěře v </w:t>
      </w:r>
      <w:r>
        <w:t>platnou ÚPD</w:t>
      </w:r>
      <w:r w:rsidR="003E1731">
        <w:t xml:space="preserve"> pro jejich návazný </w:t>
      </w:r>
      <w:r w:rsidR="001230B9">
        <w:t xml:space="preserve">soudní </w:t>
      </w:r>
      <w:r w:rsidR="003E1731">
        <w:t>přezkum</w:t>
      </w:r>
      <w:r>
        <w:t>. R</w:t>
      </w:r>
      <w:r w:rsidR="00BA7D3B">
        <w:t xml:space="preserve">ušení </w:t>
      </w:r>
      <w:r w:rsidR="0042158C">
        <w:t xml:space="preserve">zejména aktualizací nebo změn ÚPD </w:t>
      </w:r>
      <w:r w:rsidR="00BA7D3B">
        <w:t xml:space="preserve">se </w:t>
      </w:r>
      <w:r w:rsidR="0042158C">
        <w:t xml:space="preserve">dále negativně </w:t>
      </w:r>
      <w:r w:rsidR="00BA7D3B">
        <w:t xml:space="preserve">projevuje </w:t>
      </w:r>
      <w:r w:rsidR="0042158C">
        <w:t>v nemožnosti vydat legitimně očekávaná individuální správní rozhodnutí. Judikatura dovodila i možnost</w:t>
      </w:r>
      <w:r w:rsidR="006B54C4">
        <w:t xml:space="preserve"> rušení </w:t>
      </w:r>
      <w:r w:rsidR="0042158C">
        <w:t xml:space="preserve">ÚPD se </w:t>
      </w:r>
      <w:r w:rsidR="00902462">
        <w:t xml:space="preserve">zpětnými účinky, </w:t>
      </w:r>
      <w:r w:rsidR="0042158C">
        <w:t xml:space="preserve">což </w:t>
      </w:r>
      <w:r w:rsidR="00FE1064">
        <w:t xml:space="preserve">může mít dopad na pravomocně ukončená řízení v rámci zahajovaných obnov řízení. </w:t>
      </w:r>
    </w:p>
    <w:p w:rsidR="006A71F9" w:rsidRPr="006A71F9" w:rsidRDefault="00B72320" w:rsidP="003E4A5D">
      <w:pPr>
        <w:widowControl w:val="0"/>
      </w:pPr>
      <w:r>
        <w:t xml:space="preserve">K </w:t>
      </w:r>
      <w:r w:rsidR="006A71F9" w:rsidRPr="006A71F9">
        <w:t xml:space="preserve">stabilitě stanovených pravidel ve </w:t>
      </w:r>
      <w:r w:rsidR="00AD0DE7">
        <w:t>vydané</w:t>
      </w:r>
      <w:r w:rsidR="00AD0DE7" w:rsidRPr="006A71F9">
        <w:t xml:space="preserve"> </w:t>
      </w:r>
      <w:r w:rsidR="00AD0DE7">
        <w:t>ÚPD</w:t>
      </w:r>
      <w:r w:rsidR="006A71F9" w:rsidRPr="006A71F9">
        <w:t xml:space="preserve"> </w:t>
      </w:r>
      <w:r>
        <w:t xml:space="preserve">a k právní jistotě veřejnosti tak </w:t>
      </w:r>
      <w:r w:rsidR="006A71F9" w:rsidRPr="006A71F9">
        <w:t xml:space="preserve">nevede stávající právní úprava a z ní vyplývající rozsah a dopady následného soudního přezkumu, podávaný určitou částí judikatury správních soudů. Tento judikaturní proud, jakkoli není zastáván bez výhrad, zdůrazňuje co největší potřebu poskytování individuální ochrany žalobci, čímž však o to méně zohledňuje dopady do právní jistoty a zájmů všech ostatních osob, jejichž majetku a zájmů v daném území se týká. Odporuje také veřejnému zájmu na stabilitě pravidel pro určité území, umožňujících jeho koordinovaný a systematický rozvoj i individuální plánování životních rozhodnutí a investic do nemovitého majetku. </w:t>
      </w:r>
    </w:p>
    <w:p w:rsidR="006A71F9" w:rsidRPr="006A71F9" w:rsidRDefault="006A71F9">
      <w:pPr>
        <w:widowControl w:val="0"/>
      </w:pPr>
      <w:r w:rsidRPr="006A71F9">
        <w:t xml:space="preserve">Současná úprava soudního přezkumu </w:t>
      </w:r>
      <w:r w:rsidR="00AD0DE7">
        <w:t>ÚPD</w:t>
      </w:r>
      <w:r w:rsidRPr="006A71F9">
        <w:t xml:space="preserve"> ve formě </w:t>
      </w:r>
      <w:r w:rsidR="00AD0DE7">
        <w:t>OOP</w:t>
      </w:r>
      <w:r w:rsidRPr="006A71F9">
        <w:t xml:space="preserve"> v</w:t>
      </w:r>
      <w:r w:rsidR="007D6AED">
        <w:t> </w:t>
      </w:r>
      <w:r w:rsidRPr="006A71F9">
        <w:t xml:space="preserve">soudním řádu správním zná dvě situace, ve kterých dnes lze zasáhnout do platnosti </w:t>
      </w:r>
      <w:r w:rsidR="00AD0DE7">
        <w:t>ÚPD.</w:t>
      </w:r>
      <w:r w:rsidRPr="006A71F9">
        <w:rPr>
          <w:i/>
        </w:rPr>
        <w:t xml:space="preserve"> </w:t>
      </w:r>
      <w:r w:rsidRPr="006A71F9">
        <w:t>Jde o</w:t>
      </w:r>
      <w:r w:rsidRPr="006A71F9">
        <w:rPr>
          <w:i/>
        </w:rPr>
        <w:t xml:space="preserve"> </w:t>
      </w:r>
      <w:r w:rsidRPr="006A71F9">
        <w:t xml:space="preserve">možnost zrušit </w:t>
      </w:r>
      <w:r w:rsidR="00AD0DE7">
        <w:t>OOP</w:t>
      </w:r>
      <w:r w:rsidRPr="006A71F9">
        <w:t xml:space="preserve"> v obecném abstraktním, tak i v tzv. incidenčním přezkumu </w:t>
      </w:r>
      <w:r w:rsidR="00D17049">
        <w:t>OOP</w:t>
      </w:r>
      <w:r w:rsidRPr="006A71F9">
        <w:t>, který může žalobce navrhovat kdykoliv v budoucnu – podle některých názorů bez časového omezení – v souvislosti se žalobou proti rozhodnutí, které z něj vychází.</w:t>
      </w:r>
      <w:r w:rsidR="00D17049">
        <w:t xml:space="preserve"> </w:t>
      </w:r>
    </w:p>
    <w:p w:rsidR="003E1731" w:rsidRDefault="00872DA6">
      <w:pPr>
        <w:widowControl w:val="0"/>
      </w:pPr>
      <w:r>
        <w:t>P</w:t>
      </w:r>
      <w:r w:rsidR="003E1731">
        <w:t xml:space="preserve">roblematickými okruhy </w:t>
      </w:r>
      <w:r>
        <w:t xml:space="preserve">soudního </w:t>
      </w:r>
      <w:r w:rsidRPr="00872DA6">
        <w:t xml:space="preserve">přezkumu </w:t>
      </w:r>
      <w:r w:rsidR="009521E9">
        <w:t>ÚPD</w:t>
      </w:r>
      <w:r>
        <w:t xml:space="preserve"> v právní formě </w:t>
      </w:r>
      <w:r w:rsidR="009521E9">
        <w:t xml:space="preserve">OOP </w:t>
      </w:r>
      <w:r w:rsidR="00456245">
        <w:t xml:space="preserve">tedy </w:t>
      </w:r>
      <w:r w:rsidR="003E1731">
        <w:t>jsou:</w:t>
      </w:r>
    </w:p>
    <w:p w:rsidR="00E257F4" w:rsidRDefault="00E257F4" w:rsidP="009D4B5F">
      <w:pPr>
        <w:pStyle w:val="Odstavecseseznamem"/>
        <w:widowControl w:val="0"/>
        <w:numPr>
          <w:ilvl w:val="0"/>
          <w:numId w:val="56"/>
        </w:numPr>
        <w:contextualSpacing w:val="0"/>
      </w:pPr>
      <w:r>
        <w:t>možnost zpětných zásahů do existujícího právního stavu</w:t>
      </w:r>
      <w:r w:rsidR="008D20FB">
        <w:t xml:space="preserve"> a </w:t>
      </w:r>
      <w:r>
        <w:t xml:space="preserve">možnost zrušit </w:t>
      </w:r>
      <w:r w:rsidR="00D17049">
        <w:t>OOP</w:t>
      </w:r>
      <w:r>
        <w:t xml:space="preserve"> „do minulosti“</w:t>
      </w:r>
      <w:r w:rsidR="00D17049">
        <w:t>,</w:t>
      </w:r>
    </w:p>
    <w:p w:rsidR="00445D92" w:rsidRDefault="003E1731" w:rsidP="003E4A5D">
      <w:pPr>
        <w:pStyle w:val="Odstavecseseznamem"/>
        <w:widowControl w:val="0"/>
        <w:numPr>
          <w:ilvl w:val="0"/>
          <w:numId w:val="56"/>
        </w:numPr>
        <w:contextualSpacing w:val="0"/>
      </w:pPr>
      <w:r>
        <w:t xml:space="preserve">tzv. incidenční přezkum </w:t>
      </w:r>
      <w:r w:rsidR="00D17049">
        <w:t>OOP</w:t>
      </w:r>
      <w:r>
        <w:t xml:space="preserve">, který umožňuje správnímu soudu na základě žaloby proti rozhodnutí, jež vychází z </w:t>
      </w:r>
      <w:r w:rsidR="00D17049">
        <w:t>OOP</w:t>
      </w:r>
      <w:r w:rsidR="00902462">
        <w:t>, na návrh v </w:t>
      </w:r>
      <w:r>
        <w:t xml:space="preserve">rozsahu aktivní legitimace žalobce přezkoumat a případně v odpovídající části zrušit toto </w:t>
      </w:r>
      <w:r w:rsidR="00D17049">
        <w:t>OOP</w:t>
      </w:r>
      <w:r w:rsidR="00917AB8">
        <w:t xml:space="preserve">. Podle současné judikatury lze zrušit </w:t>
      </w:r>
      <w:r w:rsidR="00F61D92">
        <w:t xml:space="preserve">OOP </w:t>
      </w:r>
      <w:r w:rsidR="00E257F4">
        <w:t xml:space="preserve">se zpětnými účinky </w:t>
      </w:r>
      <w:r w:rsidR="00917AB8">
        <w:t>a </w:t>
      </w:r>
      <w:r w:rsidR="00E257F4">
        <w:t xml:space="preserve">dosáhnout tak i zrušení </w:t>
      </w:r>
      <w:r w:rsidR="00BE6A2F">
        <w:t xml:space="preserve">již dříve vydaných pravomocných individuálních správních rozhodnutí, která stavebník získal legálně </w:t>
      </w:r>
      <w:r w:rsidR="00F61D92">
        <w:t>a </w:t>
      </w:r>
      <w:r w:rsidR="00BE6A2F">
        <w:t xml:space="preserve">v dobré víře podle </w:t>
      </w:r>
      <w:r w:rsidR="00CD4CA3">
        <w:t xml:space="preserve">platné </w:t>
      </w:r>
      <w:r w:rsidR="00D17049">
        <w:t>ÚPD</w:t>
      </w:r>
      <w:r w:rsidR="00CD4CA3">
        <w:t xml:space="preserve"> v době vydání těchto povolení.</w:t>
      </w:r>
      <w:r w:rsidR="00BE6A2F">
        <w:t xml:space="preserve"> </w:t>
      </w:r>
    </w:p>
    <w:p w:rsidR="00D4266B" w:rsidRPr="0032110B" w:rsidRDefault="00D4266B" w:rsidP="00F1126D">
      <w:pPr>
        <w:pStyle w:val="Nadpis5"/>
        <w:rPr>
          <w:noProof/>
        </w:rPr>
      </w:pPr>
      <w:bookmarkStart w:id="23" w:name="_Toc536553897"/>
      <w:r w:rsidRPr="0032110B">
        <w:rPr>
          <w:noProof/>
        </w:rPr>
        <w:t>Posuzování vlivů na životní prostředí</w:t>
      </w:r>
      <w:bookmarkEnd w:id="23"/>
    </w:p>
    <w:p w:rsidR="00D4266B" w:rsidRDefault="00D4266B" w:rsidP="00D4266B">
      <w:pPr>
        <w:widowControl w:val="0"/>
        <w:rPr>
          <w:noProof/>
        </w:rPr>
      </w:pPr>
      <w:r>
        <w:rPr>
          <w:noProof/>
        </w:rPr>
        <w:t xml:space="preserve">Posuzování vlivů na životní prostředí (proces EIA) je v </w:t>
      </w:r>
      <w:r w:rsidR="00C85BD6" w:rsidRPr="00C85BD6">
        <w:rPr>
          <w:noProof/>
        </w:rPr>
        <w:t>ČR</w:t>
      </w:r>
      <w:r w:rsidR="00902462">
        <w:rPr>
          <w:noProof/>
        </w:rPr>
        <w:t xml:space="preserve"> upraveno zákonem č. </w:t>
      </w:r>
      <w:r>
        <w:rPr>
          <w:noProof/>
        </w:rPr>
        <w:t>100/2001 Sb., o posuzování vlivů na životní prostředí</w:t>
      </w:r>
      <w:r w:rsidR="00F61D92">
        <w:rPr>
          <w:noProof/>
        </w:rPr>
        <w:t xml:space="preserve"> ve znění pozdějších předpisů (</w:t>
      </w:r>
      <w:r w:rsidR="00F61D92" w:rsidRPr="00F61D92">
        <w:rPr>
          <w:noProof/>
        </w:rPr>
        <w:t>zákon č. 100/2001 Sb.</w:t>
      </w:r>
      <w:r w:rsidR="00F61D92">
        <w:rPr>
          <w:noProof/>
        </w:rPr>
        <w:t>).</w:t>
      </w:r>
    </w:p>
    <w:p w:rsidR="00D4266B" w:rsidRDefault="00D4266B" w:rsidP="00D4266B">
      <w:pPr>
        <w:widowControl w:val="0"/>
        <w:rPr>
          <w:noProof/>
        </w:rPr>
      </w:pPr>
      <w:r>
        <w:rPr>
          <w:noProof/>
        </w:rPr>
        <w:t>V rámci procesu EIA jsou posuzovány stavby, činnosti a technologie uvedené v příloze zákona č. 100/2001 Sb. Projekty posuzované v procesu EIA jsou například stavby, komunikace, výrobní haly, těžby nerostných surovin, provozy – nově budované, ale i jejich změny, tj. rozšiřování, změny technologií, zvýšení kapacity apod.</w:t>
      </w:r>
    </w:p>
    <w:p w:rsidR="00D4266B" w:rsidRDefault="00D4266B" w:rsidP="00D4266B">
      <w:pPr>
        <w:widowControl w:val="0"/>
        <w:rPr>
          <w:noProof/>
        </w:rPr>
      </w:pPr>
      <w:r>
        <w:rPr>
          <w:noProof/>
        </w:rPr>
        <w:t xml:space="preserve">Proces EIA probíhá vždy dříve, než jsou záměry povoleny a než se započne s jejich vlastní realizací. </w:t>
      </w:r>
      <w:r w:rsidR="00F61D92">
        <w:rPr>
          <w:noProof/>
        </w:rPr>
        <w:t xml:space="preserve">Pokud se na záměr vztahuje </w:t>
      </w:r>
      <w:r w:rsidR="00F61D92" w:rsidRPr="00F61D92">
        <w:rPr>
          <w:noProof/>
        </w:rPr>
        <w:t>zákon č. 100/2001 Sb</w:t>
      </w:r>
      <w:r w:rsidR="00F61D92">
        <w:rPr>
          <w:noProof/>
        </w:rPr>
        <w:t>., b</w:t>
      </w:r>
      <w:r>
        <w:rPr>
          <w:noProof/>
        </w:rPr>
        <w:t xml:space="preserve">ez závěru procesu EIA nesmí </w:t>
      </w:r>
      <w:r>
        <w:rPr>
          <w:noProof/>
        </w:rPr>
        <w:lastRenderedPageBreak/>
        <w:t>povolující úřad (</w:t>
      </w:r>
      <w:r w:rsidR="008201FA" w:rsidRPr="008201FA">
        <w:rPr>
          <w:noProof/>
        </w:rPr>
        <w:t>například</w:t>
      </w:r>
      <w:r>
        <w:rPr>
          <w:noProof/>
        </w:rPr>
        <w:t xml:space="preserve"> stavební úřad) rozhodnou</w:t>
      </w:r>
      <w:r w:rsidR="00902462">
        <w:rPr>
          <w:noProof/>
        </w:rPr>
        <w:t>t o </w:t>
      </w:r>
      <w:r>
        <w:rPr>
          <w:noProof/>
        </w:rPr>
        <w:t>povolení záměru. (</w:t>
      </w:r>
      <w:r w:rsidRPr="00193E60">
        <w:rPr>
          <w:i/>
          <w:noProof/>
        </w:rPr>
        <w:t>Zdroj: MŽP</w:t>
      </w:r>
      <w:r>
        <w:rPr>
          <w:noProof/>
        </w:rPr>
        <w:t>)</w:t>
      </w:r>
    </w:p>
    <w:p w:rsidR="00D4266B" w:rsidRPr="00A120A2" w:rsidRDefault="00D4266B" w:rsidP="00D4266B">
      <w:pPr>
        <w:widowControl w:val="0"/>
        <w:rPr>
          <w:noProof/>
        </w:rPr>
      </w:pPr>
      <w:r w:rsidRPr="00A120A2">
        <w:rPr>
          <w:noProof/>
        </w:rPr>
        <w:t xml:space="preserve">Proces získání stanoviska EIA má svůj procesní postup upraven </w:t>
      </w:r>
      <w:r>
        <w:rPr>
          <w:noProof/>
        </w:rPr>
        <w:t xml:space="preserve">zákonem </w:t>
      </w:r>
      <w:r w:rsidR="00902462">
        <w:rPr>
          <w:noProof/>
        </w:rPr>
        <w:t>č. 100/2001 Sb</w:t>
      </w:r>
      <w:r w:rsidRPr="00A120A2">
        <w:rPr>
          <w:noProof/>
        </w:rPr>
        <w:t xml:space="preserve">. První krok spočívá v podání oznámení. </w:t>
      </w:r>
      <w:r w:rsidR="00902462">
        <w:rPr>
          <w:noProof/>
        </w:rPr>
        <w:t>Příslušný úřad, tj. </w:t>
      </w:r>
      <w:r>
        <w:rPr>
          <w:noProof/>
        </w:rPr>
        <w:t>MŽP, případně orgán kraje v přenesené působnosti</w:t>
      </w:r>
      <w:r w:rsidR="00342E89">
        <w:rPr>
          <w:noProof/>
        </w:rPr>
        <w:t>,</w:t>
      </w:r>
      <w:r w:rsidRPr="00A120A2">
        <w:rPr>
          <w:noProof/>
        </w:rPr>
        <w:t xml:space="preserve"> oznámení</w:t>
      </w:r>
      <w:r w:rsidR="00902462">
        <w:rPr>
          <w:noProof/>
        </w:rPr>
        <w:t xml:space="preserve"> zveřejní do 7 pracovních dnů a </w:t>
      </w:r>
      <w:r w:rsidRPr="00A120A2">
        <w:rPr>
          <w:noProof/>
        </w:rPr>
        <w:t xml:space="preserve">rozešle jeho kopie spolu s žádostí </w:t>
      </w:r>
      <w:r w:rsidR="00342E89" w:rsidRPr="00A120A2">
        <w:rPr>
          <w:noProof/>
        </w:rPr>
        <w:t>o</w:t>
      </w:r>
      <w:r w:rsidR="00342E89">
        <w:rPr>
          <w:noProof/>
        </w:rPr>
        <w:t> </w:t>
      </w:r>
      <w:r w:rsidRPr="00A120A2">
        <w:rPr>
          <w:noProof/>
        </w:rPr>
        <w:t xml:space="preserve">vyjádření dotčeným správním úřadům a </w:t>
      </w:r>
      <w:r>
        <w:rPr>
          <w:noProof/>
        </w:rPr>
        <w:t xml:space="preserve">územním </w:t>
      </w:r>
      <w:r w:rsidRPr="00A120A2">
        <w:rPr>
          <w:noProof/>
        </w:rPr>
        <w:t xml:space="preserve">samosprávným celkům. Od doby zveřejnění běží lhůta </w:t>
      </w:r>
      <w:r>
        <w:rPr>
          <w:noProof/>
        </w:rPr>
        <w:t>3</w:t>
      </w:r>
      <w:r w:rsidRPr="00A120A2">
        <w:rPr>
          <w:noProof/>
        </w:rPr>
        <w:t>0</w:t>
      </w:r>
      <w:r w:rsidR="00902462">
        <w:rPr>
          <w:noProof/>
        </w:rPr>
        <w:t xml:space="preserve"> dní, po kterou se každý může k </w:t>
      </w:r>
      <w:r w:rsidRPr="00A120A2">
        <w:rPr>
          <w:noProof/>
        </w:rPr>
        <w:t>oznámení vyjádřit. Po uplynutí této lhůty již nemusí být další vyjádření brána v potaz.</w:t>
      </w:r>
    </w:p>
    <w:p w:rsidR="00D4266B" w:rsidRPr="00A120A2" w:rsidRDefault="00D4266B" w:rsidP="00D4266B">
      <w:pPr>
        <w:widowControl w:val="0"/>
        <w:rPr>
          <w:noProof/>
        </w:rPr>
      </w:pPr>
      <w:r w:rsidRPr="00A120A2">
        <w:rPr>
          <w:noProof/>
        </w:rPr>
        <w:t xml:space="preserve">Další fází je zjišťovací řízení, které je klíčové zejména pro projekty, jejichž posuzování není obligatorní a na základě jeho výsledků může být od posuzování upuštěno. </w:t>
      </w:r>
      <w:r>
        <w:rPr>
          <w:noProof/>
        </w:rPr>
        <w:t xml:space="preserve">Pokud není, </w:t>
      </w:r>
      <w:r w:rsidRPr="00A120A2">
        <w:rPr>
          <w:noProof/>
        </w:rPr>
        <w:t xml:space="preserve">stanoví </w:t>
      </w:r>
      <w:r>
        <w:rPr>
          <w:noProof/>
        </w:rPr>
        <w:t>příslušný úřad</w:t>
      </w:r>
      <w:r w:rsidRPr="00A120A2">
        <w:rPr>
          <w:noProof/>
        </w:rPr>
        <w:t xml:space="preserve"> </w:t>
      </w:r>
      <w:r>
        <w:rPr>
          <w:noProof/>
        </w:rPr>
        <w:t>v</w:t>
      </w:r>
      <w:r w:rsidRPr="00A120A2">
        <w:rPr>
          <w:noProof/>
        </w:rPr>
        <w:t xml:space="preserve"> závěru zjišťovacího řízení podmínky pro </w:t>
      </w:r>
      <w:r>
        <w:rPr>
          <w:noProof/>
        </w:rPr>
        <w:t>z</w:t>
      </w:r>
      <w:r w:rsidRPr="00A120A2">
        <w:rPr>
          <w:noProof/>
        </w:rPr>
        <w:t>pracování dokumentace</w:t>
      </w:r>
      <w:r>
        <w:rPr>
          <w:noProof/>
        </w:rPr>
        <w:t>,</w:t>
      </w:r>
      <w:r w:rsidRPr="00A120A2">
        <w:rPr>
          <w:noProof/>
        </w:rPr>
        <w:t xml:space="preserve"> a pokud to je fakticky možné</w:t>
      </w:r>
      <w:r>
        <w:rPr>
          <w:noProof/>
        </w:rPr>
        <w:t>,</w:t>
      </w:r>
      <w:r w:rsidRPr="00A120A2">
        <w:rPr>
          <w:noProof/>
        </w:rPr>
        <w:t xml:space="preserve"> </w:t>
      </w:r>
      <w:r>
        <w:rPr>
          <w:noProof/>
        </w:rPr>
        <w:t xml:space="preserve">může </w:t>
      </w:r>
      <w:r w:rsidRPr="00A120A2">
        <w:rPr>
          <w:noProof/>
        </w:rPr>
        <w:t>předkladateli navrhn</w:t>
      </w:r>
      <w:r>
        <w:rPr>
          <w:noProof/>
        </w:rPr>
        <w:t>out</w:t>
      </w:r>
      <w:r w:rsidRPr="00A120A2">
        <w:rPr>
          <w:noProof/>
        </w:rPr>
        <w:t xml:space="preserve"> zpracování více variant řešení. </w:t>
      </w:r>
    </w:p>
    <w:p w:rsidR="00D4266B" w:rsidRPr="00A120A2" w:rsidRDefault="00D4266B" w:rsidP="00D4266B">
      <w:pPr>
        <w:widowControl w:val="0"/>
        <w:rPr>
          <w:noProof/>
        </w:rPr>
      </w:pPr>
      <w:r w:rsidRPr="00A120A2">
        <w:rPr>
          <w:noProof/>
        </w:rPr>
        <w:t>Po zpracování musí být dokumentace zveřejněna stanoveným</w:t>
      </w:r>
      <w:r w:rsidR="00902462">
        <w:rPr>
          <w:noProof/>
        </w:rPr>
        <w:t xml:space="preserve"> způsobem a každý má právo se k </w:t>
      </w:r>
      <w:r w:rsidRPr="00A120A2">
        <w:rPr>
          <w:noProof/>
        </w:rPr>
        <w:t xml:space="preserve">ní do 30 dní vyjádřit. Stejně jako oznámení i dokumentaci rozešle </w:t>
      </w:r>
      <w:r>
        <w:rPr>
          <w:noProof/>
        </w:rPr>
        <w:t>příslušný úřad</w:t>
      </w:r>
      <w:r w:rsidRPr="00A120A2">
        <w:rPr>
          <w:noProof/>
        </w:rPr>
        <w:t xml:space="preserve"> </w:t>
      </w:r>
      <w:r w:rsidR="00342E89">
        <w:rPr>
          <w:noProof/>
        </w:rPr>
        <w:t>DO</w:t>
      </w:r>
      <w:r w:rsidRPr="00A120A2">
        <w:rPr>
          <w:noProof/>
        </w:rPr>
        <w:t xml:space="preserve">, samosprávným celkům a také ji bez zbytečného odkladu doručí zpracovateli posudku, kterému se neprodleně zasílají doručená vyjádření k dokumentaci. </w:t>
      </w:r>
      <w:r>
        <w:rPr>
          <w:noProof/>
        </w:rPr>
        <w:t>Příslušný úřad</w:t>
      </w:r>
      <w:r w:rsidRPr="00A120A2">
        <w:rPr>
          <w:noProof/>
        </w:rPr>
        <w:t xml:space="preserve"> sjedná zpracování posudku osobou k tomu oprávněnou, která vyhotoví do 60 dní, ve složitějších případech pak do </w:t>
      </w:r>
      <w:r>
        <w:rPr>
          <w:noProof/>
        </w:rPr>
        <w:t>8</w:t>
      </w:r>
      <w:r w:rsidRPr="00A120A2">
        <w:rPr>
          <w:noProof/>
        </w:rPr>
        <w:t>0 dní</w:t>
      </w:r>
      <w:r>
        <w:rPr>
          <w:noProof/>
        </w:rPr>
        <w:t>,</w:t>
      </w:r>
      <w:r w:rsidRPr="00A120A2">
        <w:rPr>
          <w:noProof/>
        </w:rPr>
        <w:t xml:space="preserve"> posudek na základě dokumentace a </w:t>
      </w:r>
      <w:r>
        <w:rPr>
          <w:noProof/>
        </w:rPr>
        <w:t>podkladů</w:t>
      </w:r>
      <w:r w:rsidRPr="00A120A2">
        <w:rPr>
          <w:noProof/>
        </w:rPr>
        <w:t xml:space="preserve"> k ní doručených. </w:t>
      </w:r>
    </w:p>
    <w:p w:rsidR="00D4266B" w:rsidRPr="0089559F" w:rsidRDefault="00D4266B" w:rsidP="003E4A5D">
      <w:pPr>
        <w:widowControl w:val="0"/>
        <w:rPr>
          <w:noProof/>
        </w:rPr>
      </w:pPr>
      <w:r w:rsidRPr="006F5A5B">
        <w:rPr>
          <w:noProof/>
        </w:rPr>
        <w:t xml:space="preserve">Příslušný úřad </w:t>
      </w:r>
      <w:r>
        <w:rPr>
          <w:noProof/>
        </w:rPr>
        <w:t xml:space="preserve">pak </w:t>
      </w:r>
      <w:r w:rsidRPr="006F5A5B">
        <w:rPr>
          <w:noProof/>
        </w:rPr>
        <w:t xml:space="preserve">vydá na základě dokumentace, vyjádření k ní podaných, veřejného projednání </w:t>
      </w:r>
      <w:r w:rsidR="00342E89" w:rsidRPr="006F5A5B">
        <w:rPr>
          <w:noProof/>
        </w:rPr>
        <w:t>a</w:t>
      </w:r>
      <w:r w:rsidR="00342E89">
        <w:rPr>
          <w:noProof/>
        </w:rPr>
        <w:t> </w:t>
      </w:r>
      <w:r w:rsidRPr="006F5A5B">
        <w:rPr>
          <w:noProof/>
        </w:rPr>
        <w:t xml:space="preserve">posudku </w:t>
      </w:r>
      <w:r w:rsidRPr="00E40466">
        <w:rPr>
          <w:noProof/>
        </w:rPr>
        <w:t>závazné s</w:t>
      </w:r>
      <w:r w:rsidRPr="006F5A5B">
        <w:rPr>
          <w:noProof/>
        </w:rPr>
        <w:t xml:space="preserve">tanovisko k posouzení vlivů provedení záměru na životní prostředí ve lhůtě do 30 dnů ode dne obdržení posudku. </w:t>
      </w:r>
      <w:r w:rsidRPr="00A120A2">
        <w:rPr>
          <w:noProof/>
        </w:rPr>
        <w:t xml:space="preserve">Stanovisko je platné </w:t>
      </w:r>
      <w:r>
        <w:rPr>
          <w:noProof/>
        </w:rPr>
        <w:t>7</w:t>
      </w:r>
      <w:r w:rsidRPr="00A120A2">
        <w:rPr>
          <w:noProof/>
        </w:rPr>
        <w:t xml:space="preserve"> let po jeho vydání, přičemž doba platnosti může být prodloužena o dalších 5 let</w:t>
      </w:r>
      <w:r>
        <w:rPr>
          <w:noProof/>
        </w:rPr>
        <w:t>,</w:t>
      </w:r>
      <w:r w:rsidRPr="00A120A2">
        <w:rPr>
          <w:noProof/>
        </w:rPr>
        <w:t xml:space="preserve"> a to i opakovaně. Zahájením územního řízení se tato lhůta přerušuje. Stanovisko musí být zohledněno v následujících řízeních dle </w:t>
      </w:r>
      <w:r>
        <w:rPr>
          <w:noProof/>
        </w:rPr>
        <w:t xml:space="preserve">stavebního </w:t>
      </w:r>
      <w:r w:rsidRPr="00A120A2">
        <w:rPr>
          <w:noProof/>
        </w:rPr>
        <w:t xml:space="preserve">zákona. </w:t>
      </w:r>
    </w:p>
    <w:p w:rsidR="00E05F37" w:rsidRDefault="00E05F37" w:rsidP="00F1126D">
      <w:pPr>
        <w:pStyle w:val="Nadpis5"/>
      </w:pPr>
      <w:bookmarkStart w:id="24" w:name="_Toc536553898"/>
      <w:r w:rsidRPr="00E05F37">
        <w:t>Ú</w:t>
      </w:r>
      <w:r w:rsidR="00AC461D">
        <w:t>zemní rozhodování a povolování staveb</w:t>
      </w:r>
      <w:bookmarkEnd w:id="24"/>
    </w:p>
    <w:p w:rsidR="00C63BDE" w:rsidRPr="00F1126D" w:rsidRDefault="00C63BDE" w:rsidP="00F1126D">
      <w:pPr>
        <w:pStyle w:val="Nadpis6"/>
      </w:pPr>
      <w:bookmarkStart w:id="25" w:name="_Toc536553899"/>
      <w:r w:rsidRPr="00F1126D">
        <w:t>Územní řízení</w:t>
      </w:r>
      <w:bookmarkEnd w:id="25"/>
    </w:p>
    <w:p w:rsidR="007A5844" w:rsidRPr="00A120A2" w:rsidRDefault="007A5844" w:rsidP="000066CE">
      <w:pPr>
        <w:widowControl w:val="0"/>
        <w:spacing w:before="100" w:after="100"/>
      </w:pPr>
      <w:r w:rsidRPr="00A120A2">
        <w:t>V celém územním a následně i stavebním řízení se promítají obecné instituty správního řádu.</w:t>
      </w:r>
    </w:p>
    <w:p w:rsidR="00DD54F3" w:rsidRDefault="006C10EF" w:rsidP="000066CE">
      <w:pPr>
        <w:widowControl w:val="0"/>
        <w:spacing w:before="100" w:after="100"/>
      </w:pPr>
      <w:r>
        <w:t>Pro umístění záměru, zpravidla na základě územního řízení,</w:t>
      </w:r>
      <w:r w:rsidRPr="00A120A2">
        <w:t xml:space="preserve"> </w:t>
      </w:r>
      <w:r>
        <w:t xml:space="preserve">je třeba vypracovat potřebnou </w:t>
      </w:r>
      <w:r w:rsidR="0013296B">
        <w:t>dokumentaci, jejíž</w:t>
      </w:r>
      <w:r>
        <w:t xml:space="preserve"> rozsah</w:t>
      </w:r>
      <w:r w:rsidR="0013296B">
        <w:t xml:space="preserve">, </w:t>
      </w:r>
      <w:r>
        <w:t>obsah</w:t>
      </w:r>
      <w:r w:rsidR="0013296B">
        <w:t xml:space="preserve"> a přílohy</w:t>
      </w:r>
      <w:r>
        <w:t xml:space="preserve"> zpravidla stanoví prováděcí vyhláška</w:t>
      </w:r>
      <w:r w:rsidR="0013296B">
        <w:t xml:space="preserve">. </w:t>
      </w:r>
    </w:p>
    <w:p w:rsidR="003E2C32" w:rsidRDefault="00DD54F3" w:rsidP="000066CE">
      <w:pPr>
        <w:widowControl w:val="0"/>
        <w:spacing w:before="100" w:after="100"/>
      </w:pPr>
      <w:r>
        <w:t>Stávající stavební zákon rozlišuje 5 druhů územních rozhodnutí</w:t>
      </w:r>
      <w:r w:rsidR="003E2C32">
        <w:t xml:space="preserve"> a další instituty, které mohou územní rozhodnutí</w:t>
      </w:r>
      <w:r w:rsidR="005F248E">
        <w:t>,</w:t>
      </w:r>
      <w:r w:rsidR="003E2C32">
        <w:t xml:space="preserve"> za zákonem stanovených podmínek</w:t>
      </w:r>
      <w:r w:rsidR="005F248E">
        <w:t>,</w:t>
      </w:r>
      <w:r w:rsidR="003E2C32">
        <w:t xml:space="preserve"> nahradit. Územnímu rozhodnutí předchází územní řízení. </w:t>
      </w:r>
    </w:p>
    <w:p w:rsidR="007A5844" w:rsidRPr="00A120A2" w:rsidRDefault="0013296B" w:rsidP="000066CE">
      <w:pPr>
        <w:widowControl w:val="0"/>
        <w:spacing w:before="100" w:after="100"/>
      </w:pPr>
      <w:r>
        <w:t xml:space="preserve">Nejčastějším </w:t>
      </w:r>
      <w:r w:rsidR="003E2C32">
        <w:t xml:space="preserve">územním rozhodnutím je územní rozhodnutí </w:t>
      </w:r>
      <w:r>
        <w:t>o umístění stavby nebo zařízení.</w:t>
      </w:r>
      <w:r w:rsidR="007A5844" w:rsidRPr="00A120A2">
        <w:t xml:space="preserve"> Územním rozhodnutím </w:t>
      </w:r>
      <w:r>
        <w:t xml:space="preserve">o umístění stavy </w:t>
      </w:r>
      <w:r w:rsidR="007A5844" w:rsidRPr="00A120A2">
        <w:t>se vymezuje stavební pozemek, její umístění</w:t>
      </w:r>
      <w:r w:rsidR="008201FA">
        <w:t>,</w:t>
      </w:r>
      <w:r w:rsidR="007A5844" w:rsidRPr="00A120A2">
        <w:t xml:space="preserve"> </w:t>
      </w:r>
      <w:r w:rsidR="008201FA">
        <w:t xml:space="preserve">stanoví </w:t>
      </w:r>
      <w:r w:rsidR="007A5844" w:rsidRPr="00A120A2">
        <w:t xml:space="preserve">se druh </w:t>
      </w:r>
      <w:r w:rsidR="008201FA" w:rsidRPr="00A120A2">
        <w:t>a</w:t>
      </w:r>
      <w:r w:rsidR="008201FA">
        <w:t> </w:t>
      </w:r>
      <w:r w:rsidR="007A5844" w:rsidRPr="00A120A2">
        <w:t xml:space="preserve">účel </w:t>
      </w:r>
      <w:r w:rsidR="00AB65E9" w:rsidRPr="00DD54F3">
        <w:t>stavby a základní podmínky pro její umístění. Toto rozhodnutí dále například stanoví podmínky na projektovou dokumentaci pro následující stavební řízení.</w:t>
      </w:r>
    </w:p>
    <w:p w:rsidR="007A5844" w:rsidRPr="00A120A2" w:rsidRDefault="007A5844" w:rsidP="000066CE">
      <w:pPr>
        <w:widowControl w:val="0"/>
        <w:spacing w:before="100" w:after="100"/>
      </w:pPr>
      <w:r w:rsidRPr="00A120A2">
        <w:t xml:space="preserve">Účastníkem územního řízení je vždy žadatel, což vyplývá z povahy řízení, které se zahajuje vždy na žádost. Další skupinou účastníků řízení jsou vlastníci staveb a pozemků, jímž přísluší vlastnické nebo jiné věcné právo k pozemkům, </w:t>
      </w:r>
      <w:r>
        <w:t>které</w:t>
      </w:r>
      <w:r w:rsidRPr="00A120A2">
        <w:t xml:space="preserve"> se stavbou sousedí či </w:t>
      </w:r>
      <w:r w:rsidR="00224E33">
        <w:t>mohou</w:t>
      </w:r>
      <w:r w:rsidRPr="00A120A2">
        <w:t xml:space="preserve"> být územním řízením dotčeny.</w:t>
      </w:r>
      <w:r w:rsidR="0053598E">
        <w:t xml:space="preserve"> Mezi účastníky územního řízení patří také obec, na jejím</w:t>
      </w:r>
      <w:r w:rsidR="0012354B">
        <w:t>ž</w:t>
      </w:r>
      <w:r w:rsidR="0053598E">
        <w:t xml:space="preserve"> území se záměru umisťuje.</w:t>
      </w:r>
    </w:p>
    <w:p w:rsidR="007A5844" w:rsidRPr="00A120A2" w:rsidRDefault="007A5844" w:rsidP="000066CE">
      <w:pPr>
        <w:widowControl w:val="0"/>
        <w:spacing w:before="100" w:after="100"/>
      </w:pPr>
      <w:r w:rsidRPr="00A120A2">
        <w:t xml:space="preserve">Prvním krokem, který musí investor učinit, je podání žádosti o </w:t>
      </w:r>
      <w:r w:rsidR="0053598E">
        <w:t xml:space="preserve">vydání </w:t>
      </w:r>
      <w:r w:rsidRPr="00A120A2">
        <w:t xml:space="preserve">územní rozhodnutí, jelikož je řízení zahajováno na žádost. Spolu se žádostí je potřeba </w:t>
      </w:r>
      <w:r w:rsidR="0053598E">
        <w:t xml:space="preserve">doložit i </w:t>
      </w:r>
      <w:r w:rsidRPr="00A120A2">
        <w:t xml:space="preserve">přílohy. Přílohou je vždy dokumentace pro </w:t>
      </w:r>
      <w:r w:rsidR="0053598E">
        <w:t xml:space="preserve">vydání </w:t>
      </w:r>
      <w:r w:rsidRPr="00A120A2">
        <w:t xml:space="preserve">územní rozhodnutí. Další přílohu tvoří </w:t>
      </w:r>
      <w:r w:rsidR="00686D84" w:rsidRPr="00686D84">
        <w:t>například</w:t>
      </w:r>
      <w:r>
        <w:t xml:space="preserve"> </w:t>
      </w:r>
      <w:r w:rsidRPr="00A120A2">
        <w:t xml:space="preserve">stanoviska vlastníků veřejné dopravní a technické infrastruktury. Dále je třeba předložit stanoviska a závazná stanoviska </w:t>
      </w:r>
      <w:r w:rsidR="00854F38" w:rsidRPr="00854F38">
        <w:t>DO</w:t>
      </w:r>
      <w:r w:rsidRPr="00A120A2">
        <w:t>,</w:t>
      </w:r>
      <w:r w:rsidR="0053598E">
        <w:t xml:space="preserve"> včetně závazného stanoviska EIA, pokud byla EIA provedena,</w:t>
      </w:r>
      <w:r w:rsidRPr="00A120A2">
        <w:t xml:space="preserve"> pokud si je žadatel předem obstaral. </w:t>
      </w:r>
    </w:p>
    <w:p w:rsidR="007A5844" w:rsidRPr="00A120A2" w:rsidRDefault="007A5844" w:rsidP="003E4A5D">
      <w:pPr>
        <w:widowControl w:val="0"/>
      </w:pPr>
      <w:r w:rsidRPr="00A120A2">
        <w:lastRenderedPageBreak/>
        <w:t xml:space="preserve">Řízení se zahajuje dnem, kdy došla žádost místně a věcně příslušnému stavebnímu úřadu. Stavební úřad rozhodne </w:t>
      </w:r>
      <w:r w:rsidR="002E6483">
        <w:t>podle typu řízení a okolností (</w:t>
      </w:r>
      <w:r w:rsidR="00686D84" w:rsidRPr="00686D84">
        <w:t>například</w:t>
      </w:r>
      <w:r w:rsidR="002E6483">
        <w:t xml:space="preserve"> zda má obec, na jejímž území je záměr umisťován, ÚP) zda se bude konat ústní jednání a zda bude veřejné. </w:t>
      </w:r>
    </w:p>
    <w:p w:rsidR="007A5844" w:rsidRPr="00A120A2" w:rsidRDefault="007A5844" w:rsidP="003E4A5D">
      <w:pPr>
        <w:widowControl w:val="0"/>
      </w:pPr>
      <w:r w:rsidRPr="00A120A2">
        <w:t>Závazná stanoviska tvoří závazný podklad pro výrokovou část územního rozhodnutí. Pokud by některé závazné stanovisko svým obsahem nesouhlasilo se záměrem, nelze žádosti vyhovět</w:t>
      </w:r>
      <w:r w:rsidR="005F248E">
        <w:t>.</w:t>
      </w:r>
      <w:r w:rsidRPr="00A120A2">
        <w:t xml:space="preserve"> Získání všech potřebných závazných stanovisek je nutností pro vydání územního rozhodnutí. Kvalita a správnost závazných stanovisek ve velké míře ovlivňuje osud samotného územního rozhodnutí. Všeobecně platí, že </w:t>
      </w:r>
      <w:r w:rsidR="00854F38" w:rsidRPr="00854F38">
        <w:t>DO</w:t>
      </w:r>
      <w:r w:rsidRPr="00A120A2">
        <w:t xml:space="preserve"> je vázán svým závazným stanoviskem. Pokud by chtěl závazné stanovisko změnit, může tak učinit</w:t>
      </w:r>
      <w:r>
        <w:t xml:space="preserve"> </w:t>
      </w:r>
      <w:r w:rsidRPr="00A120A2">
        <w:t>pouze na základě zjištění nových skutečností, které nemohly být dříve použity, a to pouze za předpokladu, že se výrazně změnily podmínky, jinak nemusí být na pozdější závazná stanoviska brán zřetel. Rovněž se nepřihlíží k závazným stanoviskům</w:t>
      </w:r>
      <w:r w:rsidR="00B75BF3">
        <w:t xml:space="preserve"> ve věcech, o kterých bylo rozhodnuto v ÚP</w:t>
      </w:r>
      <w:r w:rsidR="006E1983">
        <w:t>D</w:t>
      </w:r>
      <w:r w:rsidR="00B75BF3">
        <w:t>.</w:t>
      </w:r>
    </w:p>
    <w:p w:rsidR="007A5844" w:rsidRPr="00A120A2" w:rsidRDefault="007A5844" w:rsidP="003E4A5D">
      <w:pPr>
        <w:widowControl w:val="0"/>
      </w:pPr>
      <w:r w:rsidRPr="00A120A2">
        <w:t xml:space="preserve">Námitky slouží jako procesní institut pro účastníky řízení. Námitky musí být odůvodněné, tudíž nestačí pouhé vyjádření nesouhlasu se záměrem </w:t>
      </w:r>
      <w:r w:rsidR="00AF6116">
        <w:t>žadatele</w:t>
      </w:r>
      <w:r w:rsidR="00512F2E">
        <w:t>.</w:t>
      </w:r>
      <w:r w:rsidRPr="00A120A2">
        <w:t xml:space="preserve"> </w:t>
      </w:r>
    </w:p>
    <w:p w:rsidR="007A5844" w:rsidRPr="00A120A2" w:rsidRDefault="007A5844" w:rsidP="003E4A5D">
      <w:pPr>
        <w:widowControl w:val="0"/>
      </w:pPr>
      <w:r w:rsidRPr="00A120A2">
        <w:t xml:space="preserve">Před vydáním územního rozhodnutí stavební úřad posuzuje záměr na základě splnění požadavků stanovených právními předpisy, závaznými stanovisky </w:t>
      </w:r>
      <w:r w:rsidR="00B75BF3">
        <w:t>DO</w:t>
      </w:r>
      <w:r w:rsidR="00631B9D">
        <w:t xml:space="preserve"> (</w:t>
      </w:r>
      <w:r w:rsidR="00B75BF3" w:rsidRPr="00A120A2">
        <w:t>souladem záměru s</w:t>
      </w:r>
      <w:r w:rsidR="00B75BF3">
        <w:t> </w:t>
      </w:r>
      <w:r w:rsidR="00631B9D">
        <w:t>ÚPD</w:t>
      </w:r>
      <w:r w:rsidR="00B75BF3">
        <w:t xml:space="preserve"> a</w:t>
      </w:r>
      <w:r w:rsidR="00512F2E">
        <w:t> </w:t>
      </w:r>
      <w:r w:rsidR="00B75BF3" w:rsidRPr="00A120A2">
        <w:t>cíli a</w:t>
      </w:r>
      <w:r w:rsidR="00512F2E">
        <w:t> </w:t>
      </w:r>
      <w:r w:rsidR="00B75BF3" w:rsidRPr="00A120A2">
        <w:t>úkoly územního plánování</w:t>
      </w:r>
      <w:r w:rsidRPr="00A120A2">
        <w:t xml:space="preserve"> </w:t>
      </w:r>
      <w:r w:rsidR="00631B9D">
        <w:t>posuzuje</w:t>
      </w:r>
      <w:r w:rsidR="00512F2E">
        <w:t xml:space="preserve"> stavební úřad</w:t>
      </w:r>
      <w:r w:rsidR="00631B9D">
        <w:t xml:space="preserve">, </w:t>
      </w:r>
      <w:r w:rsidR="00B75BF3">
        <w:t xml:space="preserve">pokud je podle zákona neposuzuje DO) </w:t>
      </w:r>
      <w:r w:rsidR="00512F2E" w:rsidRPr="00A120A2">
        <w:t>a</w:t>
      </w:r>
      <w:r w:rsidR="00512F2E">
        <w:t> </w:t>
      </w:r>
      <w:r w:rsidRPr="00A120A2">
        <w:t>nároky na veřejnou technickou a dopravní infrastrukturu. Jestliže by nebyly tyto podmínky splněny, stavební úřad žádost zamítne. Pokud stavebn</w:t>
      </w:r>
      <w:r w:rsidR="00507776">
        <w:t>í úřad shledá záměr v souladu s </w:t>
      </w:r>
      <w:r w:rsidRPr="00A120A2">
        <w:t>podmínkami pro jeho umístění, vydá územní rozhodnutí.</w:t>
      </w:r>
    </w:p>
    <w:p w:rsidR="007A5844" w:rsidRPr="00A120A2" w:rsidRDefault="00C44706" w:rsidP="003E4A5D">
      <w:pPr>
        <w:widowControl w:val="0"/>
      </w:pPr>
      <w:r>
        <w:t xml:space="preserve">Územní rozhodnutí </w:t>
      </w:r>
      <w:r w:rsidR="007A5844" w:rsidRPr="00A120A2">
        <w:t xml:space="preserve">je </w:t>
      </w:r>
      <w:r>
        <w:t xml:space="preserve">zpravidla </w:t>
      </w:r>
      <w:r w:rsidR="007A5844" w:rsidRPr="00A120A2">
        <w:t xml:space="preserve">platné 2 roky ode dne nabytí právní moci, přičemž může být stanovena lhůta delší, která však musí být odůvodněná. </w:t>
      </w:r>
      <w:r>
        <w:t>V případě územního rozhodnutí o umístění stavby se předpokládá</w:t>
      </w:r>
      <w:r w:rsidR="007A5844" w:rsidRPr="00A120A2">
        <w:t xml:space="preserve">, že v této době bude zpracována </w:t>
      </w:r>
      <w:r w:rsidR="00191567">
        <w:t xml:space="preserve">projektová </w:t>
      </w:r>
      <w:r w:rsidR="007A5844" w:rsidRPr="00A120A2">
        <w:t>dokumentace pro stavební povolení a podána žádos</w:t>
      </w:r>
      <w:r w:rsidR="00507776">
        <w:t>t o jeho vydání. Pokud nebude v </w:t>
      </w:r>
      <w:r w:rsidR="007A5844" w:rsidRPr="00A120A2">
        <w:t>této lhůtě podána úplná žádost o stavební povolení nebo tato bude zamítnuta nebo stavební řízení zastaveno, územní rozhodnutí pozbývá platnosti. Zákon sice umožňuje prodloužit dobu platnosti územního rozhodnutí na základě odůvodněné žádosti, vzniká zde ovšem určité riziko vzniku problém</w:t>
      </w:r>
      <w:r w:rsidR="00224E33">
        <w:t>ů</w:t>
      </w:r>
      <w:r w:rsidR="007A5844" w:rsidRPr="00A120A2">
        <w:t xml:space="preserve"> spojených s vedením dalšího řízení.</w:t>
      </w:r>
    </w:p>
    <w:p w:rsidR="007A5844" w:rsidRPr="00A120A2" w:rsidRDefault="007A5844" w:rsidP="003E4A5D">
      <w:pPr>
        <w:widowControl w:val="0"/>
      </w:pPr>
      <w:r w:rsidRPr="00A120A2">
        <w:t>Jako řádný opravný prostředek proti územnímu rozhodnutí se využije odvolání, jež je upraveno obecně ve správním řádu. V rámci mimořádných opra</w:t>
      </w:r>
      <w:r w:rsidR="00507776">
        <w:t>vných prostředků lze uvažovat o </w:t>
      </w:r>
      <w:r w:rsidRPr="00A120A2">
        <w:t>přezkumném řízení nebo o obnově řízení.</w:t>
      </w:r>
    </w:p>
    <w:p w:rsidR="007A5844" w:rsidRPr="00A120A2" w:rsidRDefault="007A5844" w:rsidP="003E4A5D">
      <w:pPr>
        <w:widowControl w:val="0"/>
      </w:pPr>
      <w:r w:rsidRPr="00A120A2">
        <w:t xml:space="preserve">Po využití možnosti podat řádný opravný prostředek ve správním řízení (zpravidla tedy odvolání </w:t>
      </w:r>
      <w:r>
        <w:t>a/</w:t>
      </w:r>
      <w:r w:rsidRPr="00A120A2">
        <w:t xml:space="preserve">nebo tzv. rozklad) může dojít k podání žaloby a </w:t>
      </w:r>
      <w:r>
        <w:t xml:space="preserve">eventuálně následně i </w:t>
      </w:r>
      <w:r w:rsidRPr="00A120A2">
        <w:t xml:space="preserve">kasační stížnosti. </w:t>
      </w:r>
    </w:p>
    <w:p w:rsidR="009330DA" w:rsidRDefault="009330DA" w:rsidP="00F1126D">
      <w:pPr>
        <w:pStyle w:val="Nadpis6"/>
        <w:rPr>
          <w:noProof/>
        </w:rPr>
      </w:pPr>
      <w:bookmarkStart w:id="26" w:name="_Toc536553900"/>
      <w:r>
        <w:rPr>
          <w:noProof/>
        </w:rPr>
        <w:t>Stavební řízení</w:t>
      </w:r>
      <w:bookmarkEnd w:id="26"/>
    </w:p>
    <w:p w:rsidR="00CB3D2B" w:rsidRPr="00A120A2" w:rsidRDefault="00CB3D2B" w:rsidP="003E4A5D">
      <w:pPr>
        <w:widowControl w:val="0"/>
      </w:pPr>
      <w:r w:rsidRPr="00A120A2">
        <w:t xml:space="preserve">Stavební řízení je dalším řízením, kterým je </w:t>
      </w:r>
      <w:r w:rsidR="00F832F3">
        <w:t xml:space="preserve">zpravidla </w:t>
      </w:r>
      <w:r w:rsidRPr="00A120A2">
        <w:t>nutno projít před samotnou realizací stavby a jehož výsledkem je stavební povolení. Pokud je již stavba územním rozhodnutím umístěna, přichází na řadu samotné povolení stavebních prací</w:t>
      </w:r>
      <w:r w:rsidR="00385026">
        <w:t>, resp. stavby</w:t>
      </w:r>
      <w:r w:rsidRPr="00A120A2">
        <w:t xml:space="preserve">. </w:t>
      </w:r>
    </w:p>
    <w:p w:rsidR="00AC557A" w:rsidRDefault="00AC557A" w:rsidP="003E4A5D">
      <w:pPr>
        <w:widowControl w:val="0"/>
      </w:pPr>
      <w:r>
        <w:t xml:space="preserve">Stavební povolení </w:t>
      </w:r>
      <w:r w:rsidR="009F5028" w:rsidRPr="009F5028">
        <w:t xml:space="preserve">se vyžaduje u staveb všeho druhu bez zřetele na jejich stavebně technické provedení, účel a dobu trvání, </w:t>
      </w:r>
      <w:r w:rsidR="009F5028">
        <w:t>s výjimkou s</w:t>
      </w:r>
      <w:r w:rsidRPr="00AC557A">
        <w:t>tav</w:t>
      </w:r>
      <w:r w:rsidR="009F5028">
        <w:t>eb</w:t>
      </w:r>
      <w:r w:rsidRPr="00AC557A">
        <w:t>, terénní</w:t>
      </w:r>
      <w:r w:rsidR="009F5028">
        <w:t>ch</w:t>
      </w:r>
      <w:r w:rsidRPr="00AC557A">
        <w:t xml:space="preserve"> úprav, zařízení a udržovací</w:t>
      </w:r>
      <w:r w:rsidR="009F5028">
        <w:t>ch</w:t>
      </w:r>
      <w:r w:rsidRPr="00AC557A">
        <w:t xml:space="preserve"> pr</w:t>
      </w:r>
      <w:r w:rsidR="009F5028">
        <w:t xml:space="preserve">ací </w:t>
      </w:r>
      <w:r w:rsidRPr="00AC557A">
        <w:t>nevyžadující</w:t>
      </w:r>
      <w:r w:rsidR="009F5028">
        <w:t>ch</w:t>
      </w:r>
      <w:r w:rsidRPr="00AC557A">
        <w:t xml:space="preserve"> stavební povolení ani ohlášení</w:t>
      </w:r>
      <w:r>
        <w:t xml:space="preserve"> (§ 103 </w:t>
      </w:r>
      <w:r w:rsidR="001F594C">
        <w:t xml:space="preserve">stávajícího </w:t>
      </w:r>
      <w:r>
        <w:t>stavebního zákona)</w:t>
      </w:r>
      <w:r w:rsidR="00E8724B">
        <w:t xml:space="preserve"> </w:t>
      </w:r>
      <w:r w:rsidR="001F594C">
        <w:t>a </w:t>
      </w:r>
      <w:r w:rsidR="009F5028">
        <w:t>jednoduchých</w:t>
      </w:r>
      <w:r w:rsidR="00E8724B" w:rsidRPr="00E8724B">
        <w:t xml:space="preserve"> stav</w:t>
      </w:r>
      <w:r w:rsidR="009F5028">
        <w:t>e</w:t>
      </w:r>
      <w:r w:rsidR="00E8724B" w:rsidRPr="00E8724B">
        <w:t>b, terénní</w:t>
      </w:r>
      <w:r w:rsidR="009F5028">
        <w:t>ch úprav</w:t>
      </w:r>
      <w:r w:rsidR="00E8724B" w:rsidRPr="00E8724B">
        <w:t xml:space="preserve"> a udržovací</w:t>
      </w:r>
      <w:r w:rsidR="009F5028">
        <w:t>ch</w:t>
      </w:r>
      <w:r w:rsidR="00E8724B" w:rsidRPr="00E8724B">
        <w:t xml:space="preserve"> pr</w:t>
      </w:r>
      <w:r w:rsidR="009F5028">
        <w:t>ací</w:t>
      </w:r>
      <w:r w:rsidR="00E8724B" w:rsidRPr="00E8724B">
        <w:t>, u kterých postačí ohlášení</w:t>
      </w:r>
      <w:r w:rsidR="00E8724B">
        <w:t xml:space="preserve"> (§ 104 </w:t>
      </w:r>
      <w:r w:rsidR="001F594C">
        <w:t xml:space="preserve">stávajícího </w:t>
      </w:r>
      <w:r w:rsidR="00E8724B">
        <w:t>stavebního zákona)</w:t>
      </w:r>
      <w:r w:rsidR="009F5028">
        <w:t>.</w:t>
      </w:r>
    </w:p>
    <w:p w:rsidR="00B46978" w:rsidRDefault="00B46978" w:rsidP="003E4A5D">
      <w:pPr>
        <w:widowControl w:val="0"/>
      </w:pPr>
      <w:r>
        <w:t xml:space="preserve">Stavební povolení lze nahradit veřejnoprávní smlouvou za podmínek </w:t>
      </w:r>
      <w:r w:rsidR="00F832F3">
        <w:t>stanovených zákonem (</w:t>
      </w:r>
      <w:r>
        <w:t>§</w:t>
      </w:r>
      <w:r w:rsidR="00F832F3">
        <w:t> </w:t>
      </w:r>
      <w:r>
        <w:t xml:space="preserve">116 </w:t>
      </w:r>
      <w:r w:rsidR="00F832F3">
        <w:t>SZ)</w:t>
      </w:r>
      <w:r>
        <w:t xml:space="preserve"> nebo oznámením stavebního záměru s certifikátem autorizovaného inspektora za podmínek </w:t>
      </w:r>
      <w:r w:rsidR="00F832F3">
        <w:t>stanovených zákonem (</w:t>
      </w:r>
      <w:r>
        <w:t>§ 117</w:t>
      </w:r>
      <w:r w:rsidR="00F832F3">
        <w:t xml:space="preserve"> SZ)</w:t>
      </w:r>
      <w:r>
        <w:t>. Stavební povolení se nevydává, pokud je vydáno společné povolení</w:t>
      </w:r>
      <w:r w:rsidR="00631B9D">
        <w:t xml:space="preserve">, které nahrazuje </w:t>
      </w:r>
      <w:r w:rsidR="002E512C">
        <w:t>územní rozhodnutí a stavební povolení</w:t>
      </w:r>
      <w:r>
        <w:t>.</w:t>
      </w:r>
    </w:p>
    <w:p w:rsidR="00CB3D2B" w:rsidRPr="00A120A2" w:rsidRDefault="00CB3D2B" w:rsidP="003E4A5D">
      <w:pPr>
        <w:widowControl w:val="0"/>
      </w:pPr>
      <w:r w:rsidRPr="00A120A2">
        <w:lastRenderedPageBreak/>
        <w:t>Stavební řízení je z procesního hlediska koncipováno obdobným způsobem jako řízení územní (hlavní principy sledují správní řád). Jsou zde však odchy</w:t>
      </w:r>
      <w:r w:rsidR="00507776">
        <w:t>lné postupy, které spočívají ve </w:t>
      </w:r>
      <w:r w:rsidRPr="00A120A2">
        <w:t>specifickém charakteru stavebního řízení. Rovněž se zde</w:t>
      </w:r>
      <w:r w:rsidR="00507776">
        <w:t xml:space="preserve"> projevuje koncentrace řízení s </w:t>
      </w:r>
      <w:r w:rsidRPr="00A120A2">
        <w:t xml:space="preserve">ohledem na námitky. Ty námitky, které mohly být uplatněny nebo byly uplatněny v územním řízení a stavební úřad se s nimi v předchozím řízení vypořádal, jsou bezpředmětné. </w:t>
      </w:r>
    </w:p>
    <w:p w:rsidR="00CB3D2B" w:rsidRPr="00A120A2" w:rsidRDefault="00CB3D2B" w:rsidP="003E4A5D">
      <w:pPr>
        <w:widowControl w:val="0"/>
      </w:pPr>
      <w:r w:rsidRPr="00A120A2">
        <w:t xml:space="preserve">Stavební povolení oproti územnímu rozhodnutí nelze vydat bez dokladů potvrzujících vlastnické právo nebo právo založené smluvně k pozemkům, na kterých bude </w:t>
      </w:r>
      <w:r>
        <w:t>s</w:t>
      </w:r>
      <w:r w:rsidRPr="00A120A2">
        <w:t>tavba stát.</w:t>
      </w:r>
    </w:p>
    <w:p w:rsidR="00CB3D2B" w:rsidRDefault="00CB3D2B" w:rsidP="003E4A5D">
      <w:pPr>
        <w:widowControl w:val="0"/>
      </w:pPr>
      <w:r w:rsidRPr="00A120A2">
        <w:t>Obecně lze konstatovat, že stavební řízení je méně problémové z pohledu pravděpodobnosti prodloužení přípravné fáze výstavby než řízení územní</w:t>
      </w:r>
      <w:r w:rsidR="002B4708">
        <w:t>, neboť má užší okruh účastníků řízení a většina zásadních rozporů je řešena právě již v územním řízení</w:t>
      </w:r>
      <w:r w:rsidRPr="00A120A2">
        <w:t>.</w:t>
      </w:r>
    </w:p>
    <w:p w:rsidR="00C90295" w:rsidRDefault="00C90295" w:rsidP="003E4A5D">
      <w:pPr>
        <w:widowControl w:val="0"/>
      </w:pPr>
      <w:r>
        <w:t>Účastníkem stavebního řízení je</w:t>
      </w:r>
    </w:p>
    <w:p w:rsidR="00C90295" w:rsidRDefault="00C90295" w:rsidP="00C873B4">
      <w:pPr>
        <w:pStyle w:val="Odstavecseseznamem"/>
        <w:widowControl w:val="0"/>
        <w:numPr>
          <w:ilvl w:val="0"/>
          <w:numId w:val="76"/>
        </w:numPr>
        <w:ind w:left="357" w:hanging="357"/>
      </w:pPr>
      <w:r>
        <w:t>stavebník,</w:t>
      </w:r>
    </w:p>
    <w:p w:rsidR="00C90295" w:rsidRDefault="00C90295" w:rsidP="00C873B4">
      <w:pPr>
        <w:pStyle w:val="Odstavecseseznamem"/>
        <w:widowControl w:val="0"/>
        <w:numPr>
          <w:ilvl w:val="0"/>
          <w:numId w:val="76"/>
        </w:numPr>
        <w:ind w:left="357" w:hanging="357"/>
      </w:pPr>
      <w:r>
        <w:t>vlastník stavby, na níž má být provedena změna, není-li stavebníkem,</w:t>
      </w:r>
    </w:p>
    <w:p w:rsidR="00C90295" w:rsidRDefault="00C90295" w:rsidP="00C873B4">
      <w:pPr>
        <w:pStyle w:val="Odstavecseseznamem"/>
        <w:widowControl w:val="0"/>
        <w:numPr>
          <w:ilvl w:val="0"/>
          <w:numId w:val="76"/>
        </w:numPr>
        <w:ind w:left="357" w:hanging="357"/>
      </w:pPr>
      <w:r>
        <w:t>vlastník pozemku, na kterém má být stavba prováděna, není-li stavebníkem, může-li být jeho vlastnické právo k pozemku prováděním stavby přímo dotčeno,</w:t>
      </w:r>
    </w:p>
    <w:p w:rsidR="00C90295" w:rsidRDefault="00C90295" w:rsidP="00C873B4">
      <w:pPr>
        <w:pStyle w:val="Odstavecseseznamem"/>
        <w:widowControl w:val="0"/>
        <w:numPr>
          <w:ilvl w:val="0"/>
          <w:numId w:val="76"/>
        </w:numPr>
        <w:ind w:left="357" w:hanging="357"/>
      </w:pPr>
      <w:r>
        <w:t>vlastník stavby na pozemku, na kterém má být stavba prováděna, a ten, kdo má k tomuto pozemku nebo stavbě právo odpovídající věcnému břemenu, mohou-li být jejich práva prováděním stavby přímo dotčena,</w:t>
      </w:r>
    </w:p>
    <w:p w:rsidR="00C90295" w:rsidRDefault="00C90295" w:rsidP="00C873B4">
      <w:pPr>
        <w:pStyle w:val="Odstavecseseznamem"/>
        <w:widowControl w:val="0"/>
        <w:numPr>
          <w:ilvl w:val="0"/>
          <w:numId w:val="76"/>
        </w:numPr>
        <w:ind w:left="357" w:hanging="357"/>
      </w:pPr>
      <w:r>
        <w:t>vlastník sousedního pozemku nebo stavby na něm, může-li být jeho vlastnické právo prováděním stavby přímo dotčeno,</w:t>
      </w:r>
    </w:p>
    <w:p w:rsidR="00330CAE" w:rsidRDefault="00C90295" w:rsidP="00C873B4">
      <w:pPr>
        <w:pStyle w:val="Odstavecseseznamem"/>
        <w:widowControl w:val="0"/>
        <w:numPr>
          <w:ilvl w:val="0"/>
          <w:numId w:val="76"/>
        </w:numPr>
        <w:ind w:left="357" w:hanging="357"/>
      </w:pPr>
      <w:r>
        <w:t>ten, kdo má k sousednímu pozemku nebo stavbě na něm právo odpovídající věcnému břemenu, může-li být toto právo prováděním stavby přímo dotčeno.</w:t>
      </w:r>
    </w:p>
    <w:p w:rsidR="00C90295" w:rsidRDefault="00C90295" w:rsidP="003E4A5D">
      <w:pPr>
        <w:widowControl w:val="0"/>
      </w:pPr>
      <w:r>
        <w:t xml:space="preserve">Účastníkem stavebního řízení </w:t>
      </w:r>
      <w:r w:rsidR="003B141E">
        <w:t xml:space="preserve">již od 1. 1. 2018 </w:t>
      </w:r>
      <w:r>
        <w:t xml:space="preserve">není </w:t>
      </w:r>
      <w:r w:rsidR="00DD7A6A">
        <w:t xml:space="preserve">obecně </w:t>
      </w:r>
      <w:r w:rsidR="003B141E" w:rsidRPr="003B141E">
        <w:t>osoba, o které tak stanoví zvláštní právní předpis</w:t>
      </w:r>
      <w:r w:rsidR="003B141E">
        <w:t>, tj. zejména občanská sdružení, resp. spolky chránící veřejné zájmy podle § 70 zákona o ochraně přírody a krajiny.</w:t>
      </w:r>
      <w:r w:rsidR="00DD7A6A">
        <w:t xml:space="preserve"> Ty se mohou účastnit pouze </w:t>
      </w:r>
      <w:r w:rsidR="00E34A72">
        <w:t>procesů a postupů vedených podle zákona o ochraně přírody a krajiny</w:t>
      </w:r>
      <w:r w:rsidR="004623C7">
        <w:t>.</w:t>
      </w:r>
    </w:p>
    <w:p w:rsidR="00D46BD3" w:rsidRDefault="002B4708" w:rsidP="003E4A5D">
      <w:pPr>
        <w:widowControl w:val="0"/>
      </w:pPr>
      <w:r>
        <w:t xml:space="preserve">Stavební řízení </w:t>
      </w:r>
      <w:r w:rsidR="00764838">
        <w:t xml:space="preserve">je oproti územnímu řízení výrazně technicistní. </w:t>
      </w:r>
      <w:r w:rsidR="00D46BD3">
        <w:t xml:space="preserve">Stavební úřad </w:t>
      </w:r>
      <w:r w:rsidR="00EF23AB">
        <w:t>ve stavebním řízení ověřuje a přezkoumává</w:t>
      </w:r>
      <w:r w:rsidR="00D46BD3">
        <w:t>, zda</w:t>
      </w:r>
    </w:p>
    <w:p w:rsidR="00D46BD3" w:rsidRDefault="00D46BD3" w:rsidP="00C873B4">
      <w:pPr>
        <w:pStyle w:val="Odstavecseseznamem"/>
        <w:widowControl w:val="0"/>
        <w:numPr>
          <w:ilvl w:val="0"/>
          <w:numId w:val="77"/>
        </w:numPr>
        <w:ind w:left="357" w:hanging="357"/>
      </w:pPr>
      <w:r>
        <w:t>projektová dokumentace je zpracována v souladu s územním rozhodnutím nebo regulačním plánem nebo veřejnoprávní smlouvou územní rozhodnutí nahrazující anebo územním souhlasem,</w:t>
      </w:r>
    </w:p>
    <w:p w:rsidR="00D46BD3" w:rsidRDefault="00D46BD3" w:rsidP="00C873B4">
      <w:pPr>
        <w:pStyle w:val="Odstavecseseznamem"/>
        <w:widowControl w:val="0"/>
        <w:numPr>
          <w:ilvl w:val="0"/>
          <w:numId w:val="77"/>
        </w:numPr>
        <w:ind w:left="357" w:hanging="357"/>
      </w:pPr>
      <w:r>
        <w:t>projektová dokumentace je úplná, přehledná</w:t>
      </w:r>
      <w:r w:rsidR="00CB29A6">
        <w:t>,</w:t>
      </w:r>
      <w:r>
        <w:t xml:space="preserve"> a zda jsou v odpovídající míře řešeny obecné požadavky na výstavbu,</w:t>
      </w:r>
    </w:p>
    <w:p w:rsidR="00D46BD3" w:rsidRDefault="00D46BD3" w:rsidP="00C873B4">
      <w:pPr>
        <w:pStyle w:val="Odstavecseseznamem"/>
        <w:widowControl w:val="0"/>
        <w:numPr>
          <w:ilvl w:val="0"/>
          <w:numId w:val="77"/>
        </w:numPr>
        <w:ind w:left="357" w:hanging="357"/>
      </w:pPr>
      <w:r>
        <w:t>je zajištěn příjezd ke stavbě, včasné vybudování technického, popřípadě jiného vybavení potřebného k řádnému užívání stavby vyžadovaného zvláštním právním předpisem,</w:t>
      </w:r>
    </w:p>
    <w:p w:rsidR="00D46BD3" w:rsidRDefault="00D46BD3" w:rsidP="00C873B4">
      <w:pPr>
        <w:pStyle w:val="Odstavecseseznamem"/>
        <w:widowControl w:val="0"/>
        <w:numPr>
          <w:ilvl w:val="0"/>
          <w:numId w:val="77"/>
        </w:numPr>
        <w:ind w:left="357" w:hanging="357"/>
      </w:pPr>
      <w:r>
        <w:t xml:space="preserve">předložené podklady vyhovují požadavkům uplatněným </w:t>
      </w:r>
      <w:r w:rsidR="00854F38" w:rsidRPr="00854F38">
        <w:t>DO</w:t>
      </w:r>
      <w:r>
        <w:t>.</w:t>
      </w:r>
    </w:p>
    <w:p w:rsidR="007A5844" w:rsidRDefault="00D46BD3" w:rsidP="003E4A5D">
      <w:pPr>
        <w:widowControl w:val="0"/>
      </w:pPr>
      <w:r>
        <w:t>Stavební úřad ověří rovněž účinky budoucího užívání stavby.</w:t>
      </w:r>
    </w:p>
    <w:p w:rsidR="000F0675" w:rsidRDefault="000F0675" w:rsidP="003E4A5D">
      <w:pPr>
        <w:widowControl w:val="0"/>
      </w:pPr>
      <w:r>
        <w:t xml:space="preserve">Neshledá-li stavební úřad </w:t>
      </w:r>
      <w:r w:rsidR="005C1849">
        <w:t xml:space="preserve">vady, které brání vydání </w:t>
      </w:r>
      <w:r w:rsidR="00F86CED">
        <w:t>stavebního povolení</w:t>
      </w:r>
      <w:r>
        <w:t xml:space="preserve">, vydá </w:t>
      </w:r>
      <w:r w:rsidR="00F86CED">
        <w:t>toto</w:t>
      </w:r>
      <w:r w:rsidR="00F86CED" w:rsidRPr="000F0675">
        <w:t xml:space="preserve"> </w:t>
      </w:r>
      <w:r w:rsidRPr="000F0675">
        <w:t xml:space="preserve">povolení </w:t>
      </w:r>
      <w:r w:rsidR="00F86CED">
        <w:t>a </w:t>
      </w:r>
      <w:r w:rsidR="00D60712">
        <w:t xml:space="preserve">v něm </w:t>
      </w:r>
      <w:r w:rsidRPr="000F0675">
        <w:t>stanoví podmínky pro provedení stavby, a pokud je to třeba, i pro její užívání</w:t>
      </w:r>
      <w:r w:rsidR="00D60712">
        <w:t>.</w:t>
      </w:r>
    </w:p>
    <w:p w:rsidR="000E39A9" w:rsidRPr="00F1126D" w:rsidRDefault="000E39A9" w:rsidP="00F1126D">
      <w:pPr>
        <w:pStyle w:val="Nadpis6"/>
      </w:pPr>
      <w:bookmarkStart w:id="27" w:name="_Toc536553901"/>
      <w:r w:rsidRPr="00F1126D">
        <w:t>Kolauda</w:t>
      </w:r>
      <w:r w:rsidR="00F1126D" w:rsidRPr="00F1126D">
        <w:t>ční řízení</w:t>
      </w:r>
      <w:bookmarkEnd w:id="27"/>
      <w:r w:rsidRPr="00F1126D">
        <w:t xml:space="preserve"> </w:t>
      </w:r>
    </w:p>
    <w:p w:rsidR="0046462C" w:rsidRDefault="00EA67BF" w:rsidP="003E4A5D">
      <w:pPr>
        <w:widowControl w:val="0"/>
      </w:pPr>
      <w:r>
        <w:t xml:space="preserve">Dokončenou stavbu, o níž to stanoví zákon, </w:t>
      </w:r>
      <w:r w:rsidR="00FA4269">
        <w:t>l</w:t>
      </w:r>
      <w:r w:rsidRPr="00EA67BF">
        <w:t>ze užívat pouze na základě kolaudačního souhlasu nebo kolaudačního rozhodnutí.</w:t>
      </w:r>
      <w:r w:rsidR="0046462C">
        <w:t xml:space="preserve"> </w:t>
      </w:r>
    </w:p>
    <w:p w:rsidR="000E39A9" w:rsidRDefault="0046462C" w:rsidP="003E4A5D">
      <w:pPr>
        <w:widowControl w:val="0"/>
      </w:pPr>
      <w:r w:rsidRPr="0046462C">
        <w:t>Kolaudační souhlas nebo kolaudační rozhodnutí vydává ten stavební úřad, který vydal povolení stavby.</w:t>
      </w:r>
    </w:p>
    <w:p w:rsidR="0046462C" w:rsidRDefault="0046462C" w:rsidP="003E4A5D">
      <w:pPr>
        <w:widowControl w:val="0"/>
      </w:pPr>
      <w:r w:rsidRPr="0046462C">
        <w:t>Je-li žádost o kolaudační souhlas úplná a dokončená stavba</w:t>
      </w:r>
      <w:r w:rsidR="002C432D">
        <w:t xml:space="preserve"> či její </w:t>
      </w:r>
      <w:r w:rsidRPr="0046462C">
        <w:t xml:space="preserve">část schopná samostatného </w:t>
      </w:r>
      <w:r w:rsidRPr="0046462C">
        <w:lastRenderedPageBreak/>
        <w:t>užívání je v souladu s</w:t>
      </w:r>
      <w:r w:rsidR="002C432D">
        <w:t>e</w:t>
      </w:r>
      <w:r w:rsidRPr="0046462C">
        <w:t xml:space="preserve"> </w:t>
      </w:r>
      <w:r w:rsidR="002C432D">
        <w:t xml:space="preserve">stavebním </w:t>
      </w:r>
      <w:r w:rsidRPr="0046462C">
        <w:t>povolením</w:t>
      </w:r>
      <w:r w:rsidR="00780602">
        <w:t xml:space="preserve">, </w:t>
      </w:r>
      <w:r w:rsidR="002C432D">
        <w:t>s</w:t>
      </w:r>
      <w:r w:rsidRPr="0046462C">
        <w:t xml:space="preserve"> projektovou dokumentací</w:t>
      </w:r>
      <w:r w:rsidR="002D7EE1">
        <w:t xml:space="preserve"> a</w:t>
      </w:r>
      <w:r w:rsidRPr="0046462C">
        <w:t xml:space="preserve"> se stanovisky </w:t>
      </w:r>
      <w:r w:rsidR="00BE337D">
        <w:t>DO</w:t>
      </w:r>
      <w:r w:rsidRPr="0046462C">
        <w:t>, jsou dodrženy obecné požadavky na výstavbu a skutečné provedení stavby nebo její užívání nebude ohrožovat život a veřejné zdraví, život nebo zdraví zvířat, bezpečnost anebo životní prostředí, stavební úřad vydá do 15 dnů ode dne provedení závěrečné kontrolní prohlídky kolaudační souhlas, který je dokladem o povoleném účelu užívání stavby.</w:t>
      </w:r>
    </w:p>
    <w:p w:rsidR="00223662" w:rsidRDefault="002235F4" w:rsidP="003E4A5D">
      <w:pPr>
        <w:widowControl w:val="0"/>
      </w:pPr>
      <w:r w:rsidRPr="002235F4">
        <w:t>Dojde-li stavební úřad k závěru, že žádost není úplná nebo nejsou splněny podmínky pro vydání kolaudačního souhlasu, rozhodne usnesením o provedení kolaudačního řízení</w:t>
      </w:r>
      <w:r>
        <w:t>.</w:t>
      </w:r>
    </w:p>
    <w:p w:rsidR="002235F4" w:rsidRDefault="002235F4" w:rsidP="003E4A5D">
      <w:pPr>
        <w:widowControl w:val="0"/>
      </w:pPr>
      <w:r>
        <w:t>Účastníkem kolaudačního řízení je</w:t>
      </w:r>
    </w:p>
    <w:p w:rsidR="002235F4" w:rsidRDefault="002235F4" w:rsidP="00C873B4">
      <w:pPr>
        <w:pStyle w:val="Odstavecseseznamem"/>
        <w:widowControl w:val="0"/>
        <w:numPr>
          <w:ilvl w:val="0"/>
          <w:numId w:val="78"/>
        </w:numPr>
        <w:ind w:left="357" w:hanging="357"/>
      </w:pPr>
      <w:r>
        <w:t>stavebník,</w:t>
      </w:r>
    </w:p>
    <w:p w:rsidR="002235F4" w:rsidRDefault="002235F4" w:rsidP="00C873B4">
      <w:pPr>
        <w:pStyle w:val="Odstavecseseznamem"/>
        <w:widowControl w:val="0"/>
        <w:numPr>
          <w:ilvl w:val="0"/>
          <w:numId w:val="78"/>
        </w:numPr>
        <w:ind w:left="357" w:hanging="357"/>
      </w:pPr>
      <w:r>
        <w:t>vlastník stavby, není-li stavebníkem,</w:t>
      </w:r>
    </w:p>
    <w:p w:rsidR="002235F4" w:rsidRDefault="002235F4" w:rsidP="00C873B4">
      <w:pPr>
        <w:pStyle w:val="Odstavecseseznamem"/>
        <w:widowControl w:val="0"/>
        <w:numPr>
          <w:ilvl w:val="0"/>
          <w:numId w:val="78"/>
        </w:numPr>
        <w:ind w:left="357" w:hanging="357"/>
      </w:pPr>
      <w:r>
        <w:t>vlastník pozemku, na kterém je stavba provedena, není-li stavebníkem a může-li být jeho vlastnické právo kolaudačním rozhodnutím přímo dotčeno.</w:t>
      </w:r>
    </w:p>
    <w:p w:rsidR="002235F4" w:rsidRDefault="00E2429F" w:rsidP="003E4A5D">
      <w:pPr>
        <w:widowControl w:val="0"/>
      </w:pPr>
      <w:r>
        <w:t>Stavební úřad provede v kolaudačním řízení vždy závěrečnou kontrolní prohlídku stavby. V kolaudačním řízení stavební úřad projedná nepodstatné odchylky od projektové dokumentace.</w:t>
      </w:r>
      <w:r w:rsidR="00020385">
        <w:t xml:space="preserve"> Jsou-li</w:t>
      </w:r>
      <w:r>
        <w:t xml:space="preserve"> splněny </w:t>
      </w:r>
      <w:r w:rsidR="00020385">
        <w:t xml:space="preserve">shora uvedené </w:t>
      </w:r>
      <w:r>
        <w:t>podmínky</w:t>
      </w:r>
      <w:r w:rsidR="00020385">
        <w:t xml:space="preserve">, které jsou samy o sobě obdobné jako pro kolaudační souhlas, </w:t>
      </w:r>
      <w:r>
        <w:t>stavební úřad vydá kolaudační rozhodnutí. Kolaudačním rozhodnutím povoluje užívání stavby k určenému účelu, a je-li to zapotřebí, stanoví podmínky pro užívání stavby.</w:t>
      </w:r>
    </w:p>
    <w:p w:rsidR="007A5844" w:rsidRPr="009203E6" w:rsidRDefault="00B82BA0" w:rsidP="009203E6">
      <w:pPr>
        <w:pStyle w:val="Nadpis6"/>
      </w:pPr>
      <w:bookmarkStart w:id="28" w:name="_Toc536553902"/>
      <w:r w:rsidRPr="009203E6">
        <w:t xml:space="preserve">Stávající problémy </w:t>
      </w:r>
      <w:r w:rsidR="00C407D2" w:rsidRPr="009203E6">
        <w:t>povolování staveb</w:t>
      </w:r>
      <w:bookmarkEnd w:id="28"/>
    </w:p>
    <w:p w:rsidR="00F16D67" w:rsidRPr="00A120A2" w:rsidRDefault="00F16D67" w:rsidP="000066CE">
      <w:pPr>
        <w:widowControl w:val="0"/>
        <w:spacing w:before="100" w:after="100"/>
        <w:rPr>
          <w:lang w:eastAsia="cs-CZ"/>
        </w:rPr>
      </w:pPr>
      <w:r>
        <w:t>Jak bylo ilustrováno v</w:t>
      </w:r>
      <w:r w:rsidR="007A1D00">
        <w:t>ýše</w:t>
      </w:r>
      <w:r>
        <w:t xml:space="preserve">, </w:t>
      </w:r>
      <w:r w:rsidRPr="00A120A2">
        <w:t>vyžaduje</w:t>
      </w:r>
      <w:r>
        <w:t xml:space="preserve"> p</w:t>
      </w:r>
      <w:r w:rsidRPr="00A120A2">
        <w:t xml:space="preserve">ovolovací proces </w:t>
      </w:r>
      <w:r w:rsidR="00783E51">
        <w:t xml:space="preserve">staveb </w:t>
      </w:r>
      <w:r w:rsidR="00507776">
        <w:t>vedení řady správních řízení a </w:t>
      </w:r>
      <w:r w:rsidRPr="00A120A2">
        <w:t>vyd</w:t>
      </w:r>
      <w:r>
        <w:t xml:space="preserve">ání </w:t>
      </w:r>
      <w:r w:rsidRPr="00A120A2">
        <w:t>cel</w:t>
      </w:r>
      <w:r>
        <w:t>é</w:t>
      </w:r>
      <w:r w:rsidRPr="00A120A2">
        <w:t xml:space="preserve"> řad</w:t>
      </w:r>
      <w:r>
        <w:t xml:space="preserve">y správních </w:t>
      </w:r>
      <w:r w:rsidR="00C016DA">
        <w:t>aktů</w:t>
      </w:r>
      <w:r>
        <w:t xml:space="preserve">. Tato </w:t>
      </w:r>
      <w:r w:rsidRPr="007A1D00">
        <w:t>komplikovanost</w:t>
      </w:r>
      <w:r>
        <w:t xml:space="preserve"> pak:  </w:t>
      </w:r>
    </w:p>
    <w:p w:rsidR="00F16D67" w:rsidRPr="00081AA1" w:rsidRDefault="00F16D67" w:rsidP="000066CE">
      <w:pPr>
        <w:pStyle w:val="Odstavecseseznamem"/>
        <w:widowControl w:val="0"/>
        <w:numPr>
          <w:ilvl w:val="0"/>
          <w:numId w:val="53"/>
        </w:numPr>
        <w:spacing w:before="100" w:after="100"/>
        <w:ind w:left="357" w:hanging="357"/>
        <w:contextualSpacing w:val="0"/>
      </w:pPr>
      <w:r w:rsidRPr="00081AA1">
        <w:t>zvyšuje pravděpodobnost vzniku procesní chyby;</w:t>
      </w:r>
    </w:p>
    <w:p w:rsidR="00F16D67" w:rsidRDefault="00F16D67" w:rsidP="000066CE">
      <w:pPr>
        <w:pStyle w:val="Odstavecseseznamem"/>
        <w:widowControl w:val="0"/>
        <w:numPr>
          <w:ilvl w:val="0"/>
          <w:numId w:val="53"/>
        </w:numPr>
        <w:spacing w:before="100" w:after="100"/>
        <w:ind w:left="357" w:hanging="357"/>
        <w:contextualSpacing w:val="0"/>
      </w:pPr>
      <w:r>
        <w:t xml:space="preserve">vyžaduje vysokou administrativní náročnost z důvodu značného </w:t>
      </w:r>
      <w:r w:rsidRPr="00A120A2">
        <w:t xml:space="preserve">množství rozhodnutí </w:t>
      </w:r>
      <w:r w:rsidR="00507776">
        <w:t>a </w:t>
      </w:r>
      <w:r w:rsidR="00C016DA">
        <w:t xml:space="preserve">závazných stanovisek </w:t>
      </w:r>
      <w:r w:rsidRPr="00A120A2">
        <w:t>vydáva</w:t>
      </w:r>
      <w:r>
        <w:t>ných</w:t>
      </w:r>
      <w:r w:rsidRPr="00A120A2">
        <w:t xml:space="preserve"> jednotliv</w:t>
      </w:r>
      <w:r>
        <w:t>ými</w:t>
      </w:r>
      <w:r w:rsidRPr="00A120A2">
        <w:t xml:space="preserve"> místně a věcně příslušn</w:t>
      </w:r>
      <w:r>
        <w:t>ými</w:t>
      </w:r>
      <w:r w:rsidRPr="00A120A2">
        <w:t xml:space="preserve"> správní</w:t>
      </w:r>
      <w:r>
        <w:t>mi</w:t>
      </w:r>
      <w:r w:rsidRPr="00A120A2">
        <w:t xml:space="preserve"> </w:t>
      </w:r>
      <w:r w:rsidR="00C016DA">
        <w:t>orgány</w:t>
      </w:r>
      <w:r>
        <w:t>;</w:t>
      </w:r>
    </w:p>
    <w:p w:rsidR="00F16D67" w:rsidRPr="00A120A2" w:rsidRDefault="00C016DA" w:rsidP="000066CE">
      <w:pPr>
        <w:pStyle w:val="Odstavecseseznamem"/>
        <w:widowControl w:val="0"/>
        <w:numPr>
          <w:ilvl w:val="0"/>
          <w:numId w:val="53"/>
        </w:numPr>
        <w:spacing w:before="100" w:after="100"/>
        <w:contextualSpacing w:val="0"/>
      </w:pPr>
      <w:r>
        <w:t xml:space="preserve">vytváří potřebu </w:t>
      </w:r>
      <w:r w:rsidR="00F16D67" w:rsidRPr="00A120A2">
        <w:t>projedn</w:t>
      </w:r>
      <w:r w:rsidR="00F16D67">
        <w:t>at</w:t>
      </w:r>
      <w:r w:rsidR="00F16D67" w:rsidRPr="00A120A2">
        <w:t xml:space="preserve"> dokumentac</w:t>
      </w:r>
      <w:r w:rsidR="00F16D67">
        <w:t>i</w:t>
      </w:r>
      <w:r w:rsidR="00F16D67" w:rsidRPr="00A120A2">
        <w:t xml:space="preserve"> pro územní a stavební řízení s mnoha </w:t>
      </w:r>
      <w:r w:rsidR="006D059B">
        <w:t>DO</w:t>
      </w:r>
      <w:r w:rsidR="00F16D67">
        <w:t xml:space="preserve">, a to </w:t>
      </w:r>
      <w:r w:rsidR="00686D84" w:rsidRPr="00686D84">
        <w:t>například</w:t>
      </w:r>
      <w:r w:rsidR="00F16D67" w:rsidRPr="00A120A2">
        <w:t xml:space="preserve"> i v různých </w:t>
      </w:r>
      <w:r w:rsidR="00557674">
        <w:t>místech</w:t>
      </w:r>
      <w:r w:rsidR="00F16D67">
        <w:t>;</w:t>
      </w:r>
    </w:p>
    <w:p w:rsidR="00F16D67" w:rsidRDefault="00971FA0" w:rsidP="000066CE">
      <w:pPr>
        <w:pStyle w:val="Odstavecseseznamem"/>
        <w:widowControl w:val="0"/>
        <w:numPr>
          <w:ilvl w:val="0"/>
          <w:numId w:val="53"/>
        </w:numPr>
        <w:spacing w:before="100" w:after="100"/>
        <w:ind w:left="357" w:hanging="357"/>
        <w:contextualSpacing w:val="0"/>
      </w:pPr>
      <w:r>
        <w:t xml:space="preserve">vytváří </w:t>
      </w:r>
      <w:r w:rsidR="00F16D67">
        <w:t>velký počet potřebných</w:t>
      </w:r>
      <w:r w:rsidR="00F16D67" w:rsidRPr="00A120A2">
        <w:t xml:space="preserve"> </w:t>
      </w:r>
      <w:r>
        <w:t xml:space="preserve">závazných </w:t>
      </w:r>
      <w:r w:rsidR="00F16D67" w:rsidRPr="00A120A2">
        <w:t xml:space="preserve">stanovisek </w:t>
      </w:r>
      <w:r w:rsidR="00F16D67">
        <w:t xml:space="preserve">s v praxi </w:t>
      </w:r>
      <w:r w:rsidR="00F16D67" w:rsidRPr="00A120A2">
        <w:t>dlouh</w:t>
      </w:r>
      <w:r w:rsidR="00F16D67">
        <w:t>ými</w:t>
      </w:r>
      <w:r w:rsidR="00F16D67" w:rsidRPr="00A120A2">
        <w:t xml:space="preserve"> reakční</w:t>
      </w:r>
      <w:r w:rsidR="00F16D67">
        <w:t>mi</w:t>
      </w:r>
      <w:r w:rsidR="00F16D67" w:rsidRPr="00A120A2">
        <w:t xml:space="preserve"> lhůt</w:t>
      </w:r>
      <w:r w:rsidR="00F16D67">
        <w:t>ami</w:t>
      </w:r>
      <w:r w:rsidR="00F16D67" w:rsidRPr="00A120A2">
        <w:t xml:space="preserve"> </w:t>
      </w:r>
      <w:r w:rsidR="006D059B">
        <w:t>DO</w:t>
      </w:r>
      <w:r>
        <w:t>, což</w:t>
      </w:r>
      <w:r w:rsidR="00F16D67">
        <w:t xml:space="preserve"> implikuje opět prodlužování povolovacího procesu</w:t>
      </w:r>
      <w:r w:rsidR="00365A23">
        <w:t>;</w:t>
      </w:r>
    </w:p>
    <w:p w:rsidR="00F16D67" w:rsidRDefault="00F16D67" w:rsidP="000066CE">
      <w:pPr>
        <w:pStyle w:val="Odstavecseseznamem"/>
        <w:widowControl w:val="0"/>
        <w:numPr>
          <w:ilvl w:val="0"/>
          <w:numId w:val="53"/>
        </w:numPr>
        <w:spacing w:before="100" w:after="100"/>
        <w:ind w:left="357" w:hanging="357"/>
        <w:contextualSpacing w:val="0"/>
      </w:pPr>
      <w:r w:rsidRPr="00081AA1">
        <w:t xml:space="preserve">prodlužuje </w:t>
      </w:r>
      <w:r w:rsidR="00971FA0">
        <w:t xml:space="preserve">povolovací </w:t>
      </w:r>
      <w:r w:rsidRPr="00081AA1">
        <w:t xml:space="preserve">proces, neboť v každém jednotlivém řízení mohou účastníci podávat námitky, připomínky, </w:t>
      </w:r>
      <w:r w:rsidR="00971FA0">
        <w:t>návrhy, důkazy</w:t>
      </w:r>
      <w:r w:rsidR="005D4108">
        <w:t xml:space="preserve"> a řádné i mimořádné opravné prostředky včetně soudního přezkumu</w:t>
      </w:r>
      <w:r>
        <w:t>;</w:t>
      </w:r>
      <w:r w:rsidRPr="00081AA1">
        <w:t xml:space="preserve"> </w:t>
      </w:r>
    </w:p>
    <w:p w:rsidR="007A1D00" w:rsidRDefault="00D01897" w:rsidP="000066CE">
      <w:pPr>
        <w:widowControl w:val="0"/>
        <w:spacing w:before="100" w:after="100"/>
      </w:pPr>
      <w:r>
        <w:t>V odvolacím řízení</w:t>
      </w:r>
      <w:r w:rsidR="00855025">
        <w:t>,</w:t>
      </w:r>
      <w:r>
        <w:t xml:space="preserve"> j</w:t>
      </w:r>
      <w:r w:rsidRPr="00D01897">
        <w:t xml:space="preserve">estliže odvolání směřuje proti obsahu závazného stanoviska, </w:t>
      </w:r>
      <w:r w:rsidR="00BC5BEC">
        <w:t xml:space="preserve">si </w:t>
      </w:r>
      <w:r>
        <w:t xml:space="preserve">musí </w:t>
      </w:r>
      <w:r w:rsidRPr="00D01897">
        <w:t xml:space="preserve">odvolací správní orgán </w:t>
      </w:r>
      <w:r>
        <w:t xml:space="preserve">vyžádat </w:t>
      </w:r>
      <w:r w:rsidRPr="00D01897">
        <w:t xml:space="preserve">potvrzení nebo změnu závazného stanoviska od správního orgánu nadřízeného správnímu orgánu příslušnému k vydání závazného stanoviska. </w:t>
      </w:r>
    </w:p>
    <w:p w:rsidR="00F16D67" w:rsidRPr="007A1D00" w:rsidRDefault="00F16D67" w:rsidP="000066CE">
      <w:pPr>
        <w:widowControl w:val="0"/>
        <w:spacing w:before="100" w:after="100"/>
      </w:pPr>
      <w:r w:rsidRPr="00C779C7">
        <w:t>Další</w:t>
      </w:r>
      <w:r>
        <w:t xml:space="preserve"> problémy může způsobovat </w:t>
      </w:r>
      <w:r w:rsidRPr="007A1D00">
        <w:t>rozsah vydávaných rozhodnutí.</w:t>
      </w:r>
      <w:r>
        <w:t xml:space="preserve"> </w:t>
      </w:r>
      <w:r w:rsidRPr="00287FCF">
        <w:rPr>
          <w:iCs/>
        </w:rPr>
        <w:t xml:space="preserve">Pro ilustraci složitosti vydávaného rozhodnutí </w:t>
      </w:r>
      <w:r w:rsidR="00156156">
        <w:rPr>
          <w:iCs/>
        </w:rPr>
        <w:t>je uveden</w:t>
      </w:r>
      <w:r w:rsidR="00156156" w:rsidRPr="00287FCF">
        <w:rPr>
          <w:iCs/>
        </w:rPr>
        <w:t xml:space="preserve"> </w:t>
      </w:r>
      <w:r w:rsidRPr="00287FCF">
        <w:rPr>
          <w:iCs/>
        </w:rPr>
        <w:t>v</w:t>
      </w:r>
      <w:r w:rsidR="00507776">
        <w:rPr>
          <w:iCs/>
        </w:rPr>
        <w:t> </w:t>
      </w:r>
      <w:r w:rsidRPr="00287FCF">
        <w:rPr>
          <w:iCs/>
        </w:rPr>
        <w:t xml:space="preserve">následujícím boxu popis příkladu konkrétního územního rozhodnutí </w:t>
      </w:r>
      <w:r w:rsidR="00507776">
        <w:rPr>
          <w:iCs/>
        </w:rPr>
        <w:t>o umístění stavby R </w:t>
      </w:r>
      <w:r w:rsidRPr="00287FCF">
        <w:rPr>
          <w:iCs/>
        </w:rPr>
        <w:t>48 – MÚK</w:t>
      </w:r>
      <w:r>
        <w:rPr>
          <w:rStyle w:val="Znakapoznpodarou"/>
          <w:iCs/>
        </w:rPr>
        <w:footnoteReference w:id="8"/>
      </w:r>
      <w:r w:rsidRPr="00287FCF">
        <w:rPr>
          <w:iCs/>
        </w:rPr>
        <w:t xml:space="preserve"> Nošovice. </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072"/>
      </w:tblGrid>
      <w:tr w:rsidR="00F16D67" w:rsidRPr="00646266" w:rsidTr="00616A8F">
        <w:tc>
          <w:tcPr>
            <w:tcW w:w="9072" w:type="dxa"/>
            <w:shd w:val="clear" w:color="auto" w:fill="BFBFBF" w:themeFill="background1" w:themeFillShade="BF"/>
          </w:tcPr>
          <w:p w:rsidR="00CB4C69" w:rsidRDefault="00CB4C69" w:rsidP="003E4A5D">
            <w:pPr>
              <w:pStyle w:val="Titulek"/>
            </w:pPr>
            <w:r>
              <w:t xml:space="preserve">Box </w:t>
            </w:r>
            <w:r w:rsidR="00AB65E9">
              <w:rPr>
                <w:noProof/>
              </w:rPr>
              <w:fldChar w:fldCharType="begin"/>
            </w:r>
            <w:r w:rsidR="002F76C3">
              <w:rPr>
                <w:noProof/>
              </w:rPr>
              <w:instrText xml:space="preserve"> SEQ Box \* ARABIC </w:instrText>
            </w:r>
            <w:r w:rsidR="00AB65E9">
              <w:rPr>
                <w:noProof/>
              </w:rPr>
              <w:fldChar w:fldCharType="separate"/>
            </w:r>
            <w:r w:rsidR="00263A1B">
              <w:rPr>
                <w:noProof/>
              </w:rPr>
              <w:t>3</w:t>
            </w:r>
            <w:r w:rsidR="00AB65E9">
              <w:rPr>
                <w:noProof/>
              </w:rPr>
              <w:fldChar w:fldCharType="end"/>
            </w:r>
          </w:p>
          <w:p w:rsidR="00CB4C69" w:rsidRPr="00CB4C69" w:rsidRDefault="00CB4C69" w:rsidP="003E4A5D">
            <w:pPr>
              <w:widowControl w:val="0"/>
              <w:rPr>
                <w:b/>
                <w:sz w:val="20"/>
                <w:szCs w:val="20"/>
              </w:rPr>
            </w:pPr>
            <w:r w:rsidRPr="00CB4C69">
              <w:rPr>
                <w:b/>
                <w:sz w:val="20"/>
                <w:szCs w:val="20"/>
              </w:rPr>
              <w:t>Příklad územního rozhodnutí o umístění stavby R 48 – MÚK Nošovice</w:t>
            </w:r>
          </w:p>
          <w:p w:rsidR="00F16D67" w:rsidRPr="00646266" w:rsidRDefault="00F16D67" w:rsidP="003E4A5D">
            <w:pPr>
              <w:widowControl w:val="0"/>
              <w:rPr>
                <w:sz w:val="20"/>
                <w:szCs w:val="20"/>
              </w:rPr>
            </w:pPr>
            <w:r w:rsidRPr="00646266">
              <w:rPr>
                <w:sz w:val="20"/>
                <w:szCs w:val="20"/>
              </w:rPr>
              <w:t xml:space="preserve">Územní rozhodnutí obsahuje, jak stanoví zákon, dvě základní části – výrok a odůvodnění. Celkem má toto </w:t>
            </w:r>
            <w:r w:rsidRPr="00A57A1B">
              <w:rPr>
                <w:b/>
                <w:sz w:val="20"/>
                <w:szCs w:val="20"/>
                <w:u w:val="single"/>
              </w:rPr>
              <w:t>územní rozhodnutí 193 stran.</w:t>
            </w:r>
            <w:r w:rsidRPr="00646266">
              <w:rPr>
                <w:sz w:val="20"/>
                <w:szCs w:val="20"/>
              </w:rPr>
              <w:t xml:space="preserve"> </w:t>
            </w:r>
            <w:r w:rsidRPr="00A57A1B">
              <w:rPr>
                <w:b/>
                <w:sz w:val="20"/>
                <w:szCs w:val="20"/>
                <w:u w:val="single"/>
              </w:rPr>
              <w:t>Výrok</w:t>
            </w:r>
            <w:r w:rsidRPr="00A57A1B">
              <w:rPr>
                <w:sz w:val="20"/>
                <w:szCs w:val="20"/>
                <w:u w:val="single"/>
              </w:rPr>
              <w:t xml:space="preserve"> </w:t>
            </w:r>
            <w:r w:rsidRPr="00646266">
              <w:rPr>
                <w:sz w:val="20"/>
                <w:szCs w:val="20"/>
              </w:rPr>
              <w:t xml:space="preserve">je obsažen </w:t>
            </w:r>
            <w:r w:rsidRPr="00A57A1B">
              <w:rPr>
                <w:b/>
                <w:sz w:val="20"/>
                <w:szCs w:val="20"/>
                <w:u w:val="single"/>
              </w:rPr>
              <w:t>na 69 stranách</w:t>
            </w:r>
            <w:r w:rsidRPr="00646266">
              <w:rPr>
                <w:sz w:val="20"/>
                <w:szCs w:val="20"/>
              </w:rPr>
              <w:t xml:space="preserve">, </w:t>
            </w:r>
            <w:r w:rsidRPr="00A57A1B">
              <w:rPr>
                <w:b/>
                <w:sz w:val="20"/>
                <w:szCs w:val="20"/>
                <w:u w:val="single"/>
              </w:rPr>
              <w:t xml:space="preserve">odůvodnění </w:t>
            </w:r>
            <w:r w:rsidRPr="00646266">
              <w:rPr>
                <w:sz w:val="20"/>
                <w:szCs w:val="20"/>
              </w:rPr>
              <w:t xml:space="preserve">pak na </w:t>
            </w:r>
            <w:r w:rsidRPr="00A57A1B">
              <w:rPr>
                <w:b/>
                <w:sz w:val="20"/>
                <w:szCs w:val="20"/>
                <w:u w:val="single"/>
              </w:rPr>
              <w:t>124 stranách</w:t>
            </w:r>
            <w:r w:rsidRPr="00646266">
              <w:rPr>
                <w:sz w:val="20"/>
                <w:szCs w:val="20"/>
              </w:rPr>
              <w:t xml:space="preserve">. Výrok obsahuje rozhodnutí o umístění stavby, kde je detailně stavba popsána stejně jako vyjmenovány pozemky, na </w:t>
            </w:r>
            <w:r w:rsidRPr="00646266">
              <w:rPr>
                <w:sz w:val="20"/>
                <w:szCs w:val="20"/>
              </w:rPr>
              <w:lastRenderedPageBreak/>
              <w:t xml:space="preserve">kterých se má stavba nacházet. Dále je nutné specifikovat a detailně popsat všechny objekty stavby (v tomto případě </w:t>
            </w:r>
            <w:r w:rsidRPr="00A57A1B">
              <w:rPr>
                <w:b/>
                <w:sz w:val="20"/>
                <w:szCs w:val="20"/>
                <w:u w:val="single"/>
              </w:rPr>
              <w:t>seznam cca 38 objektů</w:t>
            </w:r>
            <w:r w:rsidRPr="00646266">
              <w:rPr>
                <w:sz w:val="20"/>
                <w:szCs w:val="20"/>
              </w:rPr>
              <w:t xml:space="preserve"> spadajících do okruhů příprava staveniště, pozemní komunikace, mostní objekty, zdi a konstrukce, vodohospodářské objekty, elektro a sdělovací objekty, objekty pozemních staveb a objekty trubních </w:t>
            </w:r>
            <w:r w:rsidRPr="00A57A1B">
              <w:rPr>
                <w:b/>
                <w:sz w:val="20"/>
                <w:szCs w:val="20"/>
                <w:u w:val="single"/>
              </w:rPr>
              <w:t>čítající 14 stran</w:t>
            </w:r>
            <w:r w:rsidRPr="00646266">
              <w:rPr>
                <w:sz w:val="20"/>
                <w:szCs w:val="20"/>
              </w:rPr>
              <w:t xml:space="preserve">). Zároveň je stanoveno </w:t>
            </w:r>
            <w:r w:rsidRPr="00A57A1B">
              <w:rPr>
                <w:b/>
                <w:sz w:val="20"/>
                <w:szCs w:val="20"/>
                <w:u w:val="single"/>
              </w:rPr>
              <w:t>29 dále členěných podmínek</w:t>
            </w:r>
            <w:r w:rsidRPr="00646266">
              <w:rPr>
                <w:sz w:val="20"/>
                <w:szCs w:val="20"/>
              </w:rPr>
              <w:t xml:space="preserve"> pro umístění a projektovou přípravu stavby (</w:t>
            </w:r>
            <w:r w:rsidRPr="00A57A1B">
              <w:rPr>
                <w:b/>
                <w:sz w:val="20"/>
                <w:szCs w:val="20"/>
                <w:u w:val="single"/>
              </w:rPr>
              <w:t>strany 15 – 30</w:t>
            </w:r>
            <w:r w:rsidRPr="00646266">
              <w:rPr>
                <w:sz w:val="20"/>
                <w:szCs w:val="20"/>
              </w:rPr>
              <w:t>). Posledním a nejrozsáhlejším bodem územního rozhodnutí je výpis všech vznesených námitek, ke kterým je nutno se vyjádřit (zamítnout či vyhovět). Ve zmíněném příkladu námitky podávaly jak fyzické osoby, tak</w:t>
            </w:r>
            <w:r w:rsidR="00507776">
              <w:rPr>
                <w:sz w:val="20"/>
                <w:szCs w:val="20"/>
              </w:rPr>
              <w:t xml:space="preserve"> různá sdružení či organizace a </w:t>
            </w:r>
            <w:r w:rsidRPr="00646266">
              <w:rPr>
                <w:sz w:val="20"/>
                <w:szCs w:val="20"/>
              </w:rPr>
              <w:t xml:space="preserve">v období od 22. 11. 2009 do 23. 9. 2013 jimi bylo vzneseno více než </w:t>
            </w:r>
            <w:r w:rsidRPr="00A57A1B">
              <w:rPr>
                <w:b/>
                <w:sz w:val="20"/>
                <w:szCs w:val="20"/>
                <w:u w:val="single"/>
              </w:rPr>
              <w:t>120 námitek</w:t>
            </w:r>
            <w:r w:rsidRPr="00646266">
              <w:rPr>
                <w:sz w:val="20"/>
                <w:szCs w:val="20"/>
              </w:rPr>
              <w:t xml:space="preserve"> (</w:t>
            </w:r>
            <w:r w:rsidRPr="00A57A1B">
              <w:rPr>
                <w:b/>
                <w:sz w:val="20"/>
                <w:szCs w:val="20"/>
                <w:u w:val="single"/>
              </w:rPr>
              <w:t>strany 30 – 69</w:t>
            </w:r>
            <w:r w:rsidRPr="00646266">
              <w:rPr>
                <w:sz w:val="20"/>
                <w:szCs w:val="20"/>
              </w:rPr>
              <w:t>).</w:t>
            </w:r>
          </w:p>
          <w:p w:rsidR="00F16D67" w:rsidRPr="00646266" w:rsidRDefault="00F16D67" w:rsidP="003E4A5D">
            <w:pPr>
              <w:widowControl w:val="0"/>
              <w:rPr>
                <w:sz w:val="20"/>
                <w:szCs w:val="20"/>
              </w:rPr>
            </w:pPr>
            <w:r w:rsidRPr="00646266">
              <w:rPr>
                <w:sz w:val="20"/>
                <w:szCs w:val="20"/>
              </w:rPr>
              <w:t xml:space="preserve">Odůvodnění žádosti zahrnuje popis žádosti a samotného procesu rozhodování – opakované zamítnutí žádosti, výzvy k odstranění nedostatků žádosti, změna předmětu žádosti, způsob doplnění žádosti apod. Dále odůvodnění obsahuje výpis všech příloh, tedy stanoviska, vyjádření, rozhodnutí a sdělení (zmíněné územní </w:t>
            </w:r>
            <w:r w:rsidRPr="00A57A1B">
              <w:rPr>
                <w:b/>
                <w:sz w:val="20"/>
                <w:szCs w:val="20"/>
                <w:u w:val="single"/>
              </w:rPr>
              <w:t>rozhodnutí obsahuje přes 140 vyjádření</w:t>
            </w:r>
            <w:r w:rsidRPr="00646266">
              <w:rPr>
                <w:sz w:val="20"/>
                <w:szCs w:val="20"/>
              </w:rPr>
              <w:t xml:space="preserve"> tohoto typu, tj. celkem </w:t>
            </w:r>
            <w:r w:rsidRPr="00A57A1B">
              <w:rPr>
                <w:b/>
                <w:sz w:val="20"/>
                <w:szCs w:val="20"/>
                <w:u w:val="single"/>
              </w:rPr>
              <w:t>osmistránkový seznam</w:t>
            </w:r>
            <w:r w:rsidRPr="00646266">
              <w:rPr>
                <w:sz w:val="20"/>
                <w:szCs w:val="20"/>
              </w:rPr>
              <w:t xml:space="preserve">), další podklady jako hlukové studie nebo hodnocení zdravotních rizik (čítajících 14 položek) a přílohy vyžádané úřadem vydávajícím rozhodnutí (zmíněná stavba vyžadovala doložení 14 takovýchto dokumentů). V odůvodnění musí být dále uvedeny všichni účastníci územního řízení tedy žadatelé, vlastníci dotčených pozemků, osoby mající jiné právo k pozemkům či pozemkům dotčeným, vlastníci nezapsaní v katastru nemovitostí, osoby mající právo být účastníky na základě zvláštního právního předpisu a osoby, které se prohlásily za účastníka řízení. Dále jsou evidovány osoby, které musí být ze zákona o tomto záměru informovány. Územní rozhodnutí pro stavbu „R 48 – MÚK Nošovice“ identifikuje </w:t>
            </w:r>
            <w:r w:rsidRPr="00A57A1B">
              <w:rPr>
                <w:b/>
                <w:sz w:val="20"/>
                <w:szCs w:val="20"/>
              </w:rPr>
              <w:t>přes 130</w:t>
            </w:r>
            <w:r w:rsidRPr="00646266">
              <w:rPr>
                <w:sz w:val="20"/>
                <w:szCs w:val="20"/>
              </w:rPr>
              <w:t xml:space="preserve"> takovýchto </w:t>
            </w:r>
            <w:r w:rsidRPr="00A57A1B">
              <w:rPr>
                <w:b/>
                <w:sz w:val="20"/>
                <w:szCs w:val="20"/>
                <w:u w:val="single"/>
              </w:rPr>
              <w:t>subjektů</w:t>
            </w:r>
            <w:r w:rsidRPr="00646266">
              <w:rPr>
                <w:sz w:val="20"/>
                <w:szCs w:val="20"/>
              </w:rPr>
              <w:t xml:space="preserve"> (</w:t>
            </w:r>
            <w:r w:rsidRPr="00A57A1B">
              <w:rPr>
                <w:b/>
                <w:sz w:val="20"/>
                <w:szCs w:val="20"/>
                <w:u w:val="single"/>
              </w:rPr>
              <w:t>seznam o cca 10 stranách</w:t>
            </w:r>
            <w:r w:rsidRPr="00646266">
              <w:rPr>
                <w:sz w:val="20"/>
                <w:szCs w:val="20"/>
              </w:rPr>
              <w:t xml:space="preserve">). Odůvodnění následně popisuje další postup v územním řízení, tedy oznámení o zahájení územního řízení, veřejné jednání či vydání rozhodnutí o umístění stavby, u kterého bylo ověřeno, že je v souladu s územním plánem a dalšími zákonem danými požadavky. Poslední část je opět tvořena seznamem námitek a odůvodněním způsobu jejich vypořádání.  </w:t>
            </w:r>
          </w:p>
          <w:p w:rsidR="00F16D67" w:rsidRPr="00646266" w:rsidRDefault="00F16D67" w:rsidP="003E4A5D">
            <w:pPr>
              <w:widowControl w:val="0"/>
              <w:rPr>
                <w:sz w:val="20"/>
                <w:szCs w:val="20"/>
              </w:rPr>
            </w:pPr>
            <w:r w:rsidRPr="00646266">
              <w:rPr>
                <w:sz w:val="20"/>
                <w:szCs w:val="20"/>
              </w:rPr>
              <w:t xml:space="preserve">Závěr rozhodnutí obsahuje poučení o odvolání a platnosti územního rozhodnutí, stejně jako seznam příloh k rozhodnutí a seznam všech subjektů, kterým bude územní </w:t>
            </w:r>
            <w:r w:rsidRPr="00A57A1B">
              <w:rPr>
                <w:b/>
                <w:sz w:val="20"/>
                <w:szCs w:val="20"/>
                <w:u w:val="single"/>
              </w:rPr>
              <w:t>rozhodnutí zasláno</w:t>
            </w:r>
            <w:r w:rsidRPr="00646266">
              <w:rPr>
                <w:sz w:val="20"/>
                <w:szCs w:val="20"/>
              </w:rPr>
              <w:t xml:space="preserve"> (ve zmíněném případě to bylo </w:t>
            </w:r>
            <w:r w:rsidRPr="00A57A1B">
              <w:rPr>
                <w:b/>
                <w:sz w:val="20"/>
                <w:szCs w:val="20"/>
                <w:u w:val="single"/>
              </w:rPr>
              <w:t>111 subjektů</w:t>
            </w:r>
            <w:r w:rsidRPr="00646266">
              <w:rPr>
                <w:sz w:val="20"/>
                <w:szCs w:val="20"/>
              </w:rPr>
              <w:t>).</w:t>
            </w:r>
          </w:p>
        </w:tc>
      </w:tr>
    </w:tbl>
    <w:p w:rsidR="00F16D67" w:rsidRPr="00F3403E" w:rsidRDefault="007A1D00" w:rsidP="003E4A5D">
      <w:pPr>
        <w:pStyle w:val="Zkladntext"/>
        <w:widowControl w:val="0"/>
        <w:tabs>
          <w:tab w:val="left" w:pos="284"/>
        </w:tabs>
      </w:pPr>
      <w:r>
        <w:lastRenderedPageBreak/>
        <w:t xml:space="preserve">V neposlední řadě je zde i </w:t>
      </w:r>
      <w:r w:rsidR="00F16D67" w:rsidRPr="007A1D00">
        <w:t xml:space="preserve">otázka míry kvalifikovanosti stavebních úřadů </w:t>
      </w:r>
      <w:r w:rsidR="00F16D67">
        <w:t>pro</w:t>
      </w:r>
      <w:r w:rsidR="00D268A4">
        <w:t xml:space="preserve"> </w:t>
      </w:r>
      <w:r w:rsidR="00F16D67">
        <w:t xml:space="preserve">posuzování takto složitých záměrů. </w:t>
      </w:r>
      <w:r w:rsidR="00F16D67" w:rsidRPr="00A120A2">
        <w:t xml:space="preserve">Územní řízení vedou </w:t>
      </w:r>
      <w:r w:rsidR="00B40A6D">
        <w:t xml:space="preserve">převážně </w:t>
      </w:r>
      <w:r w:rsidR="00F16D67" w:rsidRPr="00A120A2">
        <w:t>ob</w:t>
      </w:r>
      <w:r w:rsidR="00F16D67">
        <w:t>e</w:t>
      </w:r>
      <w:r w:rsidR="00F16D67" w:rsidRPr="00A120A2">
        <w:t>c</w:t>
      </w:r>
      <w:r w:rsidR="00F16D67">
        <w:t xml:space="preserve">né stavební úřady </w:t>
      </w:r>
      <w:r w:rsidR="00B40A6D">
        <w:t xml:space="preserve">na </w:t>
      </w:r>
      <w:r w:rsidR="00F16D67">
        <w:t>jednotlivých ob</w:t>
      </w:r>
      <w:r w:rsidR="00B40A6D">
        <w:t>e</w:t>
      </w:r>
      <w:r w:rsidR="00F16D67">
        <w:t>c</w:t>
      </w:r>
      <w:r w:rsidR="00B40A6D">
        <w:t>n</w:t>
      </w:r>
      <w:r w:rsidR="00F16D67">
        <w:t>ích</w:t>
      </w:r>
      <w:r w:rsidR="00B40A6D">
        <w:t xml:space="preserve"> úřadech</w:t>
      </w:r>
      <w:r w:rsidR="00214224">
        <w:t>.</w:t>
      </w:r>
      <w:r w:rsidR="00F16D67" w:rsidRPr="00A120A2">
        <w:t xml:space="preserve"> </w:t>
      </w:r>
      <w:r w:rsidR="00D422C7">
        <w:t>Stavební úřady na nižších typech obcí (obce I</w:t>
      </w:r>
      <w:r w:rsidR="00214224">
        <w:t>. typu</w:t>
      </w:r>
      <w:r w:rsidR="00D422C7">
        <w:t>) ve většině případů rozhodují o</w:t>
      </w:r>
      <w:r w:rsidR="00F16D67" w:rsidRPr="00A120A2">
        <w:t xml:space="preserve"> jednoduch</w:t>
      </w:r>
      <w:r w:rsidR="00D422C7">
        <w:t>ých</w:t>
      </w:r>
      <w:r w:rsidR="00F16D67" w:rsidRPr="00A120A2">
        <w:t xml:space="preserve"> případ</w:t>
      </w:r>
      <w:r w:rsidR="00D422C7">
        <w:t>ech</w:t>
      </w:r>
      <w:r w:rsidR="00F16D67">
        <w:t>.</w:t>
      </w:r>
      <w:r w:rsidR="00F16D67" w:rsidRPr="00A120A2">
        <w:t xml:space="preserve"> </w:t>
      </w:r>
    </w:p>
    <w:p w:rsidR="00F16D67" w:rsidRDefault="007A1D00" w:rsidP="003E4A5D">
      <w:pPr>
        <w:pStyle w:val="Zkladntext"/>
        <w:widowControl w:val="0"/>
        <w:tabs>
          <w:tab w:val="left" w:pos="284"/>
        </w:tabs>
      </w:pPr>
      <w:r>
        <w:t>U velkých projektů mohou být</w:t>
      </w:r>
      <w:r w:rsidR="00F16D67" w:rsidRPr="00F3403E">
        <w:t xml:space="preserve"> problémy spojen</w:t>
      </w:r>
      <w:r>
        <w:t>y i</w:t>
      </w:r>
      <w:r w:rsidR="00F16D67" w:rsidRPr="00F3403E">
        <w:t xml:space="preserve"> se </w:t>
      </w:r>
      <w:r w:rsidR="00F16D67" w:rsidRPr="007A1D00">
        <w:t>segmentací stavebního řízení</w:t>
      </w:r>
      <w:r w:rsidR="00507776">
        <w:t xml:space="preserve"> (především u </w:t>
      </w:r>
      <w:r>
        <w:t>projektů veřejné správy)</w:t>
      </w:r>
      <w:r w:rsidR="00F16D67" w:rsidRPr="007A1D00">
        <w:t>.</w:t>
      </w:r>
      <w:r w:rsidR="00F16D67" w:rsidRPr="00F3403E">
        <w:t xml:space="preserve"> K</w:t>
      </w:r>
      <w:r w:rsidR="00F16D67" w:rsidRPr="00A120A2">
        <w:t xml:space="preserve"> segmentaci stavebního řízení, tedy rozdělování staveb na dílčí stavební objekty, </w:t>
      </w:r>
      <w:r w:rsidR="00F16D67">
        <w:t xml:space="preserve">dochází </w:t>
      </w:r>
      <w:r w:rsidR="00F16D67" w:rsidRPr="00A120A2">
        <w:t xml:space="preserve">z důvodu rozdílného stavu přípravy jednotlivých částí stavby, a to zejména majetkoprávní přípravy. Z důvodu zachování platnosti předcházejících rozhodnutí investoři žádají o vydání stavebního povolení pro dílčí objekty, </w:t>
      </w:r>
      <w:r w:rsidR="00686D84" w:rsidRPr="00686D84">
        <w:t>například</w:t>
      </w:r>
      <w:r w:rsidR="00F16D67" w:rsidRPr="00A120A2">
        <w:t xml:space="preserve"> </w:t>
      </w:r>
      <w:r w:rsidR="00F16D67">
        <w:t>pro stavby, kde je</w:t>
      </w:r>
      <w:r w:rsidR="00F16D67" w:rsidRPr="00A120A2">
        <w:t xml:space="preserve"> již dokončeno majetkoprávní vypořádání pozemků, případně tam, kde nejsou problémy z hlediska ochrany přírody. Tento způsob realizace staveb </w:t>
      </w:r>
      <w:r w:rsidR="00D21555">
        <w:t>může být</w:t>
      </w:r>
      <w:r w:rsidR="00F16D67" w:rsidRPr="00A120A2">
        <w:t xml:space="preserve"> neefektivní a neumožňuj</w:t>
      </w:r>
      <w:r w:rsidR="00874EBC">
        <w:t>ící</w:t>
      </w:r>
      <w:r w:rsidR="00F16D67" w:rsidRPr="00A120A2">
        <w:t xml:space="preserve"> optimalizaci výstavbových kapacit dodavatelů a využití úspor z rozsahu.</w:t>
      </w:r>
      <w:r w:rsidR="00837A41" w:rsidRPr="00837A41">
        <w:t xml:space="preserve"> </w:t>
      </w:r>
    </w:p>
    <w:p w:rsidR="009203E6" w:rsidRPr="00CB3D2B" w:rsidRDefault="009203E6" w:rsidP="00FB38EE">
      <w:pPr>
        <w:pStyle w:val="Nadpis5"/>
      </w:pPr>
      <w:bookmarkStart w:id="29" w:name="_Toc535835927"/>
      <w:bookmarkStart w:id="30" w:name="_Toc536553903"/>
      <w:r w:rsidRPr="00CB3D2B">
        <w:t>Řízení o vyvlastnění</w:t>
      </w:r>
      <w:bookmarkEnd w:id="29"/>
      <w:bookmarkEnd w:id="30"/>
    </w:p>
    <w:p w:rsidR="009203E6" w:rsidRPr="00A120A2" w:rsidRDefault="009203E6" w:rsidP="009203E6">
      <w:pPr>
        <w:widowControl w:val="0"/>
      </w:pPr>
      <w:r w:rsidRPr="00A120A2">
        <w:t>Právní úprava institutu vyvlastnění není obsažena komplexně v jednom právním předpise. Zákon o vyvlastnění je sice samostatným vyvlastňovacím předpisem, ale plní pouze funkci předpisu obecného. Vyvlastnění ve smyslu tohoto zákona je odnětí, ale i omezení vlastnického práva nebo práva odpovídajícího věcnému břemenu k pozemku nebo ke stavbě pro dosažení účelu vyvlastnění stanoveného zvláštním zákonem.</w:t>
      </w:r>
      <w:r>
        <w:t xml:space="preserve"> </w:t>
      </w:r>
      <w:r w:rsidRPr="00A120A2">
        <w:t xml:space="preserve">Zákon o vyvlastnění obsahuje normy hmotněprávní i procesně právní. Hmotněprávní úprava se týká ustanovení </w:t>
      </w:r>
      <w:r w:rsidR="00686D84" w:rsidRPr="00686D84">
        <w:t>například</w:t>
      </w:r>
      <w:r w:rsidRPr="00A120A2">
        <w:t xml:space="preserve"> o podmínkách vyvlastnění, práv třetích osob či náhrad při vyvlastnění. Procesně je zde upraveno vyvlastňovací řízení, kter</w:t>
      </w:r>
      <w:r>
        <w:t>é má statut zvláštního správního řízení</w:t>
      </w:r>
      <w:r w:rsidRPr="00A120A2">
        <w:t xml:space="preserve">. </w:t>
      </w:r>
    </w:p>
    <w:p w:rsidR="009203E6" w:rsidRPr="00A120A2" w:rsidRDefault="009203E6" w:rsidP="009203E6">
      <w:pPr>
        <w:widowControl w:val="0"/>
      </w:pPr>
      <w:r w:rsidRPr="00A120A2">
        <w:t>Aby mohlo dojít k vyvlastnění, musí být současně napln</w:t>
      </w:r>
      <w:r w:rsidR="00507776">
        <w:t>ěny podmínky uvedené v zákoně o </w:t>
      </w:r>
      <w:r w:rsidRPr="00A120A2">
        <w:t>vyvlastnění. Vyvlastnění je tedy přípustné:</w:t>
      </w:r>
    </w:p>
    <w:p w:rsidR="009203E6" w:rsidRPr="00A120A2" w:rsidRDefault="009203E6" w:rsidP="009D4B5F">
      <w:pPr>
        <w:pStyle w:val="Odstavecseseznamem"/>
        <w:widowControl w:val="0"/>
        <w:numPr>
          <w:ilvl w:val="0"/>
          <w:numId w:val="59"/>
        </w:numPr>
      </w:pPr>
      <w:r w:rsidRPr="00A120A2">
        <w:t>jen pro účel vyvlastnění stanovený zvláštním zákonem;</w:t>
      </w:r>
    </w:p>
    <w:p w:rsidR="009203E6" w:rsidRPr="00A120A2" w:rsidRDefault="009203E6" w:rsidP="009D4B5F">
      <w:pPr>
        <w:pStyle w:val="Odstavecseseznamem"/>
        <w:widowControl w:val="0"/>
        <w:numPr>
          <w:ilvl w:val="0"/>
          <w:numId w:val="59"/>
        </w:numPr>
      </w:pPr>
      <w:r w:rsidRPr="00A120A2">
        <w:t>jestliže veřejný zájem na dosažení tohoto účelu převažuje nad zachováním dosavadních práv vyvlastňovaného;</w:t>
      </w:r>
    </w:p>
    <w:p w:rsidR="009203E6" w:rsidRPr="00A120A2" w:rsidRDefault="009203E6" w:rsidP="009D4B5F">
      <w:pPr>
        <w:pStyle w:val="Odstavecseseznamem"/>
        <w:widowControl w:val="0"/>
        <w:numPr>
          <w:ilvl w:val="0"/>
          <w:numId w:val="59"/>
        </w:numPr>
      </w:pPr>
      <w:r w:rsidRPr="00A120A2">
        <w:lastRenderedPageBreak/>
        <w:t>pokud stanoveného účelu nelze dosáhnout jinak;</w:t>
      </w:r>
    </w:p>
    <w:p w:rsidR="009203E6" w:rsidRPr="00A120A2" w:rsidRDefault="009203E6" w:rsidP="009D4B5F">
      <w:pPr>
        <w:pStyle w:val="Odstavecseseznamem"/>
        <w:widowControl w:val="0"/>
        <w:numPr>
          <w:ilvl w:val="0"/>
          <w:numId w:val="59"/>
        </w:numPr>
      </w:pPr>
      <w:r w:rsidRPr="00A120A2">
        <w:t>účel vyvlastnění musí být v souladu s cíli a úkoly územního plánování</w:t>
      </w:r>
      <w:r w:rsidR="005D728A">
        <w:t xml:space="preserve"> v případě, že se vyvlastnění týká staveb</w:t>
      </w:r>
      <w:r w:rsidRPr="00A120A2">
        <w:t>;</w:t>
      </w:r>
    </w:p>
    <w:p w:rsidR="009203E6" w:rsidRPr="00A120A2" w:rsidRDefault="009203E6" w:rsidP="009D4B5F">
      <w:pPr>
        <w:pStyle w:val="Odstavecseseznamem"/>
        <w:widowControl w:val="0"/>
        <w:numPr>
          <w:ilvl w:val="0"/>
          <w:numId w:val="59"/>
        </w:numPr>
      </w:pPr>
      <w:r w:rsidRPr="00A120A2">
        <w:t>pouze v takovém rozsahu, který je nezbytný pro dosažení jeho účelu;</w:t>
      </w:r>
    </w:p>
    <w:p w:rsidR="009203E6" w:rsidRPr="00A120A2" w:rsidRDefault="009203E6" w:rsidP="009D4B5F">
      <w:pPr>
        <w:pStyle w:val="Odstavecseseznamem"/>
        <w:widowControl w:val="0"/>
        <w:numPr>
          <w:ilvl w:val="0"/>
          <w:numId w:val="59"/>
        </w:numPr>
      </w:pPr>
      <w:r w:rsidRPr="00A120A2">
        <w:t>za náhradu.</w:t>
      </w:r>
    </w:p>
    <w:p w:rsidR="009203E6" w:rsidRPr="00A120A2" w:rsidRDefault="009203E6" w:rsidP="009203E6">
      <w:pPr>
        <w:widowControl w:val="0"/>
      </w:pPr>
      <w:r w:rsidRPr="00A120A2">
        <w:t xml:space="preserve">Věcně příslušnými orgány k rozhodování ve vyvlastňovacím </w:t>
      </w:r>
      <w:r>
        <w:t>řízení jsou vyvlastňovací úřady (</w:t>
      </w:r>
      <w:r w:rsidR="0025562E" w:rsidRPr="0025562E">
        <w:t>OÚ ORP</w:t>
      </w:r>
      <w:r w:rsidRPr="00A120A2">
        <w:t xml:space="preserve"> nebo magistráty územně členěných statutárních měst a Magistrát hlavního města Prahy</w:t>
      </w:r>
      <w:r>
        <w:t>)</w:t>
      </w:r>
      <w:r w:rsidRPr="00A120A2">
        <w:t xml:space="preserve">. Ústředním orgánem ve věcech vyvlastnění je </w:t>
      </w:r>
      <w:r>
        <w:t>MMR</w:t>
      </w:r>
      <w:r w:rsidRPr="00A120A2">
        <w:t>.</w:t>
      </w:r>
      <w:r>
        <w:t xml:space="preserve"> </w:t>
      </w:r>
      <w:r w:rsidRPr="00A120A2">
        <w:t>Místně příslušný je vyvlastňovací úřad, v jehož správním obvodu (území) se nachází pozemek nebo stavba, jichž se vyvlastnění týká. Dojde-li ke kompetenčním sporům, rozhoduje nejblíže společně nadřízený správní orgán usnesením, který vyvlastňovací úřad řízení provede.</w:t>
      </w:r>
    </w:p>
    <w:p w:rsidR="009203E6" w:rsidRDefault="009203E6" w:rsidP="009203E6">
      <w:pPr>
        <w:widowControl w:val="0"/>
      </w:pPr>
      <w:r>
        <w:t>Specifika řízení:</w:t>
      </w:r>
    </w:p>
    <w:p w:rsidR="009203E6" w:rsidRDefault="009203E6" w:rsidP="009D4B5F">
      <w:pPr>
        <w:pStyle w:val="Odstavecseseznamem"/>
        <w:widowControl w:val="0"/>
        <w:numPr>
          <w:ilvl w:val="0"/>
          <w:numId w:val="59"/>
        </w:numPr>
      </w:pPr>
      <w:r>
        <w:t>p</w:t>
      </w:r>
      <w:r w:rsidRPr="00A120A2">
        <w:t>o zahájení řízení jsou právní úkony, kterými by se vyvlastňovaný pokusil vyvlastňovaný pozemek nebo stavb</w:t>
      </w:r>
      <w:r w:rsidR="00874EBC">
        <w:t>u</w:t>
      </w:r>
      <w:r w:rsidRPr="00A120A2">
        <w:t xml:space="preserve"> převést, pronajmout nebo jinak zatížit neplatné</w:t>
      </w:r>
      <w:r>
        <w:t>;</w:t>
      </w:r>
      <w:r w:rsidRPr="00A120A2">
        <w:t xml:space="preserve"> </w:t>
      </w:r>
    </w:p>
    <w:p w:rsidR="009203E6" w:rsidRDefault="009203E6" w:rsidP="009D4B5F">
      <w:pPr>
        <w:pStyle w:val="Odstavecseseznamem"/>
        <w:widowControl w:val="0"/>
        <w:numPr>
          <w:ilvl w:val="0"/>
          <w:numId w:val="59"/>
        </w:numPr>
      </w:pPr>
      <w:r>
        <w:t>z</w:t>
      </w:r>
      <w:r w:rsidRPr="00A120A2">
        <w:t>a omezení vlastníka v dispozici s předmětem vyvlastnění ukládá zákon vyvlastniteli povinnost poskytnout vyvlastňovanému náhradu v prokázané výš</w:t>
      </w:r>
      <w:r>
        <w:t>i újmy způsobené tímto omezením;</w:t>
      </w:r>
    </w:p>
    <w:p w:rsidR="009203E6" w:rsidRDefault="009203E6" w:rsidP="009D4B5F">
      <w:pPr>
        <w:pStyle w:val="Odstavecseseznamem"/>
        <w:widowControl w:val="0"/>
        <w:numPr>
          <w:ilvl w:val="0"/>
          <w:numId w:val="59"/>
        </w:numPr>
      </w:pPr>
      <w:r w:rsidRPr="00FC3C9B">
        <w:t>výroková část rozhodnutí je rozdělena do dvou skupin výroků, a to na výroky o vyvlastnění práv k pozemku nebo ke stavbě a na výroky o náhradě za vyvlastnění</w:t>
      </w:r>
      <w:r>
        <w:t>;</w:t>
      </w:r>
    </w:p>
    <w:p w:rsidR="009203E6" w:rsidRDefault="009203E6" w:rsidP="009D4B5F">
      <w:pPr>
        <w:pStyle w:val="Odstavecseseznamem"/>
        <w:widowControl w:val="0"/>
        <w:numPr>
          <w:ilvl w:val="0"/>
          <w:numId w:val="59"/>
        </w:numPr>
      </w:pPr>
      <w:r>
        <w:t>v</w:t>
      </w:r>
      <w:r w:rsidRPr="00A120A2">
        <w:t>e výrocích týkajících se vyvlastnění práv k pozemku nebo ke stavbě rozhodne vyvlastňovací úřad o rozsahu, v jakém se vyvlastňuje</w:t>
      </w:r>
      <w:r w:rsidR="00874EBC">
        <w:t>;</w:t>
      </w:r>
    </w:p>
    <w:p w:rsidR="009203E6" w:rsidRDefault="009203E6" w:rsidP="009D4B5F">
      <w:pPr>
        <w:pStyle w:val="Odstavecseseznamem"/>
        <w:widowControl w:val="0"/>
        <w:numPr>
          <w:ilvl w:val="0"/>
          <w:numId w:val="59"/>
        </w:numPr>
      </w:pPr>
      <w:r>
        <w:t>v</w:t>
      </w:r>
      <w:r w:rsidRPr="00A120A2">
        <w:t>ýrokové části týkající se náhrady za vyvlastnění stanoví výš</w:t>
      </w:r>
      <w:r w:rsidR="00507776">
        <w:t>i náhrady pro vyvlastňovaného a </w:t>
      </w:r>
      <w:r w:rsidRPr="00A120A2">
        <w:t>oprávněného z věcného břemene, jejichž práva daným rozhodnutím zanikají</w:t>
      </w:r>
      <w:r>
        <w:t>;</w:t>
      </w:r>
    </w:p>
    <w:p w:rsidR="009203E6" w:rsidRDefault="009203E6" w:rsidP="009D4B5F">
      <w:pPr>
        <w:pStyle w:val="Odstavecseseznamem"/>
        <w:widowControl w:val="0"/>
        <w:numPr>
          <w:ilvl w:val="0"/>
          <w:numId w:val="59"/>
        </w:numPr>
      </w:pPr>
      <w:r>
        <w:t>v</w:t>
      </w:r>
      <w:r w:rsidRPr="00A120A2">
        <w:t xml:space="preserve"> případě, že bude podáno </w:t>
      </w:r>
      <w:r>
        <w:t xml:space="preserve">odvolání proti </w:t>
      </w:r>
      <w:r w:rsidRPr="00A120A2">
        <w:t>výrokům</w:t>
      </w:r>
      <w:r>
        <w:t xml:space="preserve"> týkajícím se náhrady</w:t>
      </w:r>
      <w:r w:rsidRPr="00A120A2">
        <w:t xml:space="preserve">, nemá </w:t>
      </w:r>
      <w:r>
        <w:t xml:space="preserve">toto odvolání </w:t>
      </w:r>
      <w:r w:rsidRPr="00A120A2">
        <w:t xml:space="preserve">na rozdíl od případu týkajícího se výrokové části vztahující se k vyvlastnění práv, odkladný účinek na ostatní výroky rozhodnutí. </w:t>
      </w:r>
    </w:p>
    <w:p w:rsidR="009203E6" w:rsidRPr="00A120A2" w:rsidRDefault="009203E6" w:rsidP="009203E6">
      <w:pPr>
        <w:widowControl w:val="0"/>
      </w:pPr>
      <w:r w:rsidRPr="00A120A2">
        <w:t>Zákon o vyvlastn</w:t>
      </w:r>
      <w:r w:rsidR="00F76ADF">
        <w:t xml:space="preserve">ění </w:t>
      </w:r>
      <w:r w:rsidRPr="00A120A2">
        <w:t xml:space="preserve">připouští možnost zrušení vyvlastnění, a </w:t>
      </w:r>
      <w:r w:rsidR="00F76ADF">
        <w:t>to na žádost vyvlastňovaného. V </w:t>
      </w:r>
      <w:r w:rsidRPr="00A120A2">
        <w:t xml:space="preserve">případě, že vyvlastňovací úřad vydá rozhodnutí o vyvlastnění a následné odvolání účastníka je neúspěšné, </w:t>
      </w:r>
      <w:r>
        <w:t>má účastník</w:t>
      </w:r>
      <w:r w:rsidRPr="00A120A2">
        <w:t xml:space="preserve"> dále možnost projednání vyvlastnění v řízení před soudem. Pokud podá žalobu proti výrokům vztahujícím se k vyvlastnění práv k pozemku nebo ke stavbě vyvlastňovaný, má tato žaloba automaticky odkladný účinek. Jestliže bude žaloba podána jinými účastníky řízení než vyvlastňovaným, odkladný účinek nemá, čímž ovšem není dotčena možnost soudu tento odkladný účinek usnesením žalobě přiznat. </w:t>
      </w:r>
    </w:p>
    <w:p w:rsidR="009203E6" w:rsidRPr="00A120A2" w:rsidRDefault="009203E6" w:rsidP="009203E6">
      <w:pPr>
        <w:widowControl w:val="0"/>
      </w:pPr>
      <w:r w:rsidRPr="00A120A2">
        <w:t>Pokud nedojde k zamítnutí žaloby, mohou soudy rozhodnout tímto způsobem:</w:t>
      </w:r>
    </w:p>
    <w:p w:rsidR="009203E6" w:rsidRPr="00A120A2" w:rsidRDefault="009203E6" w:rsidP="009D4B5F">
      <w:pPr>
        <w:pStyle w:val="Odstavecseseznamem"/>
        <w:widowControl w:val="0"/>
        <w:numPr>
          <w:ilvl w:val="0"/>
          <w:numId w:val="60"/>
        </w:numPr>
      </w:pPr>
      <w:r w:rsidRPr="00A120A2">
        <w:t>žalob</w:t>
      </w:r>
      <w:r>
        <w:t>ě</w:t>
      </w:r>
      <w:r w:rsidRPr="00A120A2">
        <w:t xml:space="preserve"> proti výrokům vztahujícím se k vyvlastnění soud vyho</w:t>
      </w:r>
      <w:r w:rsidR="00F76ADF">
        <w:t>ví, napadené rozhodnutí zruší a </w:t>
      </w:r>
      <w:r w:rsidRPr="00A120A2">
        <w:t>věc vrátí vyvlastňovacímu úřadu se závazným právním názorem k dalšímu řízení</w:t>
      </w:r>
      <w:r>
        <w:t>;</w:t>
      </w:r>
    </w:p>
    <w:p w:rsidR="009203E6" w:rsidRPr="00A120A2" w:rsidRDefault="009203E6" w:rsidP="009D4B5F">
      <w:pPr>
        <w:pStyle w:val="Odstavecseseznamem"/>
        <w:widowControl w:val="0"/>
        <w:numPr>
          <w:ilvl w:val="0"/>
          <w:numId w:val="60"/>
        </w:numPr>
      </w:pPr>
      <w:r>
        <w:t xml:space="preserve">v případě </w:t>
      </w:r>
      <w:r w:rsidRPr="00A120A2">
        <w:t>žalob</w:t>
      </w:r>
      <w:r>
        <w:t>y</w:t>
      </w:r>
      <w:r w:rsidRPr="00A120A2">
        <w:t xml:space="preserve"> pod</w:t>
      </w:r>
      <w:r>
        <w:t>a</w:t>
      </w:r>
      <w:r w:rsidRPr="00A120A2">
        <w:t>n</w:t>
      </w:r>
      <w:r>
        <w:t>é</w:t>
      </w:r>
      <w:r w:rsidRPr="00A120A2">
        <w:t xml:space="preserve"> proti výrokům o náhradě soud rozhodne ve věci samé rozsudkem, který nahrazuje rozhodnutí vyvlastňovacího úřadu v takovém rozsahu, v jakém je rozsudkem soudu dotčeno.</w:t>
      </w:r>
    </w:p>
    <w:p w:rsidR="009203E6" w:rsidRPr="00A120A2" w:rsidRDefault="009203E6" w:rsidP="009203E6">
      <w:pPr>
        <w:pStyle w:val="Zkladntext"/>
        <w:widowControl w:val="0"/>
        <w:tabs>
          <w:tab w:val="left" w:pos="284"/>
        </w:tabs>
      </w:pPr>
      <w:r w:rsidRPr="00A120A2">
        <w:t>Dalším prostředkem ochrany může být ústavní stížnost, a to s ohledem na fakt, že institut vyvlastnění zasahuje do vlastnického práva, které je jední</w:t>
      </w:r>
      <w:r>
        <w:t>m ze základních lidských práv. (</w:t>
      </w:r>
      <w:r w:rsidRPr="00DD7551">
        <w:rPr>
          <w:i/>
        </w:rPr>
        <w:t xml:space="preserve">Zdroj: </w:t>
      </w:r>
      <w:r w:rsidRPr="009203E6">
        <w:rPr>
          <w:i/>
        </w:rPr>
        <w:t xml:space="preserve">Hodnocení dopadů regulace (RIA) k novele zákona </w:t>
      </w:r>
      <w:r w:rsidR="00BA30EC">
        <w:rPr>
          <w:i/>
        </w:rPr>
        <w:t>stávajícího stavebního zákona (</w:t>
      </w:r>
      <w:r>
        <w:rPr>
          <w:i/>
        </w:rPr>
        <w:t>2016</w:t>
      </w:r>
      <w:r>
        <w:t xml:space="preserve">) </w:t>
      </w:r>
    </w:p>
    <w:p w:rsidR="00297D3D" w:rsidRPr="00297D3D" w:rsidRDefault="00297D3D" w:rsidP="00FB3A0E">
      <w:pPr>
        <w:pStyle w:val="Nadpis5"/>
      </w:pPr>
      <w:bookmarkStart w:id="31" w:name="_Toc536553904"/>
      <w:r w:rsidRPr="00297D3D">
        <w:t xml:space="preserve">Problém </w:t>
      </w:r>
      <w:r w:rsidR="00855025">
        <w:t xml:space="preserve">systémové </w:t>
      </w:r>
      <w:r w:rsidRPr="00297D3D">
        <w:t>podjatosti</w:t>
      </w:r>
      <w:bookmarkEnd w:id="31"/>
      <w:r w:rsidRPr="00297D3D">
        <w:t xml:space="preserve">  </w:t>
      </w:r>
    </w:p>
    <w:p w:rsidR="00297D3D" w:rsidRDefault="00297D3D" w:rsidP="003E4A5D">
      <w:pPr>
        <w:widowControl w:val="0"/>
      </w:pPr>
      <w:r>
        <w:t>„Systémovou podjatostí správního orgánu se rozumí situace, kdy z rozhodování o určité věci musí být vyloučeny všechny úřední osoby příslušného správního</w:t>
      </w:r>
      <w:r w:rsidR="00F76ADF">
        <w:t xml:space="preserve"> orgánu, včetně osoby stojící </w:t>
      </w:r>
      <w:r w:rsidR="00F76ADF">
        <w:lastRenderedPageBreak/>
        <w:t>v </w:t>
      </w:r>
      <w:r>
        <w:t xml:space="preserve">čele orgánu, a to pro jejich služební či zaměstnanecký poměr k subjektu veřejné správy (zpravidla obci či kraji), který má na výsledku příslušného správního řízení takový zájem, že existuje reálné riziko, že by jejich postoj k věci mohl být ovlivněn i jinými než zákonnými hledisky. Jako nejčastější příklad systémové podjatosti bývají uváděny stavební úřady, kde úředníci stavebních úřadů coby zaměstnanci obcí v rámci výkonu přenesené státní správy často rozhodují o záměrech, na jejichž povolení má příslušná obec konkrétní zájem. Tyto obce přitom bývají </w:t>
      </w:r>
      <w:r w:rsidR="00873098">
        <w:t xml:space="preserve">pravidelně i </w:t>
      </w:r>
      <w:r>
        <w:t>účastníkem příslušného správního řízení</w:t>
      </w:r>
      <w:r w:rsidR="00873098">
        <w:t xml:space="preserve">, a to buď </w:t>
      </w:r>
      <w:r w:rsidR="00B43083">
        <w:t xml:space="preserve">ze zákona nebo </w:t>
      </w:r>
      <w:r w:rsidR="00873098">
        <w:t>jako stavebníci</w:t>
      </w:r>
      <w:r>
        <w:t xml:space="preserve">. Tím může být narušena nestrannost rozhodování příslušných úředníků stavebních úřadů </w:t>
      </w:r>
      <w:r w:rsidR="00B43083">
        <w:t>v </w:t>
      </w:r>
      <w:r>
        <w:t>důsledku jejich závislosti na obci jako zaměstnavateli.“ (</w:t>
      </w:r>
      <w:r w:rsidRPr="00365A23">
        <w:rPr>
          <w:i/>
        </w:rPr>
        <w:t xml:space="preserve">Zdroj: </w:t>
      </w:r>
      <w:hyperlink r:id="rId25" w:history="1">
        <w:r w:rsidRPr="00365A23">
          <w:rPr>
            <w:rStyle w:val="Hypertextovodkaz"/>
            <w:i/>
          </w:rPr>
          <w:t>www.pravniprostor.cz/clanky/spravni-pravo/ht-konec-namitkam-systemove-podjatosti</w:t>
        </w:r>
      </w:hyperlink>
      <w:r>
        <w:t>)</w:t>
      </w:r>
      <w:r w:rsidR="00E31F9D">
        <w:t>.</w:t>
      </w:r>
    </w:p>
    <w:p w:rsidR="00297D3D" w:rsidRDefault="00297D3D" w:rsidP="003E4A5D">
      <w:pPr>
        <w:widowControl w:val="0"/>
      </w:pPr>
      <w:r>
        <w:t>Základním problémem, na jehož vyřešení se zaměřuje i tato RIA i jí hodnocený návrh právního předpisu, je konflikt zájmů, do kterého se dostávají úředníci vykonávající v přenesené působnosti agendu obecných</w:t>
      </w:r>
      <w:r w:rsidR="00E31F9D">
        <w:t xml:space="preserve"> a</w:t>
      </w:r>
      <w:r>
        <w:t xml:space="preserve"> speciálních stavebních úřadů, vyvlastňovacích úřadů a ty agendy územního plánování, které spadají do přenesené působnosti. Tito úředníci jsou zaměstnanci územn</w:t>
      </w:r>
      <w:r w:rsidR="00E31F9D">
        <w:t>ích</w:t>
      </w:r>
      <w:r>
        <w:t xml:space="preserve"> samosprávných celků – obcí a krajů – avšak vykonávají agendu v přenesené působnosti jménem státu. Zatímco v případě celé řady agend vykonávaných rovněž v přenesené působnosti nemusí být postavení úředníka, jakožto vykonavatele přenesené působnosti a současně zaměstnance obce či kraje, problém, v případě řízení </w:t>
      </w:r>
      <w:r w:rsidR="00B43083">
        <w:t xml:space="preserve">podle stavebního zákona </w:t>
      </w:r>
      <w:r>
        <w:t xml:space="preserve">úředník v řadě situací stojí proti svému zaměstnavateli. V takovýchto případech se úředník dostává do obtížné situace – ve vztahu ke svému zaměstnavateli (který může ovlivnit jeho osobní ohodnocení aj.), ale i vůči jakékoliv třetí straně, která může jednání úředníka ve vztahu ke kraji nebo obci, která ho zaměstnává, vždy považovat za podjaté. </w:t>
      </w:r>
    </w:p>
    <w:p w:rsidR="00297D3D" w:rsidRDefault="00297D3D" w:rsidP="003E4A5D">
      <w:pPr>
        <w:widowControl w:val="0"/>
      </w:pPr>
      <w:r>
        <w:t>O tom, že je výše popsaná situace problémem, svědčí i soudní spory týkající se podjatosti</w:t>
      </w:r>
      <w:r w:rsidR="00507776">
        <w:t xml:space="preserve"> a </w:t>
      </w:r>
      <w:r w:rsidR="00357FCD">
        <w:t>využívání i zneužívání námitek systémové pojatosti celých stavebních úřadů</w:t>
      </w:r>
      <w:r>
        <w:t xml:space="preserve">. </w:t>
      </w:r>
    </w:p>
    <w:p w:rsidR="00297D3D" w:rsidRPr="00E05F37" w:rsidRDefault="00297D3D" w:rsidP="0089559F">
      <w:pPr>
        <w:widowControl w:val="0"/>
      </w:pPr>
      <w:r>
        <w:t xml:space="preserve">Z vyhodnocení provedeného v rámci </w:t>
      </w:r>
      <w:r w:rsidR="004A734C" w:rsidRPr="004A734C">
        <w:t>Analýz</w:t>
      </w:r>
      <w:r w:rsidR="004A734C">
        <w:t>y</w:t>
      </w:r>
      <w:r w:rsidR="004A734C" w:rsidRPr="004A734C">
        <w:t xml:space="preserve"> stavu na úseku územního plánování a stavebního řádu (Analýza 2012-2014)</w:t>
      </w:r>
      <w:r>
        <w:t xml:space="preserve"> dále vyplývá, že v oblasti řízení </w:t>
      </w:r>
      <w:r w:rsidR="004A734C">
        <w:t xml:space="preserve">před stavebním úřadem </w:t>
      </w:r>
      <w:r>
        <w:t>se vyskytuje ještě několik dalších problémů, které vyplývají ze struktury a fungování úřadů ve stávající podobě a které navrhovaná právní úprava může do jisté míry vyřešit. Těmito problémy jsou: (i) roztříštěnost struktury úřadů a jejich řízení, (</w:t>
      </w:r>
      <w:proofErr w:type="spellStart"/>
      <w:r>
        <w:t>ii</w:t>
      </w:r>
      <w:proofErr w:type="spellEnd"/>
      <w:r w:rsidR="00507776">
        <w:t>) kombinace výkonu samostatné a </w:t>
      </w:r>
      <w:r>
        <w:t>přenesené působnosti u konkrétních úředníků, (</w:t>
      </w:r>
      <w:proofErr w:type="spellStart"/>
      <w:r>
        <w:t>iii</w:t>
      </w:r>
      <w:proofErr w:type="spellEnd"/>
      <w:r>
        <w:t>) nedostatečnost metodické podpory ze strany nadřízených orgánů, (</w:t>
      </w:r>
      <w:proofErr w:type="spellStart"/>
      <w:r>
        <w:t>iv</w:t>
      </w:r>
      <w:proofErr w:type="spellEnd"/>
      <w:r>
        <w:t>) netransparentnost ve využívání finančních příspěvků na činnost úřadů, (v) vysoká míra nezákonnosti v rozhodování úřadů (méně než 50</w:t>
      </w:r>
      <w:r w:rsidR="00365A23">
        <w:t xml:space="preserve"> </w:t>
      </w:r>
      <w:r>
        <w:t xml:space="preserve">% stavebních povolení napadených odvoláním je potvrzeno, přičemž nejkritičtější je situace u nejmenších stavebních úřadů na obcích </w:t>
      </w:r>
      <w:r w:rsidR="00DD13D4">
        <w:t>I</w:t>
      </w:r>
      <w:r>
        <w:t>. typu).</w:t>
      </w:r>
    </w:p>
    <w:p w:rsidR="002D3B15" w:rsidRPr="008B42BE" w:rsidRDefault="002D3B15" w:rsidP="003E4A5D">
      <w:pPr>
        <w:pStyle w:val="Nadpis2"/>
        <w:keepNext w:val="0"/>
        <w:widowControl w:val="0"/>
        <w:rPr>
          <w:rFonts w:eastAsia="Calibri"/>
        </w:rPr>
      </w:pPr>
      <w:bookmarkStart w:id="32" w:name="_Toc536553905"/>
      <w:r w:rsidRPr="008B42BE">
        <w:rPr>
          <w:rFonts w:eastAsia="Calibri"/>
        </w:rPr>
        <w:t>Popis existujícího právního stavu v dané oblasti</w:t>
      </w:r>
      <w:bookmarkEnd w:id="32"/>
      <w:r w:rsidRPr="008B42BE">
        <w:rPr>
          <w:rFonts w:eastAsia="Calibri"/>
        </w:rPr>
        <w:t xml:space="preserve"> </w:t>
      </w:r>
    </w:p>
    <w:p w:rsidR="00FB3A0E" w:rsidRDefault="004A734C" w:rsidP="00FB3A0E">
      <w:pPr>
        <w:pStyle w:val="Text-Normaln"/>
        <w:widowControl w:val="0"/>
      </w:pPr>
      <w:r>
        <w:t>MMR</w:t>
      </w:r>
      <w:r w:rsidR="00FB3A0E">
        <w:t xml:space="preserve"> uvádí v materiálu „Rekodifikace veřejného stavebního práva – právní okolí stavebního zákona, roztříštěnost veřejného staveb</w:t>
      </w:r>
      <w:r w:rsidR="00507776">
        <w:t>ního práva v České republice“ z </w:t>
      </w:r>
      <w:r w:rsidR="00FB3A0E">
        <w:t>27. července 2018 potřebu změny až 100 jiných zákonů. Aby</w:t>
      </w:r>
      <w:r w:rsidR="00DD13D4">
        <w:t xml:space="preserve"> </w:t>
      </w:r>
      <w:r w:rsidR="00FB3A0E">
        <w:t xml:space="preserve">RIA, která by měla cílit především na identifikaci věcných </w:t>
      </w:r>
      <w:r w:rsidR="00DD13D4">
        <w:t>a </w:t>
      </w:r>
      <w:r w:rsidR="00FB3A0E">
        <w:t xml:space="preserve">ekonomických dopadů na jednotlivé dotčené strany, </w:t>
      </w:r>
      <w:r w:rsidR="00DD13D4">
        <w:t xml:space="preserve">nebyla zahlcena </w:t>
      </w:r>
      <w:r w:rsidR="00FB3A0E">
        <w:t xml:space="preserve">záplavou textu, </w:t>
      </w:r>
      <w:r w:rsidR="00DD13D4">
        <w:t>je níže uveden</w:t>
      </w:r>
      <w:r w:rsidR="00697784">
        <w:t>,</w:t>
      </w:r>
      <w:r w:rsidR="00DD13D4">
        <w:t xml:space="preserve"> </w:t>
      </w:r>
      <w:r w:rsidR="00FB3A0E">
        <w:t>pro naznačení rozsahu a složitost problému</w:t>
      </w:r>
      <w:r w:rsidR="00697784">
        <w:t>,</w:t>
      </w:r>
      <w:r w:rsidR="00FB3A0E">
        <w:t xml:space="preserve"> </w:t>
      </w:r>
      <w:r w:rsidR="009E2357">
        <w:t xml:space="preserve">demonstrativní </w:t>
      </w:r>
      <w:r w:rsidR="00FB3A0E">
        <w:t xml:space="preserve">seznam klíčových předpisů, kterých se případná rekodifikace </w:t>
      </w:r>
      <w:r>
        <w:t xml:space="preserve">zejména </w:t>
      </w:r>
      <w:r w:rsidR="00FB3A0E">
        <w:t>dotkne.</w:t>
      </w:r>
    </w:p>
    <w:p w:rsidR="00114F8D" w:rsidRDefault="00114F8D" w:rsidP="00C873B4">
      <w:pPr>
        <w:pStyle w:val="Text-Normaln"/>
        <w:widowControl w:val="0"/>
        <w:numPr>
          <w:ilvl w:val="0"/>
          <w:numId w:val="65"/>
        </w:numPr>
        <w:ind w:left="284" w:hanging="284"/>
      </w:pPr>
      <w:r>
        <w:t xml:space="preserve">Zákon č. 183/2006 Sb., </w:t>
      </w:r>
      <w:r w:rsidRPr="00114F8D">
        <w:t>o územním plánování a stavebním řádu (stavební zákon)</w:t>
      </w:r>
      <w:r>
        <w:t>, ve znění pozdějších předpisů;</w:t>
      </w:r>
    </w:p>
    <w:p w:rsidR="004540F4" w:rsidRDefault="004540F4" w:rsidP="00C873B4">
      <w:pPr>
        <w:pStyle w:val="Text-Normaln"/>
        <w:widowControl w:val="0"/>
        <w:numPr>
          <w:ilvl w:val="0"/>
          <w:numId w:val="65"/>
        </w:numPr>
        <w:ind w:left="284" w:hanging="284"/>
      </w:pPr>
      <w:r>
        <w:t xml:space="preserve">Zákon č. 2/1969 Sb., o zřízení ministerstev a jiných ústředních orgánů státní správy České republiky (kompetenční zákon), ve znění pozdějších předpisů; </w:t>
      </w:r>
    </w:p>
    <w:p w:rsidR="004540F4" w:rsidRDefault="004540F4" w:rsidP="00C873B4">
      <w:pPr>
        <w:pStyle w:val="Text-Normaln"/>
        <w:widowControl w:val="0"/>
        <w:numPr>
          <w:ilvl w:val="0"/>
          <w:numId w:val="65"/>
        </w:numPr>
        <w:ind w:left="284" w:hanging="284"/>
      </w:pPr>
      <w:r>
        <w:t xml:space="preserve">Zákon č. 128/2000 Sb., o obcích (obecní zřízení), ve znění pozdějších předpisů; </w:t>
      </w:r>
    </w:p>
    <w:p w:rsidR="004540F4" w:rsidRDefault="004540F4" w:rsidP="00C873B4">
      <w:pPr>
        <w:pStyle w:val="Text-Normaln"/>
        <w:widowControl w:val="0"/>
        <w:numPr>
          <w:ilvl w:val="0"/>
          <w:numId w:val="65"/>
        </w:numPr>
        <w:ind w:left="284" w:hanging="284"/>
      </w:pPr>
      <w:r>
        <w:t xml:space="preserve">Zákon č. 129/2000 Sb., o krajích (krajské zřízení), ve znění pozdějších předpisů; </w:t>
      </w:r>
    </w:p>
    <w:p w:rsidR="004540F4" w:rsidRDefault="004540F4" w:rsidP="00C873B4">
      <w:pPr>
        <w:pStyle w:val="Text-Normaln"/>
        <w:widowControl w:val="0"/>
        <w:numPr>
          <w:ilvl w:val="0"/>
          <w:numId w:val="65"/>
        </w:numPr>
        <w:ind w:left="284" w:hanging="284"/>
      </w:pPr>
      <w:r>
        <w:lastRenderedPageBreak/>
        <w:t xml:space="preserve">Zákon č. 131/2000 Sb., o hlavním městě Praze, ve znění pozdějších předpisů; </w:t>
      </w:r>
    </w:p>
    <w:p w:rsidR="004540F4" w:rsidRDefault="004540F4" w:rsidP="00C873B4">
      <w:pPr>
        <w:pStyle w:val="Text-Normaln"/>
        <w:widowControl w:val="0"/>
        <w:numPr>
          <w:ilvl w:val="0"/>
          <w:numId w:val="65"/>
        </w:numPr>
        <w:ind w:left="284" w:hanging="284"/>
      </w:pPr>
      <w:r>
        <w:t>Zákon č. 314/2002 Sb., o stanovení obcí s pověřeným ob</w:t>
      </w:r>
      <w:r w:rsidR="00507776">
        <w:t>ecním úřadem a stanovení obcí s </w:t>
      </w:r>
      <w:r>
        <w:t>rozšířenou působností, ve znění pozdějších předpisů;</w:t>
      </w:r>
    </w:p>
    <w:p w:rsidR="004540F4" w:rsidRDefault="004540F4" w:rsidP="00C873B4">
      <w:pPr>
        <w:pStyle w:val="Text-Normaln"/>
        <w:widowControl w:val="0"/>
        <w:numPr>
          <w:ilvl w:val="0"/>
          <w:numId w:val="65"/>
        </w:numPr>
        <w:ind w:left="284" w:hanging="284"/>
      </w:pPr>
      <w:r>
        <w:t xml:space="preserve">Zákon č. 500/2004 Sb., správní řád, ve znění pozdějších předpisů; </w:t>
      </w:r>
    </w:p>
    <w:p w:rsidR="004540F4" w:rsidRDefault="004540F4" w:rsidP="00C873B4">
      <w:pPr>
        <w:pStyle w:val="Text-Normaln"/>
        <w:widowControl w:val="0"/>
        <w:numPr>
          <w:ilvl w:val="0"/>
          <w:numId w:val="65"/>
        </w:numPr>
        <w:ind w:left="284" w:hanging="284"/>
      </w:pPr>
      <w:r>
        <w:t xml:space="preserve">Zákon č. 150/2002 Sb., soudní řád správní, ve znění pozdějších předpisů; </w:t>
      </w:r>
    </w:p>
    <w:p w:rsidR="004540F4" w:rsidRDefault="004540F4" w:rsidP="00C873B4">
      <w:pPr>
        <w:pStyle w:val="Text-Normaln"/>
        <w:widowControl w:val="0"/>
        <w:numPr>
          <w:ilvl w:val="0"/>
          <w:numId w:val="65"/>
        </w:numPr>
        <w:ind w:left="284" w:hanging="284"/>
      </w:pPr>
      <w:r>
        <w:t xml:space="preserve">Zákon č. 114/1992 Sb., o ochraně přírody a krajiny, ve znění pozdějších předpisů; </w:t>
      </w:r>
    </w:p>
    <w:p w:rsidR="004540F4" w:rsidRDefault="004540F4" w:rsidP="00C873B4">
      <w:pPr>
        <w:pStyle w:val="Text-Normaln"/>
        <w:widowControl w:val="0"/>
        <w:numPr>
          <w:ilvl w:val="0"/>
          <w:numId w:val="65"/>
        </w:numPr>
        <w:ind w:left="284" w:hanging="284"/>
      </w:pPr>
      <w:r>
        <w:t xml:space="preserve">Zákon č. 100/2001 Sb., o posuzování vlivů na životní prostředí a o změně některých souvisejících zákonů (zákon o posuzování vlivů na životní prostředí), ve znění pozdějších předpisů; </w:t>
      </w:r>
    </w:p>
    <w:p w:rsidR="004540F4" w:rsidRDefault="004540F4" w:rsidP="00C873B4">
      <w:pPr>
        <w:pStyle w:val="Text-Normaln"/>
        <w:widowControl w:val="0"/>
        <w:numPr>
          <w:ilvl w:val="0"/>
          <w:numId w:val="65"/>
        </w:numPr>
        <w:ind w:left="284" w:hanging="284"/>
      </w:pPr>
      <w:r>
        <w:t>Zákon č. 224/2015 Sb., o prevenci závažných havárií, ve znění pozdějších předpisů;</w:t>
      </w:r>
    </w:p>
    <w:p w:rsidR="004540F4" w:rsidRDefault="004540F4" w:rsidP="00C873B4">
      <w:pPr>
        <w:pStyle w:val="Text-Normaln"/>
        <w:widowControl w:val="0"/>
        <w:numPr>
          <w:ilvl w:val="0"/>
          <w:numId w:val="65"/>
        </w:numPr>
        <w:ind w:left="284" w:hanging="284"/>
      </w:pPr>
      <w:r>
        <w:t xml:space="preserve">Zákon č. 239/2000 Sb., o integrovaném záchranném systému, ve znění pozdějších předpisů; </w:t>
      </w:r>
    </w:p>
    <w:p w:rsidR="004540F4" w:rsidRDefault="004540F4" w:rsidP="00C873B4">
      <w:pPr>
        <w:pStyle w:val="Text-Normaln"/>
        <w:widowControl w:val="0"/>
        <w:numPr>
          <w:ilvl w:val="0"/>
          <w:numId w:val="65"/>
        </w:numPr>
        <w:ind w:left="284" w:hanging="284"/>
      </w:pPr>
      <w:r>
        <w:t>Zákon č. 184/2006 Sb., o odnětí nebo omezení vlastnického práva k pozemku nebo ke stavbě (zákon o vyvlastnění), ve znění pozdějších předpisů;</w:t>
      </w:r>
    </w:p>
    <w:p w:rsidR="004540F4" w:rsidRDefault="004540F4" w:rsidP="00C873B4">
      <w:pPr>
        <w:pStyle w:val="Text-Normaln"/>
        <w:widowControl w:val="0"/>
        <w:numPr>
          <w:ilvl w:val="0"/>
          <w:numId w:val="65"/>
        </w:numPr>
        <w:ind w:left="284" w:hanging="284"/>
      </w:pPr>
      <w:r>
        <w:t>Zákon č. 416/2009 Sb., o urychlení výstavby dopravní, vodní</w:t>
      </w:r>
      <w:r w:rsidR="00507776">
        <w:t xml:space="preserve"> a energetické infrastruktury a </w:t>
      </w:r>
      <w:r>
        <w:t xml:space="preserve">infrastruktury elektronických komunikací, ve znění pozdějších předpisů; </w:t>
      </w:r>
    </w:p>
    <w:p w:rsidR="004540F4" w:rsidRDefault="004540F4" w:rsidP="00C873B4">
      <w:pPr>
        <w:pStyle w:val="Text-Normaln"/>
        <w:widowControl w:val="0"/>
        <w:numPr>
          <w:ilvl w:val="0"/>
          <w:numId w:val="65"/>
        </w:numPr>
        <w:ind w:left="284" w:hanging="284"/>
      </w:pPr>
      <w:r>
        <w:t xml:space="preserve">Zákon č. 194/2017 Sb., o opatřeních ke snížení nákladů na zavádění vysokorychlostních sítí elektronických komunikací, ve znění pozdějších předpisů; </w:t>
      </w:r>
    </w:p>
    <w:p w:rsidR="004540F4" w:rsidRDefault="004540F4" w:rsidP="00C873B4">
      <w:pPr>
        <w:pStyle w:val="Text-Normaln"/>
        <w:widowControl w:val="0"/>
        <w:numPr>
          <w:ilvl w:val="0"/>
          <w:numId w:val="65"/>
        </w:numPr>
        <w:ind w:left="284" w:hanging="284"/>
      </w:pPr>
      <w:r>
        <w:t>Zákon č. 289/1995 Sb., o lesích a o změně a doplnění něk</w:t>
      </w:r>
      <w:r w:rsidR="00507776">
        <w:t>terých zákonů (lesní zákon), ve </w:t>
      </w:r>
      <w:r>
        <w:t xml:space="preserve">znění pozdějších předpisů; </w:t>
      </w:r>
    </w:p>
    <w:p w:rsidR="004540F4" w:rsidRDefault="004540F4" w:rsidP="00C873B4">
      <w:pPr>
        <w:pStyle w:val="Text-Normaln"/>
        <w:widowControl w:val="0"/>
        <w:numPr>
          <w:ilvl w:val="0"/>
          <w:numId w:val="65"/>
        </w:numPr>
        <w:ind w:left="284" w:hanging="284"/>
      </w:pPr>
      <w:r>
        <w:t>Zákon č. 13/1997 Sb., o pozemních komunikacích, ve znění pozdějších předpisů;</w:t>
      </w:r>
    </w:p>
    <w:p w:rsidR="004540F4" w:rsidRDefault="004540F4" w:rsidP="00C873B4">
      <w:pPr>
        <w:pStyle w:val="Text-Normaln"/>
        <w:widowControl w:val="0"/>
        <w:numPr>
          <w:ilvl w:val="0"/>
          <w:numId w:val="65"/>
        </w:numPr>
        <w:ind w:left="284" w:hanging="284"/>
      </w:pPr>
      <w:r>
        <w:t>Zákon č. 266/1994 Sb., o dráhách, ve znění pozdějších předpisů;</w:t>
      </w:r>
    </w:p>
    <w:p w:rsidR="004540F4" w:rsidRDefault="004540F4" w:rsidP="00C873B4">
      <w:pPr>
        <w:pStyle w:val="Text-Normaln"/>
        <w:widowControl w:val="0"/>
        <w:numPr>
          <w:ilvl w:val="0"/>
          <w:numId w:val="65"/>
        </w:numPr>
        <w:ind w:left="284" w:hanging="284"/>
      </w:pPr>
      <w:r>
        <w:t>Zákon č. 114/1995 Sb., o vnitrozemské plavbě, ve znění pozdějších předpisů;</w:t>
      </w:r>
    </w:p>
    <w:p w:rsidR="004540F4" w:rsidRDefault="004540F4" w:rsidP="00C873B4">
      <w:pPr>
        <w:pStyle w:val="Text-Normaln"/>
        <w:widowControl w:val="0"/>
        <w:numPr>
          <w:ilvl w:val="0"/>
          <w:numId w:val="65"/>
        </w:numPr>
        <w:ind w:left="284" w:hanging="284"/>
      </w:pPr>
      <w:r>
        <w:t>Zákon č. 256/2001, o pohřebnictví a o změně některých zákonů, ve znění pozdějších předpisů;</w:t>
      </w:r>
    </w:p>
    <w:p w:rsidR="004540F4" w:rsidRDefault="004540F4" w:rsidP="00C873B4">
      <w:pPr>
        <w:pStyle w:val="Text-Normaln"/>
        <w:widowControl w:val="0"/>
        <w:numPr>
          <w:ilvl w:val="0"/>
          <w:numId w:val="65"/>
        </w:numPr>
        <w:ind w:left="284" w:hanging="284"/>
      </w:pPr>
      <w:r>
        <w:t>Zákon č. 185/2001 Sb., o odpadech a o změně některých dalších zákonů, ve znění pozdějších předpisů;</w:t>
      </w:r>
    </w:p>
    <w:p w:rsidR="004540F4" w:rsidRDefault="004540F4" w:rsidP="00C873B4">
      <w:pPr>
        <w:pStyle w:val="Text-Normaln"/>
        <w:widowControl w:val="0"/>
        <w:numPr>
          <w:ilvl w:val="0"/>
          <w:numId w:val="65"/>
        </w:numPr>
        <w:ind w:left="284" w:hanging="284"/>
      </w:pPr>
      <w:r>
        <w:t>Zákon č. 254/2001 Sb., o vodách a o změně některých zákonů (vodní zákon), ve znění pozdějších předpisů;</w:t>
      </w:r>
    </w:p>
    <w:p w:rsidR="004540F4" w:rsidRDefault="004540F4" w:rsidP="00C873B4">
      <w:pPr>
        <w:pStyle w:val="Text-Normaln"/>
        <w:widowControl w:val="0"/>
        <w:numPr>
          <w:ilvl w:val="0"/>
          <w:numId w:val="65"/>
        </w:numPr>
        <w:ind w:left="284" w:hanging="284"/>
      </w:pPr>
      <w:r>
        <w:t>Zákon č. 274/2001 Sb., o vodovodech a kanalizacích pro veřejnou potřebu a o změně některých zákonů (zákon o vodovodech a kanalizacích), ve znění pozdějších předpisů;</w:t>
      </w:r>
    </w:p>
    <w:p w:rsidR="004540F4" w:rsidRDefault="004540F4" w:rsidP="00C873B4">
      <w:pPr>
        <w:pStyle w:val="Text-Normaln"/>
        <w:widowControl w:val="0"/>
        <w:numPr>
          <w:ilvl w:val="0"/>
          <w:numId w:val="65"/>
        </w:numPr>
        <w:ind w:left="284" w:hanging="284"/>
      </w:pPr>
      <w:r>
        <w:t>Zákon č. 201/2012 Sb., o ochraně ovzduší, ve znění pozdějších předpisů;</w:t>
      </w:r>
    </w:p>
    <w:p w:rsidR="004540F4" w:rsidRDefault="004540F4" w:rsidP="00C873B4">
      <w:pPr>
        <w:pStyle w:val="Text-Normaln"/>
        <w:widowControl w:val="0"/>
        <w:numPr>
          <w:ilvl w:val="0"/>
          <w:numId w:val="65"/>
        </w:numPr>
        <w:ind w:left="284" w:hanging="284"/>
      </w:pPr>
      <w:r>
        <w:t>Zákon č. 334/1992 Sb., o ochraně zemědělského půdního fondu, ve znění pozdějších předpisů;</w:t>
      </w:r>
    </w:p>
    <w:p w:rsidR="004540F4" w:rsidRDefault="004540F4" w:rsidP="00C873B4">
      <w:pPr>
        <w:pStyle w:val="Text-Normaln"/>
        <w:widowControl w:val="0"/>
        <w:numPr>
          <w:ilvl w:val="0"/>
          <w:numId w:val="65"/>
        </w:numPr>
        <w:ind w:left="284" w:hanging="284"/>
      </w:pPr>
      <w:r>
        <w:t>Zákon č. 139/2002 Sb., o pozemkových úpravách a pozemkových úřadech, ve znění pozdějších předpisů;</w:t>
      </w:r>
    </w:p>
    <w:p w:rsidR="004540F4" w:rsidRDefault="004540F4" w:rsidP="00C873B4">
      <w:pPr>
        <w:pStyle w:val="Text-Normaln"/>
        <w:widowControl w:val="0"/>
        <w:numPr>
          <w:ilvl w:val="0"/>
          <w:numId w:val="65"/>
        </w:numPr>
        <w:ind w:left="284" w:hanging="284"/>
      </w:pPr>
      <w:r>
        <w:t>Zákon č. 133/1985 Sb., o požární ochraně, ve znění pozdějších předpisů;</w:t>
      </w:r>
    </w:p>
    <w:p w:rsidR="004540F4" w:rsidRDefault="004540F4" w:rsidP="00C873B4">
      <w:pPr>
        <w:pStyle w:val="Text-Normaln"/>
        <w:widowControl w:val="0"/>
        <w:numPr>
          <w:ilvl w:val="0"/>
          <w:numId w:val="65"/>
        </w:numPr>
        <w:ind w:left="284" w:hanging="284"/>
      </w:pPr>
      <w:r>
        <w:t>Zákon č. 44/1988 Sb., o ochraně a využití nerostného bohatství (horní zákon), ve znění pozdějších předpisů;</w:t>
      </w:r>
    </w:p>
    <w:p w:rsidR="004540F4" w:rsidRDefault="004540F4" w:rsidP="00C873B4">
      <w:pPr>
        <w:pStyle w:val="Text-Normaln"/>
        <w:widowControl w:val="0"/>
        <w:numPr>
          <w:ilvl w:val="0"/>
          <w:numId w:val="65"/>
        </w:numPr>
        <w:ind w:left="284" w:hanging="284"/>
      </w:pPr>
      <w:r>
        <w:lastRenderedPageBreak/>
        <w:t>Zákon č. 164/2001 Sb., o přírodních léčivých zdrojích, zdrojích přírodních minerálních vod, přírodních léčebných lázních a lázeňských místech a o změně některých souvisejících zákonů (lázeňský zákon), ve znění pozdějších předpisů;</w:t>
      </w:r>
    </w:p>
    <w:p w:rsidR="004540F4" w:rsidRDefault="004540F4" w:rsidP="00C873B4">
      <w:pPr>
        <w:pStyle w:val="Text-Normaln"/>
        <w:widowControl w:val="0"/>
        <w:numPr>
          <w:ilvl w:val="0"/>
          <w:numId w:val="65"/>
        </w:numPr>
        <w:ind w:left="284" w:hanging="284"/>
      </w:pPr>
      <w:r>
        <w:t>Zákon č. 62/1988 Sb., o geologických pracích, ve znění pozdějších předpisů;</w:t>
      </w:r>
    </w:p>
    <w:p w:rsidR="004540F4" w:rsidRDefault="004540F4" w:rsidP="00C873B4">
      <w:pPr>
        <w:pStyle w:val="Text-Normaln"/>
        <w:widowControl w:val="0"/>
        <w:numPr>
          <w:ilvl w:val="0"/>
          <w:numId w:val="65"/>
        </w:numPr>
        <w:ind w:left="284" w:hanging="284"/>
      </w:pPr>
      <w:r>
        <w:t>Zákon č. 258/2000 Sb., o ochraně veřejného zdraví a o změně některých souvisejících zákonů, ve znění pozdějších předpisů;</w:t>
      </w:r>
    </w:p>
    <w:p w:rsidR="004540F4" w:rsidRDefault="004540F4" w:rsidP="00C873B4">
      <w:pPr>
        <w:pStyle w:val="Text-Normaln"/>
        <w:widowControl w:val="0"/>
        <w:numPr>
          <w:ilvl w:val="0"/>
          <w:numId w:val="65"/>
        </w:numPr>
        <w:ind w:left="284" w:hanging="284"/>
      </w:pPr>
      <w:r>
        <w:t>Zákon č. 406/2000 Sb., o hospodaření energií, ve znění pozdějších předpisů;</w:t>
      </w:r>
    </w:p>
    <w:p w:rsidR="004540F4" w:rsidRDefault="004540F4" w:rsidP="00C873B4">
      <w:pPr>
        <w:pStyle w:val="Text-Normaln"/>
        <w:widowControl w:val="0"/>
        <w:numPr>
          <w:ilvl w:val="0"/>
          <w:numId w:val="65"/>
        </w:numPr>
        <w:ind w:left="284" w:hanging="284"/>
      </w:pPr>
      <w:r>
        <w:t>Zákon č. 76/2002 Sb., o integrované prevenci a omezování znečištění, o integrovaném registru znečišťování (zákon o integrované prevenci);</w:t>
      </w:r>
    </w:p>
    <w:p w:rsidR="004540F4" w:rsidRDefault="004540F4" w:rsidP="00C873B4">
      <w:pPr>
        <w:pStyle w:val="Text-Normaln"/>
        <w:widowControl w:val="0"/>
        <w:numPr>
          <w:ilvl w:val="0"/>
          <w:numId w:val="65"/>
        </w:numPr>
        <w:ind w:left="284" w:hanging="284"/>
      </w:pPr>
      <w:r>
        <w:t>Zákon č. 18/1997 Sb., o mírovém využívání jaderné energie a ionizujícího záření (atomový zákon), ve znění pozdějších předpisů;</w:t>
      </w:r>
    </w:p>
    <w:p w:rsidR="004540F4" w:rsidRDefault="004540F4" w:rsidP="00C873B4">
      <w:pPr>
        <w:pStyle w:val="Text-Normaln"/>
        <w:widowControl w:val="0"/>
        <w:numPr>
          <w:ilvl w:val="0"/>
          <w:numId w:val="65"/>
        </w:numPr>
        <w:ind w:left="284" w:hanging="284"/>
      </w:pPr>
      <w:r>
        <w:t>Zákon č. 263/2016 Sb., atomový zákon, ve znění pozdějších předpisů;</w:t>
      </w:r>
    </w:p>
    <w:p w:rsidR="004540F4" w:rsidRDefault="004540F4" w:rsidP="00C873B4">
      <w:pPr>
        <w:pStyle w:val="Text-Normaln"/>
        <w:widowControl w:val="0"/>
        <w:numPr>
          <w:ilvl w:val="0"/>
          <w:numId w:val="65"/>
        </w:numPr>
        <w:ind w:left="284" w:hanging="284"/>
      </w:pPr>
      <w:r>
        <w:t>Zákon č. 458/2000 Sb., o podmínkách podnikání a o výkonu státní správy v energetických odvětvích (energetický zákon), ve znění pozdějších předpisů;</w:t>
      </w:r>
    </w:p>
    <w:p w:rsidR="004540F4" w:rsidRDefault="004540F4" w:rsidP="00C873B4">
      <w:pPr>
        <w:pStyle w:val="Text-Normaln"/>
        <w:widowControl w:val="0"/>
        <w:numPr>
          <w:ilvl w:val="0"/>
          <w:numId w:val="65"/>
        </w:numPr>
        <w:ind w:left="284" w:hanging="284"/>
      </w:pPr>
      <w:r>
        <w:t>Zákon č. 49/1997 Sb., o civilním letectví a o změně a dop</w:t>
      </w:r>
      <w:r w:rsidR="005344C5">
        <w:t>lnění zákona č. 455/1991 Sb., o </w:t>
      </w:r>
      <w:r>
        <w:t>živnostenském podnikání (živnostenský zákon), ve znění pozdějších předpisů;</w:t>
      </w:r>
    </w:p>
    <w:p w:rsidR="004540F4" w:rsidRDefault="004540F4" w:rsidP="00C873B4">
      <w:pPr>
        <w:pStyle w:val="Text-Normaln"/>
        <w:widowControl w:val="0"/>
        <w:numPr>
          <w:ilvl w:val="0"/>
          <w:numId w:val="65"/>
        </w:numPr>
        <w:ind w:left="284" w:hanging="284"/>
      </w:pPr>
      <w:r>
        <w:t>Zákon č. 20/1987 Sb., o státní památkové péči, ve znění pozdějších předpisů;</w:t>
      </w:r>
    </w:p>
    <w:p w:rsidR="004540F4" w:rsidRDefault="004540F4" w:rsidP="00C873B4">
      <w:pPr>
        <w:pStyle w:val="Text-Normaln"/>
        <w:widowControl w:val="0"/>
        <w:numPr>
          <w:ilvl w:val="0"/>
          <w:numId w:val="65"/>
        </w:numPr>
        <w:ind w:left="284" w:hanging="284"/>
      </w:pPr>
      <w:r>
        <w:t>Zákon č. 360/1992 Sb., o výkonu povolání autorizovaných architektů a o výkonu povolání autorizovaných inženýrů a techniků činných ve výstavbě, ve znění pozdějších předpisů;</w:t>
      </w:r>
    </w:p>
    <w:p w:rsidR="004540F4" w:rsidRDefault="004540F4" w:rsidP="00C873B4">
      <w:pPr>
        <w:pStyle w:val="Text-Normaln"/>
        <w:widowControl w:val="0"/>
        <w:numPr>
          <w:ilvl w:val="0"/>
          <w:numId w:val="65"/>
        </w:numPr>
        <w:ind w:left="284" w:hanging="284"/>
      </w:pPr>
      <w:r>
        <w:t>Zákon č. 312/2002 Sb., o úřednících územních samosprávných celků a o změně některých zákonů, ve znění pozdějších předpisů;</w:t>
      </w:r>
    </w:p>
    <w:p w:rsidR="004540F4" w:rsidRDefault="004540F4" w:rsidP="00C873B4">
      <w:pPr>
        <w:pStyle w:val="Text-Normaln"/>
        <w:widowControl w:val="0"/>
        <w:numPr>
          <w:ilvl w:val="0"/>
          <w:numId w:val="65"/>
        </w:numPr>
        <w:ind w:left="284" w:hanging="284"/>
      </w:pPr>
      <w:r>
        <w:t>Zákon č. 218/2000 Sb., o rozpočtových pravidlech a o změně některých souvisejících zákonů (rozpočtová pravidla) a zákona č. 250/2000 Sb., o rozpočtových pravidlech územních rozpočtů, ve znění pozdějších předpisů;</w:t>
      </w:r>
    </w:p>
    <w:p w:rsidR="004540F4" w:rsidRDefault="004540F4" w:rsidP="00C873B4">
      <w:pPr>
        <w:pStyle w:val="Text-Normaln"/>
        <w:widowControl w:val="0"/>
        <w:numPr>
          <w:ilvl w:val="0"/>
          <w:numId w:val="65"/>
        </w:numPr>
        <w:ind w:left="284" w:hanging="284"/>
      </w:pPr>
      <w:r>
        <w:t>Zákon č. 248/2000 Sb., o podpoře regionálního rozvoje, ve znění pozdějších předpisů;</w:t>
      </w:r>
    </w:p>
    <w:p w:rsidR="00114F8D" w:rsidRDefault="00114F8D" w:rsidP="00C873B4">
      <w:pPr>
        <w:pStyle w:val="Text-Normaln"/>
        <w:widowControl w:val="0"/>
        <w:numPr>
          <w:ilvl w:val="0"/>
          <w:numId w:val="65"/>
        </w:numPr>
        <w:ind w:left="284" w:hanging="284"/>
      </w:pPr>
      <w:r>
        <w:t>Zákon č. 89/2012 Sb., občanský zákoník, ve znění pozdějších předpisů;</w:t>
      </w:r>
    </w:p>
    <w:p w:rsidR="004540F4" w:rsidRDefault="004540F4" w:rsidP="00C873B4">
      <w:pPr>
        <w:pStyle w:val="Text-Normaln"/>
        <w:widowControl w:val="0"/>
        <w:numPr>
          <w:ilvl w:val="0"/>
          <w:numId w:val="65"/>
        </w:numPr>
        <w:ind w:left="284" w:hanging="284"/>
      </w:pPr>
      <w:r>
        <w:t>a mnohé další.</w:t>
      </w:r>
    </w:p>
    <w:p w:rsidR="00F24A78" w:rsidRPr="00F24A78" w:rsidRDefault="00F24A78" w:rsidP="00C873B4">
      <w:pPr>
        <w:pStyle w:val="Nadpis2"/>
        <w:numPr>
          <w:ilvl w:val="1"/>
          <w:numId w:val="66"/>
        </w:numPr>
      </w:pPr>
      <w:bookmarkStart w:id="33" w:name="_Toc534419792"/>
      <w:bookmarkStart w:id="34" w:name="_Toc536553906"/>
      <w:bookmarkStart w:id="35" w:name="_Toc399509833"/>
      <w:r w:rsidRPr="00F24A78">
        <w:rPr>
          <w:rFonts w:eastAsia="Calibri"/>
        </w:rPr>
        <w:t>Identifikace dotčených subjektů</w:t>
      </w:r>
      <w:bookmarkEnd w:id="33"/>
      <w:bookmarkEnd w:id="34"/>
      <w:r w:rsidRPr="00F24A78">
        <w:rPr>
          <w:rFonts w:eastAsia="Calibri"/>
        </w:rPr>
        <w:t xml:space="preserve"> </w:t>
      </w:r>
    </w:p>
    <w:p w:rsidR="00F24A78" w:rsidRDefault="00F24A78" w:rsidP="00F24A78">
      <w:pPr>
        <w:pStyle w:val="Text-Normaln"/>
      </w:pPr>
      <w:r>
        <w:t xml:space="preserve">Návrh právní úpravy se dotkne především níže uvedených subjektů a institucí: </w:t>
      </w:r>
    </w:p>
    <w:p w:rsidR="00F24A78" w:rsidRDefault="00F24A78" w:rsidP="00F24A78">
      <w:pPr>
        <w:spacing w:line="24" w:lineRule="atLeast"/>
        <w:rPr>
          <w:u w:val="single"/>
        </w:rPr>
      </w:pPr>
      <w:r>
        <w:rPr>
          <w:u w:val="single"/>
        </w:rPr>
        <w:t>Orgány územního plánování (konkrétní detaily v kapitole A.1)</w:t>
      </w:r>
    </w:p>
    <w:p w:rsidR="00F24A78" w:rsidRDefault="00F24A78" w:rsidP="00F24A78">
      <w:pPr>
        <w:spacing w:line="24" w:lineRule="atLeast"/>
        <w:rPr>
          <w:u w:val="single"/>
        </w:rPr>
      </w:pPr>
      <w:r>
        <w:rPr>
          <w:u w:val="single"/>
        </w:rPr>
        <w:t>Stavební úřady</w:t>
      </w:r>
    </w:p>
    <w:p w:rsidR="00F24A78" w:rsidRDefault="00F24A78" w:rsidP="00C873B4">
      <w:pPr>
        <w:pStyle w:val="Text-Normaln"/>
        <w:numPr>
          <w:ilvl w:val="0"/>
          <w:numId w:val="67"/>
        </w:numPr>
      </w:pPr>
      <w:r>
        <w:t xml:space="preserve">Stavební úřady obecné </w:t>
      </w:r>
    </w:p>
    <w:p w:rsidR="00F24A78" w:rsidRDefault="00F24A78" w:rsidP="00C873B4">
      <w:pPr>
        <w:pStyle w:val="Zkladntext"/>
        <w:numPr>
          <w:ilvl w:val="0"/>
          <w:numId w:val="67"/>
        </w:numPr>
        <w:spacing w:line="24" w:lineRule="atLeast"/>
      </w:pPr>
      <w:r>
        <w:t xml:space="preserve">Stavební úřady speciální </w:t>
      </w:r>
    </w:p>
    <w:p w:rsidR="00F24A78" w:rsidRDefault="00F24A78" w:rsidP="00F24A78">
      <w:pPr>
        <w:pStyle w:val="Zkladntext"/>
        <w:spacing w:line="24" w:lineRule="atLeast"/>
      </w:pPr>
      <w:r>
        <w:t>Detailní popis soustavy stavebních úřadů je obsažen v kapitole A.1, která jednotlivé kategorie těchto úřadů provazuje s dostupnými údaji popisujícími jejich fungování.</w:t>
      </w:r>
    </w:p>
    <w:p w:rsidR="00F24A78" w:rsidRDefault="00F24A78" w:rsidP="00F24A78">
      <w:pPr>
        <w:spacing w:line="24" w:lineRule="atLeast"/>
        <w:rPr>
          <w:u w:val="single"/>
        </w:rPr>
      </w:pPr>
      <w:r>
        <w:rPr>
          <w:u w:val="single"/>
        </w:rPr>
        <w:t>Další dotčené orgány (</w:t>
      </w:r>
      <w:r w:rsidR="0078162F">
        <w:rPr>
          <w:u w:val="single"/>
        </w:rPr>
        <w:t>DO</w:t>
      </w:r>
      <w:r>
        <w:rPr>
          <w:u w:val="single"/>
        </w:rPr>
        <w:t xml:space="preserve">) </w:t>
      </w:r>
    </w:p>
    <w:p w:rsidR="00F24A78" w:rsidRDefault="00F24A78" w:rsidP="00F24A78">
      <w:pPr>
        <w:spacing w:line="24" w:lineRule="atLeast"/>
        <w:rPr>
          <w:u w:val="single"/>
        </w:rPr>
      </w:pPr>
      <w:r>
        <w:t xml:space="preserve">Stavební úřady a orgány územního plánování postupují ve vzájemné součinnosti s </w:t>
      </w:r>
      <w:r w:rsidR="00393DAA">
        <w:t>DO</w:t>
      </w:r>
      <w:r>
        <w:t xml:space="preserve"> chránícími veřejné zájmy podle zvláštních právních předpisů. Na obrázcích níže jsou </w:t>
      </w:r>
      <w:r w:rsidR="00393DAA">
        <w:t xml:space="preserve">demonstrativní </w:t>
      </w:r>
      <w:r>
        <w:t xml:space="preserve">ukázky </w:t>
      </w:r>
      <w:r>
        <w:lastRenderedPageBreak/>
        <w:t xml:space="preserve">počtu zákonů a rezortů, v jejichž gesci tyto právní předpisy jsou, a ve kterých je založena působnost správního orgánu jako </w:t>
      </w:r>
      <w:r w:rsidR="00393DAA">
        <w:t>DO</w:t>
      </w:r>
      <w:r>
        <w:t xml:space="preserve"> pro postupy a řízení před stavebním úřadem a v oblasti územního plánování (více viz kapitola A.2).</w:t>
      </w:r>
    </w:p>
    <w:p w:rsidR="00F24A78" w:rsidRDefault="00F24A78" w:rsidP="008712FB">
      <w:pPr>
        <w:pStyle w:val="Titulek"/>
        <w:ind w:left="1276" w:hanging="1276"/>
      </w:pPr>
      <w:r>
        <w:t xml:space="preserve">Obrázek </w:t>
      </w:r>
      <w:r w:rsidR="00AB65E9">
        <w:fldChar w:fldCharType="begin"/>
      </w:r>
      <w:r>
        <w:instrText xml:space="preserve"> SEQ Obrázek \* ARABIC </w:instrText>
      </w:r>
      <w:r w:rsidR="00AB65E9">
        <w:fldChar w:fldCharType="separate"/>
      </w:r>
      <w:r w:rsidR="00263A1B">
        <w:rPr>
          <w:noProof/>
        </w:rPr>
        <w:t>11</w:t>
      </w:r>
      <w:r w:rsidR="00AB65E9">
        <w:fldChar w:fldCharType="end"/>
      </w:r>
      <w:r>
        <w:t xml:space="preserve">: </w:t>
      </w:r>
      <w:r w:rsidR="00393DAA">
        <w:t xml:space="preserve">Demonstrativní výčet DO </w:t>
      </w:r>
      <w:r>
        <w:t>ve vztahu ke stavebnímu zákonu v oblasti územního plánování</w:t>
      </w:r>
    </w:p>
    <w:p w:rsidR="00F24A78" w:rsidRDefault="00F24A78" w:rsidP="00F24A78">
      <w:pPr>
        <w:rPr>
          <w:noProof/>
          <w:lang w:eastAsia="cs-CZ"/>
        </w:rPr>
      </w:pPr>
      <w:r>
        <w:rPr>
          <w:noProof/>
          <w:lang w:eastAsia="cs-CZ"/>
        </w:rPr>
        <w:drawing>
          <wp:inline distT="0" distB="0" distL="0" distR="0" wp14:anchorId="11DBF07A" wp14:editId="3DA53670">
            <wp:extent cx="5720746" cy="56197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8671" cy="5627535"/>
                    </a:xfrm>
                    <a:prstGeom prst="rect">
                      <a:avLst/>
                    </a:prstGeom>
                    <a:noFill/>
                    <a:ln>
                      <a:noFill/>
                    </a:ln>
                  </pic:spPr>
                </pic:pic>
              </a:graphicData>
            </a:graphic>
          </wp:inline>
        </w:drawing>
      </w:r>
    </w:p>
    <w:p w:rsidR="00F24A78" w:rsidRDefault="00F24A78" w:rsidP="00F24A78">
      <w:pPr>
        <w:rPr>
          <w:rFonts w:eastAsia="Times New Roman"/>
          <w:i/>
          <w:iCs/>
          <w:color w:val="000000"/>
          <w:sz w:val="22"/>
          <w:szCs w:val="20"/>
          <w:lang w:eastAsia="cs-CZ"/>
        </w:rPr>
      </w:pPr>
      <w:r>
        <w:rPr>
          <w:rFonts w:eastAsia="Times New Roman"/>
          <w:i/>
          <w:iCs/>
          <w:color w:val="000000"/>
          <w:sz w:val="22"/>
          <w:szCs w:val="20"/>
          <w:lang w:eastAsia="cs-CZ"/>
        </w:rPr>
        <w:t>Zdroj: MMR</w:t>
      </w:r>
    </w:p>
    <w:p w:rsidR="00F24A78" w:rsidRDefault="00F24A78">
      <w:pPr>
        <w:spacing w:before="0" w:after="0"/>
        <w:jc w:val="left"/>
        <w:rPr>
          <w:rFonts w:eastAsia="Times New Roman"/>
          <w:b/>
          <w:bCs/>
          <w:color w:val="000000"/>
          <w:sz w:val="22"/>
          <w:szCs w:val="20"/>
          <w:lang w:eastAsia="cs-CZ"/>
        </w:rPr>
      </w:pPr>
      <w:r>
        <w:br w:type="page"/>
      </w:r>
    </w:p>
    <w:p w:rsidR="00DD54F3" w:rsidRDefault="00F24A78" w:rsidP="00616A8F">
      <w:pPr>
        <w:pStyle w:val="Titulek"/>
        <w:ind w:left="1276" w:hanging="1276"/>
      </w:pPr>
      <w:r>
        <w:lastRenderedPageBreak/>
        <w:t xml:space="preserve">Obrázek </w:t>
      </w:r>
      <w:r w:rsidR="00AB65E9">
        <w:rPr>
          <w:noProof/>
        </w:rPr>
        <w:fldChar w:fldCharType="begin"/>
      </w:r>
      <w:r>
        <w:rPr>
          <w:noProof/>
        </w:rPr>
        <w:instrText xml:space="preserve"> SEQ Obrázek \* ARABIC </w:instrText>
      </w:r>
      <w:r w:rsidR="00AB65E9">
        <w:rPr>
          <w:noProof/>
        </w:rPr>
        <w:fldChar w:fldCharType="separate"/>
      </w:r>
      <w:r w:rsidR="00263A1B">
        <w:rPr>
          <w:noProof/>
        </w:rPr>
        <w:t>12</w:t>
      </w:r>
      <w:r w:rsidR="00AB65E9">
        <w:rPr>
          <w:noProof/>
        </w:rPr>
        <w:fldChar w:fldCharType="end"/>
      </w:r>
      <w:r>
        <w:t xml:space="preserve">: </w:t>
      </w:r>
      <w:r w:rsidR="00393DAA" w:rsidRPr="00393DAA">
        <w:t xml:space="preserve">Demonstrativní výčet DO </w:t>
      </w:r>
      <w:r>
        <w:t>ve vztahu ke stavebnímu zákonu v oblasti územního rozhodování a stavebního řádu</w:t>
      </w:r>
    </w:p>
    <w:p w:rsidR="00F24A78" w:rsidRDefault="00F24A78" w:rsidP="00F24A78">
      <w:pPr>
        <w:pStyle w:val="Text-Normaln"/>
        <w:rPr>
          <w:b/>
        </w:rPr>
      </w:pPr>
      <w:r>
        <w:rPr>
          <w:noProof/>
          <w:lang w:eastAsia="cs-CZ"/>
        </w:rPr>
        <w:drawing>
          <wp:inline distT="0" distB="0" distL="0" distR="0" wp14:anchorId="0626306C" wp14:editId="021C4886">
            <wp:extent cx="5746750" cy="5659458"/>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6750" cy="5659458"/>
                    </a:xfrm>
                    <a:prstGeom prst="rect">
                      <a:avLst/>
                    </a:prstGeom>
                    <a:noFill/>
                    <a:ln>
                      <a:noFill/>
                    </a:ln>
                  </pic:spPr>
                </pic:pic>
              </a:graphicData>
            </a:graphic>
          </wp:inline>
        </w:drawing>
      </w:r>
    </w:p>
    <w:p w:rsidR="00F24A78" w:rsidRDefault="00F24A78" w:rsidP="00F24A78">
      <w:pPr>
        <w:rPr>
          <w:rFonts w:eastAsia="Times New Roman"/>
          <w:i/>
          <w:iCs/>
          <w:color w:val="000000"/>
          <w:sz w:val="22"/>
          <w:szCs w:val="20"/>
          <w:lang w:eastAsia="cs-CZ"/>
        </w:rPr>
      </w:pPr>
      <w:r>
        <w:rPr>
          <w:rFonts w:eastAsia="Times New Roman"/>
          <w:i/>
          <w:iCs/>
          <w:color w:val="000000"/>
          <w:sz w:val="22"/>
          <w:szCs w:val="20"/>
          <w:lang w:eastAsia="cs-CZ"/>
        </w:rPr>
        <w:t>Zdroj: MMR</w:t>
      </w:r>
    </w:p>
    <w:p w:rsidR="00F24A78" w:rsidRDefault="00F24A78" w:rsidP="00F24A78">
      <w:pPr>
        <w:spacing w:line="24" w:lineRule="atLeast"/>
      </w:pPr>
      <w:r>
        <w:rPr>
          <w:u w:val="single"/>
        </w:rPr>
        <w:t>Vlastníci pozemků a staveb</w:t>
      </w:r>
      <w:r>
        <w:t>, na kterých má být požadovaný záměr uskutečněn; subjekt, který má věcné břemeno k pozemku, na kterém má být požadovaný záměr uskutečněn; vlastníci sousedních a přilehlých pozemků případně subjekty mající věcná břemena k těmto pozemkům, jejichž vlastnická nebo jiná práva mohou být rozhodnutím dotčena apod.</w:t>
      </w:r>
    </w:p>
    <w:p w:rsidR="00F24A78" w:rsidRPr="006E39DC" w:rsidRDefault="00AB65E9" w:rsidP="00F24A78">
      <w:pPr>
        <w:spacing w:line="24" w:lineRule="atLeast"/>
        <w:rPr>
          <w:u w:val="single"/>
        </w:rPr>
      </w:pPr>
      <w:r w:rsidRPr="006E39DC">
        <w:rPr>
          <w:u w:val="single"/>
        </w:rPr>
        <w:t>Spolky</w:t>
      </w:r>
    </w:p>
    <w:p w:rsidR="00385CE9" w:rsidRPr="00616A8F" w:rsidRDefault="00AB65E9" w:rsidP="00F24A78">
      <w:pPr>
        <w:spacing w:line="24" w:lineRule="atLeast"/>
      </w:pPr>
      <w:r w:rsidRPr="006E39DC">
        <w:t xml:space="preserve">Spolky se stávají účastníky řízení za podmínek daných zvláštním zákonem. </w:t>
      </w:r>
      <w:r w:rsidR="009E2357" w:rsidRPr="00616A8F">
        <w:t>Podle současné právní úpravy se j</w:t>
      </w:r>
      <w:r w:rsidRPr="006E39DC">
        <w:t>edná o spolky, které se zúčastnily projednávání EIA</w:t>
      </w:r>
      <w:r w:rsidR="006E39DC" w:rsidRPr="00616A8F">
        <w:t xml:space="preserve"> (vyloučení spolků, které mají za cíl ochranu přírody a krajiny je předmětem ústavní stížnosti).</w:t>
      </w:r>
    </w:p>
    <w:p w:rsidR="00F24A78" w:rsidRDefault="00F24A78" w:rsidP="00F24A78">
      <w:pPr>
        <w:spacing w:line="24" w:lineRule="atLeast"/>
        <w:rPr>
          <w:u w:val="single"/>
        </w:rPr>
      </w:pPr>
      <w:r>
        <w:rPr>
          <w:u w:val="single"/>
        </w:rPr>
        <w:t xml:space="preserve">Investoři (občané realizující stavby pro vlastní </w:t>
      </w:r>
      <w:r w:rsidRPr="00051393">
        <w:rPr>
          <w:u w:val="single"/>
        </w:rPr>
        <w:t xml:space="preserve">bydlení, </w:t>
      </w:r>
      <w:r w:rsidR="00AB65E9" w:rsidRPr="00051393">
        <w:rPr>
          <w:u w:val="single"/>
        </w:rPr>
        <w:t xml:space="preserve">ale i </w:t>
      </w:r>
      <w:r w:rsidR="00686D84" w:rsidRPr="00616A8F">
        <w:rPr>
          <w:u w:val="single"/>
        </w:rPr>
        <w:t>například</w:t>
      </w:r>
      <w:r w:rsidR="00AB65E9" w:rsidRPr="00051393">
        <w:rPr>
          <w:u w:val="single"/>
        </w:rPr>
        <w:t xml:space="preserve"> </w:t>
      </w:r>
      <w:r w:rsidR="006E39DC" w:rsidRPr="00616A8F">
        <w:rPr>
          <w:u w:val="single"/>
        </w:rPr>
        <w:t>ŘSD</w:t>
      </w:r>
      <w:r w:rsidR="00051393" w:rsidRPr="00616A8F">
        <w:rPr>
          <w:u w:val="single"/>
        </w:rPr>
        <w:t>, SŽDC</w:t>
      </w:r>
      <w:r w:rsidR="00051393">
        <w:rPr>
          <w:u w:val="single"/>
        </w:rPr>
        <w:t xml:space="preserve"> atd.</w:t>
      </w:r>
      <w:r w:rsidR="00AB65E9" w:rsidRPr="00051393">
        <w:rPr>
          <w:u w:val="single"/>
        </w:rPr>
        <w:t>)</w:t>
      </w:r>
    </w:p>
    <w:p w:rsidR="00E44D36" w:rsidRPr="0089559F" w:rsidRDefault="00F24A78" w:rsidP="00F24A78">
      <w:pPr>
        <w:spacing w:line="24" w:lineRule="atLeast"/>
      </w:pPr>
      <w:r>
        <w:t xml:space="preserve">Mezi dotčenými stranami, které sice stavební zákon nezmiňuje, nicméně budou přímo </w:t>
      </w:r>
      <w:proofErr w:type="spellStart"/>
      <w:r>
        <w:t>benefitovat</w:t>
      </w:r>
      <w:proofErr w:type="spellEnd"/>
      <w:r>
        <w:t xml:space="preserve"> ze změny regulace </w:t>
      </w:r>
      <w:r w:rsidR="00051393">
        <w:t xml:space="preserve">jsou například </w:t>
      </w:r>
      <w:r>
        <w:t>stavební firmy</w:t>
      </w:r>
      <w:r w:rsidR="00051393">
        <w:t xml:space="preserve"> a</w:t>
      </w:r>
      <w:r>
        <w:t xml:space="preserve"> ostatní subjekty, jimž realizované stavby poskytují ekonomický benefit aj.</w:t>
      </w:r>
    </w:p>
    <w:p w:rsidR="00F24A78" w:rsidRPr="00E44D36" w:rsidRDefault="00F24A78" w:rsidP="00C873B4">
      <w:pPr>
        <w:pStyle w:val="Nadpis2"/>
        <w:numPr>
          <w:ilvl w:val="1"/>
          <w:numId w:val="66"/>
        </w:numPr>
        <w:rPr>
          <w:rFonts w:eastAsia="Calibri"/>
        </w:rPr>
      </w:pPr>
      <w:bookmarkStart w:id="36" w:name="_Toc534419793"/>
      <w:bookmarkStart w:id="37" w:name="_Toc536553907"/>
      <w:r w:rsidRPr="00E44D36">
        <w:rPr>
          <w:rFonts w:eastAsia="Calibri"/>
        </w:rPr>
        <w:lastRenderedPageBreak/>
        <w:t>Popis cílového stavu</w:t>
      </w:r>
      <w:bookmarkEnd w:id="36"/>
      <w:bookmarkEnd w:id="37"/>
      <w:r w:rsidRPr="00E44D36">
        <w:rPr>
          <w:rFonts w:eastAsia="Calibri"/>
        </w:rPr>
        <w:t xml:space="preserve"> </w:t>
      </w:r>
    </w:p>
    <w:p w:rsidR="00F24A78" w:rsidRDefault="00F24A78" w:rsidP="00F24A78">
      <w:pPr>
        <w:pStyle w:val="Text-Normaln"/>
      </w:pPr>
      <w:r>
        <w:t xml:space="preserve">V této části </w:t>
      </w:r>
      <w:r w:rsidR="00051393">
        <w:t>je popsán</w:t>
      </w:r>
      <w:r>
        <w:t xml:space="preserve"> stručně a jasně stav, který má být rekodifikací dosažen, a to formou kvantifikovatelných cílů. Nástroje, s nimiž by cíle neměly být zaměňovány, pak budou náplní kapitoly navrhující a hodnotící konkrétní varianty. Ke stanoveným cílům pak </w:t>
      </w:r>
      <w:r w:rsidR="00051393">
        <w:t>budou přiřazeny</w:t>
      </w:r>
      <w:r>
        <w:t xml:space="preserve"> indikátory, na jejichž základě by bylo vhodné plnění cílů sledovat.</w:t>
      </w:r>
    </w:p>
    <w:p w:rsidR="00F24A78" w:rsidRDefault="00F24A78" w:rsidP="00F24A78">
      <w:pPr>
        <w:pStyle w:val="Text-Normaln"/>
        <w:rPr>
          <w:u w:val="single"/>
        </w:rPr>
      </w:pPr>
      <w:r>
        <w:rPr>
          <w:u w:val="single"/>
        </w:rPr>
        <w:t>Obecné cíle</w:t>
      </w:r>
    </w:p>
    <w:p w:rsidR="00F24B03" w:rsidRDefault="00F24A78" w:rsidP="00F24B03">
      <w:pPr>
        <w:pStyle w:val="Text-Normaln"/>
      </w:pPr>
      <w:r>
        <w:t xml:space="preserve">Podle studie Světové banky </w:t>
      </w:r>
      <w:proofErr w:type="spellStart"/>
      <w:r>
        <w:t>Doing</w:t>
      </w:r>
      <w:proofErr w:type="spellEnd"/>
      <w:r>
        <w:t xml:space="preserve"> Business 2019 je proces povolování staveb v </w:t>
      </w:r>
      <w:r w:rsidR="00571659">
        <w:t>ČR</w:t>
      </w:r>
      <w:r>
        <w:t xml:space="preserve"> velmi pomalý. V tomto roce se </w:t>
      </w:r>
      <w:r w:rsidR="00571659">
        <w:t>ČR</w:t>
      </w:r>
      <w:r>
        <w:t xml:space="preserve"> po srovnání indikátoru délky standardizovaného stavebního řízení (v ČR 246 dnů) umístila na 156. místě ze 190 posuzovaných zemí. </w:t>
      </w:r>
      <w:r w:rsidR="00F24B03">
        <w:t xml:space="preserve">Jako obecný cíl tak můžeme stanovit posílení konkurenceschopnosti ČR reformou veřejného stavebního práva zaměřenou na zkvalitnění a zrychlení povolovacích procesů staveb. Měřit splnění cíle bude možné na základě posunu ČR výše v žebříčku </w:t>
      </w:r>
      <w:proofErr w:type="spellStart"/>
      <w:r w:rsidR="00F24B03">
        <w:t>Doing</w:t>
      </w:r>
      <w:proofErr w:type="spellEnd"/>
      <w:r w:rsidR="00F24B03">
        <w:t xml:space="preserve"> Business.  </w:t>
      </w:r>
    </w:p>
    <w:p w:rsidR="00F24B03" w:rsidRDefault="00F24B03" w:rsidP="00F24B03">
      <w:pPr>
        <w:pStyle w:val="Text-Normaln"/>
        <w:rPr>
          <w:u w:val="single"/>
        </w:rPr>
      </w:pPr>
      <w:r>
        <w:rPr>
          <w:u w:val="single"/>
        </w:rPr>
        <w:t>Konkrétní cíle</w:t>
      </w:r>
    </w:p>
    <w:p w:rsidR="00F24B03" w:rsidRDefault="00F24B03" w:rsidP="00F24B03">
      <w:pPr>
        <w:pStyle w:val="Text-Normaln"/>
      </w:pPr>
      <w:r>
        <w:t xml:space="preserve">Konkrétním cílovým stavem je minimalizace ztrát plynoucích z oddalování realizace staveb, zefektivnění procesu územního plánování a povolovacích řízení, zvýšení kvality rozhodování, nezávislosti, odborné kapacity a metodického řízení stavebních úřadů, eliminace problému systémové podjatosti se současným zachováním adekvátní možnosti prosadit své zájmy všem dotčeným subjektům (lze monitorovat </w:t>
      </w:r>
      <w:r w:rsidR="00686D84">
        <w:t>například</w:t>
      </w:r>
      <w:r>
        <w:t xml:space="preserve"> na základě výsledků procesních auditů o kvalitě výkonu přenesené působnosti v agendě územního plánování a stavebních úřadů), tj.</w:t>
      </w:r>
      <w:r w:rsidRPr="00224451">
        <w:t xml:space="preserve"> zachován</w:t>
      </w:r>
      <w:r>
        <w:t>ím</w:t>
      </w:r>
      <w:r w:rsidRPr="00224451">
        <w:t xml:space="preserve"> ochran</w:t>
      </w:r>
      <w:r>
        <w:t>y</w:t>
      </w:r>
      <w:r w:rsidRPr="00224451">
        <w:t xml:space="preserve"> veřejných zájmů při profesionálním </w:t>
      </w:r>
      <w:r>
        <w:t xml:space="preserve">a správném </w:t>
      </w:r>
      <w:r w:rsidRPr="00224451">
        <w:t>úředním výkonu</w:t>
      </w:r>
      <w:r>
        <w:t xml:space="preserve">. Toto zefektivnění se může projevit celkovým zkrácením povolovacího procesu, eliminací nežádoucích jevů, které jsou podrobně popsány v kapitole </w:t>
      </w:r>
      <w:r>
        <w:rPr>
          <w:i/>
        </w:rPr>
        <w:t>1.2 Definice problému</w:t>
      </w:r>
      <w:r>
        <w:t xml:space="preserve"> či poklesem nákladovosti celého procesu a také významným nárůstem multiplikačního efektu. </w:t>
      </w:r>
    </w:p>
    <w:p w:rsidR="00F24A78" w:rsidRDefault="00F24A78" w:rsidP="00F24B03">
      <w:pPr>
        <w:pStyle w:val="Text-Normaln"/>
        <w:rPr>
          <w:u w:val="single"/>
        </w:rPr>
      </w:pPr>
      <w:r>
        <w:rPr>
          <w:u w:val="single"/>
        </w:rPr>
        <w:t>Operativní cíle</w:t>
      </w:r>
    </w:p>
    <w:p w:rsidR="00F24A78" w:rsidRDefault="00D62621" w:rsidP="00F24A78">
      <w:pPr>
        <w:pStyle w:val="Text-Normaln"/>
      </w:pPr>
      <w:r>
        <w:t>O</w:t>
      </w:r>
      <w:r w:rsidR="00F24A78">
        <w:t xml:space="preserve">perativní </w:t>
      </w:r>
      <w:r>
        <w:t>cíle</w:t>
      </w:r>
      <w:r w:rsidR="00F24A78">
        <w:t xml:space="preserve"> jsou obvykle vyjadřovány z hlediska výstupů – zboží nebo služeb, jež by změna mohla vytvořit. Dosažení těchto cílů (nebo výstupů) podléhá obvykle přímé kontrole těch, kteří činnost řídí, a může tak být přímo ověřováno.</w:t>
      </w:r>
    </w:p>
    <w:p w:rsidR="00F24A78" w:rsidRDefault="00F24A78" w:rsidP="00F24A78">
      <w:r>
        <w:t xml:space="preserve">Pro přezkum účinnosti na operativní úrovni je doporučeno sledování především oblasti délky přípravné fáze výstavby staveb. </w:t>
      </w:r>
      <w:r w:rsidR="00D62621">
        <w:t xml:space="preserve">RIA </w:t>
      </w:r>
      <w:r>
        <w:t>doporučuje sledovat následující ukazatele:</w:t>
      </w:r>
    </w:p>
    <w:p w:rsidR="00F24A78" w:rsidRDefault="00F24A78" w:rsidP="00C873B4">
      <w:pPr>
        <w:pStyle w:val="Odstavecseseznamem"/>
        <w:numPr>
          <w:ilvl w:val="0"/>
          <w:numId w:val="68"/>
        </w:numPr>
      </w:pPr>
      <w:r>
        <w:t>délku povolovacího procesu (na základě dat o podání žádosti a vydání rozhodnutí);</w:t>
      </w:r>
    </w:p>
    <w:p w:rsidR="00F24A78" w:rsidRDefault="00F24A78" w:rsidP="00C873B4">
      <w:pPr>
        <w:pStyle w:val="Odstavecseseznamem"/>
        <w:numPr>
          <w:ilvl w:val="0"/>
          <w:numId w:val="68"/>
        </w:numPr>
      </w:pPr>
      <w:r>
        <w:t xml:space="preserve">věcnou náplň problémů, které musely být v rámci povolovacího procesu řešeny a měly vliv na délku povolovacího procesu;  </w:t>
      </w:r>
    </w:p>
    <w:p w:rsidR="00F24A78" w:rsidRDefault="00F24A78" w:rsidP="00C873B4">
      <w:pPr>
        <w:pStyle w:val="Odstavecseseznamem"/>
        <w:numPr>
          <w:ilvl w:val="0"/>
          <w:numId w:val="68"/>
        </w:numPr>
      </w:pPr>
      <w:r>
        <w:t>počet úspěšných odvolání a délku odvolacího řízení v případě zachování této možnosti ochrany před správním rozhodnutím;</w:t>
      </w:r>
    </w:p>
    <w:p w:rsidR="00F24A78" w:rsidRDefault="00F24A78" w:rsidP="00C873B4">
      <w:pPr>
        <w:pStyle w:val="Odstavecseseznamem"/>
        <w:numPr>
          <w:ilvl w:val="0"/>
          <w:numId w:val="68"/>
        </w:numPr>
      </w:pPr>
      <w:r>
        <w:t>počet a délku soudních řízení;</w:t>
      </w:r>
    </w:p>
    <w:p w:rsidR="00F24A78" w:rsidRDefault="00F24A78" w:rsidP="00C873B4">
      <w:pPr>
        <w:pStyle w:val="Odstavecseseznamem"/>
        <w:numPr>
          <w:ilvl w:val="0"/>
          <w:numId w:val="68"/>
        </w:numPr>
      </w:pPr>
      <w:r>
        <w:t xml:space="preserve">stabilitu záměrů; </w:t>
      </w:r>
    </w:p>
    <w:p w:rsidR="00F24A78" w:rsidRDefault="00F24A78" w:rsidP="00C873B4">
      <w:pPr>
        <w:pStyle w:val="Odstavecseseznamem"/>
        <w:numPr>
          <w:ilvl w:val="0"/>
          <w:numId w:val="68"/>
        </w:numPr>
      </w:pPr>
      <w:r>
        <w:t xml:space="preserve">dostupnost a přesnost údajů o území </w:t>
      </w:r>
    </w:p>
    <w:p w:rsidR="00F24A78" w:rsidRDefault="00F24A78" w:rsidP="00C873B4">
      <w:pPr>
        <w:pStyle w:val="Odstavecseseznamem"/>
        <w:numPr>
          <w:ilvl w:val="0"/>
          <w:numId w:val="68"/>
        </w:numPr>
      </w:pPr>
      <w:r>
        <w:t>délku procesu pořizování aktualizací a změn ÚPD apod.</w:t>
      </w:r>
    </w:p>
    <w:p w:rsidR="00F24A78" w:rsidRPr="00E44D36" w:rsidRDefault="00F24A78" w:rsidP="00C873B4">
      <w:pPr>
        <w:pStyle w:val="Nadpis2"/>
        <w:numPr>
          <w:ilvl w:val="1"/>
          <w:numId w:val="66"/>
        </w:numPr>
        <w:rPr>
          <w:rFonts w:eastAsia="Calibri"/>
        </w:rPr>
      </w:pPr>
      <w:bookmarkStart w:id="38" w:name="_Toc534419794"/>
      <w:bookmarkStart w:id="39" w:name="_Toc536553908"/>
      <w:r w:rsidRPr="00E44D36">
        <w:rPr>
          <w:rFonts w:eastAsia="Calibri"/>
        </w:rPr>
        <w:t>Zhodnocení rizik</w:t>
      </w:r>
      <w:bookmarkEnd w:id="38"/>
      <w:bookmarkEnd w:id="39"/>
    </w:p>
    <w:p w:rsidR="00F24A78" w:rsidRDefault="00F24A78" w:rsidP="00F24A78">
      <w:pPr>
        <w:pStyle w:val="Text-Normaln"/>
      </w:pPr>
      <w:r>
        <w:t xml:space="preserve">V této části RIA </w:t>
      </w:r>
      <w:r w:rsidR="00D62621">
        <w:t xml:space="preserve">jsou shrnuta </w:t>
      </w:r>
      <w:r>
        <w:t xml:space="preserve">rizika, která jsou spojena s neřešením problému. </w:t>
      </w:r>
    </w:p>
    <w:p w:rsidR="00F24A78" w:rsidRDefault="00F24B03" w:rsidP="00F24A78">
      <w:pPr>
        <w:pStyle w:val="Text-Normaln"/>
      </w:pPr>
      <w:r>
        <w:t xml:space="preserve">V případě, že by stávající stav byl ponechán bez řešení, došlo by k dalšímu poklesu konkurenceschopnosti </w:t>
      </w:r>
      <w:r w:rsidR="00987999">
        <w:t xml:space="preserve">ČR </w:t>
      </w:r>
      <w:r>
        <w:t xml:space="preserve">v oblasti stavebnictví a regionálního rozvoje. </w:t>
      </w:r>
      <w:r w:rsidR="00F24A78">
        <w:t xml:space="preserve">Průtahy v přípravě investičních akcí by nadále vedly ke ztrátám soukromých </w:t>
      </w:r>
      <w:r w:rsidR="00DB3CE5">
        <w:t xml:space="preserve">i veřejných </w:t>
      </w:r>
      <w:r w:rsidR="00F24A78">
        <w:t>zdrojů</w:t>
      </w:r>
      <w:r w:rsidR="00DB3CE5">
        <w:t>. U</w:t>
      </w:r>
      <w:r w:rsidR="00F24A78">
        <w:t xml:space="preserve"> prostředků ze státního rozpočtu </w:t>
      </w:r>
      <w:r w:rsidR="00DB3CE5">
        <w:t xml:space="preserve">by vznikaly ztráty </w:t>
      </w:r>
      <w:r w:rsidR="00F24A78">
        <w:t>vlivem snížené efektivity vydávaných prostředků</w:t>
      </w:r>
      <w:r w:rsidR="00DB3CE5">
        <w:t xml:space="preserve">. Neřešení stávajícího stavu by </w:t>
      </w:r>
      <w:r w:rsidR="00692F26">
        <w:t>vedlo k</w:t>
      </w:r>
      <w:r w:rsidR="00DB3CE5">
        <w:t> </w:t>
      </w:r>
      <w:r w:rsidR="00F24A78">
        <w:t xml:space="preserve">ohrožování či přímo ztrátám finančních prostředků ze strukturálních </w:t>
      </w:r>
      <w:r w:rsidR="00F24A78">
        <w:lastRenderedPageBreak/>
        <w:t xml:space="preserve">fondů EU, které by nebylo možné včas čerpat z důvodu nepřipravenosti staveb, na které byly alokovány. Zpožďování výstavby by způsobovalo celospolečenské ztráty, které přináší negativní dopady na kvalitu života. </w:t>
      </w:r>
    </w:p>
    <w:p w:rsidR="00F24A78" w:rsidRDefault="00F24A78" w:rsidP="00F24A78">
      <w:pPr>
        <w:pStyle w:val="Textkomente"/>
        <w:rPr>
          <w:rFonts w:eastAsia="MS Mincho"/>
          <w:sz w:val="24"/>
          <w:szCs w:val="22"/>
        </w:rPr>
      </w:pPr>
      <w:r>
        <w:rPr>
          <w:rFonts w:eastAsia="MS Mincho"/>
          <w:sz w:val="24"/>
          <w:szCs w:val="22"/>
        </w:rPr>
        <w:t>Konkrétně budou s vysokou pravděpodobností přetrvávat problémy zmíněné v kapitole 1.2 této RIA, a to zejména</w:t>
      </w:r>
    </w:p>
    <w:p w:rsidR="00F24A78" w:rsidRDefault="00F24A78" w:rsidP="00C873B4">
      <w:pPr>
        <w:pStyle w:val="Odstavecseseznamem"/>
        <w:numPr>
          <w:ilvl w:val="0"/>
          <w:numId w:val="69"/>
        </w:numPr>
        <w:spacing w:before="0" w:after="160" w:line="254" w:lineRule="auto"/>
        <w:ind w:left="426" w:hanging="426"/>
        <w:rPr>
          <w:rFonts w:eastAsia="MS Mincho"/>
        </w:rPr>
      </w:pPr>
      <w:r>
        <w:rPr>
          <w:rFonts w:eastAsia="MS Mincho"/>
        </w:rPr>
        <w:t>zbytečné vynakládání státních prostředků na zaměstnance řeš</w:t>
      </w:r>
      <w:r w:rsidR="005344C5">
        <w:rPr>
          <w:rFonts w:eastAsia="MS Mincho"/>
        </w:rPr>
        <w:t>ící opakovaně složitá správní a </w:t>
      </w:r>
      <w:r>
        <w:rPr>
          <w:rFonts w:eastAsia="MS Mincho"/>
        </w:rPr>
        <w:t>soudní řízení;</w:t>
      </w:r>
    </w:p>
    <w:p w:rsidR="00F24A78" w:rsidRDefault="00F24A78" w:rsidP="00C873B4">
      <w:pPr>
        <w:pStyle w:val="Odstavecseseznamem"/>
        <w:numPr>
          <w:ilvl w:val="0"/>
          <w:numId w:val="69"/>
        </w:numPr>
        <w:spacing w:before="0" w:after="160" w:line="254" w:lineRule="auto"/>
        <w:ind w:left="426" w:hanging="426"/>
        <w:rPr>
          <w:rFonts w:eastAsia="MS Mincho"/>
        </w:rPr>
      </w:pPr>
      <w:r>
        <w:rPr>
          <w:rFonts w:eastAsia="MS Mincho"/>
        </w:rPr>
        <w:t xml:space="preserve">nízká transparentnost použití finančních prostředků na financování výkonu agend územního plánování a stavebních úřadů, příp. agend </w:t>
      </w:r>
      <w:r w:rsidR="0078162F">
        <w:rPr>
          <w:rFonts w:eastAsia="MS Mincho"/>
        </w:rPr>
        <w:t>DO</w:t>
      </w:r>
      <w:r>
        <w:rPr>
          <w:rFonts w:eastAsia="MS Mincho"/>
        </w:rPr>
        <w:t>, v přenesené působnosti;</w:t>
      </w:r>
    </w:p>
    <w:p w:rsidR="00F24A78" w:rsidRDefault="00F24A78" w:rsidP="00C873B4">
      <w:pPr>
        <w:pStyle w:val="Odstavecseseznamem"/>
        <w:numPr>
          <w:ilvl w:val="0"/>
          <w:numId w:val="69"/>
        </w:numPr>
        <w:spacing w:before="0" w:after="160" w:line="254" w:lineRule="auto"/>
        <w:ind w:left="426" w:hanging="426"/>
        <w:rPr>
          <w:rFonts w:eastAsia="MS Mincho"/>
        </w:rPr>
      </w:pPr>
      <w:r>
        <w:rPr>
          <w:rFonts w:eastAsia="MS Mincho"/>
        </w:rPr>
        <w:t>nedodržování závazných lhůt;</w:t>
      </w:r>
    </w:p>
    <w:p w:rsidR="00F24A78" w:rsidRDefault="00F24A78" w:rsidP="00C873B4">
      <w:pPr>
        <w:pStyle w:val="Odstavecseseznamem"/>
        <w:numPr>
          <w:ilvl w:val="0"/>
          <w:numId w:val="69"/>
        </w:numPr>
        <w:spacing w:before="0" w:after="160" w:line="254" w:lineRule="auto"/>
        <w:ind w:left="426" w:hanging="426"/>
        <w:rPr>
          <w:rFonts w:eastAsia="MS Mincho"/>
        </w:rPr>
      </w:pPr>
      <w:r>
        <w:rPr>
          <w:rFonts w:eastAsia="MS Mincho"/>
        </w:rPr>
        <w:t>málo aktivní a na obcích nižších typů méně kvalifikované rozhodování bez odpovědnostního dopadu;</w:t>
      </w:r>
    </w:p>
    <w:p w:rsidR="00F24A78" w:rsidRDefault="00F24A78" w:rsidP="00C873B4">
      <w:pPr>
        <w:pStyle w:val="Odstavecseseznamem"/>
        <w:numPr>
          <w:ilvl w:val="0"/>
          <w:numId w:val="69"/>
        </w:numPr>
        <w:spacing w:before="0" w:after="160" w:line="254" w:lineRule="auto"/>
        <w:ind w:left="426" w:hanging="426"/>
        <w:rPr>
          <w:rFonts w:eastAsia="MS Mincho"/>
        </w:rPr>
      </w:pPr>
      <w:r>
        <w:rPr>
          <w:rFonts w:eastAsia="MS Mincho"/>
        </w:rPr>
        <w:t xml:space="preserve">převaha důrazu na formální namísto </w:t>
      </w:r>
      <w:r w:rsidR="005C2CC6">
        <w:rPr>
          <w:rFonts w:eastAsia="MS Mincho"/>
        </w:rPr>
        <w:t xml:space="preserve">na </w:t>
      </w:r>
      <w:r>
        <w:rPr>
          <w:rFonts w:eastAsia="MS Mincho"/>
        </w:rPr>
        <w:t>věcnou stránku rozhodování o životních situacích žadatelů, a to jak fyzických, tak právnických osob;</w:t>
      </w:r>
    </w:p>
    <w:p w:rsidR="00F24A78" w:rsidRDefault="00F24A78" w:rsidP="00C873B4">
      <w:pPr>
        <w:pStyle w:val="Odstavecseseznamem"/>
        <w:numPr>
          <w:ilvl w:val="0"/>
          <w:numId w:val="69"/>
        </w:numPr>
        <w:spacing w:before="0" w:after="160" w:line="254" w:lineRule="auto"/>
        <w:ind w:left="426" w:hanging="426"/>
        <w:rPr>
          <w:rFonts w:eastAsia="MS Mincho"/>
        </w:rPr>
      </w:pPr>
      <w:r>
        <w:rPr>
          <w:rFonts w:eastAsia="MS Mincho"/>
        </w:rPr>
        <w:t>existence bariér rozvoji MSP;</w:t>
      </w:r>
    </w:p>
    <w:p w:rsidR="00F24A78" w:rsidRDefault="00F24A78" w:rsidP="00C873B4">
      <w:pPr>
        <w:pStyle w:val="Odstavecseseznamem"/>
        <w:numPr>
          <w:ilvl w:val="0"/>
          <w:numId w:val="69"/>
        </w:numPr>
        <w:spacing w:before="0" w:after="160" w:line="254" w:lineRule="auto"/>
        <w:ind w:left="426" w:hanging="426"/>
        <w:rPr>
          <w:rFonts w:eastAsia="MS Mincho"/>
        </w:rPr>
      </w:pPr>
      <w:r>
        <w:rPr>
          <w:rFonts w:eastAsia="MS Mincho"/>
        </w:rPr>
        <w:t>vysoké vynucené náklady občanů na zajištění jejich právní ochrany a násobná potřeba využití externích odborných subjektů;</w:t>
      </w:r>
    </w:p>
    <w:p w:rsidR="00F24A78" w:rsidRDefault="00F24A78" w:rsidP="00C873B4">
      <w:pPr>
        <w:pStyle w:val="Odstavecseseznamem"/>
        <w:numPr>
          <w:ilvl w:val="0"/>
          <w:numId w:val="69"/>
        </w:numPr>
        <w:spacing w:before="0" w:after="160" w:line="254" w:lineRule="auto"/>
        <w:ind w:left="426" w:hanging="426"/>
        <w:rPr>
          <w:rFonts w:eastAsia="MS Mincho"/>
        </w:rPr>
      </w:pPr>
      <w:r>
        <w:rPr>
          <w:rFonts w:eastAsia="MS Mincho"/>
        </w:rPr>
        <w:t xml:space="preserve">omezenost přístupu k informacím o území v jednotné srozumitelné neměnné podobě </w:t>
      </w:r>
      <w:proofErr w:type="spellStart"/>
      <w:r>
        <w:rPr>
          <w:rFonts w:eastAsia="MS Mincho"/>
        </w:rPr>
        <w:t>vč</w:t>
      </w:r>
      <w:r w:rsidR="00987999">
        <w:rPr>
          <w:rFonts w:eastAsia="MS Mincho"/>
        </w:rPr>
        <w:t>etné</w:t>
      </w:r>
      <w:proofErr w:type="spellEnd"/>
      <w:r>
        <w:rPr>
          <w:rFonts w:eastAsia="MS Mincho"/>
        </w:rPr>
        <w:t xml:space="preserve"> přístupu k datovému archivu.</w:t>
      </w:r>
    </w:p>
    <w:p w:rsidR="00F24A78" w:rsidRDefault="00F24A78" w:rsidP="00F24A78">
      <w:pPr>
        <w:pStyle w:val="Text-Normaln"/>
      </w:pPr>
    </w:p>
    <w:p w:rsidR="00EF7338" w:rsidRDefault="00EF7338" w:rsidP="003E4A5D">
      <w:pPr>
        <w:pStyle w:val="Text-Normaln"/>
        <w:widowControl w:val="0"/>
      </w:pPr>
    </w:p>
    <w:p w:rsidR="008B37B8" w:rsidRPr="00445D47" w:rsidRDefault="008B37B8" w:rsidP="003E4A5D">
      <w:pPr>
        <w:pStyle w:val="Text-Normaln"/>
        <w:widowControl w:val="0"/>
      </w:pPr>
    </w:p>
    <w:p w:rsidR="00365A23" w:rsidRDefault="00365A23" w:rsidP="003E4A5D">
      <w:pPr>
        <w:widowControl w:val="0"/>
        <w:spacing w:before="0" w:after="0"/>
        <w:jc w:val="left"/>
        <w:rPr>
          <w:rFonts w:ascii="Cambria" w:eastAsia="Times New Roman" w:hAnsi="Cambria"/>
          <w:b/>
          <w:bCs/>
          <w:color w:val="B6B002"/>
          <w:sz w:val="28"/>
          <w:szCs w:val="28"/>
        </w:rPr>
      </w:pPr>
      <w:bookmarkStart w:id="40" w:name="_Toc433757485"/>
      <w:bookmarkEnd w:id="35"/>
      <w:r>
        <w:br w:type="page"/>
      </w:r>
    </w:p>
    <w:p w:rsidR="00C65260" w:rsidRPr="00445D47" w:rsidRDefault="00C65260" w:rsidP="003E4A5D">
      <w:pPr>
        <w:pStyle w:val="Nadpis1"/>
        <w:numPr>
          <w:ilvl w:val="0"/>
          <w:numId w:val="0"/>
        </w:numPr>
        <w:ind w:left="360" w:hanging="360"/>
      </w:pPr>
      <w:bookmarkStart w:id="41" w:name="_Toc536553909"/>
      <w:r w:rsidRPr="00445D47">
        <w:lastRenderedPageBreak/>
        <w:t xml:space="preserve">2 - </w:t>
      </w:r>
      <w:r w:rsidR="008D7C17" w:rsidRPr="00445D47">
        <w:t>3</w:t>
      </w:r>
      <w:r w:rsidRPr="00445D47">
        <w:t xml:space="preserve"> Návrh variant řešení, vyhodnocení nákladů a přínosů - hodnocení dopadů opatření jednotlivých věcně souvisejících okruhů</w:t>
      </w:r>
      <w:bookmarkEnd w:id="40"/>
      <w:bookmarkEnd w:id="41"/>
    </w:p>
    <w:p w:rsidR="004407F5" w:rsidRPr="008B37B8" w:rsidRDefault="00617F3E" w:rsidP="003E4A5D">
      <w:pPr>
        <w:widowControl w:val="0"/>
      </w:pPr>
      <w:r w:rsidRPr="008B37B8">
        <w:t xml:space="preserve">V následujících odstavcích představíme </w:t>
      </w:r>
      <w:r w:rsidR="00EE46FC" w:rsidRPr="008B37B8">
        <w:t>obecný postup výpočtu administrativních nákladů a</w:t>
      </w:r>
      <w:r w:rsidR="00E04E5C" w:rsidRPr="008B37B8">
        <w:t> </w:t>
      </w:r>
      <w:r w:rsidR="00EE46FC" w:rsidRPr="008B37B8">
        <w:t>přínosů, jejichž kategorie se budou týkat více věcných okruhů tak, aby tento postup nemusel být vícekrát rekapitulován. Konkrétní hodnoty výše nákladů a přínosů pak budou uvedeny u</w:t>
      </w:r>
      <w:r w:rsidR="00E04E5C" w:rsidRPr="008B37B8">
        <w:t> </w:t>
      </w:r>
      <w:r w:rsidR="00EE46FC" w:rsidRPr="008B37B8">
        <w:t>jednotlivých variant dle jejich reálného obsahu.</w:t>
      </w:r>
    </w:p>
    <w:p w:rsidR="00FA53CB" w:rsidRPr="0032110B" w:rsidRDefault="00FA53CB" w:rsidP="003E4A5D">
      <w:pPr>
        <w:widowControl w:val="0"/>
        <w:rPr>
          <w:u w:val="single"/>
        </w:rPr>
      </w:pPr>
      <w:r w:rsidRPr="0032110B">
        <w:rPr>
          <w:u w:val="single"/>
        </w:rPr>
        <w:t>Administrativní náklady</w:t>
      </w:r>
    </w:p>
    <w:p w:rsidR="00FA53CB" w:rsidRPr="008B37B8" w:rsidRDefault="00EC753A" w:rsidP="003E4A5D">
      <w:pPr>
        <w:widowControl w:val="0"/>
      </w:pPr>
      <w:r w:rsidRPr="008B37B8">
        <w:t>Odhad a</w:t>
      </w:r>
      <w:r w:rsidR="00FA53CB" w:rsidRPr="008B37B8">
        <w:t>dministrativní</w:t>
      </w:r>
      <w:r w:rsidRPr="008B37B8">
        <w:t>ch</w:t>
      </w:r>
      <w:r w:rsidR="00FA53CB" w:rsidRPr="008B37B8">
        <w:t xml:space="preserve"> náklad</w:t>
      </w:r>
      <w:r w:rsidRPr="008B37B8">
        <w:t>ů</w:t>
      </w:r>
      <w:r w:rsidR="00FA53CB" w:rsidRPr="008B37B8">
        <w:t xml:space="preserve"> spojen</w:t>
      </w:r>
      <w:r w:rsidRPr="008B37B8">
        <w:t>ých</w:t>
      </w:r>
      <w:r w:rsidR="00FA53CB" w:rsidRPr="008B37B8">
        <w:t xml:space="preserve"> s</w:t>
      </w:r>
      <w:r w:rsidRPr="008B37B8">
        <w:t> novými administrativními povinnostmi</w:t>
      </w:r>
      <w:r w:rsidR="00FA53CB" w:rsidRPr="008B37B8">
        <w:t xml:space="preserve"> </w:t>
      </w:r>
      <w:r w:rsidR="008B37B8">
        <w:t xml:space="preserve">či úsporami </w:t>
      </w:r>
      <w:r w:rsidR="00FA53CB" w:rsidRPr="008B37B8">
        <w:t xml:space="preserve">bude vycházet z průměrné časové náročnosti </w:t>
      </w:r>
      <w:r w:rsidR="00E802DB" w:rsidRPr="008B37B8">
        <w:t>úkonu</w:t>
      </w:r>
      <w:r w:rsidR="00FA53CB" w:rsidRPr="008B37B8">
        <w:t xml:space="preserve"> a ceny práce (včetně režijních nákladů). Pro výpočet osobních a režijních nákladů </w:t>
      </w:r>
      <w:r w:rsidR="006B17F3">
        <w:t xml:space="preserve">vycházela společnost </w:t>
      </w:r>
      <w:r w:rsidR="006B17F3" w:rsidRPr="006B17F3">
        <w:t>EEIP, a.s.</w:t>
      </w:r>
      <w:r w:rsidR="006B17F3" w:rsidRPr="008B37B8">
        <w:t xml:space="preserve"> </w:t>
      </w:r>
      <w:r w:rsidR="00FA53CB" w:rsidRPr="008B37B8">
        <w:t>z Obecných zásad hodnocení dopadů regulace a</w:t>
      </w:r>
      <w:r w:rsidR="00E04E5C" w:rsidRPr="008B37B8">
        <w:t> </w:t>
      </w:r>
      <w:r w:rsidR="00C8377F" w:rsidRPr="008B37B8">
        <w:t xml:space="preserve">rovněž </w:t>
      </w:r>
      <w:r w:rsidR="00FA53CB" w:rsidRPr="008B37B8">
        <w:t xml:space="preserve">z metodiky Ministerstva vnitra (2007) pro výpočet mzdových a režijních nákladů. </w:t>
      </w:r>
    </w:p>
    <w:tbl>
      <w:tblPr>
        <w:tblW w:w="9046" w:type="dxa"/>
        <w:jc w:val="center"/>
        <w:shd w:val="clear" w:color="auto" w:fill="D9D9D9" w:themeFill="background1" w:themeFillShade="D9"/>
        <w:tblCellMar>
          <w:left w:w="70" w:type="dxa"/>
          <w:right w:w="70" w:type="dxa"/>
        </w:tblCellMar>
        <w:tblLook w:val="00A0" w:firstRow="1" w:lastRow="0" w:firstColumn="1" w:lastColumn="0" w:noHBand="0" w:noVBand="0"/>
      </w:tblPr>
      <w:tblGrid>
        <w:gridCol w:w="1883"/>
        <w:gridCol w:w="3733"/>
        <w:gridCol w:w="3430"/>
      </w:tblGrid>
      <w:tr w:rsidR="00FA53CB" w:rsidRPr="008B37B8" w:rsidTr="00852610">
        <w:trPr>
          <w:trHeight w:val="454"/>
          <w:jc w:val="center"/>
        </w:trPr>
        <w:tc>
          <w:tcPr>
            <w:tcW w:w="9046" w:type="dxa"/>
            <w:gridSpan w:val="3"/>
            <w:shd w:val="clear" w:color="auto" w:fill="D9D9D9" w:themeFill="background1" w:themeFillShade="D9"/>
            <w:noWrap/>
            <w:vAlign w:val="center"/>
          </w:tcPr>
          <w:p w:rsidR="00022672" w:rsidRDefault="00022672" w:rsidP="003E4A5D">
            <w:pPr>
              <w:pStyle w:val="Titulek"/>
              <w:rPr>
                <w:sz w:val="20"/>
              </w:rPr>
            </w:pPr>
            <w:r>
              <w:t xml:space="preserve">Box </w:t>
            </w:r>
            <w:r w:rsidR="007F1F7C">
              <w:rPr>
                <w:noProof/>
              </w:rPr>
              <w:t>4</w:t>
            </w:r>
          </w:p>
          <w:p w:rsidR="00FA53CB" w:rsidRPr="008B37B8" w:rsidRDefault="00FA53CB" w:rsidP="003E4A5D">
            <w:pPr>
              <w:widowControl w:val="0"/>
              <w:spacing w:before="0" w:after="0"/>
              <w:rPr>
                <w:b/>
                <w:bCs/>
                <w:color w:val="000000"/>
                <w:sz w:val="20"/>
                <w:szCs w:val="20"/>
                <w:lang w:eastAsia="cs-CZ"/>
              </w:rPr>
            </w:pPr>
            <w:r w:rsidRPr="008B37B8">
              <w:rPr>
                <w:b/>
                <w:bCs/>
                <w:color w:val="000000"/>
                <w:sz w:val="20"/>
                <w:szCs w:val="20"/>
                <w:lang w:eastAsia="cs-CZ"/>
              </w:rPr>
              <w:t>Výpočet nákladů procesu (podle metodiky Ministerstva vnitra z roku 2007)</w:t>
            </w:r>
          </w:p>
        </w:tc>
      </w:tr>
      <w:tr w:rsidR="00FA53CB" w:rsidRPr="008B37B8" w:rsidTr="00852610">
        <w:trPr>
          <w:trHeight w:val="454"/>
          <w:jc w:val="center"/>
        </w:trPr>
        <w:tc>
          <w:tcPr>
            <w:tcW w:w="9046" w:type="dxa"/>
            <w:gridSpan w:val="3"/>
            <w:shd w:val="clear" w:color="auto" w:fill="D9D9D9" w:themeFill="background1" w:themeFillShade="D9"/>
            <w:noWrap/>
            <w:vAlign w:val="center"/>
          </w:tcPr>
          <w:p w:rsidR="00FA53CB" w:rsidRPr="008B37B8" w:rsidRDefault="00FA53CB" w:rsidP="003E4A5D">
            <w:pPr>
              <w:widowControl w:val="0"/>
              <w:spacing w:before="0" w:after="0"/>
              <w:jc w:val="left"/>
              <w:rPr>
                <w:color w:val="000000"/>
                <w:sz w:val="20"/>
                <w:szCs w:val="20"/>
                <w:lang w:eastAsia="cs-CZ"/>
              </w:rPr>
            </w:pPr>
            <w:r w:rsidRPr="008B37B8">
              <w:rPr>
                <w:color w:val="000000"/>
                <w:sz w:val="20"/>
                <w:szCs w:val="20"/>
                <w:lang w:eastAsia="cs-CZ"/>
              </w:rPr>
              <w:t xml:space="preserve">Mzdové náklady na zaměstnance </w:t>
            </w:r>
            <w:proofErr w:type="spellStart"/>
            <w:r w:rsidRPr="008B37B8">
              <w:rPr>
                <w:color w:val="000000"/>
                <w:sz w:val="20"/>
                <w:szCs w:val="20"/>
                <w:lang w:eastAsia="cs-CZ"/>
              </w:rPr>
              <w:t>MNz</w:t>
            </w:r>
            <w:proofErr w:type="spellEnd"/>
            <w:r w:rsidRPr="008B37B8">
              <w:rPr>
                <w:color w:val="000000"/>
                <w:sz w:val="20"/>
                <w:szCs w:val="20"/>
                <w:lang w:eastAsia="cs-CZ"/>
              </w:rPr>
              <w:t>= T*(1+mNS)*(1+mPO)</w:t>
            </w:r>
          </w:p>
        </w:tc>
      </w:tr>
      <w:tr w:rsidR="00FA53CB" w:rsidRPr="008B37B8" w:rsidTr="00852610">
        <w:trPr>
          <w:trHeight w:val="454"/>
          <w:jc w:val="center"/>
        </w:trPr>
        <w:tc>
          <w:tcPr>
            <w:tcW w:w="9046" w:type="dxa"/>
            <w:gridSpan w:val="3"/>
            <w:shd w:val="clear" w:color="auto" w:fill="D9D9D9" w:themeFill="background1" w:themeFillShade="D9"/>
            <w:noWrap/>
            <w:vAlign w:val="center"/>
          </w:tcPr>
          <w:p w:rsidR="00FA53CB" w:rsidRPr="008B37B8" w:rsidRDefault="00FA53CB" w:rsidP="003E4A5D">
            <w:pPr>
              <w:widowControl w:val="0"/>
              <w:spacing w:before="0" w:after="0"/>
              <w:jc w:val="left"/>
              <w:rPr>
                <w:color w:val="000000"/>
                <w:sz w:val="20"/>
                <w:szCs w:val="20"/>
                <w:lang w:eastAsia="cs-CZ"/>
              </w:rPr>
            </w:pPr>
            <w:r w:rsidRPr="008B37B8">
              <w:rPr>
                <w:color w:val="000000"/>
                <w:sz w:val="20"/>
                <w:szCs w:val="20"/>
                <w:lang w:eastAsia="cs-CZ"/>
              </w:rPr>
              <w:t xml:space="preserve">Mzdové náklady na 1 </w:t>
            </w:r>
            <w:r w:rsidR="009D15C8" w:rsidRPr="008B37B8">
              <w:rPr>
                <w:color w:val="000000"/>
                <w:sz w:val="20"/>
                <w:szCs w:val="20"/>
                <w:lang w:eastAsia="cs-CZ"/>
              </w:rPr>
              <w:t xml:space="preserve">úkon </w:t>
            </w:r>
            <w:r w:rsidRPr="008B37B8">
              <w:rPr>
                <w:color w:val="000000"/>
                <w:sz w:val="20"/>
                <w:szCs w:val="20"/>
                <w:lang w:eastAsia="cs-CZ"/>
              </w:rPr>
              <w:t>Mna=</w:t>
            </w:r>
            <w:proofErr w:type="spellStart"/>
            <w:r w:rsidRPr="008B37B8">
              <w:rPr>
                <w:color w:val="000000"/>
                <w:sz w:val="20"/>
                <w:szCs w:val="20"/>
                <w:lang w:eastAsia="cs-CZ"/>
              </w:rPr>
              <w:t>MNz</w:t>
            </w:r>
            <w:proofErr w:type="spellEnd"/>
            <w:r w:rsidRPr="008B37B8">
              <w:rPr>
                <w:color w:val="000000"/>
                <w:sz w:val="20"/>
                <w:szCs w:val="20"/>
                <w:lang w:eastAsia="cs-CZ"/>
              </w:rPr>
              <w:t>*CN/160 (předpokládáme průměrný pracovní měsíc 160 hodin se zohledněním dovolených)</w:t>
            </w:r>
          </w:p>
        </w:tc>
      </w:tr>
      <w:tr w:rsidR="00FA53CB" w:rsidRPr="008B37B8" w:rsidTr="00852610">
        <w:trPr>
          <w:trHeight w:val="454"/>
          <w:jc w:val="center"/>
        </w:trPr>
        <w:tc>
          <w:tcPr>
            <w:tcW w:w="9046" w:type="dxa"/>
            <w:gridSpan w:val="3"/>
            <w:shd w:val="clear" w:color="auto" w:fill="D9D9D9" w:themeFill="background1" w:themeFillShade="D9"/>
            <w:noWrap/>
            <w:vAlign w:val="center"/>
          </w:tcPr>
          <w:p w:rsidR="00FA53CB" w:rsidRPr="008B37B8" w:rsidRDefault="00FA53CB" w:rsidP="003E4A5D">
            <w:pPr>
              <w:widowControl w:val="0"/>
              <w:spacing w:before="0" w:after="0"/>
              <w:jc w:val="left"/>
              <w:rPr>
                <w:color w:val="000000"/>
                <w:sz w:val="20"/>
                <w:szCs w:val="20"/>
                <w:lang w:eastAsia="cs-CZ"/>
              </w:rPr>
            </w:pPr>
            <w:r w:rsidRPr="008B37B8">
              <w:rPr>
                <w:color w:val="000000"/>
                <w:sz w:val="20"/>
                <w:szCs w:val="20"/>
                <w:lang w:eastAsia="cs-CZ"/>
              </w:rPr>
              <w:t xml:space="preserve">Režijní náklady na 1 </w:t>
            </w:r>
            <w:r w:rsidR="009D15C8" w:rsidRPr="008B37B8">
              <w:rPr>
                <w:color w:val="000000"/>
                <w:sz w:val="20"/>
                <w:szCs w:val="20"/>
                <w:lang w:eastAsia="cs-CZ"/>
              </w:rPr>
              <w:t xml:space="preserve">úkon </w:t>
            </w:r>
            <w:proofErr w:type="spellStart"/>
            <w:r w:rsidRPr="008B37B8">
              <w:rPr>
                <w:color w:val="000000"/>
                <w:sz w:val="20"/>
                <w:szCs w:val="20"/>
                <w:lang w:eastAsia="cs-CZ"/>
              </w:rPr>
              <w:t>Rna</w:t>
            </w:r>
            <w:proofErr w:type="spellEnd"/>
            <w:r w:rsidRPr="008B37B8">
              <w:rPr>
                <w:color w:val="000000"/>
                <w:sz w:val="20"/>
                <w:szCs w:val="20"/>
                <w:lang w:eastAsia="cs-CZ"/>
              </w:rPr>
              <w:t>=Mna*</w:t>
            </w:r>
            <w:proofErr w:type="spellStart"/>
            <w:r w:rsidRPr="008B37B8">
              <w:rPr>
                <w:color w:val="000000"/>
                <w:sz w:val="20"/>
                <w:szCs w:val="20"/>
                <w:lang w:eastAsia="cs-CZ"/>
              </w:rPr>
              <w:t>mRN</w:t>
            </w:r>
            <w:proofErr w:type="spellEnd"/>
          </w:p>
        </w:tc>
      </w:tr>
      <w:tr w:rsidR="00FA53CB" w:rsidRPr="008B37B8" w:rsidTr="00852610">
        <w:trPr>
          <w:trHeight w:val="454"/>
          <w:jc w:val="center"/>
        </w:trPr>
        <w:tc>
          <w:tcPr>
            <w:tcW w:w="9046" w:type="dxa"/>
            <w:gridSpan w:val="3"/>
            <w:shd w:val="clear" w:color="auto" w:fill="D9D9D9" w:themeFill="background1" w:themeFillShade="D9"/>
            <w:noWrap/>
            <w:vAlign w:val="center"/>
          </w:tcPr>
          <w:p w:rsidR="00FA53CB" w:rsidRPr="008B37B8" w:rsidRDefault="00FA53CB" w:rsidP="003E4A5D">
            <w:pPr>
              <w:widowControl w:val="0"/>
              <w:spacing w:before="0" w:after="0"/>
              <w:jc w:val="left"/>
              <w:rPr>
                <w:color w:val="000000"/>
                <w:sz w:val="20"/>
                <w:szCs w:val="20"/>
                <w:lang w:eastAsia="cs-CZ"/>
              </w:rPr>
            </w:pPr>
            <w:r w:rsidRPr="008B37B8">
              <w:rPr>
                <w:color w:val="000000"/>
                <w:sz w:val="20"/>
                <w:szCs w:val="20"/>
                <w:lang w:eastAsia="cs-CZ"/>
              </w:rPr>
              <w:t>kde:</w:t>
            </w:r>
          </w:p>
        </w:tc>
      </w:tr>
      <w:tr w:rsidR="00FA53CB" w:rsidRPr="008B37B8" w:rsidTr="00852610">
        <w:trPr>
          <w:trHeight w:val="454"/>
          <w:jc w:val="center"/>
        </w:trPr>
        <w:tc>
          <w:tcPr>
            <w:tcW w:w="1883" w:type="dxa"/>
            <w:shd w:val="clear" w:color="auto" w:fill="D9D9D9" w:themeFill="background1" w:themeFillShade="D9"/>
            <w:noWrap/>
            <w:vAlign w:val="center"/>
          </w:tcPr>
          <w:p w:rsidR="00FA53CB" w:rsidRPr="008B37B8" w:rsidRDefault="00FA53CB" w:rsidP="003E4A5D">
            <w:pPr>
              <w:widowControl w:val="0"/>
              <w:spacing w:before="0" w:after="0"/>
              <w:jc w:val="left"/>
              <w:rPr>
                <w:color w:val="000000"/>
                <w:sz w:val="20"/>
                <w:szCs w:val="20"/>
                <w:lang w:eastAsia="cs-CZ"/>
              </w:rPr>
            </w:pPr>
            <w:r w:rsidRPr="008B37B8">
              <w:rPr>
                <w:color w:val="000000"/>
                <w:sz w:val="20"/>
                <w:szCs w:val="20"/>
                <w:lang w:eastAsia="cs-CZ"/>
              </w:rPr>
              <w:t> </w:t>
            </w:r>
          </w:p>
        </w:tc>
        <w:tc>
          <w:tcPr>
            <w:tcW w:w="3733" w:type="dxa"/>
            <w:shd w:val="clear" w:color="auto" w:fill="D9D9D9" w:themeFill="background1" w:themeFillShade="D9"/>
            <w:noWrap/>
            <w:vAlign w:val="center"/>
          </w:tcPr>
          <w:p w:rsidR="00FA53CB" w:rsidRPr="008B37B8" w:rsidRDefault="00FA53CB" w:rsidP="003E4A5D">
            <w:pPr>
              <w:widowControl w:val="0"/>
              <w:spacing w:before="0" w:after="0"/>
              <w:jc w:val="left"/>
              <w:rPr>
                <w:color w:val="000000"/>
                <w:sz w:val="20"/>
                <w:szCs w:val="20"/>
                <w:lang w:eastAsia="cs-CZ"/>
              </w:rPr>
            </w:pPr>
            <w:r w:rsidRPr="008B37B8">
              <w:rPr>
                <w:color w:val="000000"/>
                <w:sz w:val="20"/>
                <w:szCs w:val="20"/>
                <w:lang w:eastAsia="cs-CZ"/>
              </w:rPr>
              <w:t> </w:t>
            </w:r>
          </w:p>
        </w:tc>
        <w:tc>
          <w:tcPr>
            <w:tcW w:w="3430" w:type="dxa"/>
            <w:shd w:val="clear" w:color="auto" w:fill="D9D9D9" w:themeFill="background1" w:themeFillShade="D9"/>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Hodnota (v případě že je stanovena)</w:t>
            </w:r>
          </w:p>
        </w:tc>
      </w:tr>
      <w:tr w:rsidR="00FA53CB" w:rsidRPr="008B37B8" w:rsidTr="00852610">
        <w:trPr>
          <w:trHeight w:val="454"/>
          <w:jc w:val="center"/>
        </w:trPr>
        <w:tc>
          <w:tcPr>
            <w:tcW w:w="1883" w:type="dxa"/>
            <w:shd w:val="clear" w:color="auto" w:fill="D9D9D9" w:themeFill="background1" w:themeFillShade="D9"/>
            <w:noWrap/>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T</w:t>
            </w:r>
          </w:p>
        </w:tc>
        <w:tc>
          <w:tcPr>
            <w:tcW w:w="3733" w:type="dxa"/>
            <w:shd w:val="clear" w:color="auto" w:fill="D9D9D9" w:themeFill="background1" w:themeFillShade="D9"/>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 xml:space="preserve">Měsíční hrubá mzda podle platového tarifu </w:t>
            </w:r>
            <w:r w:rsidR="009D15C8" w:rsidRPr="008B37B8">
              <w:rPr>
                <w:color w:val="000000"/>
                <w:sz w:val="20"/>
                <w:szCs w:val="20"/>
                <w:lang w:eastAsia="cs-CZ"/>
              </w:rPr>
              <w:t>a</w:t>
            </w:r>
            <w:r w:rsidRPr="008B37B8">
              <w:rPr>
                <w:color w:val="000000"/>
                <w:sz w:val="20"/>
                <w:szCs w:val="20"/>
                <w:lang w:eastAsia="cs-CZ"/>
              </w:rPr>
              <w:t xml:space="preserve"> platov</w:t>
            </w:r>
            <w:r w:rsidR="009D15C8" w:rsidRPr="008B37B8">
              <w:rPr>
                <w:color w:val="000000"/>
                <w:sz w:val="20"/>
                <w:szCs w:val="20"/>
                <w:lang w:eastAsia="cs-CZ"/>
              </w:rPr>
              <w:t>ého</w:t>
            </w:r>
            <w:r w:rsidRPr="008B37B8">
              <w:rPr>
                <w:color w:val="000000"/>
                <w:sz w:val="20"/>
                <w:szCs w:val="20"/>
                <w:lang w:eastAsia="cs-CZ"/>
              </w:rPr>
              <w:t xml:space="preserve"> stup</w:t>
            </w:r>
            <w:r w:rsidR="009D15C8" w:rsidRPr="008B37B8">
              <w:rPr>
                <w:color w:val="000000"/>
                <w:sz w:val="20"/>
                <w:szCs w:val="20"/>
                <w:lang w:eastAsia="cs-CZ"/>
              </w:rPr>
              <w:t>ně</w:t>
            </w:r>
            <w:r w:rsidRPr="008B37B8">
              <w:rPr>
                <w:color w:val="000000"/>
                <w:sz w:val="20"/>
                <w:szCs w:val="20"/>
                <w:lang w:eastAsia="cs-CZ"/>
              </w:rPr>
              <w:t xml:space="preserve"> </w:t>
            </w:r>
          </w:p>
        </w:tc>
        <w:tc>
          <w:tcPr>
            <w:tcW w:w="3430" w:type="dxa"/>
            <w:shd w:val="clear" w:color="auto" w:fill="D9D9D9" w:themeFill="background1" w:themeFillShade="D9"/>
            <w:noWrap/>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Je stanovena podle zařazení zaměstnance</w:t>
            </w:r>
          </w:p>
        </w:tc>
      </w:tr>
      <w:tr w:rsidR="00FA53CB" w:rsidRPr="008B37B8" w:rsidTr="00852610">
        <w:trPr>
          <w:trHeight w:val="454"/>
          <w:jc w:val="center"/>
        </w:trPr>
        <w:tc>
          <w:tcPr>
            <w:tcW w:w="1883" w:type="dxa"/>
            <w:shd w:val="clear" w:color="auto" w:fill="D9D9D9" w:themeFill="background1" w:themeFillShade="D9"/>
            <w:noWrap/>
            <w:vAlign w:val="center"/>
          </w:tcPr>
          <w:p w:rsidR="00FA53CB" w:rsidRPr="008B37B8" w:rsidRDefault="00FA53CB" w:rsidP="003E4A5D">
            <w:pPr>
              <w:widowControl w:val="0"/>
              <w:spacing w:before="0" w:after="0"/>
              <w:jc w:val="center"/>
              <w:rPr>
                <w:color w:val="000000"/>
                <w:sz w:val="20"/>
                <w:szCs w:val="20"/>
                <w:lang w:eastAsia="cs-CZ"/>
              </w:rPr>
            </w:pPr>
            <w:proofErr w:type="spellStart"/>
            <w:r w:rsidRPr="008B37B8">
              <w:rPr>
                <w:color w:val="000000"/>
                <w:sz w:val="20"/>
                <w:szCs w:val="20"/>
                <w:lang w:eastAsia="cs-CZ"/>
              </w:rPr>
              <w:t>mNS</w:t>
            </w:r>
            <w:proofErr w:type="spellEnd"/>
          </w:p>
        </w:tc>
        <w:tc>
          <w:tcPr>
            <w:tcW w:w="3733" w:type="dxa"/>
            <w:shd w:val="clear" w:color="auto" w:fill="D9D9D9" w:themeFill="background1" w:themeFillShade="D9"/>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Multiplikátor netarifních složek platu</w:t>
            </w:r>
          </w:p>
        </w:tc>
        <w:tc>
          <w:tcPr>
            <w:tcW w:w="3430" w:type="dxa"/>
            <w:shd w:val="clear" w:color="auto" w:fill="D9D9D9" w:themeFill="background1" w:themeFillShade="D9"/>
            <w:noWrap/>
            <w:vAlign w:val="center"/>
          </w:tcPr>
          <w:p w:rsidR="00FA53CB" w:rsidRPr="008B37B8" w:rsidRDefault="00FA53CB" w:rsidP="003E4A5D">
            <w:pPr>
              <w:widowControl w:val="0"/>
              <w:spacing w:before="0" w:after="0"/>
              <w:jc w:val="right"/>
              <w:rPr>
                <w:color w:val="000000"/>
                <w:sz w:val="20"/>
                <w:szCs w:val="20"/>
                <w:lang w:eastAsia="cs-CZ"/>
              </w:rPr>
            </w:pPr>
            <w:r w:rsidRPr="008B37B8">
              <w:rPr>
                <w:color w:val="000000"/>
                <w:sz w:val="20"/>
                <w:szCs w:val="20"/>
                <w:lang w:eastAsia="cs-CZ"/>
              </w:rPr>
              <w:t>0,2</w:t>
            </w:r>
          </w:p>
        </w:tc>
      </w:tr>
      <w:tr w:rsidR="00FA53CB" w:rsidRPr="008B37B8" w:rsidTr="00852610">
        <w:trPr>
          <w:trHeight w:val="454"/>
          <w:jc w:val="center"/>
        </w:trPr>
        <w:tc>
          <w:tcPr>
            <w:tcW w:w="1883" w:type="dxa"/>
            <w:shd w:val="clear" w:color="auto" w:fill="D9D9D9" w:themeFill="background1" w:themeFillShade="D9"/>
            <w:noWrap/>
            <w:vAlign w:val="center"/>
          </w:tcPr>
          <w:p w:rsidR="00FA53CB" w:rsidRPr="008B37B8" w:rsidRDefault="00FA53CB" w:rsidP="003E4A5D">
            <w:pPr>
              <w:widowControl w:val="0"/>
              <w:spacing w:before="0" w:after="0"/>
              <w:jc w:val="center"/>
              <w:rPr>
                <w:color w:val="000000"/>
                <w:sz w:val="20"/>
                <w:szCs w:val="20"/>
                <w:lang w:eastAsia="cs-CZ"/>
              </w:rPr>
            </w:pPr>
            <w:proofErr w:type="spellStart"/>
            <w:r w:rsidRPr="008B37B8">
              <w:rPr>
                <w:color w:val="000000"/>
                <w:sz w:val="20"/>
                <w:szCs w:val="20"/>
                <w:lang w:eastAsia="cs-CZ"/>
              </w:rPr>
              <w:t>mPO</w:t>
            </w:r>
            <w:proofErr w:type="spellEnd"/>
          </w:p>
        </w:tc>
        <w:tc>
          <w:tcPr>
            <w:tcW w:w="3733" w:type="dxa"/>
            <w:shd w:val="clear" w:color="auto" w:fill="D9D9D9" w:themeFill="background1" w:themeFillShade="D9"/>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Multiplikátor povinných odvodů</w:t>
            </w:r>
          </w:p>
        </w:tc>
        <w:tc>
          <w:tcPr>
            <w:tcW w:w="3430" w:type="dxa"/>
            <w:shd w:val="clear" w:color="auto" w:fill="D9D9D9" w:themeFill="background1" w:themeFillShade="D9"/>
            <w:noWrap/>
            <w:vAlign w:val="center"/>
          </w:tcPr>
          <w:p w:rsidR="00FA53CB" w:rsidRPr="008B37B8" w:rsidRDefault="00FA53CB" w:rsidP="003E4A5D">
            <w:pPr>
              <w:widowControl w:val="0"/>
              <w:spacing w:before="0" w:after="0"/>
              <w:jc w:val="right"/>
              <w:rPr>
                <w:color w:val="000000"/>
                <w:sz w:val="20"/>
                <w:szCs w:val="20"/>
                <w:lang w:eastAsia="cs-CZ"/>
              </w:rPr>
            </w:pPr>
            <w:r w:rsidRPr="008B37B8">
              <w:rPr>
                <w:color w:val="000000"/>
                <w:sz w:val="20"/>
                <w:szCs w:val="20"/>
                <w:lang w:eastAsia="cs-CZ"/>
              </w:rPr>
              <w:t>0,34</w:t>
            </w:r>
          </w:p>
        </w:tc>
      </w:tr>
      <w:tr w:rsidR="00FA53CB" w:rsidRPr="008B37B8" w:rsidTr="00852610">
        <w:trPr>
          <w:trHeight w:val="454"/>
          <w:jc w:val="center"/>
        </w:trPr>
        <w:tc>
          <w:tcPr>
            <w:tcW w:w="1883" w:type="dxa"/>
            <w:shd w:val="clear" w:color="auto" w:fill="D9D9D9" w:themeFill="background1" w:themeFillShade="D9"/>
            <w:noWrap/>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CN</w:t>
            </w:r>
          </w:p>
        </w:tc>
        <w:tc>
          <w:tcPr>
            <w:tcW w:w="3733" w:type="dxa"/>
            <w:shd w:val="clear" w:color="auto" w:fill="D9D9D9" w:themeFill="background1" w:themeFillShade="D9"/>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 xml:space="preserve">Časová náročnost </w:t>
            </w:r>
            <w:r w:rsidR="009D15C8" w:rsidRPr="008B37B8">
              <w:rPr>
                <w:color w:val="000000"/>
                <w:sz w:val="20"/>
                <w:szCs w:val="20"/>
                <w:lang w:eastAsia="cs-CZ"/>
              </w:rPr>
              <w:t xml:space="preserve">úkonu </w:t>
            </w:r>
            <w:r w:rsidRPr="008B37B8">
              <w:rPr>
                <w:color w:val="000000"/>
                <w:sz w:val="20"/>
                <w:szCs w:val="20"/>
                <w:lang w:eastAsia="cs-CZ"/>
              </w:rPr>
              <w:t>(v hodinách)</w:t>
            </w:r>
          </w:p>
        </w:tc>
        <w:tc>
          <w:tcPr>
            <w:tcW w:w="3430" w:type="dxa"/>
            <w:shd w:val="clear" w:color="auto" w:fill="D9D9D9" w:themeFill="background1" w:themeFillShade="D9"/>
            <w:noWrap/>
            <w:vAlign w:val="center"/>
          </w:tcPr>
          <w:p w:rsidR="00FA53CB" w:rsidRPr="008B37B8" w:rsidRDefault="00FA53CB" w:rsidP="003E4A5D">
            <w:pPr>
              <w:widowControl w:val="0"/>
              <w:spacing w:before="0" w:after="0"/>
              <w:jc w:val="right"/>
              <w:rPr>
                <w:color w:val="000000"/>
                <w:sz w:val="20"/>
                <w:szCs w:val="20"/>
                <w:lang w:eastAsia="cs-CZ"/>
              </w:rPr>
            </w:pPr>
            <w:r w:rsidRPr="008B37B8">
              <w:rPr>
                <w:color w:val="000000"/>
                <w:sz w:val="20"/>
                <w:szCs w:val="20"/>
                <w:lang w:eastAsia="cs-CZ"/>
              </w:rPr>
              <w:t>X</w:t>
            </w:r>
          </w:p>
        </w:tc>
      </w:tr>
      <w:tr w:rsidR="00FA53CB" w:rsidRPr="008B37B8" w:rsidTr="00852610">
        <w:trPr>
          <w:trHeight w:val="454"/>
          <w:jc w:val="center"/>
        </w:trPr>
        <w:tc>
          <w:tcPr>
            <w:tcW w:w="1883" w:type="dxa"/>
            <w:shd w:val="clear" w:color="auto" w:fill="D9D9D9" w:themeFill="background1" w:themeFillShade="D9"/>
            <w:noWrap/>
            <w:vAlign w:val="center"/>
          </w:tcPr>
          <w:p w:rsidR="00FA53CB" w:rsidRPr="008B37B8" w:rsidRDefault="00FA53CB" w:rsidP="003E4A5D">
            <w:pPr>
              <w:widowControl w:val="0"/>
              <w:spacing w:before="0" w:after="0"/>
              <w:jc w:val="center"/>
              <w:rPr>
                <w:color w:val="000000"/>
                <w:sz w:val="20"/>
                <w:szCs w:val="20"/>
                <w:lang w:eastAsia="cs-CZ"/>
              </w:rPr>
            </w:pPr>
            <w:proofErr w:type="spellStart"/>
            <w:r w:rsidRPr="008B37B8">
              <w:rPr>
                <w:color w:val="000000"/>
                <w:sz w:val="20"/>
                <w:szCs w:val="20"/>
                <w:lang w:eastAsia="cs-CZ"/>
              </w:rPr>
              <w:t>mRN</w:t>
            </w:r>
            <w:proofErr w:type="spellEnd"/>
          </w:p>
        </w:tc>
        <w:tc>
          <w:tcPr>
            <w:tcW w:w="3733" w:type="dxa"/>
            <w:shd w:val="clear" w:color="auto" w:fill="D9D9D9" w:themeFill="background1" w:themeFillShade="D9"/>
            <w:vAlign w:val="center"/>
          </w:tcPr>
          <w:p w:rsidR="00FA53CB" w:rsidRPr="008B37B8" w:rsidRDefault="00FA53CB" w:rsidP="003E4A5D">
            <w:pPr>
              <w:widowControl w:val="0"/>
              <w:spacing w:before="0" w:after="0"/>
              <w:jc w:val="center"/>
              <w:rPr>
                <w:color w:val="000000"/>
                <w:sz w:val="20"/>
                <w:szCs w:val="20"/>
                <w:lang w:eastAsia="cs-CZ"/>
              </w:rPr>
            </w:pPr>
            <w:r w:rsidRPr="008B37B8">
              <w:rPr>
                <w:color w:val="000000"/>
                <w:sz w:val="20"/>
                <w:szCs w:val="20"/>
                <w:lang w:eastAsia="cs-CZ"/>
              </w:rPr>
              <w:t>Multiplikátor režijních nákladů</w:t>
            </w:r>
          </w:p>
        </w:tc>
        <w:tc>
          <w:tcPr>
            <w:tcW w:w="3430" w:type="dxa"/>
            <w:shd w:val="clear" w:color="auto" w:fill="D9D9D9" w:themeFill="background1" w:themeFillShade="D9"/>
            <w:noWrap/>
            <w:vAlign w:val="center"/>
          </w:tcPr>
          <w:p w:rsidR="00FA53CB" w:rsidRPr="008B37B8" w:rsidRDefault="00FA53CB" w:rsidP="003E4A5D">
            <w:pPr>
              <w:widowControl w:val="0"/>
              <w:spacing w:before="0" w:after="0"/>
              <w:jc w:val="right"/>
              <w:rPr>
                <w:color w:val="000000"/>
                <w:sz w:val="20"/>
                <w:szCs w:val="20"/>
                <w:lang w:eastAsia="cs-CZ"/>
              </w:rPr>
            </w:pPr>
            <w:r w:rsidRPr="008B37B8">
              <w:rPr>
                <w:color w:val="000000"/>
                <w:sz w:val="20"/>
                <w:szCs w:val="20"/>
                <w:lang w:eastAsia="cs-CZ"/>
              </w:rPr>
              <w:t>0,43</w:t>
            </w:r>
          </w:p>
        </w:tc>
      </w:tr>
    </w:tbl>
    <w:p w:rsidR="00FA53CB" w:rsidRPr="008B37B8" w:rsidRDefault="00A701CD" w:rsidP="003E4A5D">
      <w:pPr>
        <w:widowControl w:val="0"/>
      </w:pPr>
      <w:r w:rsidRPr="003B6334">
        <w:t xml:space="preserve">Pro účely výpočtu </w:t>
      </w:r>
      <w:r w:rsidR="006B17F3" w:rsidRPr="003B6334">
        <w:t xml:space="preserve">pracovala společnost </w:t>
      </w:r>
      <w:r w:rsidR="006B17F3" w:rsidRPr="00FF7321">
        <w:t>EEIP, a.s.</w:t>
      </w:r>
      <w:r w:rsidRPr="003B6334">
        <w:t xml:space="preserve"> s 11. třídou a 6. stupněm platové tabulky – tj. 25 860 Kč měsíčně (10. a 11. platová třída jsou nejčetnějším zařazením zaměstnanců </w:t>
      </w:r>
      <w:r w:rsidR="00172D29">
        <w:t>obecných stavebních úřadů</w:t>
      </w:r>
      <w:r w:rsidRPr="003B6334">
        <w:t xml:space="preserve">). Celkové náklady oproti platovému tarifu (tj. včetně netarifních složek platu, povinných odvodů zaměstnavatele a režijních nákladů) budou 59 470 Kč měsíčně, 372 Kč za hodinu práce při výkonu administrativní činnosti. </w:t>
      </w:r>
      <w:r w:rsidR="00FA53CB" w:rsidRPr="00FF7321">
        <w:t>Celkové</w:t>
      </w:r>
      <w:r w:rsidRPr="00FF7321">
        <w:t xml:space="preserve"> </w:t>
      </w:r>
      <w:r w:rsidR="00FA53CB" w:rsidRPr="00FF7321">
        <w:t>administrativní náklady</w:t>
      </w:r>
      <w:r w:rsidR="00722888" w:rsidRPr="00FF7321">
        <w:t xml:space="preserve"> jednotlivých variant</w:t>
      </w:r>
      <w:r w:rsidR="00FA53CB" w:rsidRPr="00FF7321">
        <w:t xml:space="preserve"> </w:t>
      </w:r>
      <w:r w:rsidR="00722888" w:rsidRPr="00FF7321">
        <w:t>p</w:t>
      </w:r>
      <w:r w:rsidR="00FA53CB" w:rsidRPr="00FF7321">
        <w:t>ak budou následující:</w:t>
      </w:r>
    </w:p>
    <w:p w:rsidR="00FA53CB" w:rsidRPr="008B37B8" w:rsidRDefault="00FA53CB" w:rsidP="003E4A5D">
      <w:pPr>
        <w:widowControl w:val="0"/>
        <w:rPr>
          <w:i/>
        </w:rPr>
      </w:pPr>
      <m:oMath>
        <m:r>
          <w:rPr>
            <w:rFonts w:ascii="Cambria Math" w:hAnsi="Cambria Math"/>
          </w:rPr>
          <m:t>AN=372 Kč*X*Y</m:t>
        </m:r>
      </m:oMath>
      <w:r w:rsidRPr="008B37B8">
        <w:rPr>
          <w:i/>
        </w:rPr>
        <w:t xml:space="preserve"> </w:t>
      </w:r>
    </w:p>
    <w:p w:rsidR="00FA53CB" w:rsidRPr="008B37B8" w:rsidRDefault="00FA53CB" w:rsidP="003E4A5D">
      <w:pPr>
        <w:widowControl w:val="0"/>
      </w:pPr>
      <w:r w:rsidRPr="008B37B8">
        <w:t>kde:</w:t>
      </w:r>
    </w:p>
    <w:p w:rsidR="00FA53CB" w:rsidRPr="008B37B8" w:rsidRDefault="00FA53CB" w:rsidP="003E4A5D">
      <w:pPr>
        <w:widowControl w:val="0"/>
      </w:pPr>
      <w:r w:rsidRPr="008B37B8">
        <w:t>AN</w:t>
      </w:r>
      <w:r w:rsidR="003530BF">
        <w:t xml:space="preserve"> </w:t>
      </w:r>
      <w:r w:rsidRPr="008B37B8">
        <w:tab/>
      </w:r>
      <w:r w:rsidRPr="008B37B8">
        <w:tab/>
        <w:t>jsou administrativní náklady</w:t>
      </w:r>
    </w:p>
    <w:p w:rsidR="00FA53CB" w:rsidRPr="008B37B8" w:rsidRDefault="00FA53CB" w:rsidP="003E4A5D">
      <w:pPr>
        <w:widowControl w:val="0"/>
      </w:pPr>
      <w:r w:rsidRPr="008B37B8">
        <w:t>X</w:t>
      </w:r>
      <w:r w:rsidRPr="008B37B8">
        <w:tab/>
      </w:r>
      <w:r w:rsidRPr="008B37B8">
        <w:tab/>
      </w:r>
      <w:r w:rsidR="003530BF">
        <w:t xml:space="preserve"> </w:t>
      </w:r>
      <w:r w:rsidRPr="008B37B8">
        <w:t xml:space="preserve">je průměrná časová náročnost </w:t>
      </w:r>
      <w:r w:rsidR="006F6A9E" w:rsidRPr="008B37B8">
        <w:t>administrativního úkonu</w:t>
      </w:r>
      <w:r w:rsidRPr="008B37B8">
        <w:t xml:space="preserve"> (v hodinách)</w:t>
      </w:r>
    </w:p>
    <w:p w:rsidR="00FA53CB" w:rsidRPr="008B37B8" w:rsidRDefault="00FA53CB" w:rsidP="003E4A5D">
      <w:pPr>
        <w:widowControl w:val="0"/>
      </w:pPr>
      <w:r w:rsidRPr="008B37B8">
        <w:t>Y</w:t>
      </w:r>
      <w:r w:rsidR="003530BF">
        <w:t xml:space="preserve"> </w:t>
      </w:r>
      <w:r w:rsidRPr="008B37B8">
        <w:tab/>
      </w:r>
      <w:r w:rsidRPr="008B37B8">
        <w:tab/>
        <w:t xml:space="preserve">je průměrný počet </w:t>
      </w:r>
      <w:r w:rsidR="006F6A9E" w:rsidRPr="008B37B8">
        <w:t>úkonů</w:t>
      </w:r>
      <w:r w:rsidRPr="008B37B8">
        <w:t xml:space="preserve">. </w:t>
      </w:r>
    </w:p>
    <w:p w:rsidR="00FA53CB" w:rsidRDefault="00722888" w:rsidP="003E4A5D">
      <w:pPr>
        <w:widowControl w:val="0"/>
      </w:pPr>
      <w:r w:rsidRPr="008B37B8">
        <w:t>U</w:t>
      </w:r>
      <w:r w:rsidR="00FA53CB" w:rsidRPr="008B37B8">
        <w:t xml:space="preserve"> soukrom</w:t>
      </w:r>
      <w:r w:rsidRPr="008B37B8">
        <w:t>ých</w:t>
      </w:r>
      <w:r w:rsidR="00FA53CB" w:rsidRPr="008B37B8">
        <w:t xml:space="preserve"> subjekt</w:t>
      </w:r>
      <w:r w:rsidRPr="008B37B8">
        <w:t xml:space="preserve">ů budeme pracovat s </w:t>
      </w:r>
      <w:r w:rsidR="003530BF">
        <w:t>c</w:t>
      </w:r>
      <w:r w:rsidRPr="008B37B8">
        <w:t>ca 1,1násob</w:t>
      </w:r>
      <w:r w:rsidR="00FA53CB" w:rsidRPr="008B37B8">
        <w:t>k</w:t>
      </w:r>
      <w:r w:rsidRPr="008B37B8">
        <w:t>em</w:t>
      </w:r>
      <w:r w:rsidR="00FA53CB" w:rsidRPr="008B37B8">
        <w:t>.</w:t>
      </w:r>
    </w:p>
    <w:p w:rsidR="003176F5" w:rsidRPr="00445D47" w:rsidRDefault="00C63EA8" w:rsidP="003E4A5D">
      <w:pPr>
        <w:widowControl w:val="0"/>
      </w:pPr>
      <w:r>
        <w:t>Ještě je třeba zmínit, že h</w:t>
      </w:r>
      <w:r w:rsidRPr="00F17D93">
        <w:t>odnocení dopadů se nezabývá a nevyčísl</w:t>
      </w:r>
      <w:r w:rsidR="005344C5">
        <w:t>uje absolutní výši aktuálních a </w:t>
      </w:r>
      <w:r w:rsidRPr="00F17D93">
        <w:t xml:space="preserve">budoucích nákladů a přínosů, ale kvantifikuje jejich změnu (tj. nárůst či pokles) po zavedení </w:t>
      </w:r>
      <w:r w:rsidRPr="00F17D93">
        <w:lastRenderedPageBreak/>
        <w:t>vybraných variant. RIA kalkuluje s nejvýznamnějšími dopady na veškeré dotčené strany, marginální náklady a přínosy jsou hodnoceny jako zanedbatelné a nejsou pro jejich nepodstatnost detailně rozebírány.</w:t>
      </w:r>
    </w:p>
    <w:p w:rsidR="009D7687" w:rsidRPr="00486BB0" w:rsidRDefault="004540F4" w:rsidP="003E4A5D">
      <w:pPr>
        <w:pStyle w:val="Nadpis2a"/>
        <w:widowControl w:val="0"/>
      </w:pPr>
      <w:bookmarkStart w:id="42" w:name="_Toc536553910"/>
      <w:r w:rsidRPr="00486BB0">
        <w:t>INSTITUCIONÁLNÍ ZMĚNY</w:t>
      </w:r>
      <w:bookmarkEnd w:id="42"/>
    </w:p>
    <w:p w:rsidR="00F8483B" w:rsidRDefault="00F8483B" w:rsidP="002D3BD1">
      <w:pPr>
        <w:pStyle w:val="Nadpis3a"/>
        <w:widowControl w:val="0"/>
        <w:ind w:left="567" w:hanging="567"/>
      </w:pPr>
      <w:bookmarkStart w:id="43" w:name="_Toc536553911"/>
      <w:r>
        <w:t>Struktura</w:t>
      </w:r>
      <w:r w:rsidR="0011797D">
        <w:t xml:space="preserve"> </w:t>
      </w:r>
      <w:r w:rsidR="00C90B80">
        <w:t>orgánů</w:t>
      </w:r>
      <w:r w:rsidR="00200FA0">
        <w:t xml:space="preserve"> územního plánování a </w:t>
      </w:r>
      <w:r w:rsidR="0011797D">
        <w:t>stavebních úřadů</w:t>
      </w:r>
      <w:bookmarkEnd w:id="43"/>
    </w:p>
    <w:p w:rsidR="008416A6" w:rsidRPr="0076394C" w:rsidRDefault="008416A6" w:rsidP="0076394C">
      <w:pPr>
        <w:pStyle w:val="Nadpis3a"/>
        <w:numPr>
          <w:ilvl w:val="0"/>
          <w:numId w:val="0"/>
        </w:numPr>
      </w:pPr>
      <w:bookmarkStart w:id="44" w:name="_Toc536553912"/>
      <w:r w:rsidRPr="0076394C">
        <w:t>A.1.1 Popis současného stavu</w:t>
      </w:r>
      <w:bookmarkEnd w:id="44"/>
    </w:p>
    <w:p w:rsidR="00506C4F" w:rsidRDefault="00506C4F" w:rsidP="003E4A5D">
      <w:pPr>
        <w:pStyle w:val="Text-Normaln"/>
        <w:widowControl w:val="0"/>
      </w:pPr>
      <w:r>
        <w:t xml:space="preserve">Podle </w:t>
      </w:r>
      <w:r w:rsidR="00BA30EC">
        <w:t>stávajícího stavebního zákona</w:t>
      </w:r>
      <w:r>
        <w:t xml:space="preserve"> vykonávají působnost na úseku územního plánování orgány územního plánování.</w:t>
      </w:r>
    </w:p>
    <w:p w:rsidR="00506C4F" w:rsidRDefault="00506C4F" w:rsidP="003E4A5D">
      <w:pPr>
        <w:pStyle w:val="Text-Normaln"/>
        <w:widowControl w:val="0"/>
      </w:pPr>
      <w:r>
        <w:t xml:space="preserve">Orgány územního plánování </w:t>
      </w:r>
      <w:r w:rsidR="00A10E86">
        <w:t>(OÚP</w:t>
      </w:r>
      <w:r w:rsidR="00647D6D">
        <w:t>, příp. ÚÚP</w:t>
      </w:r>
      <w:r w:rsidR="00A10E86">
        <w:t xml:space="preserve">) </w:t>
      </w:r>
      <w:r>
        <w:t>jsou:</w:t>
      </w:r>
    </w:p>
    <w:p w:rsidR="00506C4F" w:rsidRDefault="00506C4F" w:rsidP="003E4A5D">
      <w:pPr>
        <w:pStyle w:val="Text-Normaln"/>
        <w:widowControl w:val="0"/>
        <w:numPr>
          <w:ilvl w:val="0"/>
          <w:numId w:val="29"/>
        </w:numPr>
      </w:pPr>
      <w:r>
        <w:t>orgány obcí,</w:t>
      </w:r>
    </w:p>
    <w:p w:rsidR="00506C4F" w:rsidRDefault="00506C4F" w:rsidP="003E4A5D">
      <w:pPr>
        <w:pStyle w:val="Text-Normaln"/>
        <w:widowControl w:val="0"/>
        <w:numPr>
          <w:ilvl w:val="0"/>
          <w:numId w:val="29"/>
        </w:numPr>
      </w:pPr>
      <w:r>
        <w:t>orgány krajů,</w:t>
      </w:r>
    </w:p>
    <w:p w:rsidR="00506C4F" w:rsidRDefault="00506C4F" w:rsidP="003E4A5D">
      <w:pPr>
        <w:pStyle w:val="Text-Normaln"/>
        <w:widowControl w:val="0"/>
        <w:numPr>
          <w:ilvl w:val="0"/>
          <w:numId w:val="29"/>
        </w:numPr>
      </w:pPr>
      <w:r>
        <w:t>Ministerstvo pro místní rozvoj,</w:t>
      </w:r>
    </w:p>
    <w:p w:rsidR="00175422" w:rsidRDefault="00506C4F" w:rsidP="003E4A5D">
      <w:pPr>
        <w:pStyle w:val="Text-Normaln"/>
        <w:widowControl w:val="0"/>
        <w:numPr>
          <w:ilvl w:val="0"/>
          <w:numId w:val="29"/>
        </w:numPr>
      </w:pPr>
      <w:r>
        <w:t>Ministerstvo obrany a újezdní úřady.</w:t>
      </w:r>
    </w:p>
    <w:p w:rsidR="00506C4F" w:rsidRDefault="00271B14" w:rsidP="003E4A5D">
      <w:pPr>
        <w:pStyle w:val="Text-Normaln"/>
        <w:widowControl w:val="0"/>
      </w:pPr>
      <w:r w:rsidRPr="00271B14">
        <w:t>Orgány obce a kraje vykonávají působnost ve věcech územního plánování podle zákona jako působnost přenesenou, nestanoví-li zákon, že o věci rozhoduje zastupitelstvo obce nebo kraje.</w:t>
      </w:r>
    </w:p>
    <w:p w:rsidR="00271B14" w:rsidRPr="00271B14" w:rsidRDefault="006B17F3" w:rsidP="003E4A5D">
      <w:pPr>
        <w:pStyle w:val="Text-Normaln"/>
        <w:widowControl w:val="0"/>
      </w:pPr>
      <w:r>
        <w:t>Stávající s</w:t>
      </w:r>
      <w:r w:rsidR="00271B14" w:rsidRPr="00271B14">
        <w:t xml:space="preserve">tavební zákon svěřuje výkon státní správy na úseku územního </w:t>
      </w:r>
      <w:r w:rsidR="00172D29">
        <w:t>rozhodování</w:t>
      </w:r>
      <w:r w:rsidR="00172D29" w:rsidRPr="00271B14">
        <w:t xml:space="preserve"> a</w:t>
      </w:r>
      <w:r w:rsidR="00172D29">
        <w:t> </w:t>
      </w:r>
      <w:r w:rsidR="00271B14" w:rsidRPr="00271B14">
        <w:t>stavebního řádu soustavě stavebních úřadů. Stavební úřady se člení na:</w:t>
      </w:r>
    </w:p>
    <w:p w:rsidR="00271B14" w:rsidRPr="00271B14" w:rsidRDefault="00271B14" w:rsidP="003E4A5D">
      <w:pPr>
        <w:pStyle w:val="Text-Normaln"/>
        <w:widowControl w:val="0"/>
        <w:numPr>
          <w:ilvl w:val="0"/>
          <w:numId w:val="31"/>
        </w:numPr>
      </w:pPr>
      <w:r w:rsidRPr="00271B14">
        <w:t>obecné stavební úřady,</w:t>
      </w:r>
    </w:p>
    <w:p w:rsidR="00271B14" w:rsidRPr="00271B14" w:rsidRDefault="00271B14" w:rsidP="003E4A5D">
      <w:pPr>
        <w:pStyle w:val="Text-Normaln"/>
        <w:widowControl w:val="0"/>
        <w:numPr>
          <w:ilvl w:val="0"/>
          <w:numId w:val="31"/>
        </w:numPr>
      </w:pPr>
      <w:r w:rsidRPr="00271B14">
        <w:t>speciální stavební úřady,</w:t>
      </w:r>
    </w:p>
    <w:p w:rsidR="00271B14" w:rsidRPr="00271B14" w:rsidRDefault="00271B14" w:rsidP="003E4A5D">
      <w:pPr>
        <w:pStyle w:val="Text-Normaln"/>
        <w:widowControl w:val="0"/>
        <w:numPr>
          <w:ilvl w:val="0"/>
          <w:numId w:val="31"/>
        </w:numPr>
      </w:pPr>
      <w:r w:rsidRPr="00271B14">
        <w:t>vojenské stavební úřady,</w:t>
      </w:r>
    </w:p>
    <w:p w:rsidR="00271B14" w:rsidRPr="00271B14" w:rsidRDefault="00271B14" w:rsidP="003E4A5D">
      <w:pPr>
        <w:pStyle w:val="Text-Normaln"/>
        <w:widowControl w:val="0"/>
        <w:numPr>
          <w:ilvl w:val="0"/>
          <w:numId w:val="31"/>
        </w:numPr>
      </w:pPr>
      <w:r w:rsidRPr="00271B14">
        <w:t>jiné stavební úřady.</w:t>
      </w:r>
    </w:p>
    <w:p w:rsidR="00271B14" w:rsidRPr="00271B14" w:rsidRDefault="00271B14" w:rsidP="003E4A5D">
      <w:pPr>
        <w:pStyle w:val="Text-Normaln"/>
        <w:widowControl w:val="0"/>
      </w:pPr>
      <w:r w:rsidRPr="00271B14">
        <w:t xml:space="preserve">Ad a) Obecným stavebním úřadem </w:t>
      </w:r>
      <w:r w:rsidR="00A10E86">
        <w:t xml:space="preserve">(OSÚ) </w:t>
      </w:r>
      <w:r w:rsidRPr="00271B14">
        <w:t xml:space="preserve">podle § 13 </w:t>
      </w:r>
      <w:r w:rsidR="003A42B0">
        <w:t>SZ</w:t>
      </w:r>
      <w:r w:rsidRPr="00271B14">
        <w:t xml:space="preserve"> je:</w:t>
      </w:r>
    </w:p>
    <w:p w:rsidR="00271B14" w:rsidRPr="00271B14" w:rsidRDefault="00271B14" w:rsidP="003E4A5D">
      <w:pPr>
        <w:pStyle w:val="Text-Normaln"/>
        <w:widowControl w:val="0"/>
        <w:numPr>
          <w:ilvl w:val="0"/>
          <w:numId w:val="32"/>
        </w:numPr>
      </w:pPr>
      <w:r w:rsidRPr="00271B14">
        <w:t>Ministerstvo pro místní rozvoj,</w:t>
      </w:r>
    </w:p>
    <w:p w:rsidR="00271B14" w:rsidRPr="00271B14" w:rsidRDefault="00271B14" w:rsidP="003E4A5D">
      <w:pPr>
        <w:pStyle w:val="Text-Normaln"/>
        <w:widowControl w:val="0"/>
        <w:numPr>
          <w:ilvl w:val="0"/>
          <w:numId w:val="32"/>
        </w:numPr>
      </w:pPr>
      <w:r w:rsidRPr="00271B14">
        <w:t>krajský úřad,</w:t>
      </w:r>
    </w:p>
    <w:p w:rsidR="00271B14" w:rsidRPr="00271B14" w:rsidRDefault="00271B14" w:rsidP="003E4A5D">
      <w:pPr>
        <w:pStyle w:val="Text-Normaln"/>
        <w:widowControl w:val="0"/>
        <w:numPr>
          <w:ilvl w:val="0"/>
          <w:numId w:val="32"/>
        </w:numPr>
      </w:pPr>
      <w:r w:rsidRPr="00271B14">
        <w:t>obecní úřad obce s rozšířenou působností,</w:t>
      </w:r>
    </w:p>
    <w:p w:rsidR="00271B14" w:rsidRPr="00271B14" w:rsidRDefault="00271B14" w:rsidP="003E4A5D">
      <w:pPr>
        <w:pStyle w:val="Text-Normaln"/>
        <w:widowControl w:val="0"/>
        <w:numPr>
          <w:ilvl w:val="0"/>
          <w:numId w:val="32"/>
        </w:numPr>
      </w:pPr>
      <w:r w:rsidRPr="00271B14">
        <w:t>pověřený obecní úřad</w:t>
      </w:r>
      <w:r w:rsidR="003530BF">
        <w:t>,</w:t>
      </w:r>
    </w:p>
    <w:p w:rsidR="00271B14" w:rsidRPr="00271B14" w:rsidRDefault="00271B14" w:rsidP="003E4A5D">
      <w:pPr>
        <w:pStyle w:val="Text-Normaln"/>
        <w:widowControl w:val="0"/>
        <w:numPr>
          <w:ilvl w:val="0"/>
          <w:numId w:val="32"/>
        </w:numPr>
      </w:pPr>
      <w:r w:rsidRPr="00271B14">
        <w:t>městský a obecní úřad, který tuto působnost vykonával ke dni 31. 12. 2012.</w:t>
      </w:r>
    </w:p>
    <w:p w:rsidR="00271B14" w:rsidRPr="00271B14" w:rsidRDefault="00172D29" w:rsidP="003E4A5D">
      <w:pPr>
        <w:pStyle w:val="Text-Normaln"/>
        <w:widowControl w:val="0"/>
      </w:pPr>
      <w:r>
        <w:t>OÚS</w:t>
      </w:r>
      <w:r w:rsidR="00271B14" w:rsidRPr="00271B14">
        <w:t xml:space="preserve"> jsou základním článkem soustavy stavebních úřadů. Mají postavení orgánů státní správy </w:t>
      </w:r>
      <w:r w:rsidRPr="00271B14">
        <w:t>s</w:t>
      </w:r>
      <w:r>
        <w:t> </w:t>
      </w:r>
      <w:r w:rsidR="00271B14" w:rsidRPr="00271B14">
        <w:t xml:space="preserve">„univerzální“ působností ve věcech územního rozhodování a stavebního řádu a jsou příslušné </w:t>
      </w:r>
      <w:r w:rsidRPr="00271B14">
        <w:t>i</w:t>
      </w:r>
      <w:r>
        <w:t> </w:t>
      </w:r>
      <w:r w:rsidR="00271B14" w:rsidRPr="00271B14">
        <w:t xml:space="preserve">v dalších věcech, stanovených zákonem, včetně správního trestání. Působnost vykonávají </w:t>
      </w:r>
      <w:r>
        <w:t>OÚS</w:t>
      </w:r>
      <w:r w:rsidR="00271B14" w:rsidRPr="00271B14">
        <w:t xml:space="preserve"> (kromě ministerstva) jako působnost přenesenou.</w:t>
      </w:r>
      <w:r w:rsidR="00271B14">
        <w:t xml:space="preserve"> (RIA MMR)</w:t>
      </w:r>
    </w:p>
    <w:p w:rsidR="00271B14" w:rsidRPr="00271B14" w:rsidRDefault="00271B14" w:rsidP="003E4A5D">
      <w:pPr>
        <w:pStyle w:val="Text-Normaln"/>
        <w:widowControl w:val="0"/>
      </w:pPr>
      <w:r w:rsidRPr="00271B14">
        <w:t xml:space="preserve">Ad b) Speciálním stavebním úřadem </w:t>
      </w:r>
      <w:r w:rsidR="00A10E86">
        <w:t xml:space="preserve">(SSÚ) </w:t>
      </w:r>
      <w:r w:rsidRPr="00271B14">
        <w:t xml:space="preserve">podle § 15 </w:t>
      </w:r>
      <w:r w:rsidR="003A42B0">
        <w:t>SZ</w:t>
      </w:r>
      <w:r w:rsidRPr="00271B14">
        <w:t xml:space="preserve"> </w:t>
      </w:r>
      <w:r w:rsidR="003A42B0">
        <w:t>je</w:t>
      </w:r>
      <w:r w:rsidRPr="00271B14">
        <w:t>:</w:t>
      </w:r>
    </w:p>
    <w:p w:rsidR="00271B14" w:rsidRPr="00271B14" w:rsidRDefault="00271B14" w:rsidP="003E4A5D">
      <w:pPr>
        <w:pStyle w:val="Text-Normaln"/>
        <w:widowControl w:val="0"/>
        <w:numPr>
          <w:ilvl w:val="0"/>
          <w:numId w:val="33"/>
        </w:numPr>
      </w:pPr>
      <w:r w:rsidRPr="00271B14">
        <w:t>Úřad pro civilní letectví u staveb leteckých,</w:t>
      </w:r>
    </w:p>
    <w:p w:rsidR="00271B14" w:rsidRPr="00271B14" w:rsidRDefault="00271B14" w:rsidP="003E4A5D">
      <w:pPr>
        <w:pStyle w:val="Text-Normaln"/>
        <w:widowControl w:val="0"/>
        <w:numPr>
          <w:ilvl w:val="0"/>
          <w:numId w:val="33"/>
        </w:numPr>
      </w:pPr>
      <w:r w:rsidRPr="00271B14">
        <w:t>Drážní správní úřady u staveb drah a na dráze, včetně zařízení na dráze,</w:t>
      </w:r>
    </w:p>
    <w:p w:rsidR="00271B14" w:rsidRPr="00271B14" w:rsidRDefault="00271B14" w:rsidP="003E4A5D">
      <w:pPr>
        <w:pStyle w:val="Text-Normaln"/>
        <w:widowControl w:val="0"/>
        <w:numPr>
          <w:ilvl w:val="0"/>
          <w:numId w:val="33"/>
        </w:numPr>
      </w:pPr>
      <w:r w:rsidRPr="00271B14">
        <w:t>Silniční správní úřady u staveb dálnic, silnic, místních komunikací a veřejně přístupných účelových komunikací, konkrétně podle § 40 zákona č. 13/1997 Sb., o pozemních komunikacích, jsou jimi:</w:t>
      </w:r>
    </w:p>
    <w:p w:rsidR="00271B14" w:rsidRPr="00271B14" w:rsidRDefault="003530BF" w:rsidP="00837A41">
      <w:pPr>
        <w:pStyle w:val="Text-Normaln"/>
        <w:widowControl w:val="0"/>
        <w:numPr>
          <w:ilvl w:val="1"/>
          <w:numId w:val="33"/>
        </w:numPr>
      </w:pPr>
      <w:r>
        <w:tab/>
      </w:r>
      <w:r>
        <w:tab/>
      </w:r>
      <w:r w:rsidR="00271B14" w:rsidRPr="00271B14">
        <w:t>Ministerstvo dopravy ve věcech dálnic a rychlostních silnic,</w:t>
      </w:r>
    </w:p>
    <w:p w:rsidR="00271B14" w:rsidRPr="00271B14" w:rsidRDefault="00271B14" w:rsidP="003E4A5D">
      <w:pPr>
        <w:pStyle w:val="Text-Normaln"/>
        <w:widowControl w:val="0"/>
        <w:numPr>
          <w:ilvl w:val="1"/>
          <w:numId w:val="33"/>
        </w:numPr>
      </w:pPr>
      <w:r w:rsidRPr="00271B14">
        <w:t>krajský úřad ve věcech silnic I. třídy,</w:t>
      </w:r>
    </w:p>
    <w:p w:rsidR="00271B14" w:rsidRPr="00271B14" w:rsidRDefault="00271B14" w:rsidP="003E4A5D">
      <w:pPr>
        <w:pStyle w:val="Text-Normaln"/>
        <w:widowControl w:val="0"/>
        <w:numPr>
          <w:ilvl w:val="1"/>
          <w:numId w:val="33"/>
        </w:numPr>
      </w:pPr>
      <w:r w:rsidRPr="00271B14">
        <w:lastRenderedPageBreak/>
        <w:t>obecní úřad obce s rozšířenou působností ve věcech silnic II. a III. třídy, místních komunikací a veřejně přístupných účelových komunikací</w:t>
      </w:r>
      <w:r w:rsidR="00A10E86">
        <w:t xml:space="preserve"> </w:t>
      </w:r>
      <w:r w:rsidR="00A30461">
        <w:rPr>
          <w:rFonts w:ascii="Times New Roman" w:hAnsi="Times New Roman"/>
        </w:rPr>
        <w:t>[</w:t>
      </w:r>
      <w:r w:rsidR="00A10E86">
        <w:t xml:space="preserve">a) – d) </w:t>
      </w:r>
      <w:r w:rsidR="00A30461">
        <w:t>(</w:t>
      </w:r>
      <w:r w:rsidR="00A10E86">
        <w:t>SSÚ – D)</w:t>
      </w:r>
      <w:r w:rsidR="00A30461">
        <w:rPr>
          <w:rFonts w:ascii="Times New Roman" w:hAnsi="Times New Roman"/>
        </w:rPr>
        <w:t>]</w:t>
      </w:r>
      <w:r w:rsidRPr="00271B14">
        <w:t>;</w:t>
      </w:r>
    </w:p>
    <w:p w:rsidR="00271B14" w:rsidRPr="00271B14" w:rsidRDefault="00271B14" w:rsidP="003E4A5D">
      <w:pPr>
        <w:pStyle w:val="Text-Normaln"/>
        <w:widowControl w:val="0"/>
        <w:numPr>
          <w:ilvl w:val="0"/>
          <w:numId w:val="33"/>
        </w:numPr>
      </w:pPr>
      <w:r w:rsidRPr="00271B14">
        <w:t xml:space="preserve">Vodoprávní úřady </w:t>
      </w:r>
      <w:r w:rsidR="00A10E86">
        <w:t xml:space="preserve">(SSÚ – V) </w:t>
      </w:r>
      <w:r w:rsidRPr="00271B14">
        <w:t xml:space="preserve">u staveb vodních děl, konkrétně </w:t>
      </w:r>
      <w:r w:rsidR="005344C5">
        <w:t>podle § 104 a následujících (ve </w:t>
      </w:r>
      <w:r w:rsidRPr="00271B14">
        <w:t>spojení s § 15) zákona č. 254/2001 Sb., o vodách a o změně některých zákonů (vodní zákon), jsou speciálními stavebními úřady:</w:t>
      </w:r>
    </w:p>
    <w:p w:rsidR="00271B14" w:rsidRPr="00271B14" w:rsidRDefault="00271B14" w:rsidP="003E4A5D">
      <w:pPr>
        <w:pStyle w:val="Text-Normaln"/>
        <w:widowControl w:val="0"/>
        <w:numPr>
          <w:ilvl w:val="1"/>
          <w:numId w:val="33"/>
        </w:numPr>
      </w:pPr>
      <w:r w:rsidRPr="00271B14">
        <w:t>Ministerstvo zemědělství,</w:t>
      </w:r>
    </w:p>
    <w:p w:rsidR="00271B14" w:rsidRPr="00271B14" w:rsidRDefault="00271B14" w:rsidP="003E4A5D">
      <w:pPr>
        <w:pStyle w:val="Text-Normaln"/>
        <w:widowControl w:val="0"/>
        <w:numPr>
          <w:ilvl w:val="1"/>
          <w:numId w:val="33"/>
        </w:numPr>
      </w:pPr>
      <w:r w:rsidRPr="00271B14">
        <w:t>krajské úřady,</w:t>
      </w:r>
    </w:p>
    <w:p w:rsidR="00271B14" w:rsidRPr="00271B14" w:rsidRDefault="00271B14" w:rsidP="003E4A5D">
      <w:pPr>
        <w:pStyle w:val="Text-Normaln"/>
        <w:widowControl w:val="0"/>
        <w:numPr>
          <w:ilvl w:val="1"/>
          <w:numId w:val="33"/>
        </w:numPr>
      </w:pPr>
      <w:r w:rsidRPr="00271B14">
        <w:t>obecní úřady obcí s rozšířenou působností,</w:t>
      </w:r>
    </w:p>
    <w:p w:rsidR="00271B14" w:rsidRPr="00271B14" w:rsidRDefault="00271B14" w:rsidP="003E4A5D">
      <w:pPr>
        <w:pStyle w:val="Text-Normaln"/>
        <w:widowControl w:val="0"/>
        <w:numPr>
          <w:ilvl w:val="1"/>
          <w:numId w:val="33"/>
        </w:numPr>
      </w:pPr>
      <w:r w:rsidRPr="00271B14">
        <w:t>újezdní úřady na území vojenských újezdů.</w:t>
      </w:r>
    </w:p>
    <w:p w:rsidR="00271B14" w:rsidRPr="00271B14" w:rsidRDefault="00172D29" w:rsidP="003E4A5D">
      <w:pPr>
        <w:pStyle w:val="Text-Normaln"/>
        <w:widowControl w:val="0"/>
      </w:pPr>
      <w:r w:rsidRPr="00172D29">
        <w:t>SSÚ</w:t>
      </w:r>
      <w:r w:rsidRPr="00172D29" w:rsidDel="00172D29">
        <w:t xml:space="preserve"> </w:t>
      </w:r>
      <w:r w:rsidR="00271B14" w:rsidRPr="00271B14">
        <w:t xml:space="preserve">vykonávají působnost podle </w:t>
      </w:r>
      <w:r w:rsidR="003A42B0">
        <w:t xml:space="preserve">stávajícího </w:t>
      </w:r>
      <w:r w:rsidR="00271B14" w:rsidRPr="00271B14">
        <w:t>stavebního zákona, s výjimkou pravomoci ve věcech územního rozhodování</w:t>
      </w:r>
      <w:r w:rsidR="003F2FC9">
        <w:t xml:space="preserve"> (pokud nevydávají společné povolení)</w:t>
      </w:r>
      <w:r w:rsidR="00271B14" w:rsidRPr="00271B14">
        <w:t xml:space="preserve">. Postupují přitom podle </w:t>
      </w:r>
      <w:r w:rsidR="003A42B0">
        <w:t xml:space="preserve">stávajícího </w:t>
      </w:r>
      <w:r w:rsidR="00271B14" w:rsidRPr="00271B14">
        <w:t>stavebního zákona, pokud zvláštní právní předpisy pro stavby letecké, stavby drah a na dráze, stavby pozemních komunikací nebo vodní díla nestanoví jinak.</w:t>
      </w:r>
      <w:r w:rsidR="00271B14">
        <w:t xml:space="preserve"> (RIA MMR)</w:t>
      </w:r>
    </w:p>
    <w:p w:rsidR="00271B14" w:rsidRPr="00271B14" w:rsidRDefault="00271B14" w:rsidP="003E4A5D">
      <w:pPr>
        <w:pStyle w:val="Text-Normaln"/>
        <w:widowControl w:val="0"/>
      </w:pPr>
      <w:r w:rsidRPr="00271B14">
        <w:t>Ad c) Vojenským stavebním úřadem podle § 16 SZ jsou újezdní úřady na území vojenských újezdů. Újezdní úřady vykonávají působnost stavebního úřadu na území vojenských újezdů, včetně pravomoci ve věcech územního rozhodování.</w:t>
      </w:r>
    </w:p>
    <w:p w:rsidR="00271B14" w:rsidRPr="00271B14" w:rsidRDefault="00271B14" w:rsidP="003E4A5D">
      <w:pPr>
        <w:pStyle w:val="Text-Normaln"/>
        <w:widowControl w:val="0"/>
      </w:pPr>
      <w:r w:rsidRPr="00271B14">
        <w:t xml:space="preserve">Ad d) Jiným stavebním úřadem podle § 16 SZ </w:t>
      </w:r>
      <w:r w:rsidR="003A42B0">
        <w:t>je</w:t>
      </w:r>
      <w:r w:rsidRPr="00271B14">
        <w:t>:</w:t>
      </w:r>
    </w:p>
    <w:p w:rsidR="00271B14" w:rsidRPr="00271B14" w:rsidRDefault="00271B14" w:rsidP="003E4A5D">
      <w:pPr>
        <w:pStyle w:val="Text-Normaln"/>
        <w:widowControl w:val="0"/>
        <w:numPr>
          <w:ilvl w:val="0"/>
          <w:numId w:val="34"/>
        </w:numPr>
      </w:pPr>
      <w:r w:rsidRPr="00271B14">
        <w:t>Ministerstvo obrany u staveb důležitých pro obranu státu mimo území vojenských újezdů, které slouží nebo mají sloužit k zajišťování obrany státu a jsou zřizovány Ministerstvem obrany nebo právnickou osobou jím zřízenou nebo založenou;</w:t>
      </w:r>
    </w:p>
    <w:p w:rsidR="00271B14" w:rsidRPr="00271B14" w:rsidRDefault="00271B14" w:rsidP="003E4A5D">
      <w:pPr>
        <w:pStyle w:val="Text-Normaln"/>
        <w:widowControl w:val="0"/>
        <w:numPr>
          <w:ilvl w:val="0"/>
          <w:numId w:val="34"/>
        </w:numPr>
      </w:pPr>
      <w:r w:rsidRPr="00271B14">
        <w:t>Ministerstvo vnitra u staveb pro bezpečnost státu, kterými se rozumí stavby nebo jejich části sloužící k plnění úkolů Ministerstva vnitra, organizačních složek státu zřízených Ministerstvem vnitra, Policie České republiky, Policejní akademie České republiky, Hasičského záchranného sboru České republiky, Úřadu pro</w:t>
      </w:r>
      <w:r w:rsidR="005344C5">
        <w:t xml:space="preserve"> zahraniční styky a informace a </w:t>
      </w:r>
      <w:r w:rsidRPr="00271B14">
        <w:t>Bezpečnostní informační služby s výjimkou staveb nebo jejich částí převážně užívaných pro účely bytové nebo rekreační, a u staveb sloužících k plnění úkolů Národního bezpečnostního úřadu;</w:t>
      </w:r>
    </w:p>
    <w:p w:rsidR="00271B14" w:rsidRPr="00271B14" w:rsidRDefault="00271B14" w:rsidP="003E4A5D">
      <w:pPr>
        <w:pStyle w:val="Text-Normaln"/>
        <w:widowControl w:val="0"/>
        <w:numPr>
          <w:ilvl w:val="0"/>
          <w:numId w:val="34"/>
        </w:numPr>
      </w:pPr>
      <w:r w:rsidRPr="00271B14">
        <w:t xml:space="preserve">Ministerstvo spravedlnosti u staveb pro účely Vězeňské služby a jejich organizačních jednotek; </w:t>
      </w:r>
    </w:p>
    <w:p w:rsidR="00271B14" w:rsidRPr="00271B14" w:rsidRDefault="00271B14" w:rsidP="003E4A5D">
      <w:pPr>
        <w:pStyle w:val="Text-Normaln"/>
        <w:widowControl w:val="0"/>
        <w:numPr>
          <w:ilvl w:val="0"/>
          <w:numId w:val="34"/>
        </w:numPr>
      </w:pPr>
      <w:r w:rsidRPr="00271B14">
        <w:t>Ministerstvo průmyslu a obchodu u staveb k účelům těžby, zpracování, transportu a ukládání radioaktivních surovin na území vyhrazeném pro tyto účely a u staveb souvisejících s úložišti radioaktivních odpadů obsahujících přírodní radionuklidy a u staveb náležejících k provozním celkům, jejichž součástí je jaderné zařízení a u staveb zařízení pro přenos elektřiny, zařízení pro přepravu plynu, zařízení pro uskladňování plynu nebo výrobky elektřiny o celkovém instalovaném elektrickém výkonu 100 MW a více;</w:t>
      </w:r>
    </w:p>
    <w:p w:rsidR="00271B14" w:rsidRPr="00271B14" w:rsidRDefault="00271B14" w:rsidP="003E4A5D">
      <w:pPr>
        <w:pStyle w:val="Text-Normaln"/>
        <w:widowControl w:val="0"/>
        <w:numPr>
          <w:ilvl w:val="0"/>
          <w:numId w:val="34"/>
        </w:numPr>
      </w:pPr>
      <w:r w:rsidRPr="00271B14">
        <w:t>Obvodní báňské úřady vykonávají působnost stavebních úřadů v dobývacích prostorech, jde-li o stavby, které mají sloužit otvírce, přípravě a dobývání výhradních ložisek, jakož i úpravě a</w:t>
      </w:r>
      <w:r w:rsidR="005344C5">
        <w:t> </w:t>
      </w:r>
      <w:r w:rsidRPr="00271B14">
        <w:t xml:space="preserve">zušlechťování nerostů prováděných v souvislosti s jejich dobýváním, včetně staveb úložných míst pro těžební odpad a skladů výbušnin, s výjimkou staveb náležejících do působnosti ministerstva průmyslu a obchodu a staveb vodních děl. </w:t>
      </w:r>
    </w:p>
    <w:p w:rsidR="0032110B" w:rsidRPr="00FB46CF" w:rsidRDefault="0032110B" w:rsidP="003E4A5D">
      <w:pPr>
        <w:pStyle w:val="Text-Normaln"/>
        <w:widowControl w:val="0"/>
      </w:pPr>
    </w:p>
    <w:p w:rsidR="0032110B" w:rsidRPr="00041B6B" w:rsidRDefault="00041B6B" w:rsidP="00041B6B">
      <w:pPr>
        <w:pStyle w:val="Nadpis3a"/>
        <w:numPr>
          <w:ilvl w:val="0"/>
          <w:numId w:val="0"/>
        </w:numPr>
        <w:ind w:left="720" w:hanging="720"/>
        <w:rPr>
          <w:sz w:val="22"/>
        </w:rPr>
      </w:pPr>
      <w:bookmarkStart w:id="45" w:name="_Toc536553913"/>
      <w:r w:rsidRPr="00041B6B">
        <w:rPr>
          <w:sz w:val="22"/>
        </w:rPr>
        <w:t>A.</w:t>
      </w:r>
      <w:r w:rsidR="00F76ADF" w:rsidRPr="00041B6B">
        <w:rPr>
          <w:sz w:val="22"/>
        </w:rPr>
        <w:t>1.1</w:t>
      </w:r>
      <w:r w:rsidR="00F76ADF">
        <w:rPr>
          <w:sz w:val="22"/>
        </w:rPr>
        <w:t>.1</w:t>
      </w:r>
      <w:r w:rsidR="00F76ADF" w:rsidRPr="00041B6B">
        <w:rPr>
          <w:sz w:val="22"/>
        </w:rPr>
        <w:t xml:space="preserve"> </w:t>
      </w:r>
      <w:r w:rsidR="00F76ADF">
        <w:rPr>
          <w:sz w:val="22"/>
        </w:rPr>
        <w:t>Úřady</w:t>
      </w:r>
      <w:r w:rsidR="0032110B" w:rsidRPr="00041B6B">
        <w:rPr>
          <w:sz w:val="22"/>
        </w:rPr>
        <w:t xml:space="preserve"> územního plánování</w:t>
      </w:r>
      <w:bookmarkEnd w:id="45"/>
    </w:p>
    <w:p w:rsidR="00CF1747" w:rsidRPr="007E5107" w:rsidRDefault="004820C8" w:rsidP="003E4A5D">
      <w:pPr>
        <w:pStyle w:val="Text-Normaln"/>
        <w:widowControl w:val="0"/>
      </w:pPr>
      <w:r>
        <w:t>V</w:t>
      </w:r>
      <w:r w:rsidR="00332DCF" w:rsidRPr="007E5107">
        <w:t xml:space="preserve"> ČR je 206 (spolu s úřadem v hl. m. Praze) </w:t>
      </w:r>
      <w:r w:rsidR="00CF1747" w:rsidRPr="007E5107">
        <w:t xml:space="preserve">úřadů územního plánování </w:t>
      </w:r>
      <w:r w:rsidR="0025562E">
        <w:t xml:space="preserve">(ÚÚP) </w:t>
      </w:r>
      <w:r w:rsidR="00CF1747" w:rsidRPr="007E5107">
        <w:t xml:space="preserve">na </w:t>
      </w:r>
      <w:r w:rsidR="0025562E" w:rsidRPr="0025562E">
        <w:t>OÚ ORP</w:t>
      </w:r>
      <w:r w:rsidR="00CF1747" w:rsidRPr="007E5107">
        <w:t xml:space="preserve"> s celkovým počtem 803 úředníků a 691 </w:t>
      </w:r>
      <w:r w:rsidR="00CF1747" w:rsidRPr="00D67A9A">
        <w:t>úvazky</w:t>
      </w:r>
      <w:r w:rsidR="007E5107" w:rsidRPr="00D67A9A">
        <w:t xml:space="preserve"> (</w:t>
      </w:r>
      <w:r w:rsidR="007E5107" w:rsidRPr="00D67A9A">
        <w:rPr>
          <w:i/>
        </w:rPr>
        <w:t>tj. tito se budou přesouvat</w:t>
      </w:r>
      <w:r w:rsidR="00C90B80">
        <w:rPr>
          <w:i/>
        </w:rPr>
        <w:t xml:space="preserve"> v dále uvedeném poměru</w:t>
      </w:r>
      <w:r w:rsidR="007E5107" w:rsidRPr="00D67A9A">
        <w:t>)</w:t>
      </w:r>
      <w:r w:rsidR="00D67A9A" w:rsidRPr="00D67A9A">
        <w:t>.</w:t>
      </w:r>
    </w:p>
    <w:p w:rsidR="00CF1747" w:rsidRDefault="00CF1747" w:rsidP="003E4A5D">
      <w:pPr>
        <w:pStyle w:val="Titulek"/>
      </w:pPr>
      <w:r>
        <w:lastRenderedPageBreak/>
        <w:t xml:space="preserve">Obrázek </w:t>
      </w:r>
      <w:r w:rsidR="00AB65E9">
        <w:rPr>
          <w:noProof/>
        </w:rPr>
        <w:fldChar w:fldCharType="begin"/>
      </w:r>
      <w:r w:rsidR="007B0D8A">
        <w:rPr>
          <w:noProof/>
        </w:rPr>
        <w:instrText xml:space="preserve"> SEQ Obrázek \* ARABIC </w:instrText>
      </w:r>
      <w:r w:rsidR="00AB65E9">
        <w:rPr>
          <w:noProof/>
        </w:rPr>
        <w:fldChar w:fldCharType="separate"/>
      </w:r>
      <w:r w:rsidR="00263A1B">
        <w:rPr>
          <w:noProof/>
        </w:rPr>
        <w:t>13</w:t>
      </w:r>
      <w:r w:rsidR="00AB65E9">
        <w:rPr>
          <w:noProof/>
        </w:rPr>
        <w:fldChar w:fldCharType="end"/>
      </w:r>
      <w:r>
        <w:t xml:space="preserve">: </w:t>
      </w:r>
      <w:r w:rsidRPr="00CF1747">
        <w:t>Počet úředníků ÚÚP</w:t>
      </w:r>
      <w:r w:rsidR="00096E37">
        <w:t xml:space="preserve"> </w:t>
      </w:r>
    </w:p>
    <w:p w:rsidR="00332DCF" w:rsidRDefault="00CF1747" w:rsidP="003E4A5D">
      <w:pPr>
        <w:pStyle w:val="Text-Normaln"/>
        <w:widowControl w:val="0"/>
        <w:spacing w:after="0"/>
      </w:pPr>
      <w:r w:rsidRPr="00CF1747">
        <w:rPr>
          <w:noProof/>
          <w:lang w:eastAsia="cs-CZ"/>
        </w:rPr>
        <w:drawing>
          <wp:inline distT="0" distB="0" distL="0" distR="0" wp14:anchorId="1216F361" wp14:editId="15839AA6">
            <wp:extent cx="5410200" cy="274565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23576" cy="2752441"/>
                    </a:xfrm>
                    <a:prstGeom prst="rect">
                      <a:avLst/>
                    </a:prstGeom>
                  </pic:spPr>
                </pic:pic>
              </a:graphicData>
            </a:graphic>
          </wp:inline>
        </w:drawing>
      </w:r>
      <w:r>
        <w:rPr>
          <w:highlight w:val="yellow"/>
        </w:rPr>
        <w:t xml:space="preserve"> </w:t>
      </w:r>
    </w:p>
    <w:p w:rsidR="00CF1747" w:rsidRPr="00CF1747" w:rsidRDefault="00CF1747" w:rsidP="003E4A5D">
      <w:pPr>
        <w:pStyle w:val="Zdroj1"/>
        <w:spacing w:before="0"/>
      </w:pPr>
      <w:r w:rsidRPr="00CF1747">
        <w:t>Zdroj: ÚÚR</w:t>
      </w:r>
    </w:p>
    <w:p w:rsidR="00BF39C6" w:rsidRDefault="00BF39C6" w:rsidP="003E4A5D">
      <w:pPr>
        <w:pStyle w:val="Titulek"/>
        <w:rPr>
          <w:rFonts w:eastAsia="Calibri"/>
          <w:b w:val="0"/>
          <w:bCs w:val="0"/>
          <w:color w:val="auto"/>
          <w:sz w:val="24"/>
          <w:szCs w:val="22"/>
          <w:lang w:eastAsia="en-US"/>
        </w:rPr>
      </w:pPr>
    </w:p>
    <w:p w:rsidR="00BF39C6" w:rsidRDefault="00BF39C6" w:rsidP="003E4A5D">
      <w:pPr>
        <w:pStyle w:val="Titulek"/>
        <w:rPr>
          <w:rFonts w:eastAsia="Calibri"/>
          <w:b w:val="0"/>
          <w:bCs w:val="0"/>
          <w:color w:val="auto"/>
          <w:sz w:val="24"/>
          <w:szCs w:val="22"/>
          <w:lang w:eastAsia="en-US"/>
        </w:rPr>
      </w:pPr>
    </w:p>
    <w:p w:rsidR="007E5107" w:rsidRPr="00041B6B" w:rsidRDefault="007E5107" w:rsidP="003E4A5D">
      <w:pPr>
        <w:pStyle w:val="Titulek"/>
        <w:rPr>
          <w:rFonts w:eastAsia="Calibri"/>
          <w:b w:val="0"/>
          <w:bCs w:val="0"/>
          <w:color w:val="auto"/>
          <w:sz w:val="24"/>
          <w:szCs w:val="22"/>
          <w:lang w:eastAsia="en-US"/>
        </w:rPr>
      </w:pPr>
    </w:p>
    <w:p w:rsidR="00365A23" w:rsidRDefault="00365A23" w:rsidP="003E4A5D">
      <w:pPr>
        <w:pStyle w:val="Titulek"/>
      </w:pPr>
    </w:p>
    <w:p w:rsidR="003B4D46" w:rsidRDefault="003B4D46" w:rsidP="003E4A5D">
      <w:pPr>
        <w:pStyle w:val="Titulek"/>
        <w:rPr>
          <w:highlight w:val="yellow"/>
        </w:rPr>
      </w:pPr>
      <w:r>
        <w:t xml:space="preserve">Obrázek </w:t>
      </w:r>
      <w:r w:rsidR="00AB65E9">
        <w:rPr>
          <w:noProof/>
        </w:rPr>
        <w:fldChar w:fldCharType="begin"/>
      </w:r>
      <w:r w:rsidR="007B0D8A">
        <w:rPr>
          <w:noProof/>
        </w:rPr>
        <w:instrText xml:space="preserve"> SEQ Obrázek \* ARABIC </w:instrText>
      </w:r>
      <w:r w:rsidR="00AB65E9">
        <w:rPr>
          <w:noProof/>
        </w:rPr>
        <w:fldChar w:fldCharType="separate"/>
      </w:r>
      <w:r w:rsidR="00263A1B">
        <w:rPr>
          <w:noProof/>
        </w:rPr>
        <w:t>14</w:t>
      </w:r>
      <w:r w:rsidR="00AB65E9">
        <w:rPr>
          <w:noProof/>
        </w:rPr>
        <w:fldChar w:fldCharType="end"/>
      </w:r>
      <w:r>
        <w:t xml:space="preserve">: </w:t>
      </w:r>
      <w:r w:rsidRPr="003B4D46">
        <w:t>Počet obcí s platnou územně plánovací dokumentací ve správním obvodu ÚÚP</w:t>
      </w:r>
      <w:r w:rsidR="00096E37">
        <w:t xml:space="preserve"> </w:t>
      </w:r>
    </w:p>
    <w:p w:rsidR="00CF1747" w:rsidRDefault="003B4D46" w:rsidP="003E4A5D">
      <w:pPr>
        <w:widowControl w:val="0"/>
        <w:spacing w:after="0"/>
        <w:rPr>
          <w:highlight w:val="yellow"/>
        </w:rPr>
      </w:pPr>
      <w:r w:rsidRPr="003B4D46">
        <w:rPr>
          <w:noProof/>
          <w:lang w:eastAsia="cs-CZ"/>
        </w:rPr>
        <w:drawing>
          <wp:inline distT="0" distB="0" distL="0" distR="0" wp14:anchorId="74D08494" wp14:editId="7E7B1D65">
            <wp:extent cx="5751443" cy="3392556"/>
            <wp:effectExtent l="0" t="0" r="190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65485" cy="3400839"/>
                    </a:xfrm>
                    <a:prstGeom prst="rect">
                      <a:avLst/>
                    </a:prstGeom>
                  </pic:spPr>
                </pic:pic>
              </a:graphicData>
            </a:graphic>
          </wp:inline>
        </w:drawing>
      </w:r>
    </w:p>
    <w:p w:rsidR="003B4D46" w:rsidRPr="00CF1747" w:rsidRDefault="003B4D46" w:rsidP="003E4A5D">
      <w:pPr>
        <w:pStyle w:val="Zdroj1"/>
        <w:spacing w:before="0"/>
      </w:pPr>
      <w:r w:rsidRPr="00CF1747">
        <w:t>Zdroj: ÚÚR</w:t>
      </w:r>
    </w:p>
    <w:p w:rsidR="00365A23" w:rsidRDefault="00365A23" w:rsidP="003E4A5D">
      <w:pPr>
        <w:widowControl w:val="0"/>
        <w:spacing w:before="0" w:after="0"/>
        <w:jc w:val="left"/>
        <w:rPr>
          <w:rFonts w:eastAsia="Times New Roman"/>
          <w:b/>
          <w:bCs/>
          <w:color w:val="000000"/>
          <w:sz w:val="22"/>
          <w:szCs w:val="20"/>
          <w:lang w:eastAsia="cs-CZ"/>
        </w:rPr>
      </w:pPr>
      <w:r>
        <w:br w:type="page"/>
      </w:r>
    </w:p>
    <w:p w:rsidR="00EF43F4" w:rsidRDefault="00EF43F4" w:rsidP="00215D45">
      <w:pPr>
        <w:pStyle w:val="Titulek"/>
        <w:ind w:left="1162" w:hanging="1162"/>
      </w:pPr>
      <w:r>
        <w:lastRenderedPageBreak/>
        <w:t xml:space="preserve">Obrázek </w:t>
      </w:r>
      <w:r w:rsidR="00AB65E9">
        <w:rPr>
          <w:noProof/>
        </w:rPr>
        <w:fldChar w:fldCharType="begin"/>
      </w:r>
      <w:r w:rsidR="007B0D8A">
        <w:rPr>
          <w:noProof/>
        </w:rPr>
        <w:instrText xml:space="preserve"> SEQ Obrázek \* ARABIC </w:instrText>
      </w:r>
      <w:r w:rsidR="00AB65E9">
        <w:rPr>
          <w:noProof/>
        </w:rPr>
        <w:fldChar w:fldCharType="separate"/>
      </w:r>
      <w:r w:rsidR="00263A1B">
        <w:rPr>
          <w:noProof/>
        </w:rPr>
        <w:t>15</w:t>
      </w:r>
      <w:r w:rsidR="00AB65E9">
        <w:rPr>
          <w:noProof/>
        </w:rPr>
        <w:fldChar w:fldCharType="end"/>
      </w:r>
      <w:r>
        <w:t>:</w:t>
      </w:r>
      <w:r w:rsidRPr="00EF43F4">
        <w:t xml:space="preserve"> Po</w:t>
      </w:r>
      <w:r w:rsidR="003B32CD">
        <w:t>díl</w:t>
      </w:r>
      <w:r w:rsidRPr="00EF43F4">
        <w:t xml:space="preserve"> obcí ve správním území ÚÚP, které nemají platný územní plán nebo mají platný územní plán pořízený před 1. 1. 2007 a dosud neupravený podle platného SZ</w:t>
      </w:r>
      <w:r w:rsidR="003B32CD">
        <w:t>, stav k 31. 12. 2017</w:t>
      </w:r>
      <w:r w:rsidR="00096E37">
        <w:t xml:space="preserve"> </w:t>
      </w:r>
    </w:p>
    <w:p w:rsidR="00CF1747" w:rsidRDefault="003B32CD" w:rsidP="003E4A5D">
      <w:pPr>
        <w:widowControl w:val="0"/>
        <w:rPr>
          <w:highlight w:val="yellow"/>
        </w:rPr>
      </w:pPr>
      <w:r w:rsidRPr="003B32CD">
        <w:rPr>
          <w:noProof/>
          <w:lang w:eastAsia="cs-CZ"/>
        </w:rPr>
        <w:drawing>
          <wp:inline distT="0" distB="0" distL="0" distR="0" wp14:anchorId="5423A0CE" wp14:editId="75DCD513">
            <wp:extent cx="5760720" cy="292354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0720" cy="2923540"/>
                    </a:xfrm>
                    <a:prstGeom prst="rect">
                      <a:avLst/>
                    </a:prstGeom>
                  </pic:spPr>
                </pic:pic>
              </a:graphicData>
            </a:graphic>
          </wp:inline>
        </w:drawing>
      </w:r>
    </w:p>
    <w:p w:rsidR="00EF43F4" w:rsidRPr="00CF1747" w:rsidRDefault="00EF43F4" w:rsidP="003E4A5D">
      <w:pPr>
        <w:pStyle w:val="Zdroj1"/>
      </w:pPr>
      <w:r w:rsidRPr="00CF1747">
        <w:t>Zdroj: ÚÚR</w:t>
      </w:r>
    </w:p>
    <w:p w:rsidR="0032110B" w:rsidRDefault="0007180B" w:rsidP="0089559F">
      <w:pPr>
        <w:widowControl w:val="0"/>
      </w:pPr>
      <w:r w:rsidRPr="0007180B">
        <w:t>Na krajských úřadech územního plánování pracuje celkem</w:t>
      </w:r>
      <w:r>
        <w:t xml:space="preserve"> </w:t>
      </w:r>
      <w:r w:rsidR="003A1979">
        <w:t>158 úředníků o necelých 156 pracovních úvazcích</w:t>
      </w:r>
      <w:r w:rsidR="00D67A9A">
        <w:t xml:space="preserve"> (</w:t>
      </w:r>
      <w:r w:rsidR="00D67A9A" w:rsidRPr="00D67A9A">
        <w:rPr>
          <w:i/>
        </w:rPr>
        <w:t>k přesunu</w:t>
      </w:r>
      <w:r w:rsidR="00C90B80">
        <w:rPr>
          <w:i/>
        </w:rPr>
        <w:t xml:space="preserve"> v dále uvedeném poměru</w:t>
      </w:r>
      <w:r w:rsidR="00D67A9A">
        <w:t>)</w:t>
      </w:r>
      <w:r w:rsidR="003A1979">
        <w:t>.</w:t>
      </w:r>
      <w:r w:rsidRPr="0007180B">
        <w:t xml:space="preserve"> </w:t>
      </w:r>
    </w:p>
    <w:p w:rsidR="0032110B" w:rsidRPr="00041B6B" w:rsidRDefault="00041B6B" w:rsidP="00041B6B">
      <w:pPr>
        <w:pStyle w:val="Nadpis3a"/>
        <w:numPr>
          <w:ilvl w:val="0"/>
          <w:numId w:val="0"/>
        </w:numPr>
        <w:ind w:left="720" w:hanging="720"/>
        <w:rPr>
          <w:sz w:val="22"/>
        </w:rPr>
      </w:pPr>
      <w:bookmarkStart w:id="46" w:name="_Toc536553914"/>
      <w:r>
        <w:rPr>
          <w:sz w:val="22"/>
        </w:rPr>
        <w:t>A.1.</w:t>
      </w:r>
      <w:r w:rsidR="008416A6">
        <w:rPr>
          <w:sz w:val="22"/>
        </w:rPr>
        <w:t>1.</w:t>
      </w:r>
      <w:r>
        <w:rPr>
          <w:sz w:val="22"/>
        </w:rPr>
        <w:t xml:space="preserve">2 </w:t>
      </w:r>
      <w:r w:rsidR="0032110B" w:rsidRPr="00041B6B">
        <w:rPr>
          <w:sz w:val="22"/>
        </w:rPr>
        <w:t>Obecné stavební úřady</w:t>
      </w:r>
      <w:r w:rsidR="002F389B" w:rsidRPr="00041B6B">
        <w:rPr>
          <w:sz w:val="22"/>
        </w:rPr>
        <w:t xml:space="preserve"> (OSÚ)</w:t>
      </w:r>
      <w:bookmarkEnd w:id="46"/>
    </w:p>
    <w:p w:rsidR="00175422" w:rsidRDefault="00BD230D" w:rsidP="003E4A5D">
      <w:pPr>
        <w:pStyle w:val="Text-Normaln"/>
        <w:widowControl w:val="0"/>
      </w:pPr>
      <w:r w:rsidRPr="002F389B">
        <w:rPr>
          <w:b/>
        </w:rPr>
        <w:t>Prvoinstančních OSÚ</w:t>
      </w:r>
      <w:r w:rsidRPr="00BD230D">
        <w:t xml:space="preserve"> je celkem 696 (i se započtením úřadů při městských obvodech a</w:t>
      </w:r>
      <w:r w:rsidR="00F9155E">
        <w:t> </w:t>
      </w:r>
      <w:r w:rsidRPr="00BD230D">
        <w:t xml:space="preserve">městských částech statutárních měst). </w:t>
      </w:r>
      <w:r>
        <w:t>Zaměstnávají celkem 3 507 osob se 3 350 úvazky. V průměru připadá na jeden OSÚ 4,81 pracovního úvazku</w:t>
      </w:r>
      <w:r w:rsidR="00D67A9A">
        <w:t xml:space="preserve"> (</w:t>
      </w:r>
      <w:r w:rsidR="00D67A9A" w:rsidRPr="00D67A9A">
        <w:rPr>
          <w:i/>
        </w:rPr>
        <w:t>k přesunu</w:t>
      </w:r>
      <w:r w:rsidR="00C90B80">
        <w:rPr>
          <w:i/>
        </w:rPr>
        <w:t xml:space="preserve"> v dále uvedeném poměru</w:t>
      </w:r>
      <w:r w:rsidR="00D67A9A">
        <w:t>)</w:t>
      </w:r>
      <w:r>
        <w:t>.</w:t>
      </w:r>
      <w:r w:rsidR="00096E37">
        <w:t xml:space="preserve"> </w:t>
      </w:r>
    </w:p>
    <w:p w:rsidR="00022672" w:rsidRDefault="00022672" w:rsidP="003E4A5D">
      <w:pPr>
        <w:pStyle w:val="Titulek"/>
      </w:pPr>
      <w:r>
        <w:t xml:space="preserve">Tabulka </w:t>
      </w:r>
      <w:r w:rsidR="00AB65E9">
        <w:rPr>
          <w:noProof/>
        </w:rPr>
        <w:fldChar w:fldCharType="begin"/>
      </w:r>
      <w:r w:rsidR="00790BCF">
        <w:rPr>
          <w:noProof/>
        </w:rPr>
        <w:instrText xml:space="preserve"> SEQ Tabulka \* ARABIC </w:instrText>
      </w:r>
      <w:r w:rsidR="00AB65E9">
        <w:rPr>
          <w:noProof/>
        </w:rPr>
        <w:fldChar w:fldCharType="separate"/>
      </w:r>
      <w:r w:rsidR="00263A1B">
        <w:rPr>
          <w:noProof/>
        </w:rPr>
        <w:t>9</w:t>
      </w:r>
      <w:r w:rsidR="00AB65E9">
        <w:rPr>
          <w:noProof/>
        </w:rPr>
        <w:fldChar w:fldCharType="end"/>
      </w:r>
      <w:r>
        <w:t>: Počet úvazků na OSÚ</w:t>
      </w:r>
    </w:p>
    <w:tbl>
      <w:tblPr>
        <w:tblStyle w:val="Barevntabulkaseznamu6zvraznn51"/>
        <w:tblW w:w="9072" w:type="dxa"/>
        <w:tblInd w:w="108" w:type="dxa"/>
        <w:tblLayout w:type="fixed"/>
        <w:tblLook w:val="04A0" w:firstRow="1" w:lastRow="0" w:firstColumn="1" w:lastColumn="0" w:noHBand="0" w:noVBand="1"/>
      </w:tblPr>
      <w:tblGrid>
        <w:gridCol w:w="3085"/>
        <w:gridCol w:w="2031"/>
        <w:gridCol w:w="2032"/>
        <w:gridCol w:w="1924"/>
      </w:tblGrid>
      <w:tr w:rsidR="00E63FF0" w:rsidRPr="00E63FF0" w:rsidTr="00D67A9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E63FF0" w:rsidRPr="00E63FF0" w:rsidRDefault="00E63FF0" w:rsidP="003E4A5D">
            <w:pPr>
              <w:widowControl w:val="0"/>
              <w:spacing w:before="0" w:after="0"/>
              <w:jc w:val="left"/>
              <w:rPr>
                <w:rFonts w:eastAsia="Times New Roman" w:cs="Calibri"/>
                <w:color w:val="000000"/>
                <w:sz w:val="20"/>
                <w:szCs w:val="20"/>
                <w:lang w:eastAsia="cs-CZ"/>
              </w:rPr>
            </w:pPr>
            <w:r w:rsidRPr="00E63FF0">
              <w:rPr>
                <w:rFonts w:eastAsia="Times New Roman" w:cs="Calibri"/>
                <w:color w:val="000000"/>
                <w:sz w:val="20"/>
                <w:szCs w:val="20"/>
                <w:lang w:eastAsia="cs-CZ"/>
              </w:rPr>
              <w:t>Popisky řádků</w:t>
            </w:r>
          </w:p>
        </w:tc>
        <w:tc>
          <w:tcPr>
            <w:tcW w:w="2031" w:type="dxa"/>
            <w:noWrap/>
            <w:vAlign w:val="center"/>
            <w:hideMark/>
          </w:tcPr>
          <w:p w:rsidR="00E63FF0" w:rsidRPr="00E63FF0" w:rsidRDefault="00053688"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Pr>
                <w:rFonts w:eastAsia="Times New Roman" w:cs="Calibri"/>
                <w:color w:val="000000"/>
                <w:sz w:val="20"/>
                <w:szCs w:val="20"/>
                <w:lang w:eastAsia="cs-CZ"/>
              </w:rPr>
              <w:t>Počet OSÚ</w:t>
            </w:r>
          </w:p>
        </w:tc>
        <w:tc>
          <w:tcPr>
            <w:tcW w:w="2032" w:type="dxa"/>
            <w:noWrap/>
            <w:vAlign w:val="center"/>
            <w:hideMark/>
          </w:tcPr>
          <w:p w:rsidR="00E63FF0" w:rsidRPr="00E63FF0" w:rsidRDefault="00053688"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Pr>
                <w:rFonts w:eastAsia="Times New Roman" w:cs="Calibri"/>
                <w:color w:val="000000"/>
                <w:sz w:val="20"/>
                <w:szCs w:val="20"/>
                <w:lang w:eastAsia="cs-CZ"/>
              </w:rPr>
              <w:t>Počet</w:t>
            </w:r>
            <w:r w:rsidR="00E63FF0" w:rsidRPr="00E63FF0">
              <w:rPr>
                <w:rFonts w:eastAsia="Times New Roman" w:cs="Calibri"/>
                <w:color w:val="000000"/>
                <w:sz w:val="20"/>
                <w:szCs w:val="20"/>
                <w:lang w:eastAsia="cs-CZ"/>
              </w:rPr>
              <w:t xml:space="preserve"> úředních osob</w:t>
            </w:r>
          </w:p>
        </w:tc>
        <w:tc>
          <w:tcPr>
            <w:tcW w:w="1924" w:type="dxa"/>
            <w:noWrap/>
            <w:vAlign w:val="center"/>
            <w:hideMark/>
          </w:tcPr>
          <w:p w:rsidR="00E63FF0" w:rsidRPr="00E63FF0" w:rsidRDefault="00053688"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Pr>
                <w:rFonts w:eastAsia="Times New Roman" w:cs="Calibri"/>
                <w:color w:val="000000"/>
                <w:sz w:val="20"/>
                <w:szCs w:val="20"/>
                <w:lang w:eastAsia="cs-CZ"/>
              </w:rPr>
              <w:t>Počet</w:t>
            </w:r>
            <w:r w:rsidR="00E63FF0" w:rsidRPr="00E63FF0">
              <w:rPr>
                <w:rFonts w:eastAsia="Times New Roman" w:cs="Calibri"/>
                <w:color w:val="000000"/>
                <w:sz w:val="20"/>
                <w:szCs w:val="20"/>
                <w:lang w:eastAsia="cs-CZ"/>
              </w:rPr>
              <w:t xml:space="preserve"> pracovních úvazků úředních osob</w:t>
            </w:r>
          </w:p>
        </w:tc>
      </w:tr>
      <w:tr w:rsidR="00053688" w:rsidRPr="00E63FF0" w:rsidTr="00D67A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E63FF0" w:rsidRPr="00E63FF0" w:rsidRDefault="00E63FF0" w:rsidP="003E4A5D">
            <w:pPr>
              <w:widowControl w:val="0"/>
              <w:spacing w:before="0" w:after="0"/>
              <w:jc w:val="left"/>
              <w:rPr>
                <w:rFonts w:eastAsia="Times New Roman" w:cs="Calibri"/>
                <w:color w:val="000000"/>
                <w:sz w:val="20"/>
                <w:szCs w:val="20"/>
                <w:lang w:eastAsia="cs-CZ"/>
              </w:rPr>
            </w:pPr>
            <w:r w:rsidRPr="00E63FF0">
              <w:rPr>
                <w:rFonts w:eastAsia="Times New Roman" w:cs="Calibri"/>
                <w:color w:val="000000"/>
                <w:sz w:val="20"/>
                <w:szCs w:val="20"/>
                <w:lang w:eastAsia="cs-CZ"/>
              </w:rPr>
              <w:t>úřad obce I. stupně = 1</w:t>
            </w:r>
          </w:p>
          <w:p w:rsidR="00E63FF0" w:rsidRPr="00E63FF0" w:rsidRDefault="00E63FF0" w:rsidP="003E4A5D">
            <w:pPr>
              <w:widowControl w:val="0"/>
              <w:spacing w:before="0" w:after="0"/>
              <w:jc w:val="left"/>
              <w:rPr>
                <w:rFonts w:eastAsia="Times New Roman" w:cs="Calibri"/>
                <w:color w:val="000000"/>
                <w:sz w:val="20"/>
                <w:szCs w:val="20"/>
                <w:lang w:eastAsia="cs-CZ"/>
              </w:rPr>
            </w:pPr>
          </w:p>
        </w:tc>
        <w:tc>
          <w:tcPr>
            <w:tcW w:w="2031"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227,00</w:t>
            </w:r>
          </w:p>
        </w:tc>
        <w:tc>
          <w:tcPr>
            <w:tcW w:w="2032"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497,00</w:t>
            </w:r>
          </w:p>
        </w:tc>
        <w:tc>
          <w:tcPr>
            <w:tcW w:w="1924"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467,48</w:t>
            </w:r>
          </w:p>
        </w:tc>
      </w:tr>
      <w:tr w:rsidR="00E63FF0" w:rsidRPr="00E63FF0" w:rsidTr="00D67A9A">
        <w:trPr>
          <w:trHeight w:val="288"/>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053688" w:rsidRPr="00E63FF0" w:rsidRDefault="00053688" w:rsidP="003E4A5D">
            <w:pPr>
              <w:widowControl w:val="0"/>
              <w:spacing w:before="0" w:after="0"/>
              <w:jc w:val="left"/>
              <w:rPr>
                <w:rFonts w:eastAsia="Times New Roman" w:cs="Calibri"/>
                <w:color w:val="000000"/>
                <w:sz w:val="20"/>
                <w:szCs w:val="20"/>
                <w:lang w:eastAsia="cs-CZ"/>
              </w:rPr>
            </w:pPr>
            <w:r w:rsidRPr="00E63FF0">
              <w:rPr>
                <w:rFonts w:eastAsia="Times New Roman" w:cs="Calibri"/>
                <w:color w:val="000000"/>
                <w:sz w:val="20"/>
                <w:szCs w:val="20"/>
                <w:lang w:eastAsia="cs-CZ"/>
              </w:rPr>
              <w:t>úřad obce II. stupně = 2</w:t>
            </w:r>
          </w:p>
          <w:p w:rsidR="00E63FF0" w:rsidRPr="00E63FF0" w:rsidRDefault="00E63FF0" w:rsidP="003E4A5D">
            <w:pPr>
              <w:widowControl w:val="0"/>
              <w:spacing w:before="0" w:after="0"/>
              <w:jc w:val="left"/>
              <w:rPr>
                <w:rFonts w:eastAsia="Times New Roman" w:cs="Calibri"/>
                <w:color w:val="000000"/>
                <w:sz w:val="20"/>
                <w:szCs w:val="20"/>
                <w:lang w:eastAsia="cs-CZ"/>
              </w:rPr>
            </w:pPr>
          </w:p>
        </w:tc>
        <w:tc>
          <w:tcPr>
            <w:tcW w:w="2031"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183,00</w:t>
            </w:r>
          </w:p>
        </w:tc>
        <w:tc>
          <w:tcPr>
            <w:tcW w:w="2032"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603,00</w:t>
            </w:r>
          </w:p>
        </w:tc>
        <w:tc>
          <w:tcPr>
            <w:tcW w:w="1924"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583,50</w:t>
            </w:r>
          </w:p>
        </w:tc>
      </w:tr>
      <w:tr w:rsidR="00053688" w:rsidRPr="00E63FF0" w:rsidTr="00D67A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053688" w:rsidRPr="00E63FF0" w:rsidRDefault="00053688" w:rsidP="003E4A5D">
            <w:pPr>
              <w:widowControl w:val="0"/>
              <w:spacing w:before="0" w:after="0"/>
              <w:jc w:val="left"/>
              <w:rPr>
                <w:rFonts w:eastAsia="Times New Roman" w:cs="Calibri"/>
                <w:color w:val="000000"/>
                <w:sz w:val="20"/>
                <w:szCs w:val="20"/>
                <w:lang w:eastAsia="cs-CZ"/>
              </w:rPr>
            </w:pPr>
            <w:r w:rsidRPr="00E63FF0">
              <w:rPr>
                <w:rFonts w:eastAsia="Times New Roman" w:cs="Calibri"/>
                <w:color w:val="000000"/>
                <w:sz w:val="20"/>
                <w:szCs w:val="20"/>
                <w:lang w:eastAsia="cs-CZ"/>
              </w:rPr>
              <w:t>úřad obce III. stupně = 3</w:t>
            </w:r>
          </w:p>
          <w:p w:rsidR="00E63FF0" w:rsidRPr="00E63FF0" w:rsidRDefault="00E63FF0" w:rsidP="003E4A5D">
            <w:pPr>
              <w:widowControl w:val="0"/>
              <w:spacing w:before="0" w:after="0"/>
              <w:jc w:val="left"/>
              <w:rPr>
                <w:rFonts w:eastAsia="Times New Roman" w:cs="Calibri"/>
                <w:color w:val="000000"/>
                <w:sz w:val="20"/>
                <w:szCs w:val="20"/>
                <w:lang w:eastAsia="cs-CZ"/>
              </w:rPr>
            </w:pPr>
          </w:p>
        </w:tc>
        <w:tc>
          <w:tcPr>
            <w:tcW w:w="2031"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203,00</w:t>
            </w:r>
          </w:p>
        </w:tc>
        <w:tc>
          <w:tcPr>
            <w:tcW w:w="2032"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1 745,00</w:t>
            </w:r>
          </w:p>
        </w:tc>
        <w:tc>
          <w:tcPr>
            <w:tcW w:w="1924"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1 648,53</w:t>
            </w:r>
          </w:p>
        </w:tc>
      </w:tr>
      <w:tr w:rsidR="00E63FF0" w:rsidRPr="00E63FF0" w:rsidTr="00D67A9A">
        <w:trPr>
          <w:trHeight w:val="288"/>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053688" w:rsidRPr="00E63FF0" w:rsidRDefault="00053688" w:rsidP="003E4A5D">
            <w:pPr>
              <w:widowControl w:val="0"/>
              <w:spacing w:before="0" w:after="0"/>
              <w:jc w:val="left"/>
              <w:rPr>
                <w:rFonts w:eastAsia="Times New Roman" w:cs="Calibri"/>
                <w:color w:val="000000"/>
                <w:sz w:val="20"/>
                <w:szCs w:val="20"/>
                <w:lang w:eastAsia="cs-CZ"/>
              </w:rPr>
            </w:pPr>
            <w:r w:rsidRPr="00E63FF0">
              <w:rPr>
                <w:rFonts w:eastAsia="Times New Roman" w:cs="Calibri"/>
                <w:color w:val="000000"/>
                <w:sz w:val="20"/>
                <w:szCs w:val="20"/>
                <w:lang w:eastAsia="cs-CZ"/>
              </w:rPr>
              <w:t>magistrát územně členěného statutárního města = 4</w:t>
            </w:r>
          </w:p>
          <w:p w:rsidR="00E63FF0" w:rsidRPr="00E63FF0" w:rsidRDefault="00E63FF0" w:rsidP="003E4A5D">
            <w:pPr>
              <w:widowControl w:val="0"/>
              <w:spacing w:before="0" w:after="0"/>
              <w:jc w:val="left"/>
              <w:rPr>
                <w:rFonts w:eastAsia="Times New Roman" w:cs="Calibri"/>
                <w:color w:val="000000"/>
                <w:sz w:val="20"/>
                <w:szCs w:val="20"/>
                <w:lang w:eastAsia="cs-CZ"/>
              </w:rPr>
            </w:pPr>
          </w:p>
        </w:tc>
        <w:tc>
          <w:tcPr>
            <w:tcW w:w="2031"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3,00</w:t>
            </w:r>
          </w:p>
        </w:tc>
        <w:tc>
          <w:tcPr>
            <w:tcW w:w="2032"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23,00</w:t>
            </w:r>
          </w:p>
        </w:tc>
        <w:tc>
          <w:tcPr>
            <w:tcW w:w="1924"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22,20</w:t>
            </w:r>
          </w:p>
        </w:tc>
      </w:tr>
      <w:tr w:rsidR="00053688" w:rsidRPr="00E63FF0" w:rsidTr="00D67A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053688" w:rsidRPr="00E63FF0" w:rsidRDefault="00053688" w:rsidP="003E4A5D">
            <w:pPr>
              <w:widowControl w:val="0"/>
              <w:spacing w:before="0" w:after="0"/>
              <w:jc w:val="left"/>
              <w:rPr>
                <w:rFonts w:eastAsia="Times New Roman" w:cs="Calibri"/>
                <w:color w:val="000000"/>
                <w:sz w:val="20"/>
                <w:szCs w:val="20"/>
                <w:lang w:eastAsia="cs-CZ"/>
              </w:rPr>
            </w:pPr>
            <w:r w:rsidRPr="00E63FF0">
              <w:rPr>
                <w:rFonts w:eastAsia="Times New Roman" w:cs="Calibri"/>
                <w:color w:val="000000"/>
                <w:sz w:val="20"/>
                <w:szCs w:val="20"/>
                <w:lang w:eastAsia="cs-CZ"/>
              </w:rPr>
              <w:t>úřad městského obvodu = 5</w:t>
            </w:r>
          </w:p>
          <w:p w:rsidR="00E63FF0" w:rsidRPr="00E63FF0" w:rsidRDefault="00E63FF0" w:rsidP="003E4A5D">
            <w:pPr>
              <w:widowControl w:val="0"/>
              <w:spacing w:before="0" w:after="0"/>
              <w:jc w:val="left"/>
              <w:rPr>
                <w:rFonts w:eastAsia="Times New Roman" w:cs="Calibri"/>
                <w:color w:val="000000"/>
                <w:sz w:val="20"/>
                <w:szCs w:val="20"/>
                <w:lang w:eastAsia="cs-CZ"/>
              </w:rPr>
            </w:pPr>
          </w:p>
        </w:tc>
        <w:tc>
          <w:tcPr>
            <w:tcW w:w="2031"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30,00</w:t>
            </w:r>
          </w:p>
        </w:tc>
        <w:tc>
          <w:tcPr>
            <w:tcW w:w="2032"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109,00</w:t>
            </w:r>
          </w:p>
        </w:tc>
        <w:tc>
          <w:tcPr>
            <w:tcW w:w="1924"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104,75</w:t>
            </w:r>
          </w:p>
        </w:tc>
      </w:tr>
      <w:tr w:rsidR="00E63FF0" w:rsidRPr="00E63FF0" w:rsidTr="00D67A9A">
        <w:trPr>
          <w:trHeight w:val="288"/>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E63FF0" w:rsidRPr="00E63FF0" w:rsidRDefault="00053688" w:rsidP="003E4A5D">
            <w:pPr>
              <w:widowControl w:val="0"/>
              <w:spacing w:before="0" w:after="0"/>
              <w:jc w:val="left"/>
              <w:rPr>
                <w:rFonts w:eastAsia="Times New Roman" w:cs="Calibri"/>
                <w:color w:val="000000"/>
                <w:sz w:val="20"/>
                <w:szCs w:val="20"/>
                <w:lang w:eastAsia="cs-CZ"/>
              </w:rPr>
            </w:pPr>
            <w:r w:rsidRPr="00E63FF0">
              <w:rPr>
                <w:rFonts w:eastAsia="Times New Roman" w:cs="Calibri"/>
                <w:color w:val="000000"/>
                <w:sz w:val="20"/>
                <w:szCs w:val="20"/>
                <w:lang w:eastAsia="cs-CZ"/>
              </w:rPr>
              <w:t>úřad městské části = 6</w:t>
            </w:r>
          </w:p>
        </w:tc>
        <w:tc>
          <w:tcPr>
            <w:tcW w:w="2031"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50,00</w:t>
            </w:r>
          </w:p>
        </w:tc>
        <w:tc>
          <w:tcPr>
            <w:tcW w:w="2032"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530,00</w:t>
            </w:r>
          </w:p>
        </w:tc>
        <w:tc>
          <w:tcPr>
            <w:tcW w:w="1924" w:type="dxa"/>
            <w:noWrap/>
            <w:vAlign w:val="center"/>
            <w:hideMark/>
          </w:tcPr>
          <w:p w:rsidR="00E63FF0" w:rsidRPr="00E63FF0" w:rsidRDefault="00E63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cs-CZ"/>
              </w:rPr>
            </w:pPr>
            <w:r w:rsidRPr="00E63FF0">
              <w:rPr>
                <w:rFonts w:eastAsia="Times New Roman" w:cs="Calibri"/>
                <w:color w:val="000000"/>
                <w:sz w:val="20"/>
                <w:szCs w:val="20"/>
                <w:lang w:eastAsia="cs-CZ"/>
              </w:rPr>
              <w:t>523,07</w:t>
            </w:r>
          </w:p>
        </w:tc>
      </w:tr>
      <w:tr w:rsidR="00E63FF0" w:rsidRPr="00E63FF0" w:rsidTr="003B6334">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085" w:type="dxa"/>
            <w:noWrap/>
            <w:vAlign w:val="center"/>
            <w:hideMark/>
          </w:tcPr>
          <w:p w:rsidR="00E63FF0" w:rsidRPr="00E63FF0" w:rsidRDefault="00E63FF0" w:rsidP="003E4A5D">
            <w:pPr>
              <w:widowControl w:val="0"/>
              <w:spacing w:before="0" w:after="0"/>
              <w:jc w:val="left"/>
              <w:rPr>
                <w:rFonts w:eastAsia="Times New Roman" w:cs="Calibri"/>
                <w:color w:val="000000"/>
                <w:sz w:val="20"/>
                <w:szCs w:val="20"/>
                <w:lang w:eastAsia="cs-CZ"/>
              </w:rPr>
            </w:pPr>
            <w:r w:rsidRPr="00E63FF0">
              <w:rPr>
                <w:rFonts w:eastAsia="Times New Roman" w:cs="Calibri"/>
                <w:color w:val="000000"/>
                <w:sz w:val="20"/>
                <w:szCs w:val="20"/>
                <w:lang w:eastAsia="cs-CZ"/>
              </w:rPr>
              <w:t>Celkový součet</w:t>
            </w:r>
          </w:p>
        </w:tc>
        <w:tc>
          <w:tcPr>
            <w:tcW w:w="2031"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cs-CZ"/>
              </w:rPr>
            </w:pPr>
            <w:r w:rsidRPr="00E63FF0">
              <w:rPr>
                <w:rFonts w:eastAsia="Times New Roman" w:cs="Calibri"/>
                <w:b/>
                <w:bCs/>
                <w:color w:val="000000"/>
                <w:sz w:val="20"/>
                <w:szCs w:val="20"/>
                <w:lang w:eastAsia="cs-CZ"/>
              </w:rPr>
              <w:t>696,00</w:t>
            </w:r>
          </w:p>
        </w:tc>
        <w:tc>
          <w:tcPr>
            <w:tcW w:w="2032"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cs-CZ"/>
              </w:rPr>
            </w:pPr>
            <w:r w:rsidRPr="00E63FF0">
              <w:rPr>
                <w:rFonts w:eastAsia="Times New Roman" w:cs="Calibri"/>
                <w:b/>
                <w:bCs/>
                <w:color w:val="000000"/>
                <w:sz w:val="20"/>
                <w:szCs w:val="20"/>
                <w:lang w:eastAsia="cs-CZ"/>
              </w:rPr>
              <w:t>3 507,00</w:t>
            </w:r>
          </w:p>
        </w:tc>
        <w:tc>
          <w:tcPr>
            <w:tcW w:w="1924" w:type="dxa"/>
            <w:noWrap/>
            <w:vAlign w:val="center"/>
            <w:hideMark/>
          </w:tcPr>
          <w:p w:rsidR="00E63FF0" w:rsidRPr="00E63FF0" w:rsidRDefault="00E63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cs-CZ"/>
              </w:rPr>
            </w:pPr>
            <w:r w:rsidRPr="00E63FF0">
              <w:rPr>
                <w:rFonts w:eastAsia="Times New Roman" w:cs="Calibri"/>
                <w:b/>
                <w:bCs/>
                <w:color w:val="000000"/>
                <w:sz w:val="20"/>
                <w:szCs w:val="20"/>
                <w:lang w:eastAsia="cs-CZ"/>
              </w:rPr>
              <w:t>3 349,53</w:t>
            </w:r>
          </w:p>
        </w:tc>
      </w:tr>
    </w:tbl>
    <w:p w:rsidR="0011797D" w:rsidRDefault="0011797D" w:rsidP="003E4A5D">
      <w:pPr>
        <w:pStyle w:val="Citt"/>
      </w:pPr>
      <w:r>
        <w:t>Zdroj: ÚÚR</w:t>
      </w:r>
    </w:p>
    <w:p w:rsidR="00053688" w:rsidRDefault="00B969F5" w:rsidP="003E4A5D">
      <w:pPr>
        <w:pStyle w:val="Text-Normaln"/>
        <w:widowControl w:val="0"/>
      </w:pPr>
      <w:r>
        <w:t>Zajímavá z pohledu kvalifikovanosti úředních osob může být statistika jejich vzdělanosti dle kategorie obce.</w:t>
      </w:r>
      <w:r w:rsidR="007D16A0">
        <w:t xml:space="preserve"> Jak ilustruje graf níže, posunem od obcí I. </w:t>
      </w:r>
      <w:r w:rsidR="00A30461">
        <w:t xml:space="preserve">typu </w:t>
      </w:r>
      <w:r w:rsidR="007D16A0">
        <w:t xml:space="preserve">k obcím III. </w:t>
      </w:r>
      <w:r w:rsidR="00A30461">
        <w:t xml:space="preserve">typu </w:t>
      </w:r>
      <w:r w:rsidR="007D16A0">
        <w:t>a ke statutárním městům výrazně narůstá počet zaměstnanců s magisterským vzděláním.</w:t>
      </w:r>
      <w:r w:rsidR="00764BEE">
        <w:t xml:space="preserve"> Co se tý</w:t>
      </w:r>
      <w:r w:rsidR="008D6975">
        <w:t>ká</w:t>
      </w:r>
      <w:r w:rsidR="00764BEE">
        <w:t xml:space="preserve"> počtu let praxe, trend je opačný, nicméně rozdíly jsou pouze v řádu jednotek procent (76/72/68/69 procent v roce 2017).</w:t>
      </w:r>
    </w:p>
    <w:p w:rsidR="00F9155E" w:rsidRDefault="00F9155E" w:rsidP="003E4A5D">
      <w:pPr>
        <w:pStyle w:val="Text-Normaln"/>
        <w:widowControl w:val="0"/>
      </w:pPr>
    </w:p>
    <w:p w:rsidR="00022672" w:rsidRDefault="00022672" w:rsidP="003E4A5D">
      <w:pPr>
        <w:pStyle w:val="Titulek"/>
      </w:pPr>
      <w:r>
        <w:lastRenderedPageBreak/>
        <w:t xml:space="preserve">Graf </w:t>
      </w:r>
      <w:r w:rsidR="00AB65E9">
        <w:rPr>
          <w:noProof/>
        </w:rPr>
        <w:fldChar w:fldCharType="begin"/>
      </w:r>
      <w:r w:rsidR="00790BCF">
        <w:rPr>
          <w:noProof/>
        </w:rPr>
        <w:instrText xml:space="preserve"> SEQ Graf \* ARABIC </w:instrText>
      </w:r>
      <w:r w:rsidR="00AB65E9">
        <w:rPr>
          <w:noProof/>
        </w:rPr>
        <w:fldChar w:fldCharType="separate"/>
      </w:r>
      <w:r w:rsidR="00263A1B">
        <w:rPr>
          <w:noProof/>
        </w:rPr>
        <w:t>4</w:t>
      </w:r>
      <w:r w:rsidR="00AB65E9">
        <w:rPr>
          <w:noProof/>
        </w:rPr>
        <w:fldChar w:fldCharType="end"/>
      </w:r>
      <w:r>
        <w:t xml:space="preserve">: </w:t>
      </w:r>
      <w:r w:rsidRPr="00022672">
        <w:t>Struktura vzdělanosti úředních osob na OSÚ dle kategorie obcí</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3"/>
        <w:gridCol w:w="4509"/>
      </w:tblGrid>
      <w:tr w:rsidR="00E7060D" w:rsidTr="00F9155E">
        <w:tc>
          <w:tcPr>
            <w:tcW w:w="4563" w:type="dxa"/>
            <w:vAlign w:val="center"/>
          </w:tcPr>
          <w:p w:rsidR="00B969F5" w:rsidRDefault="00B969F5" w:rsidP="003E4A5D">
            <w:pPr>
              <w:pStyle w:val="Text-Normaln"/>
              <w:widowControl w:val="0"/>
              <w:spacing w:before="0"/>
            </w:pPr>
            <w:r>
              <w:rPr>
                <w:noProof/>
                <w:lang w:eastAsia="cs-CZ"/>
              </w:rPr>
              <w:drawing>
                <wp:inline distT="0" distB="0" distL="0" distR="0" wp14:anchorId="33E73CBA" wp14:editId="49118B1B">
                  <wp:extent cx="2767911" cy="1704109"/>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0987" cy="1724473"/>
                          </a:xfrm>
                          <a:prstGeom prst="rect">
                            <a:avLst/>
                          </a:prstGeom>
                          <a:noFill/>
                        </pic:spPr>
                      </pic:pic>
                    </a:graphicData>
                  </a:graphic>
                </wp:inline>
              </w:drawing>
            </w:r>
          </w:p>
        </w:tc>
        <w:tc>
          <w:tcPr>
            <w:tcW w:w="4509" w:type="dxa"/>
            <w:vAlign w:val="center"/>
          </w:tcPr>
          <w:p w:rsidR="00B969F5" w:rsidRDefault="00E7060D" w:rsidP="003E4A5D">
            <w:pPr>
              <w:pStyle w:val="Text-Normaln"/>
              <w:widowControl w:val="0"/>
              <w:spacing w:before="0"/>
            </w:pPr>
            <w:r>
              <w:rPr>
                <w:noProof/>
                <w:lang w:eastAsia="cs-CZ"/>
              </w:rPr>
              <w:drawing>
                <wp:inline distT="0" distB="0" distL="0" distR="0" wp14:anchorId="411254FD" wp14:editId="77534101">
                  <wp:extent cx="2745407" cy="1690254"/>
                  <wp:effectExtent l="0" t="0" r="0" b="571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6237" cy="1709235"/>
                          </a:xfrm>
                          <a:prstGeom prst="rect">
                            <a:avLst/>
                          </a:prstGeom>
                          <a:noFill/>
                        </pic:spPr>
                      </pic:pic>
                    </a:graphicData>
                  </a:graphic>
                </wp:inline>
              </w:drawing>
            </w:r>
          </w:p>
        </w:tc>
      </w:tr>
      <w:tr w:rsidR="00E7060D" w:rsidTr="00F9155E">
        <w:trPr>
          <w:trHeight w:val="2673"/>
        </w:trPr>
        <w:tc>
          <w:tcPr>
            <w:tcW w:w="4563" w:type="dxa"/>
            <w:vAlign w:val="center"/>
          </w:tcPr>
          <w:p w:rsidR="00B969F5" w:rsidRDefault="00E7060D" w:rsidP="003E4A5D">
            <w:pPr>
              <w:pStyle w:val="Text-Normaln"/>
              <w:widowControl w:val="0"/>
              <w:spacing w:before="0"/>
            </w:pPr>
            <w:r>
              <w:rPr>
                <w:noProof/>
                <w:lang w:eastAsia="cs-CZ"/>
              </w:rPr>
              <w:drawing>
                <wp:inline distT="0" distB="0" distL="0" distR="0" wp14:anchorId="4FF1AE0F" wp14:editId="05AF6878">
                  <wp:extent cx="2756660" cy="1697182"/>
                  <wp:effectExtent l="0" t="0" r="571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8416" cy="1710577"/>
                          </a:xfrm>
                          <a:prstGeom prst="rect">
                            <a:avLst/>
                          </a:prstGeom>
                          <a:noFill/>
                        </pic:spPr>
                      </pic:pic>
                    </a:graphicData>
                  </a:graphic>
                </wp:inline>
              </w:drawing>
            </w:r>
          </w:p>
        </w:tc>
        <w:tc>
          <w:tcPr>
            <w:tcW w:w="4509" w:type="dxa"/>
            <w:vAlign w:val="center"/>
          </w:tcPr>
          <w:p w:rsidR="00B969F5" w:rsidRDefault="00E7060D" w:rsidP="003E4A5D">
            <w:pPr>
              <w:pStyle w:val="Text-Normaln"/>
              <w:widowControl w:val="0"/>
              <w:spacing w:before="0"/>
            </w:pPr>
            <w:r>
              <w:rPr>
                <w:noProof/>
                <w:lang w:eastAsia="cs-CZ"/>
              </w:rPr>
              <w:drawing>
                <wp:inline distT="0" distB="0" distL="0" distR="0" wp14:anchorId="3547701A" wp14:editId="10A46B3E">
                  <wp:extent cx="2796227" cy="1721542"/>
                  <wp:effectExtent l="0" t="0" r="444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7629" cy="1728562"/>
                          </a:xfrm>
                          <a:prstGeom prst="rect">
                            <a:avLst/>
                          </a:prstGeom>
                          <a:noFill/>
                        </pic:spPr>
                      </pic:pic>
                    </a:graphicData>
                  </a:graphic>
                </wp:inline>
              </w:drawing>
            </w:r>
          </w:p>
        </w:tc>
      </w:tr>
    </w:tbl>
    <w:p w:rsidR="00B969F5" w:rsidRDefault="007D16A0" w:rsidP="003E4A5D">
      <w:pPr>
        <w:pStyle w:val="Citt"/>
      </w:pPr>
      <w:r>
        <w:t>Zdroj: ÚÚR</w:t>
      </w:r>
    </w:p>
    <w:p w:rsidR="00053688" w:rsidRDefault="00C2697B" w:rsidP="003E4A5D">
      <w:pPr>
        <w:pStyle w:val="Text-Normaln"/>
        <w:widowControl w:val="0"/>
      </w:pPr>
      <w:r>
        <w:t xml:space="preserve">Pokud se podíváme na programové vybavení </w:t>
      </w:r>
      <w:r w:rsidR="00A748EB">
        <w:t xml:space="preserve">OSÚ opět dle </w:t>
      </w:r>
      <w:r w:rsidR="00A85CA4">
        <w:t>typů</w:t>
      </w:r>
      <w:r w:rsidR="00A748EB">
        <w:t xml:space="preserve"> obcí, vliv velikosti úřadu na používání sofistikovanějších IT nástrojů je opět zřetelný.  </w:t>
      </w:r>
    </w:p>
    <w:p w:rsidR="00022672" w:rsidRDefault="00022672" w:rsidP="003E4A5D">
      <w:pPr>
        <w:pStyle w:val="Titulek"/>
      </w:pPr>
      <w:r>
        <w:t xml:space="preserve">Graf </w:t>
      </w:r>
      <w:r w:rsidR="00AB65E9">
        <w:rPr>
          <w:noProof/>
        </w:rPr>
        <w:fldChar w:fldCharType="begin"/>
      </w:r>
      <w:r w:rsidR="00790BCF">
        <w:rPr>
          <w:noProof/>
        </w:rPr>
        <w:instrText xml:space="preserve"> SEQ Graf \* ARABIC </w:instrText>
      </w:r>
      <w:r w:rsidR="00AB65E9">
        <w:rPr>
          <w:noProof/>
        </w:rPr>
        <w:fldChar w:fldCharType="separate"/>
      </w:r>
      <w:r w:rsidR="00263A1B">
        <w:rPr>
          <w:noProof/>
        </w:rPr>
        <w:t>5</w:t>
      </w:r>
      <w:r w:rsidR="00AB65E9">
        <w:rPr>
          <w:noProof/>
        </w:rPr>
        <w:fldChar w:fldCharType="end"/>
      </w:r>
      <w:r>
        <w:t xml:space="preserve">: </w:t>
      </w:r>
      <w:r w:rsidRPr="00022672">
        <w:t>Programové vybavení SÚ v letech 2011 až 2017 dle kategorií obcí</w:t>
      </w:r>
      <w:r w:rsidR="00116877">
        <w:t xml:space="preserve"> </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10"/>
      </w:tblGrid>
      <w:tr w:rsidR="00394C2F" w:rsidTr="00394C2F">
        <w:tc>
          <w:tcPr>
            <w:tcW w:w="4498" w:type="dxa"/>
          </w:tcPr>
          <w:p w:rsidR="0004147F" w:rsidRDefault="00116877" w:rsidP="003E4A5D">
            <w:pPr>
              <w:pStyle w:val="Text-Normaln"/>
              <w:widowControl w:val="0"/>
              <w:spacing w:before="0" w:after="0"/>
            </w:pPr>
            <w:r>
              <w:rPr>
                <w:noProof/>
                <w:lang w:eastAsia="cs-CZ"/>
              </w:rPr>
              <w:drawing>
                <wp:inline distT="0" distB="0" distL="0" distR="0" wp14:anchorId="0EB2DC2E" wp14:editId="7EB57C17">
                  <wp:extent cx="2746856" cy="18859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7697" cy="1900259"/>
                          </a:xfrm>
                          <a:prstGeom prst="rect">
                            <a:avLst/>
                          </a:prstGeom>
                          <a:noFill/>
                        </pic:spPr>
                      </pic:pic>
                    </a:graphicData>
                  </a:graphic>
                </wp:inline>
              </w:drawing>
            </w:r>
          </w:p>
        </w:tc>
        <w:tc>
          <w:tcPr>
            <w:tcW w:w="4464" w:type="dxa"/>
          </w:tcPr>
          <w:p w:rsidR="0004147F" w:rsidRDefault="00116877" w:rsidP="003E4A5D">
            <w:pPr>
              <w:pStyle w:val="Text-Normaln"/>
              <w:widowControl w:val="0"/>
              <w:spacing w:before="0" w:after="0"/>
            </w:pPr>
            <w:r>
              <w:rPr>
                <w:noProof/>
                <w:lang w:eastAsia="cs-CZ"/>
              </w:rPr>
              <w:drawing>
                <wp:inline distT="0" distB="0" distL="0" distR="0" wp14:anchorId="13668514" wp14:editId="5F0C1A85">
                  <wp:extent cx="2720330" cy="1873250"/>
                  <wp:effectExtent l="0" t="0" r="444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3793" cy="1882521"/>
                          </a:xfrm>
                          <a:prstGeom prst="rect">
                            <a:avLst/>
                          </a:prstGeom>
                          <a:noFill/>
                        </pic:spPr>
                      </pic:pic>
                    </a:graphicData>
                  </a:graphic>
                </wp:inline>
              </w:drawing>
            </w:r>
          </w:p>
        </w:tc>
      </w:tr>
      <w:tr w:rsidR="00394C2F" w:rsidTr="00215D45">
        <w:trPr>
          <w:trHeight w:val="2831"/>
        </w:trPr>
        <w:tc>
          <w:tcPr>
            <w:tcW w:w="4498" w:type="dxa"/>
          </w:tcPr>
          <w:p w:rsidR="0004147F" w:rsidRDefault="00116877" w:rsidP="003E4A5D">
            <w:pPr>
              <w:pStyle w:val="Text-Normaln"/>
              <w:widowControl w:val="0"/>
              <w:spacing w:before="0" w:after="0"/>
            </w:pPr>
            <w:r>
              <w:rPr>
                <w:noProof/>
                <w:lang w:eastAsia="cs-CZ"/>
              </w:rPr>
              <w:drawing>
                <wp:inline distT="0" distB="0" distL="0" distR="0" wp14:anchorId="6E623A61" wp14:editId="496681D1">
                  <wp:extent cx="2706370" cy="1838149"/>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901" cy="1858885"/>
                          </a:xfrm>
                          <a:prstGeom prst="rect">
                            <a:avLst/>
                          </a:prstGeom>
                          <a:noFill/>
                        </pic:spPr>
                      </pic:pic>
                    </a:graphicData>
                  </a:graphic>
                </wp:inline>
              </w:drawing>
            </w:r>
          </w:p>
        </w:tc>
        <w:tc>
          <w:tcPr>
            <w:tcW w:w="4464" w:type="dxa"/>
          </w:tcPr>
          <w:p w:rsidR="0004147F" w:rsidRDefault="00394C2F" w:rsidP="003E4A5D">
            <w:pPr>
              <w:pStyle w:val="Text-Normaln"/>
              <w:widowControl w:val="0"/>
              <w:spacing w:before="0" w:after="0"/>
            </w:pPr>
            <w:r>
              <w:rPr>
                <w:noProof/>
                <w:lang w:eastAsia="cs-CZ"/>
              </w:rPr>
              <w:drawing>
                <wp:inline distT="0" distB="0" distL="0" distR="0" wp14:anchorId="7C8EFC06" wp14:editId="14676EDD">
                  <wp:extent cx="2727189" cy="185674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1106" cy="1866215"/>
                          </a:xfrm>
                          <a:prstGeom prst="rect">
                            <a:avLst/>
                          </a:prstGeom>
                          <a:noFill/>
                        </pic:spPr>
                      </pic:pic>
                    </a:graphicData>
                  </a:graphic>
                </wp:inline>
              </w:drawing>
            </w:r>
          </w:p>
        </w:tc>
      </w:tr>
    </w:tbl>
    <w:p w:rsidR="007322CE" w:rsidRDefault="007322CE" w:rsidP="003E4A5D">
      <w:pPr>
        <w:pStyle w:val="Citt"/>
      </w:pPr>
      <w:r w:rsidRPr="007322CE">
        <w:t>Zdroj: ÚÚR</w:t>
      </w:r>
    </w:p>
    <w:p w:rsidR="00053688" w:rsidRDefault="00D67A9A" w:rsidP="003E4A5D">
      <w:pPr>
        <w:pStyle w:val="Text-Normaln"/>
        <w:widowControl w:val="0"/>
      </w:pPr>
      <w:r w:rsidRPr="00D67A9A">
        <w:t xml:space="preserve">Z výše uvedeného je vidět, že </w:t>
      </w:r>
      <w:r w:rsidR="007403D5" w:rsidRPr="00D67A9A">
        <w:t>čím vetší úřad, tím lepší</w:t>
      </w:r>
      <w:r w:rsidR="00CA41A5">
        <w:t>,</w:t>
      </w:r>
      <w:r w:rsidR="007403D5" w:rsidRPr="00D67A9A">
        <w:t xml:space="preserve"> </w:t>
      </w:r>
      <w:r w:rsidR="008D6975">
        <w:t xml:space="preserve">pokud jde o </w:t>
      </w:r>
      <w:r w:rsidR="007403D5" w:rsidRPr="00D67A9A">
        <w:t>odbornost úředníků i kvalit</w:t>
      </w:r>
      <w:r w:rsidR="008D6975">
        <w:t>u</w:t>
      </w:r>
      <w:r w:rsidR="007403D5" w:rsidRPr="00D67A9A">
        <w:t xml:space="preserve"> vybavení</w:t>
      </w:r>
      <w:r w:rsidRPr="00D67A9A">
        <w:t>.</w:t>
      </w:r>
    </w:p>
    <w:p w:rsidR="009808D5" w:rsidRDefault="009808D5" w:rsidP="003E4A5D">
      <w:pPr>
        <w:pStyle w:val="Text-Normaln"/>
        <w:widowControl w:val="0"/>
      </w:pPr>
      <w:r>
        <w:lastRenderedPageBreak/>
        <w:t>Následující grafy ilustrují činnost prvoinstančních OSÚ v kontextu z</w:t>
      </w:r>
      <w:r w:rsidRPr="009808D5">
        <w:t>ákladní</w:t>
      </w:r>
      <w:r>
        <w:t>ch</w:t>
      </w:r>
      <w:r w:rsidRPr="009808D5">
        <w:t xml:space="preserve"> údaj</w:t>
      </w:r>
      <w:r>
        <w:t>ů</w:t>
      </w:r>
      <w:r w:rsidRPr="009808D5">
        <w:t xml:space="preserve"> </w:t>
      </w:r>
      <w:r>
        <w:t xml:space="preserve">o stavebních pracích a dokončených </w:t>
      </w:r>
      <w:r w:rsidRPr="009808D5">
        <w:t>bytech</w:t>
      </w:r>
      <w:r>
        <w:t xml:space="preserve">. Ze vzájemného porovnání by mělo být vidět, zda pokles vydaných příslušných rozhodnutí apod. nebyl způsoben uvolněním regulace (tj. vypuštěním povinnosti žádat o umístění/povolení stavby pro zákonem stanovené kategorie </w:t>
      </w:r>
      <w:r w:rsidR="00DE64CC">
        <w:t xml:space="preserve">záměrů). Pokud ano, měl by být klesající trend zřejmý pouze u prvních dvou grafů. Je-li tomu naopak, budou se postupem času snižovat jak počty provedených úkonů, tak hodnota stavebních prací či hodnota dokončených bytů. Pro statisticky podložený závěr o vlivu regulace na vývoj stavebnictví v ČR by bylo třeba pracovat s údaji za všechny kategorie staveb (tak, aby bylo možné zachytit případný přeliv investic) v různých fázích přípravy/realizace (tj. analyzovat ukazatele za počet vydaných rozhodnutí dle příslušných paragrafů stavebního zákona, hodnoty realizovaných stavebních prací i počty dokončených staveb) a odfiltrovat vliv hospodářského cyklu. Protože </w:t>
      </w:r>
      <w:r w:rsidR="00DF1E71">
        <w:t>takováto data ve výše zmíněném detailu nikdo nesbírá, je třeba se spokojit s níže uvedenou ilustrací potvrzenou závěry z provedených konzultací.</w:t>
      </w:r>
      <w:r w:rsidR="00DE64CC">
        <w:t xml:space="preserve">     </w:t>
      </w:r>
      <w:r>
        <w:t xml:space="preserve">   </w:t>
      </w:r>
    </w:p>
    <w:p w:rsidR="00436865" w:rsidRDefault="00436865" w:rsidP="003E4A5D">
      <w:pPr>
        <w:pStyle w:val="Titulek"/>
      </w:pPr>
      <w:r>
        <w:t xml:space="preserve">Graf </w:t>
      </w:r>
      <w:r w:rsidR="00AB65E9">
        <w:rPr>
          <w:noProof/>
        </w:rPr>
        <w:fldChar w:fldCharType="begin"/>
      </w:r>
      <w:r w:rsidR="007B0D8A">
        <w:rPr>
          <w:noProof/>
        </w:rPr>
        <w:instrText xml:space="preserve"> SEQ Graf \* ARABIC </w:instrText>
      </w:r>
      <w:r w:rsidR="00AB65E9">
        <w:rPr>
          <w:noProof/>
        </w:rPr>
        <w:fldChar w:fldCharType="separate"/>
      </w:r>
      <w:r w:rsidR="00263A1B">
        <w:rPr>
          <w:noProof/>
        </w:rPr>
        <w:t>6</w:t>
      </w:r>
      <w:r w:rsidR="00AB65E9">
        <w:rPr>
          <w:noProof/>
        </w:rPr>
        <w:fldChar w:fldCharType="end"/>
      </w:r>
      <w:r>
        <w:t xml:space="preserve">: </w:t>
      </w:r>
      <w:r w:rsidR="00FB3FB2">
        <w:t xml:space="preserve">Umisťování staveb SÚ </w:t>
      </w:r>
      <w:r w:rsidR="00096E37">
        <w:t>–</w:t>
      </w:r>
      <w:r w:rsidR="00FB3FB2">
        <w:t xml:space="preserve"> </w:t>
      </w:r>
      <w:r w:rsidR="00FB3FB2" w:rsidRPr="00022672">
        <w:t>vývoj</w:t>
      </w:r>
      <w:r w:rsidR="00096E37" w:rsidRPr="00022672">
        <w:t xml:space="preserve"> </w:t>
      </w:r>
      <w:r w:rsidR="00022672" w:rsidRPr="00022672">
        <w:t>(počty)</w:t>
      </w:r>
    </w:p>
    <w:p w:rsidR="00A748EB" w:rsidRPr="001B2817" w:rsidRDefault="00436865" w:rsidP="003E4A5D">
      <w:pPr>
        <w:pStyle w:val="Text-Normaln"/>
        <w:widowControl w:val="0"/>
      </w:pPr>
      <w:r>
        <w:rPr>
          <w:noProof/>
          <w:lang w:eastAsia="cs-CZ"/>
        </w:rPr>
        <w:drawing>
          <wp:inline distT="0" distB="0" distL="0" distR="0" wp14:anchorId="5F14D15A" wp14:editId="3CB044F5">
            <wp:extent cx="5727700" cy="23241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9660" cy="2333011"/>
                    </a:xfrm>
                    <a:prstGeom prst="rect">
                      <a:avLst/>
                    </a:prstGeom>
                    <a:noFill/>
                  </pic:spPr>
                </pic:pic>
              </a:graphicData>
            </a:graphic>
          </wp:inline>
        </w:drawing>
      </w:r>
    </w:p>
    <w:p w:rsidR="00FB3FB2" w:rsidRPr="007322CE" w:rsidRDefault="00FB3FB2" w:rsidP="003E4A5D">
      <w:pPr>
        <w:pStyle w:val="Citt"/>
      </w:pPr>
      <w:r w:rsidRPr="007322CE">
        <w:t>Zdroj: ÚÚR</w:t>
      </w:r>
    </w:p>
    <w:p w:rsidR="00C20957" w:rsidRDefault="00C20957" w:rsidP="0089559F">
      <w:pPr>
        <w:pStyle w:val="Titulek"/>
        <w:keepNext/>
      </w:pPr>
      <w:bookmarkStart w:id="47" w:name="_Hlk534400972"/>
      <w:r>
        <w:t xml:space="preserve">Graf </w:t>
      </w:r>
      <w:r w:rsidR="00AB65E9">
        <w:rPr>
          <w:noProof/>
        </w:rPr>
        <w:fldChar w:fldCharType="begin"/>
      </w:r>
      <w:r w:rsidR="007B0D8A">
        <w:rPr>
          <w:noProof/>
        </w:rPr>
        <w:instrText xml:space="preserve"> SEQ Graf \* ARABIC </w:instrText>
      </w:r>
      <w:r w:rsidR="00AB65E9">
        <w:rPr>
          <w:noProof/>
        </w:rPr>
        <w:fldChar w:fldCharType="separate"/>
      </w:r>
      <w:r w:rsidR="00263A1B">
        <w:rPr>
          <w:noProof/>
        </w:rPr>
        <w:t>7</w:t>
      </w:r>
      <w:r w:rsidR="00AB65E9">
        <w:rPr>
          <w:noProof/>
        </w:rPr>
        <w:fldChar w:fldCharType="end"/>
      </w:r>
      <w:r>
        <w:t xml:space="preserve">: Povolování </w:t>
      </w:r>
      <w:r w:rsidRPr="00200A47">
        <w:t>staveb</w:t>
      </w:r>
      <w:r w:rsidR="00096E37" w:rsidRPr="00200A47">
        <w:t xml:space="preserve"> </w:t>
      </w:r>
      <w:r w:rsidR="00200A47" w:rsidRPr="00200A47">
        <w:t>(počty)</w:t>
      </w:r>
    </w:p>
    <w:p w:rsidR="00C20957" w:rsidRDefault="00C20957" w:rsidP="0089559F">
      <w:pPr>
        <w:pStyle w:val="Text-Normaln"/>
        <w:keepNext/>
        <w:widowControl w:val="0"/>
        <w:spacing w:before="0" w:after="0"/>
        <w:contextualSpacing/>
        <w:rPr>
          <w:b/>
        </w:rPr>
      </w:pPr>
      <w:r>
        <w:rPr>
          <w:b/>
          <w:noProof/>
          <w:lang w:eastAsia="cs-CZ"/>
        </w:rPr>
        <w:drawing>
          <wp:inline distT="0" distB="0" distL="0" distR="0" wp14:anchorId="51524DFC" wp14:editId="5D86945D">
            <wp:extent cx="5746750" cy="23749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95625" cy="2395098"/>
                    </a:xfrm>
                    <a:prstGeom prst="rect">
                      <a:avLst/>
                    </a:prstGeom>
                    <a:noFill/>
                  </pic:spPr>
                </pic:pic>
              </a:graphicData>
            </a:graphic>
          </wp:inline>
        </w:drawing>
      </w:r>
    </w:p>
    <w:p w:rsidR="00C20957" w:rsidRPr="007322CE" w:rsidRDefault="00C20957" w:rsidP="0089559F">
      <w:pPr>
        <w:pStyle w:val="Citt"/>
        <w:keepNext/>
        <w:contextualSpacing/>
      </w:pPr>
      <w:r w:rsidRPr="007322CE">
        <w:t>Zdroj: ÚÚR</w:t>
      </w:r>
    </w:p>
    <w:p w:rsidR="00AB36C8" w:rsidRPr="00804432" w:rsidRDefault="00AB36C8" w:rsidP="003E4A5D">
      <w:pPr>
        <w:pStyle w:val="Titulek"/>
        <w:rPr>
          <w:rFonts w:eastAsia="Calibri"/>
          <w:b w:val="0"/>
          <w:bCs w:val="0"/>
          <w:color w:val="auto"/>
          <w:sz w:val="24"/>
          <w:szCs w:val="22"/>
          <w:lang w:eastAsia="en-US"/>
        </w:rPr>
      </w:pPr>
      <w:r w:rsidRPr="00804432">
        <w:rPr>
          <w:rFonts w:eastAsia="Calibri"/>
          <w:b w:val="0"/>
          <w:bCs w:val="0"/>
          <w:color w:val="auto"/>
          <w:sz w:val="24"/>
          <w:szCs w:val="22"/>
          <w:lang w:eastAsia="en-US"/>
        </w:rPr>
        <w:t>Dle předchozích grafů došlo k největšímu poklesu počtu vydaných rozhodnutí v roce 2012. Nicméně klesající tendence je dlouhodobá.</w:t>
      </w:r>
    </w:p>
    <w:p w:rsidR="00AB36C8" w:rsidRPr="00AB36C8" w:rsidRDefault="00AB36C8" w:rsidP="003E4A5D">
      <w:pPr>
        <w:widowControl w:val="0"/>
      </w:pPr>
      <w:r>
        <w:t>Následující graf zachycuj</w:t>
      </w:r>
      <w:r w:rsidR="005F1434">
        <w:t>e</w:t>
      </w:r>
      <w:r>
        <w:t xml:space="preserve"> aktivitu stavebního sektoru, která od rou 2010 klesá s návratem k růstu v roce 2014 a opětovným poklesem od roku 2016.</w:t>
      </w:r>
      <w:r w:rsidR="005F1434">
        <w:t xml:space="preserve"> Počet dokončených staveb je pak výsledkem stavební aktivity, kterou sleduje s určitým zpožděním.</w:t>
      </w:r>
    </w:p>
    <w:p w:rsidR="00FC43D9" w:rsidRDefault="00FC43D9" w:rsidP="003E4A5D">
      <w:pPr>
        <w:pStyle w:val="Titulek"/>
      </w:pPr>
      <w:r>
        <w:lastRenderedPageBreak/>
        <w:t xml:space="preserve">Graf </w:t>
      </w:r>
      <w:r w:rsidR="00AB65E9">
        <w:rPr>
          <w:noProof/>
        </w:rPr>
        <w:fldChar w:fldCharType="begin"/>
      </w:r>
      <w:r w:rsidR="007B0D8A">
        <w:rPr>
          <w:noProof/>
        </w:rPr>
        <w:instrText xml:space="preserve"> SEQ Graf \* ARABIC </w:instrText>
      </w:r>
      <w:r w:rsidR="00AB65E9">
        <w:rPr>
          <w:noProof/>
        </w:rPr>
        <w:fldChar w:fldCharType="separate"/>
      </w:r>
      <w:r w:rsidR="00263A1B">
        <w:rPr>
          <w:noProof/>
        </w:rPr>
        <w:t>8</w:t>
      </w:r>
      <w:r w:rsidR="00AB65E9">
        <w:rPr>
          <w:noProof/>
        </w:rPr>
        <w:fldChar w:fldCharType="end"/>
      </w:r>
      <w:r>
        <w:t>:</w:t>
      </w:r>
      <w:r w:rsidRPr="00FC43D9">
        <w:t xml:space="preserve"> </w:t>
      </w:r>
      <w:r w:rsidR="002070BB" w:rsidRPr="002070BB">
        <w:t>Stavební práce "S"</w:t>
      </w:r>
      <w:r w:rsidR="002070BB">
        <w:t xml:space="preserve"> – položka </w:t>
      </w:r>
      <w:r w:rsidR="00617F3D">
        <w:t>N</w:t>
      </w:r>
      <w:r w:rsidRPr="00FC43D9">
        <w:t>ová výstavba, rekonstrukce a modernizace</w:t>
      </w:r>
      <w:r w:rsidR="00617F3D">
        <w:t xml:space="preserve"> (neobsahuje opravy a údržbu), mil. Kč</w:t>
      </w:r>
      <w:r w:rsidR="00096E37">
        <w:t xml:space="preserve"> </w:t>
      </w:r>
    </w:p>
    <w:p w:rsidR="00436865" w:rsidRDefault="00494352" w:rsidP="003E4A5D">
      <w:pPr>
        <w:pStyle w:val="Text-Normaln"/>
        <w:widowControl w:val="0"/>
        <w:spacing w:before="0" w:after="0"/>
        <w:contextualSpacing/>
        <w:rPr>
          <w:b/>
        </w:rPr>
      </w:pPr>
      <w:r>
        <w:rPr>
          <w:b/>
          <w:noProof/>
          <w:lang w:eastAsia="cs-CZ"/>
        </w:rPr>
        <w:drawing>
          <wp:inline distT="0" distB="0" distL="0" distR="0" wp14:anchorId="0EF68922" wp14:editId="22F78C8F">
            <wp:extent cx="5746750" cy="15875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5842" cy="1636973"/>
                    </a:xfrm>
                    <a:prstGeom prst="rect">
                      <a:avLst/>
                    </a:prstGeom>
                    <a:noFill/>
                  </pic:spPr>
                </pic:pic>
              </a:graphicData>
            </a:graphic>
          </wp:inline>
        </w:drawing>
      </w:r>
    </w:p>
    <w:p w:rsidR="00436865" w:rsidRDefault="00617F3D" w:rsidP="003E4A5D">
      <w:pPr>
        <w:pStyle w:val="Citt"/>
        <w:contextualSpacing/>
      </w:pPr>
      <w:r>
        <w:t>Zdroj: ČSÚ</w:t>
      </w:r>
    </w:p>
    <w:bookmarkEnd w:id="47"/>
    <w:p w:rsidR="001F41A1" w:rsidRDefault="001F41A1" w:rsidP="003E4A5D">
      <w:pPr>
        <w:pStyle w:val="Titulek"/>
      </w:pPr>
    </w:p>
    <w:p w:rsidR="00781363" w:rsidRDefault="00781363" w:rsidP="003E4A5D">
      <w:pPr>
        <w:pStyle w:val="Titulek"/>
      </w:pPr>
      <w:r>
        <w:t xml:space="preserve">Graf </w:t>
      </w:r>
      <w:r w:rsidR="00AB65E9">
        <w:rPr>
          <w:noProof/>
        </w:rPr>
        <w:fldChar w:fldCharType="begin"/>
      </w:r>
      <w:r w:rsidR="007B0D8A">
        <w:rPr>
          <w:noProof/>
        </w:rPr>
        <w:instrText xml:space="preserve"> SEQ Graf \* ARABIC </w:instrText>
      </w:r>
      <w:r w:rsidR="00AB65E9">
        <w:rPr>
          <w:noProof/>
        </w:rPr>
        <w:fldChar w:fldCharType="separate"/>
      </w:r>
      <w:r w:rsidR="00263A1B">
        <w:rPr>
          <w:noProof/>
        </w:rPr>
        <w:t>9</w:t>
      </w:r>
      <w:r w:rsidR="00AB65E9">
        <w:rPr>
          <w:noProof/>
        </w:rPr>
        <w:fldChar w:fldCharType="end"/>
      </w:r>
      <w:r>
        <w:t>:</w:t>
      </w:r>
      <w:r w:rsidRPr="00781363">
        <w:t xml:space="preserve"> Počet </w:t>
      </w:r>
      <w:r w:rsidR="009808D5">
        <w:t xml:space="preserve">dokončených </w:t>
      </w:r>
      <w:r w:rsidRPr="00781363">
        <w:t>bytových budov</w:t>
      </w:r>
      <w:r w:rsidR="00096E37">
        <w:t xml:space="preserve"> </w:t>
      </w:r>
    </w:p>
    <w:p w:rsidR="00436865" w:rsidRDefault="00647DA2" w:rsidP="003E4A5D">
      <w:pPr>
        <w:pStyle w:val="Text-Normaln"/>
        <w:widowControl w:val="0"/>
        <w:spacing w:before="0" w:after="0"/>
        <w:contextualSpacing/>
        <w:rPr>
          <w:b/>
        </w:rPr>
      </w:pPr>
      <w:r>
        <w:rPr>
          <w:b/>
          <w:noProof/>
          <w:lang w:eastAsia="cs-CZ"/>
        </w:rPr>
        <w:drawing>
          <wp:inline distT="0" distB="0" distL="0" distR="0" wp14:anchorId="791C4CBA" wp14:editId="4DB88669">
            <wp:extent cx="5714323" cy="17970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25305" cy="1831952"/>
                    </a:xfrm>
                    <a:prstGeom prst="rect">
                      <a:avLst/>
                    </a:prstGeom>
                    <a:noFill/>
                  </pic:spPr>
                </pic:pic>
              </a:graphicData>
            </a:graphic>
          </wp:inline>
        </w:drawing>
      </w:r>
    </w:p>
    <w:p w:rsidR="00781363" w:rsidRDefault="00781363" w:rsidP="003E4A5D">
      <w:pPr>
        <w:pStyle w:val="Citt"/>
        <w:contextualSpacing/>
      </w:pPr>
      <w:r>
        <w:t>Zdroj: ČSÚ</w:t>
      </w:r>
    </w:p>
    <w:p w:rsidR="001F41A1" w:rsidRDefault="001F41A1" w:rsidP="003E4A5D">
      <w:pPr>
        <w:pStyle w:val="Textkomente"/>
        <w:widowControl w:val="0"/>
        <w:rPr>
          <w:rFonts w:eastAsia="Times New Roman"/>
          <w:b/>
          <w:bCs/>
          <w:color w:val="000000"/>
          <w:sz w:val="22"/>
          <w:lang w:eastAsia="cs-CZ"/>
        </w:rPr>
      </w:pPr>
    </w:p>
    <w:p w:rsidR="00781363" w:rsidRPr="00022484" w:rsidRDefault="00781363" w:rsidP="0089559F">
      <w:pPr>
        <w:pStyle w:val="Textkomente"/>
        <w:keepNext/>
        <w:widowControl w:val="0"/>
        <w:rPr>
          <w:rFonts w:eastAsia="Times New Roman"/>
          <w:b/>
          <w:bCs/>
          <w:color w:val="000000"/>
          <w:sz w:val="22"/>
          <w:lang w:eastAsia="cs-CZ"/>
        </w:rPr>
      </w:pPr>
      <w:r w:rsidRPr="00022484">
        <w:rPr>
          <w:rFonts w:eastAsia="Times New Roman"/>
          <w:b/>
          <w:bCs/>
          <w:color w:val="000000"/>
          <w:sz w:val="22"/>
          <w:lang w:eastAsia="cs-CZ"/>
        </w:rPr>
        <w:t xml:space="preserve">Graf </w:t>
      </w:r>
      <w:r w:rsidR="00AB65E9" w:rsidRPr="00022484">
        <w:rPr>
          <w:rFonts w:eastAsia="Times New Roman"/>
          <w:b/>
          <w:bCs/>
          <w:color w:val="000000"/>
          <w:sz w:val="22"/>
          <w:lang w:eastAsia="cs-CZ"/>
        </w:rPr>
        <w:fldChar w:fldCharType="begin"/>
      </w:r>
      <w:r w:rsidR="007B0D8A" w:rsidRPr="00022484">
        <w:rPr>
          <w:rFonts w:eastAsia="Times New Roman"/>
          <w:b/>
          <w:bCs/>
          <w:color w:val="000000"/>
          <w:sz w:val="22"/>
          <w:lang w:eastAsia="cs-CZ"/>
        </w:rPr>
        <w:instrText xml:space="preserve"> SEQ Graf \* ARABIC </w:instrText>
      </w:r>
      <w:r w:rsidR="00AB65E9" w:rsidRPr="00022484">
        <w:rPr>
          <w:rFonts w:eastAsia="Times New Roman"/>
          <w:b/>
          <w:bCs/>
          <w:color w:val="000000"/>
          <w:sz w:val="22"/>
          <w:lang w:eastAsia="cs-CZ"/>
        </w:rPr>
        <w:fldChar w:fldCharType="separate"/>
      </w:r>
      <w:r w:rsidR="00263A1B">
        <w:rPr>
          <w:rFonts w:eastAsia="Times New Roman"/>
          <w:b/>
          <w:bCs/>
          <w:noProof/>
          <w:color w:val="000000"/>
          <w:sz w:val="22"/>
          <w:lang w:eastAsia="cs-CZ"/>
        </w:rPr>
        <w:t>10</w:t>
      </w:r>
      <w:r w:rsidR="00AB65E9" w:rsidRPr="00022484">
        <w:rPr>
          <w:rFonts w:eastAsia="Times New Roman"/>
          <w:b/>
          <w:bCs/>
          <w:color w:val="000000"/>
          <w:sz w:val="22"/>
          <w:lang w:eastAsia="cs-CZ"/>
        </w:rPr>
        <w:fldChar w:fldCharType="end"/>
      </w:r>
      <w:r w:rsidRPr="00022484">
        <w:rPr>
          <w:rFonts w:eastAsia="Times New Roman"/>
          <w:b/>
          <w:bCs/>
          <w:color w:val="000000"/>
          <w:sz w:val="22"/>
          <w:lang w:eastAsia="cs-CZ"/>
        </w:rPr>
        <w:t>: Počet dokončených bytů</w:t>
      </w:r>
      <w:r w:rsidR="00022484" w:rsidRPr="00022484">
        <w:rPr>
          <w:rFonts w:eastAsia="Times New Roman"/>
          <w:b/>
          <w:bCs/>
          <w:color w:val="000000"/>
          <w:sz w:val="22"/>
          <w:lang w:eastAsia="cs-CZ"/>
        </w:rPr>
        <w:t xml:space="preserve"> </w:t>
      </w:r>
    </w:p>
    <w:p w:rsidR="00436865" w:rsidRDefault="00781363" w:rsidP="0089559F">
      <w:pPr>
        <w:pStyle w:val="Text-Normaln"/>
        <w:keepNext/>
        <w:widowControl w:val="0"/>
        <w:spacing w:before="0" w:after="0"/>
        <w:contextualSpacing/>
        <w:rPr>
          <w:b/>
        </w:rPr>
      </w:pPr>
      <w:r>
        <w:rPr>
          <w:b/>
          <w:noProof/>
          <w:lang w:eastAsia="cs-CZ"/>
        </w:rPr>
        <w:drawing>
          <wp:inline distT="0" distB="0" distL="0" distR="0" wp14:anchorId="3B095A50" wp14:editId="70DA85AD">
            <wp:extent cx="5734050" cy="187325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94676" cy="1893056"/>
                    </a:xfrm>
                    <a:prstGeom prst="rect">
                      <a:avLst/>
                    </a:prstGeom>
                    <a:noFill/>
                  </pic:spPr>
                </pic:pic>
              </a:graphicData>
            </a:graphic>
          </wp:inline>
        </w:drawing>
      </w:r>
    </w:p>
    <w:p w:rsidR="00781363" w:rsidRDefault="00781363" w:rsidP="0089559F">
      <w:pPr>
        <w:pStyle w:val="Citt"/>
        <w:keepNext/>
        <w:contextualSpacing/>
      </w:pPr>
      <w:r>
        <w:t>Zdroj: ČSÚ</w:t>
      </w:r>
    </w:p>
    <w:p w:rsidR="0032110B" w:rsidRDefault="0032110B" w:rsidP="003E4A5D">
      <w:pPr>
        <w:widowControl w:val="0"/>
        <w:spacing w:before="0" w:after="0"/>
        <w:jc w:val="left"/>
        <w:rPr>
          <w:rFonts w:eastAsia="MS Mincho"/>
        </w:rPr>
      </w:pPr>
      <w:bookmarkStart w:id="48" w:name="_Ref531396109"/>
    </w:p>
    <w:p w:rsidR="00A31AEE" w:rsidRDefault="00D67A9A" w:rsidP="003E4A5D">
      <w:pPr>
        <w:pStyle w:val="Normln-tun"/>
        <w:widowControl w:val="0"/>
      </w:pPr>
      <w:r>
        <w:t>Následující graf kvantitativně popisuj</w:t>
      </w:r>
      <w:r w:rsidR="002F389B">
        <w:t>e</w:t>
      </w:r>
      <w:r>
        <w:t xml:space="preserve"> problematick</w:t>
      </w:r>
      <w:r w:rsidR="002F389B">
        <w:t>ý</w:t>
      </w:r>
      <w:r>
        <w:t xml:space="preserve"> aspekt současného povolovacího procesu</w:t>
      </w:r>
      <w:r w:rsidR="005344C5">
        <w:t>, a </w:t>
      </w:r>
      <w:r w:rsidR="002F389B">
        <w:t>to úspěšnost odvolávajících se účastníků řízení</w:t>
      </w:r>
      <w:r>
        <w:t xml:space="preserve">. </w:t>
      </w:r>
      <w:r w:rsidR="005F1434">
        <w:t>Z těchto</w:t>
      </w:r>
      <w:r>
        <w:t xml:space="preserve"> údaj</w:t>
      </w:r>
      <w:r w:rsidR="005F1434">
        <w:t xml:space="preserve">ů bude vycházet </w:t>
      </w:r>
      <w:r w:rsidR="002F389B">
        <w:t xml:space="preserve">i </w:t>
      </w:r>
      <w:r w:rsidR="005F1434">
        <w:t xml:space="preserve">argumentace </w:t>
      </w:r>
      <w:r>
        <w:t>v hodnotící části.</w:t>
      </w:r>
      <w:r w:rsidR="00022484">
        <w:t xml:space="preserve"> </w:t>
      </w:r>
      <w:r w:rsidR="0085384B">
        <w:t>Z rozhodnutí, které byly napadeny odvoláním, n</w:t>
      </w:r>
      <w:r w:rsidR="002F389B">
        <w:t xml:space="preserve">ejvětší </w:t>
      </w:r>
      <w:r w:rsidR="00732C22">
        <w:t>podíl počtu rozhodnutí o odvolání, jímž bylo rozhodnutí zrušeno a věc vrácena k novému projednání, mají obce I. typu.</w:t>
      </w:r>
    </w:p>
    <w:p w:rsidR="00A31AEE" w:rsidRDefault="00A31AEE">
      <w:pPr>
        <w:spacing w:before="0" w:after="0"/>
        <w:jc w:val="left"/>
        <w:rPr>
          <w:rFonts w:eastAsia="MS Mincho"/>
        </w:rPr>
      </w:pPr>
      <w:r>
        <w:br w:type="page"/>
      </w:r>
    </w:p>
    <w:p w:rsidR="005938A6" w:rsidRDefault="005938A6" w:rsidP="003E4A5D">
      <w:pPr>
        <w:pStyle w:val="Titulek"/>
      </w:pPr>
      <w:r>
        <w:lastRenderedPageBreak/>
        <w:t xml:space="preserve">Graf </w:t>
      </w:r>
      <w:r w:rsidR="00AB65E9">
        <w:rPr>
          <w:noProof/>
        </w:rPr>
        <w:fldChar w:fldCharType="begin"/>
      </w:r>
      <w:r w:rsidR="007B0D8A">
        <w:rPr>
          <w:noProof/>
        </w:rPr>
        <w:instrText xml:space="preserve"> SEQ Graf \* ARABIC </w:instrText>
      </w:r>
      <w:r w:rsidR="00AB65E9">
        <w:rPr>
          <w:noProof/>
        </w:rPr>
        <w:fldChar w:fldCharType="separate"/>
      </w:r>
      <w:r w:rsidR="00263A1B">
        <w:rPr>
          <w:noProof/>
        </w:rPr>
        <w:t>11</w:t>
      </w:r>
      <w:r w:rsidR="00AB65E9">
        <w:rPr>
          <w:noProof/>
        </w:rPr>
        <w:fldChar w:fldCharType="end"/>
      </w:r>
      <w:r>
        <w:t>: Odvolací řízení, prvoinstanční OSÚ</w:t>
      </w:r>
      <w:bookmarkEnd w:id="48"/>
      <w:r w:rsidR="002F389B">
        <w:t xml:space="preserve"> 2017</w:t>
      </w:r>
    </w:p>
    <w:p w:rsidR="00CE1593" w:rsidRDefault="00721B79" w:rsidP="003E4A5D">
      <w:pPr>
        <w:pStyle w:val="Text-Normaln"/>
        <w:widowControl w:val="0"/>
        <w:spacing w:before="0"/>
        <w:rPr>
          <w:b/>
        </w:rPr>
      </w:pPr>
      <w:r>
        <w:rPr>
          <w:b/>
          <w:noProof/>
          <w:lang w:eastAsia="cs-CZ"/>
        </w:rPr>
        <w:drawing>
          <wp:inline distT="0" distB="0" distL="0" distR="0" wp14:anchorId="0A473D28" wp14:editId="6A01CC05">
            <wp:extent cx="5751915" cy="26098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8314" b="3211"/>
                    <a:stretch/>
                  </pic:blipFill>
                  <pic:spPr bwMode="auto">
                    <a:xfrm>
                      <a:off x="0" y="0"/>
                      <a:ext cx="5773023" cy="2619427"/>
                    </a:xfrm>
                    <a:prstGeom prst="rect">
                      <a:avLst/>
                    </a:prstGeom>
                    <a:noFill/>
                    <a:ln>
                      <a:noFill/>
                    </a:ln>
                    <a:extLst>
                      <a:ext uri="{53640926-AAD7-44D8-BBD7-CCE9431645EC}">
                        <a14:shadowObscured xmlns:a14="http://schemas.microsoft.com/office/drawing/2010/main"/>
                      </a:ext>
                    </a:extLst>
                  </pic:spPr>
                </pic:pic>
              </a:graphicData>
            </a:graphic>
          </wp:inline>
        </w:drawing>
      </w:r>
    </w:p>
    <w:p w:rsidR="0011797D" w:rsidRDefault="0011797D" w:rsidP="003E4A5D">
      <w:pPr>
        <w:pStyle w:val="Citt"/>
      </w:pPr>
      <w:r>
        <w:t>Zdroj: ÚÚR</w:t>
      </w:r>
    </w:p>
    <w:p w:rsidR="00732C22" w:rsidRDefault="00732C22" w:rsidP="003E4A5D">
      <w:pPr>
        <w:pStyle w:val="Text-Normaln"/>
        <w:widowControl w:val="0"/>
      </w:pPr>
      <w:r>
        <w:rPr>
          <w:b/>
        </w:rPr>
        <w:t>Druh</w:t>
      </w:r>
      <w:r w:rsidRPr="002F389B">
        <w:rPr>
          <w:b/>
        </w:rPr>
        <w:t>oinstančních OSÚ</w:t>
      </w:r>
      <w:r w:rsidRPr="00BD230D">
        <w:t xml:space="preserve"> je celkem </w:t>
      </w:r>
      <w:r w:rsidR="001F41A1">
        <w:t>17</w:t>
      </w:r>
      <w:r w:rsidRPr="00BD230D">
        <w:t xml:space="preserve">. </w:t>
      </w:r>
      <w:r>
        <w:t xml:space="preserve">Zaměstnávají celkem </w:t>
      </w:r>
      <w:r w:rsidR="001F41A1">
        <w:t>235</w:t>
      </w:r>
      <w:r>
        <w:t xml:space="preserve"> osob se </w:t>
      </w:r>
      <w:r w:rsidR="001F41A1">
        <w:t>217</w:t>
      </w:r>
      <w:r>
        <w:t xml:space="preserve"> úvazky (</w:t>
      </w:r>
      <w:r w:rsidRPr="00D67A9A">
        <w:rPr>
          <w:i/>
        </w:rPr>
        <w:t>k přesunu</w:t>
      </w:r>
      <w:r>
        <w:rPr>
          <w:i/>
        </w:rPr>
        <w:t xml:space="preserve"> v dále uvedeném poměru</w:t>
      </w:r>
      <w:r>
        <w:t xml:space="preserve">). </w:t>
      </w:r>
    </w:p>
    <w:p w:rsidR="003B6334" w:rsidRDefault="003B6334" w:rsidP="003E4A5D">
      <w:pPr>
        <w:pStyle w:val="Text-Normaln"/>
        <w:widowControl w:val="0"/>
      </w:pPr>
    </w:p>
    <w:p w:rsidR="009F7886" w:rsidRDefault="009F7886" w:rsidP="003E4A5D">
      <w:pPr>
        <w:pStyle w:val="Titulek"/>
      </w:pPr>
      <w:r>
        <w:t xml:space="preserve">Tabulka </w:t>
      </w:r>
      <w:r w:rsidR="00AB65E9">
        <w:rPr>
          <w:noProof/>
        </w:rPr>
        <w:fldChar w:fldCharType="begin"/>
      </w:r>
      <w:r w:rsidR="006D15AE">
        <w:rPr>
          <w:noProof/>
        </w:rPr>
        <w:instrText xml:space="preserve"> SEQ Tabulka \* ARABIC </w:instrText>
      </w:r>
      <w:r w:rsidR="00AB65E9">
        <w:rPr>
          <w:noProof/>
        </w:rPr>
        <w:fldChar w:fldCharType="separate"/>
      </w:r>
      <w:r w:rsidR="00263A1B">
        <w:rPr>
          <w:noProof/>
        </w:rPr>
        <w:t>10</w:t>
      </w:r>
      <w:r w:rsidR="00AB65E9">
        <w:rPr>
          <w:noProof/>
        </w:rPr>
        <w:fldChar w:fldCharType="end"/>
      </w:r>
      <w:r>
        <w:t xml:space="preserve">: </w:t>
      </w:r>
      <w:r w:rsidRPr="009F7886">
        <w:t xml:space="preserve">Druhoinstanční OSÚ </w:t>
      </w:r>
      <w:r w:rsidR="00453674">
        <w:t>(</w:t>
      </w:r>
      <w:r w:rsidR="00453674" w:rsidRPr="00D67A9A">
        <w:rPr>
          <w:i/>
        </w:rPr>
        <w:t>k přesunu</w:t>
      </w:r>
      <w:r w:rsidR="00453674">
        <w:rPr>
          <w:i/>
        </w:rPr>
        <w:t xml:space="preserve"> v dále uvedeném poměru</w:t>
      </w:r>
      <w:r w:rsidR="00453674">
        <w:t>)</w:t>
      </w:r>
      <w:r w:rsidR="00022484">
        <w:t xml:space="preserve"> </w:t>
      </w:r>
    </w:p>
    <w:tbl>
      <w:tblPr>
        <w:tblStyle w:val="Svtlstnovn1"/>
        <w:tblW w:w="9072" w:type="dxa"/>
        <w:tblInd w:w="108" w:type="dxa"/>
        <w:tblLayout w:type="fixed"/>
        <w:tblLook w:val="04A0" w:firstRow="1" w:lastRow="0" w:firstColumn="1" w:lastColumn="0" w:noHBand="0" w:noVBand="1"/>
      </w:tblPr>
      <w:tblGrid>
        <w:gridCol w:w="4253"/>
        <w:gridCol w:w="1417"/>
        <w:gridCol w:w="2127"/>
        <w:gridCol w:w="1275"/>
      </w:tblGrid>
      <w:tr w:rsidR="00C15348" w:rsidRPr="006B4DD5" w:rsidTr="00873B3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C15348" w:rsidRPr="006B4DD5" w:rsidRDefault="00C15348" w:rsidP="003E4A5D">
            <w:pPr>
              <w:widowControl w:val="0"/>
              <w:spacing w:before="0" w:after="0"/>
              <w:jc w:val="left"/>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Popisky řádků</w:t>
            </w:r>
          </w:p>
        </w:tc>
        <w:tc>
          <w:tcPr>
            <w:tcW w:w="1417" w:type="dxa"/>
            <w:noWrap/>
            <w:vAlign w:val="center"/>
            <w:hideMark/>
          </w:tcPr>
          <w:p w:rsidR="00C15348" w:rsidRPr="006B4DD5" w:rsidRDefault="00C15348"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Počet úředních osob</w:t>
            </w:r>
          </w:p>
        </w:tc>
        <w:tc>
          <w:tcPr>
            <w:tcW w:w="2127" w:type="dxa"/>
            <w:noWrap/>
            <w:vAlign w:val="center"/>
            <w:hideMark/>
          </w:tcPr>
          <w:p w:rsidR="00C15348" w:rsidRPr="006B4DD5" w:rsidRDefault="00C15348"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Počet pracovních úvazků úředních osob</w:t>
            </w:r>
          </w:p>
        </w:tc>
        <w:tc>
          <w:tcPr>
            <w:tcW w:w="1275" w:type="dxa"/>
            <w:noWrap/>
            <w:vAlign w:val="center"/>
            <w:hideMark/>
          </w:tcPr>
          <w:p w:rsidR="00C15348" w:rsidRPr="006B4DD5" w:rsidRDefault="00C15348"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Počet úřadů</w:t>
            </w:r>
          </w:p>
        </w:tc>
      </w:tr>
      <w:tr w:rsidR="00C15348" w:rsidRPr="006B4DD5" w:rsidTr="00873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C15348" w:rsidRPr="006B4DD5" w:rsidRDefault="00873B3D" w:rsidP="003E4A5D">
            <w:pPr>
              <w:widowControl w:val="0"/>
              <w:spacing w:before="0" w:after="0"/>
              <w:jc w:val="left"/>
              <w:rPr>
                <w:rFonts w:asciiTheme="minorHAnsi" w:eastAsia="Times New Roman" w:hAnsiTheme="minorHAnsi" w:cstheme="minorHAnsi"/>
                <w:b w:val="0"/>
                <w:sz w:val="20"/>
                <w:szCs w:val="20"/>
                <w:lang w:eastAsia="cs-CZ"/>
              </w:rPr>
            </w:pPr>
            <w:r>
              <w:rPr>
                <w:rFonts w:asciiTheme="minorHAnsi" w:eastAsia="Times New Roman" w:hAnsiTheme="minorHAnsi" w:cstheme="minorHAnsi"/>
                <w:b w:val="0"/>
                <w:sz w:val="20"/>
                <w:szCs w:val="20"/>
                <w:lang w:eastAsia="cs-CZ"/>
              </w:rPr>
              <w:t>krajský úřad</w:t>
            </w:r>
          </w:p>
        </w:tc>
        <w:tc>
          <w:tcPr>
            <w:tcW w:w="1417" w:type="dxa"/>
            <w:noWrap/>
            <w:vAlign w:val="center"/>
            <w:hideMark/>
          </w:tcPr>
          <w:p w:rsidR="00C15348" w:rsidRPr="006B4DD5" w:rsidRDefault="00C1534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210</w:t>
            </w:r>
          </w:p>
        </w:tc>
        <w:tc>
          <w:tcPr>
            <w:tcW w:w="2127" w:type="dxa"/>
            <w:noWrap/>
            <w:vAlign w:val="center"/>
            <w:hideMark/>
          </w:tcPr>
          <w:p w:rsidR="00C15348" w:rsidRPr="006B4DD5" w:rsidRDefault="00C1534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192,25</w:t>
            </w:r>
          </w:p>
        </w:tc>
        <w:tc>
          <w:tcPr>
            <w:tcW w:w="1275" w:type="dxa"/>
            <w:noWrap/>
            <w:vAlign w:val="center"/>
            <w:hideMark/>
          </w:tcPr>
          <w:p w:rsidR="00C15348" w:rsidRPr="006B4DD5" w:rsidRDefault="00C1534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14</w:t>
            </w:r>
          </w:p>
        </w:tc>
      </w:tr>
      <w:tr w:rsidR="00C15348" w:rsidRPr="006B4DD5" w:rsidTr="00873B3D">
        <w:trPr>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C15348" w:rsidRPr="006B4DD5" w:rsidRDefault="00C15348" w:rsidP="00873B3D">
            <w:pPr>
              <w:widowControl w:val="0"/>
              <w:spacing w:before="0" w:after="0"/>
              <w:jc w:val="left"/>
              <w:rPr>
                <w:rFonts w:asciiTheme="minorHAnsi" w:eastAsia="Times New Roman" w:hAnsiTheme="minorHAnsi" w:cstheme="minorHAnsi"/>
                <w:b w:val="0"/>
                <w:sz w:val="20"/>
                <w:szCs w:val="20"/>
                <w:lang w:eastAsia="cs-CZ"/>
              </w:rPr>
            </w:pPr>
            <w:r w:rsidRPr="006B4DD5">
              <w:rPr>
                <w:rFonts w:asciiTheme="minorHAnsi" w:eastAsia="Times New Roman" w:hAnsiTheme="minorHAnsi" w:cstheme="minorHAnsi"/>
                <w:b w:val="0"/>
                <w:sz w:val="20"/>
                <w:szCs w:val="20"/>
                <w:lang w:eastAsia="cs-CZ"/>
              </w:rPr>
              <w:t>magistrát úze</w:t>
            </w:r>
            <w:r w:rsidR="00873B3D">
              <w:rPr>
                <w:rFonts w:asciiTheme="minorHAnsi" w:eastAsia="Times New Roman" w:hAnsiTheme="minorHAnsi" w:cstheme="minorHAnsi"/>
                <w:b w:val="0"/>
                <w:sz w:val="20"/>
                <w:szCs w:val="20"/>
                <w:lang w:eastAsia="cs-CZ"/>
              </w:rPr>
              <w:t>mně členěného statutárního města</w:t>
            </w:r>
          </w:p>
        </w:tc>
        <w:tc>
          <w:tcPr>
            <w:tcW w:w="1417" w:type="dxa"/>
            <w:noWrap/>
            <w:vAlign w:val="center"/>
            <w:hideMark/>
          </w:tcPr>
          <w:p w:rsidR="00C15348" w:rsidRPr="006B4DD5" w:rsidRDefault="00C1534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25</w:t>
            </w:r>
          </w:p>
        </w:tc>
        <w:tc>
          <w:tcPr>
            <w:tcW w:w="2127" w:type="dxa"/>
            <w:noWrap/>
            <w:vAlign w:val="center"/>
            <w:hideMark/>
          </w:tcPr>
          <w:p w:rsidR="00C15348" w:rsidRPr="006B4DD5" w:rsidRDefault="00C1534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24,3</w:t>
            </w:r>
          </w:p>
        </w:tc>
        <w:tc>
          <w:tcPr>
            <w:tcW w:w="1275" w:type="dxa"/>
            <w:noWrap/>
            <w:vAlign w:val="center"/>
            <w:hideMark/>
          </w:tcPr>
          <w:p w:rsidR="00C15348" w:rsidRPr="006B4DD5" w:rsidRDefault="00C1534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6B4DD5">
              <w:rPr>
                <w:rFonts w:asciiTheme="minorHAnsi" w:eastAsia="Times New Roman" w:hAnsiTheme="minorHAnsi" w:cstheme="minorHAnsi"/>
                <w:sz w:val="20"/>
                <w:szCs w:val="20"/>
                <w:lang w:eastAsia="cs-CZ"/>
              </w:rPr>
              <w:t>3</w:t>
            </w:r>
          </w:p>
        </w:tc>
      </w:tr>
      <w:tr w:rsidR="00C15348" w:rsidRPr="006B4DD5" w:rsidTr="00873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C15348" w:rsidRPr="006B4DD5" w:rsidRDefault="00C15348" w:rsidP="003E4A5D">
            <w:pPr>
              <w:widowControl w:val="0"/>
              <w:spacing w:before="0" w:after="0"/>
              <w:jc w:val="left"/>
              <w:rPr>
                <w:rFonts w:asciiTheme="minorHAnsi" w:eastAsia="Times New Roman" w:hAnsiTheme="minorHAnsi" w:cstheme="minorHAnsi"/>
                <w:b w:val="0"/>
                <w:sz w:val="20"/>
                <w:szCs w:val="20"/>
                <w:lang w:eastAsia="cs-CZ"/>
              </w:rPr>
            </w:pPr>
            <w:r w:rsidRPr="006B4DD5">
              <w:rPr>
                <w:rFonts w:asciiTheme="minorHAnsi" w:eastAsia="Times New Roman" w:hAnsiTheme="minorHAnsi" w:cstheme="minorHAnsi"/>
                <w:b w:val="0"/>
                <w:sz w:val="20"/>
                <w:szCs w:val="20"/>
                <w:lang w:eastAsia="cs-CZ"/>
              </w:rPr>
              <w:t>Celkový součet</w:t>
            </w:r>
          </w:p>
        </w:tc>
        <w:tc>
          <w:tcPr>
            <w:tcW w:w="1417" w:type="dxa"/>
            <w:noWrap/>
            <w:vAlign w:val="center"/>
            <w:hideMark/>
          </w:tcPr>
          <w:p w:rsidR="00C15348" w:rsidRPr="006B4DD5" w:rsidRDefault="00C1534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cs-CZ"/>
              </w:rPr>
            </w:pPr>
            <w:r w:rsidRPr="006B4DD5">
              <w:rPr>
                <w:rFonts w:asciiTheme="minorHAnsi" w:eastAsia="Times New Roman" w:hAnsiTheme="minorHAnsi" w:cstheme="minorHAnsi"/>
                <w:bCs/>
                <w:sz w:val="20"/>
                <w:szCs w:val="20"/>
                <w:lang w:eastAsia="cs-CZ"/>
              </w:rPr>
              <w:t>235</w:t>
            </w:r>
          </w:p>
        </w:tc>
        <w:tc>
          <w:tcPr>
            <w:tcW w:w="2127" w:type="dxa"/>
            <w:noWrap/>
            <w:vAlign w:val="center"/>
            <w:hideMark/>
          </w:tcPr>
          <w:p w:rsidR="00C15348" w:rsidRPr="006B4DD5" w:rsidRDefault="00C1534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cs-CZ"/>
              </w:rPr>
            </w:pPr>
            <w:r w:rsidRPr="006B4DD5">
              <w:rPr>
                <w:rFonts w:asciiTheme="minorHAnsi" w:eastAsia="Times New Roman" w:hAnsiTheme="minorHAnsi" w:cstheme="minorHAnsi"/>
                <w:bCs/>
                <w:sz w:val="20"/>
                <w:szCs w:val="20"/>
                <w:lang w:eastAsia="cs-CZ"/>
              </w:rPr>
              <w:t>216,55</w:t>
            </w:r>
          </w:p>
        </w:tc>
        <w:tc>
          <w:tcPr>
            <w:tcW w:w="1275" w:type="dxa"/>
            <w:noWrap/>
            <w:vAlign w:val="center"/>
            <w:hideMark/>
          </w:tcPr>
          <w:p w:rsidR="00C15348" w:rsidRPr="006B4DD5" w:rsidRDefault="00C1534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20"/>
                <w:szCs w:val="20"/>
                <w:lang w:eastAsia="cs-CZ"/>
              </w:rPr>
            </w:pPr>
            <w:r w:rsidRPr="006B4DD5">
              <w:rPr>
                <w:rFonts w:asciiTheme="minorHAnsi" w:eastAsia="Times New Roman" w:hAnsiTheme="minorHAnsi" w:cstheme="minorHAnsi"/>
                <w:bCs/>
                <w:sz w:val="20"/>
                <w:szCs w:val="20"/>
                <w:lang w:eastAsia="cs-CZ"/>
              </w:rPr>
              <w:t>17</w:t>
            </w:r>
          </w:p>
        </w:tc>
      </w:tr>
    </w:tbl>
    <w:p w:rsidR="0011797D" w:rsidRDefault="0011797D" w:rsidP="003E4A5D">
      <w:pPr>
        <w:pStyle w:val="Citt"/>
      </w:pPr>
      <w:r>
        <w:t>Zdroj: ÚÚR</w:t>
      </w:r>
    </w:p>
    <w:p w:rsidR="0085384B" w:rsidRDefault="001F41A1" w:rsidP="003E4A5D">
      <w:pPr>
        <w:pStyle w:val="Text-Normaln"/>
        <w:widowControl w:val="0"/>
      </w:pPr>
      <w:r w:rsidRPr="001F41A1">
        <w:t xml:space="preserve">Vzdělání </w:t>
      </w:r>
      <w:r>
        <w:t>druhoinstančních OSÚ je v porovnání s prvoinstančními OSÚ výrazně vyšší, programové vybavení srovnatelné s úřady na větších obcích.</w:t>
      </w:r>
    </w:p>
    <w:p w:rsidR="003B0219" w:rsidRDefault="001F41A1" w:rsidP="00C05621">
      <w:pPr>
        <w:pStyle w:val="Text-Normaln"/>
        <w:widowControl w:val="0"/>
      </w:pPr>
      <w:r>
        <w:t xml:space="preserve"> </w:t>
      </w:r>
      <w:r w:rsidR="003B0219">
        <w:t xml:space="preserve">Graf </w:t>
      </w:r>
      <w:r w:rsidR="00AB65E9">
        <w:rPr>
          <w:noProof/>
        </w:rPr>
        <w:fldChar w:fldCharType="begin"/>
      </w:r>
      <w:r w:rsidR="007B0D8A">
        <w:rPr>
          <w:noProof/>
        </w:rPr>
        <w:instrText xml:space="preserve"> SEQ Graf \* ARABIC </w:instrText>
      </w:r>
      <w:r w:rsidR="00AB65E9">
        <w:rPr>
          <w:noProof/>
        </w:rPr>
        <w:fldChar w:fldCharType="separate"/>
      </w:r>
      <w:r w:rsidR="00263A1B">
        <w:rPr>
          <w:noProof/>
        </w:rPr>
        <w:t>12</w:t>
      </w:r>
      <w:r w:rsidR="00AB65E9">
        <w:rPr>
          <w:noProof/>
        </w:rPr>
        <w:fldChar w:fldCharType="end"/>
      </w:r>
      <w:r w:rsidR="003B0219">
        <w:t>: Druhoinstanční OSÚ – vzdělání úředních osob 2017</w:t>
      </w:r>
      <w:r w:rsidR="00022484">
        <w:t xml:space="preserve"> </w:t>
      </w:r>
    </w:p>
    <w:p w:rsidR="003B0219" w:rsidRDefault="003B0219" w:rsidP="0089559F">
      <w:pPr>
        <w:pStyle w:val="Text-Normaln"/>
        <w:keepNext/>
        <w:widowControl w:val="0"/>
        <w:spacing w:before="0" w:after="0"/>
        <w:rPr>
          <w:b/>
        </w:rPr>
      </w:pPr>
      <w:r>
        <w:rPr>
          <w:b/>
          <w:noProof/>
          <w:lang w:eastAsia="cs-CZ"/>
        </w:rPr>
        <w:drawing>
          <wp:inline distT="0" distB="0" distL="0" distR="0" wp14:anchorId="61FCC743" wp14:editId="39754150">
            <wp:extent cx="5751077" cy="27559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4702" b="6133"/>
                    <a:stretch/>
                  </pic:blipFill>
                  <pic:spPr bwMode="auto">
                    <a:xfrm>
                      <a:off x="0" y="0"/>
                      <a:ext cx="5791587" cy="2775312"/>
                    </a:xfrm>
                    <a:prstGeom prst="rect">
                      <a:avLst/>
                    </a:prstGeom>
                    <a:noFill/>
                    <a:ln>
                      <a:noFill/>
                    </a:ln>
                    <a:extLst>
                      <a:ext uri="{53640926-AAD7-44D8-BBD7-CCE9431645EC}">
                        <a14:shadowObscured xmlns:a14="http://schemas.microsoft.com/office/drawing/2010/main"/>
                      </a:ext>
                    </a:extLst>
                  </pic:spPr>
                </pic:pic>
              </a:graphicData>
            </a:graphic>
          </wp:inline>
        </w:drawing>
      </w:r>
    </w:p>
    <w:p w:rsidR="003B0219" w:rsidRDefault="003B0219" w:rsidP="0089559F">
      <w:pPr>
        <w:pStyle w:val="Citt"/>
        <w:keepNext/>
      </w:pPr>
      <w:r>
        <w:t>Zdroj: ÚÚR</w:t>
      </w:r>
    </w:p>
    <w:p w:rsidR="003B6334" w:rsidRPr="003B6334" w:rsidRDefault="003B6334" w:rsidP="003B6334">
      <w:pPr>
        <w:rPr>
          <w:lang w:eastAsia="cs-CZ"/>
        </w:rPr>
      </w:pPr>
    </w:p>
    <w:p w:rsidR="00022484" w:rsidRDefault="008B2425" w:rsidP="003E4A5D">
      <w:pPr>
        <w:pStyle w:val="Titulek"/>
      </w:pPr>
      <w:r>
        <w:lastRenderedPageBreak/>
        <w:t xml:space="preserve">Graf </w:t>
      </w:r>
      <w:r w:rsidR="00AB65E9">
        <w:rPr>
          <w:noProof/>
        </w:rPr>
        <w:fldChar w:fldCharType="begin"/>
      </w:r>
      <w:r w:rsidR="007B0D8A">
        <w:rPr>
          <w:noProof/>
        </w:rPr>
        <w:instrText xml:space="preserve"> SEQ Graf \* ARABIC </w:instrText>
      </w:r>
      <w:r w:rsidR="00AB65E9">
        <w:rPr>
          <w:noProof/>
        </w:rPr>
        <w:fldChar w:fldCharType="separate"/>
      </w:r>
      <w:r w:rsidR="00263A1B">
        <w:rPr>
          <w:noProof/>
        </w:rPr>
        <w:t>13</w:t>
      </w:r>
      <w:r w:rsidR="00AB65E9">
        <w:rPr>
          <w:noProof/>
        </w:rPr>
        <w:fldChar w:fldCharType="end"/>
      </w:r>
      <w:r>
        <w:t>: Programové vybavení druhoinstančních OSÚ</w:t>
      </w:r>
      <w:r w:rsidR="00022484">
        <w:t xml:space="preserve"> </w:t>
      </w:r>
      <w:r w:rsidR="001F41A1">
        <w:t>v roce 2017</w:t>
      </w:r>
      <w:r w:rsidR="00B47025">
        <w:t xml:space="preserve"> (počet)</w:t>
      </w:r>
    </w:p>
    <w:p w:rsidR="00C15348" w:rsidRDefault="00DE3EA3" w:rsidP="003E4A5D">
      <w:pPr>
        <w:pStyle w:val="Text-Normaln"/>
        <w:widowControl w:val="0"/>
        <w:spacing w:before="0" w:after="0"/>
        <w:rPr>
          <w:b/>
        </w:rPr>
      </w:pPr>
      <w:r>
        <w:rPr>
          <w:b/>
          <w:noProof/>
          <w:lang w:eastAsia="cs-CZ"/>
        </w:rPr>
        <w:drawing>
          <wp:inline distT="0" distB="0" distL="0" distR="0" wp14:anchorId="62576A16" wp14:editId="4E8DA788">
            <wp:extent cx="5753100" cy="226695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2066" b="3184"/>
                    <a:stretch/>
                  </pic:blipFill>
                  <pic:spPr bwMode="auto">
                    <a:xfrm>
                      <a:off x="0" y="0"/>
                      <a:ext cx="5769975" cy="2273599"/>
                    </a:xfrm>
                    <a:prstGeom prst="rect">
                      <a:avLst/>
                    </a:prstGeom>
                    <a:noFill/>
                    <a:ln>
                      <a:noFill/>
                    </a:ln>
                    <a:extLst>
                      <a:ext uri="{53640926-AAD7-44D8-BBD7-CCE9431645EC}">
                        <a14:shadowObscured xmlns:a14="http://schemas.microsoft.com/office/drawing/2010/main"/>
                      </a:ext>
                    </a:extLst>
                  </pic:spPr>
                </pic:pic>
              </a:graphicData>
            </a:graphic>
          </wp:inline>
        </w:drawing>
      </w:r>
    </w:p>
    <w:p w:rsidR="008B2425" w:rsidRDefault="008B2425" w:rsidP="003E4A5D">
      <w:pPr>
        <w:pStyle w:val="Citt"/>
      </w:pPr>
      <w:r>
        <w:t>Zdroj: ÚÚR</w:t>
      </w:r>
    </w:p>
    <w:p w:rsidR="0032110B" w:rsidRPr="00041B6B" w:rsidRDefault="00041B6B" w:rsidP="00041B6B">
      <w:pPr>
        <w:pStyle w:val="Nadpis3a"/>
        <w:numPr>
          <w:ilvl w:val="0"/>
          <w:numId w:val="0"/>
        </w:numPr>
        <w:ind w:left="720" w:hanging="720"/>
        <w:rPr>
          <w:sz w:val="22"/>
        </w:rPr>
      </w:pPr>
      <w:bookmarkStart w:id="49" w:name="_Toc536553915"/>
      <w:r>
        <w:rPr>
          <w:sz w:val="22"/>
        </w:rPr>
        <w:t>A.1.</w:t>
      </w:r>
      <w:r w:rsidR="008416A6">
        <w:rPr>
          <w:sz w:val="22"/>
        </w:rPr>
        <w:t>1.</w:t>
      </w:r>
      <w:r>
        <w:rPr>
          <w:sz w:val="22"/>
        </w:rPr>
        <w:t xml:space="preserve">3 </w:t>
      </w:r>
      <w:r w:rsidR="0032110B" w:rsidRPr="00041B6B">
        <w:rPr>
          <w:sz w:val="22"/>
        </w:rPr>
        <w:t>Speciální stavební úřady (SSÚ)</w:t>
      </w:r>
      <w:bookmarkEnd w:id="49"/>
    </w:p>
    <w:p w:rsidR="0032110B" w:rsidRDefault="0032110B" w:rsidP="003E4A5D">
      <w:pPr>
        <w:pStyle w:val="Text-Normaln"/>
        <w:widowControl w:val="0"/>
      </w:pPr>
      <w:r w:rsidRPr="0032110B">
        <w:t xml:space="preserve">V poslední řadě </w:t>
      </w:r>
      <w:r>
        <w:t xml:space="preserve">budou následovat tabulky s údaji za </w:t>
      </w:r>
      <w:r w:rsidR="00873B3D">
        <w:t>SSÚ</w:t>
      </w:r>
      <w:r>
        <w:t xml:space="preserve">, u nichž by k přesunu pod </w:t>
      </w:r>
      <w:r w:rsidR="000E28B7" w:rsidRPr="000E28B7">
        <w:t xml:space="preserve">Nejvyšší stavební úřad </w:t>
      </w:r>
      <w:r w:rsidR="000E28B7">
        <w:t>(</w:t>
      </w:r>
      <w:r>
        <w:t>NSÚ</w:t>
      </w:r>
      <w:r w:rsidR="000E28B7">
        <w:t>)</w:t>
      </w:r>
      <w:r>
        <w:t xml:space="preserve"> </w:t>
      </w:r>
      <w:r w:rsidR="007E301E" w:rsidRPr="007E301E">
        <w:t xml:space="preserve">v dále uvedeném poměru </w:t>
      </w:r>
      <w:r>
        <w:t>mělo dojít také.</w:t>
      </w:r>
    </w:p>
    <w:p w:rsidR="001F41A1" w:rsidRDefault="001F41A1" w:rsidP="003E4A5D">
      <w:pPr>
        <w:pStyle w:val="Text-Normaln"/>
        <w:widowControl w:val="0"/>
      </w:pPr>
      <w:r w:rsidRPr="002F389B">
        <w:rPr>
          <w:b/>
        </w:rPr>
        <w:t xml:space="preserve">Prvoinstančních </w:t>
      </w:r>
      <w:r>
        <w:rPr>
          <w:b/>
        </w:rPr>
        <w:t>S</w:t>
      </w:r>
      <w:r w:rsidRPr="002F389B">
        <w:rPr>
          <w:b/>
        </w:rPr>
        <w:t>SÚ</w:t>
      </w:r>
      <w:r w:rsidRPr="00BD230D">
        <w:t xml:space="preserve"> je celkem </w:t>
      </w:r>
      <w:r>
        <w:t>298 pro dopravní stavby a 276 pro vodní díla</w:t>
      </w:r>
      <w:r w:rsidRPr="00BD230D">
        <w:t xml:space="preserve">. </w:t>
      </w:r>
      <w:r>
        <w:t xml:space="preserve">Zaměstnávají celkem 1 850 osob s </w:t>
      </w:r>
      <w:r w:rsidR="008F2F50">
        <w:t>1 527</w:t>
      </w:r>
      <w:r>
        <w:t xml:space="preserve"> úvazky (</w:t>
      </w:r>
      <w:r w:rsidRPr="00D67A9A">
        <w:rPr>
          <w:i/>
        </w:rPr>
        <w:t>k přesunu</w:t>
      </w:r>
      <w:r>
        <w:rPr>
          <w:i/>
        </w:rPr>
        <w:t xml:space="preserve"> v dále uvedeném poměru</w:t>
      </w:r>
      <w:r>
        <w:t xml:space="preserve">). </w:t>
      </w:r>
    </w:p>
    <w:p w:rsidR="0032110B" w:rsidRDefault="0032110B" w:rsidP="003E4A5D">
      <w:pPr>
        <w:pStyle w:val="Titulek"/>
      </w:pPr>
      <w:r>
        <w:t xml:space="preserve">Tabulka </w:t>
      </w:r>
      <w:r w:rsidR="00AB65E9">
        <w:rPr>
          <w:noProof/>
        </w:rPr>
        <w:fldChar w:fldCharType="begin"/>
      </w:r>
      <w:r w:rsidR="004D7258">
        <w:rPr>
          <w:noProof/>
        </w:rPr>
        <w:instrText xml:space="preserve"> SEQ Tabulka \* ARABIC </w:instrText>
      </w:r>
      <w:r w:rsidR="00AB65E9">
        <w:rPr>
          <w:noProof/>
        </w:rPr>
        <w:fldChar w:fldCharType="separate"/>
      </w:r>
      <w:r w:rsidR="00263A1B">
        <w:rPr>
          <w:noProof/>
        </w:rPr>
        <w:t>11</w:t>
      </w:r>
      <w:r w:rsidR="00AB65E9">
        <w:rPr>
          <w:noProof/>
        </w:rPr>
        <w:fldChar w:fldCharType="end"/>
      </w:r>
      <w:r>
        <w:t xml:space="preserve">: </w:t>
      </w:r>
      <w:r w:rsidRPr="009D5F63">
        <w:t xml:space="preserve">SSÚ – </w:t>
      </w:r>
      <w:r w:rsidR="0011797D">
        <w:t>dopravní stavby</w:t>
      </w:r>
      <w:r w:rsidRPr="009D5F63">
        <w:t xml:space="preserve"> </w:t>
      </w:r>
      <w:r w:rsidR="0011797D">
        <w:t>(SSÚ – D) –</w:t>
      </w:r>
      <w:r w:rsidRPr="009D5F63">
        <w:t xml:space="preserve"> </w:t>
      </w:r>
      <w:r w:rsidR="0011797D">
        <w:t>počty zaměstnanců</w:t>
      </w:r>
      <w:r w:rsidR="00022484">
        <w:t xml:space="preserve"> </w:t>
      </w:r>
    </w:p>
    <w:tbl>
      <w:tblPr>
        <w:tblStyle w:val="Svtlstnovn1"/>
        <w:tblW w:w="9072" w:type="dxa"/>
        <w:tblInd w:w="108" w:type="dxa"/>
        <w:tblLayout w:type="fixed"/>
        <w:tblLook w:val="04A0" w:firstRow="1" w:lastRow="0" w:firstColumn="1" w:lastColumn="0" w:noHBand="0" w:noVBand="1"/>
      </w:tblPr>
      <w:tblGrid>
        <w:gridCol w:w="4253"/>
        <w:gridCol w:w="1559"/>
        <w:gridCol w:w="2126"/>
        <w:gridCol w:w="1134"/>
      </w:tblGrid>
      <w:tr w:rsidR="005943DA" w:rsidRPr="005943DA" w:rsidTr="00952A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5943DA" w:rsidRPr="005943DA" w:rsidRDefault="005943DA" w:rsidP="003E4A5D">
            <w:pPr>
              <w:widowControl w:val="0"/>
              <w:spacing w:before="0" w:after="0"/>
              <w:jc w:val="left"/>
              <w:rPr>
                <w:rFonts w:ascii="Calibri" w:eastAsia="Times New Roman" w:hAnsi="Calibri" w:cs="Calibri"/>
                <w:b w:val="0"/>
                <w:sz w:val="20"/>
                <w:szCs w:val="20"/>
                <w:lang w:eastAsia="cs-CZ"/>
              </w:rPr>
            </w:pPr>
            <w:r w:rsidRPr="005943DA">
              <w:rPr>
                <w:rFonts w:ascii="Calibri" w:eastAsia="Times New Roman" w:hAnsi="Calibri" w:cs="Calibri"/>
                <w:b w:val="0"/>
                <w:sz w:val="20"/>
                <w:szCs w:val="20"/>
                <w:lang w:eastAsia="cs-CZ"/>
              </w:rPr>
              <w:t>Popisky řádků</w:t>
            </w:r>
          </w:p>
        </w:tc>
        <w:tc>
          <w:tcPr>
            <w:tcW w:w="1559" w:type="dxa"/>
            <w:noWrap/>
            <w:vAlign w:val="center"/>
            <w:hideMark/>
          </w:tcPr>
          <w:p w:rsidR="005943DA" w:rsidRPr="005943DA" w:rsidRDefault="005943D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Počet</w:t>
            </w:r>
            <w:r w:rsidRPr="005943DA">
              <w:rPr>
                <w:rFonts w:ascii="Calibri" w:eastAsia="Times New Roman" w:hAnsi="Calibri" w:cs="Calibri"/>
                <w:b w:val="0"/>
                <w:sz w:val="20"/>
                <w:szCs w:val="20"/>
                <w:lang w:eastAsia="cs-CZ"/>
              </w:rPr>
              <w:t xml:space="preserve"> úředních osob</w:t>
            </w:r>
          </w:p>
        </w:tc>
        <w:tc>
          <w:tcPr>
            <w:tcW w:w="2126" w:type="dxa"/>
            <w:noWrap/>
            <w:vAlign w:val="center"/>
            <w:hideMark/>
          </w:tcPr>
          <w:p w:rsidR="005943DA" w:rsidRPr="005943DA" w:rsidRDefault="005943D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Počet</w:t>
            </w:r>
            <w:r w:rsidRPr="005943DA">
              <w:rPr>
                <w:rFonts w:ascii="Calibri" w:eastAsia="Times New Roman" w:hAnsi="Calibri" w:cs="Calibri"/>
                <w:b w:val="0"/>
                <w:sz w:val="20"/>
                <w:szCs w:val="20"/>
                <w:lang w:eastAsia="cs-CZ"/>
              </w:rPr>
              <w:t xml:space="preserve"> pracovních úvazků úředních osob</w:t>
            </w:r>
          </w:p>
        </w:tc>
        <w:tc>
          <w:tcPr>
            <w:tcW w:w="1134" w:type="dxa"/>
            <w:noWrap/>
            <w:vAlign w:val="center"/>
            <w:hideMark/>
          </w:tcPr>
          <w:p w:rsidR="005943DA" w:rsidRPr="005943DA" w:rsidRDefault="005943D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cs-CZ"/>
              </w:rPr>
            </w:pPr>
            <w:r w:rsidRPr="005943DA">
              <w:rPr>
                <w:rFonts w:ascii="Calibri" w:eastAsia="Times New Roman" w:hAnsi="Calibri" w:cs="Calibri"/>
                <w:b w:val="0"/>
                <w:sz w:val="20"/>
                <w:szCs w:val="20"/>
                <w:lang w:eastAsia="cs-CZ"/>
              </w:rPr>
              <w:t xml:space="preserve">Počet </w:t>
            </w:r>
            <w:r>
              <w:rPr>
                <w:rFonts w:ascii="Calibri" w:eastAsia="Times New Roman" w:hAnsi="Calibri" w:cs="Calibri"/>
                <w:b w:val="0"/>
                <w:sz w:val="20"/>
                <w:szCs w:val="20"/>
                <w:lang w:eastAsia="cs-CZ"/>
              </w:rPr>
              <w:t>úřadů</w:t>
            </w:r>
          </w:p>
        </w:tc>
      </w:tr>
      <w:tr w:rsidR="005943DA" w:rsidRPr="005943DA"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5943DA" w:rsidRPr="005943DA" w:rsidRDefault="005943DA" w:rsidP="0085384B">
            <w:pPr>
              <w:widowControl w:val="0"/>
              <w:spacing w:before="0" w:after="0"/>
              <w:jc w:val="left"/>
              <w:rPr>
                <w:rFonts w:ascii="Calibri" w:eastAsia="Times New Roman" w:hAnsi="Calibri" w:cs="Calibri"/>
                <w:b w:val="0"/>
                <w:sz w:val="20"/>
                <w:szCs w:val="20"/>
                <w:lang w:eastAsia="cs-CZ"/>
              </w:rPr>
            </w:pPr>
            <w:r w:rsidRPr="005943DA">
              <w:rPr>
                <w:rFonts w:ascii="Calibri" w:eastAsia="Times New Roman" w:hAnsi="Calibri" w:cs="Calibri"/>
                <w:b w:val="0"/>
                <w:sz w:val="20"/>
                <w:szCs w:val="20"/>
                <w:lang w:eastAsia="cs-CZ"/>
              </w:rPr>
              <w:t xml:space="preserve">úřad obce III. </w:t>
            </w:r>
            <w:r w:rsidR="0085384B">
              <w:rPr>
                <w:rFonts w:ascii="Calibri" w:eastAsia="Times New Roman" w:hAnsi="Calibri" w:cs="Calibri"/>
                <w:b w:val="0"/>
                <w:sz w:val="20"/>
                <w:szCs w:val="20"/>
                <w:lang w:eastAsia="cs-CZ"/>
              </w:rPr>
              <w:t>typu</w:t>
            </w:r>
            <w:r w:rsidRPr="005943DA">
              <w:rPr>
                <w:rFonts w:ascii="Calibri" w:eastAsia="Times New Roman" w:hAnsi="Calibri" w:cs="Calibri"/>
                <w:b w:val="0"/>
                <w:sz w:val="20"/>
                <w:szCs w:val="20"/>
                <w:lang w:eastAsia="cs-CZ"/>
              </w:rPr>
              <w:t xml:space="preserve"> </w:t>
            </w:r>
          </w:p>
        </w:tc>
        <w:tc>
          <w:tcPr>
            <w:tcW w:w="1559"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563</w:t>
            </w:r>
          </w:p>
        </w:tc>
        <w:tc>
          <w:tcPr>
            <w:tcW w:w="2126"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412,33</w:t>
            </w:r>
          </w:p>
        </w:tc>
        <w:tc>
          <w:tcPr>
            <w:tcW w:w="1134"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202</w:t>
            </w:r>
          </w:p>
        </w:tc>
      </w:tr>
      <w:tr w:rsidR="005943DA" w:rsidRPr="005943DA" w:rsidTr="00952ADB">
        <w:trPr>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5943DA" w:rsidRPr="005943DA" w:rsidRDefault="005943DA" w:rsidP="003E4A5D">
            <w:pPr>
              <w:widowControl w:val="0"/>
              <w:spacing w:before="0" w:after="0"/>
              <w:jc w:val="left"/>
              <w:rPr>
                <w:rFonts w:ascii="Calibri" w:eastAsia="Times New Roman" w:hAnsi="Calibri" w:cs="Calibri"/>
                <w:b w:val="0"/>
                <w:sz w:val="20"/>
                <w:szCs w:val="20"/>
                <w:lang w:eastAsia="cs-CZ"/>
              </w:rPr>
            </w:pPr>
            <w:r w:rsidRPr="005943DA">
              <w:rPr>
                <w:rFonts w:ascii="Calibri" w:eastAsia="Times New Roman" w:hAnsi="Calibri" w:cs="Calibri"/>
                <w:b w:val="0"/>
                <w:sz w:val="20"/>
                <w:szCs w:val="20"/>
                <w:lang w:eastAsia="cs-CZ"/>
              </w:rPr>
              <w:t xml:space="preserve">magistrát územně členěného statutárního města </w:t>
            </w:r>
          </w:p>
        </w:tc>
        <w:tc>
          <w:tcPr>
            <w:tcW w:w="1559"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13</w:t>
            </w:r>
          </w:p>
        </w:tc>
        <w:tc>
          <w:tcPr>
            <w:tcW w:w="2126"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6</w:t>
            </w:r>
          </w:p>
        </w:tc>
        <w:tc>
          <w:tcPr>
            <w:tcW w:w="1134"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3</w:t>
            </w:r>
          </w:p>
        </w:tc>
      </w:tr>
      <w:tr w:rsidR="005943DA" w:rsidRPr="005943DA"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5943DA" w:rsidRPr="005943DA" w:rsidRDefault="005943DA" w:rsidP="003E4A5D">
            <w:pPr>
              <w:widowControl w:val="0"/>
              <w:spacing w:before="0" w:after="0"/>
              <w:jc w:val="left"/>
              <w:rPr>
                <w:rFonts w:ascii="Calibri" w:eastAsia="Times New Roman" w:hAnsi="Calibri" w:cs="Calibri"/>
                <w:b w:val="0"/>
                <w:sz w:val="20"/>
                <w:szCs w:val="20"/>
                <w:lang w:eastAsia="cs-CZ"/>
              </w:rPr>
            </w:pPr>
            <w:r w:rsidRPr="005943DA">
              <w:rPr>
                <w:rFonts w:ascii="Calibri" w:eastAsia="Times New Roman" w:hAnsi="Calibri" w:cs="Calibri"/>
                <w:b w:val="0"/>
                <w:sz w:val="20"/>
                <w:szCs w:val="20"/>
                <w:lang w:eastAsia="cs-CZ"/>
              </w:rPr>
              <w:t xml:space="preserve">úřad městského obvodu </w:t>
            </w:r>
          </w:p>
        </w:tc>
        <w:tc>
          <w:tcPr>
            <w:tcW w:w="1559"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63</w:t>
            </w:r>
          </w:p>
        </w:tc>
        <w:tc>
          <w:tcPr>
            <w:tcW w:w="2126"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54,45</w:t>
            </w:r>
          </w:p>
        </w:tc>
        <w:tc>
          <w:tcPr>
            <w:tcW w:w="1134"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30</w:t>
            </w:r>
          </w:p>
        </w:tc>
      </w:tr>
      <w:tr w:rsidR="005943DA" w:rsidRPr="005943DA" w:rsidTr="00952ADB">
        <w:trPr>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5943DA" w:rsidRPr="005943DA" w:rsidRDefault="0085384B" w:rsidP="003E4A5D">
            <w:pPr>
              <w:widowControl w:val="0"/>
              <w:spacing w:before="0" w:after="0"/>
              <w:jc w:val="left"/>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 xml:space="preserve">úřad městské části </w:t>
            </w:r>
          </w:p>
        </w:tc>
        <w:tc>
          <w:tcPr>
            <w:tcW w:w="1559"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141</w:t>
            </w:r>
          </w:p>
        </w:tc>
        <w:tc>
          <w:tcPr>
            <w:tcW w:w="2126"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123,185</w:t>
            </w:r>
          </w:p>
        </w:tc>
        <w:tc>
          <w:tcPr>
            <w:tcW w:w="1134"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46</w:t>
            </w:r>
          </w:p>
        </w:tc>
      </w:tr>
      <w:tr w:rsidR="005943DA" w:rsidRPr="005943DA"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5943DA" w:rsidRPr="005943DA" w:rsidRDefault="005943DA" w:rsidP="003E4A5D">
            <w:pPr>
              <w:widowControl w:val="0"/>
              <w:spacing w:before="0" w:after="0"/>
              <w:jc w:val="left"/>
              <w:rPr>
                <w:rFonts w:ascii="Calibri" w:eastAsia="Times New Roman" w:hAnsi="Calibri" w:cs="Calibri"/>
                <w:b w:val="0"/>
                <w:sz w:val="20"/>
                <w:szCs w:val="20"/>
                <w:lang w:eastAsia="cs-CZ"/>
              </w:rPr>
            </w:pPr>
            <w:r w:rsidRPr="005943DA">
              <w:rPr>
                <w:rFonts w:ascii="Calibri" w:eastAsia="Times New Roman" w:hAnsi="Calibri" w:cs="Calibri"/>
                <w:b w:val="0"/>
                <w:sz w:val="20"/>
                <w:szCs w:val="20"/>
                <w:lang w:eastAsia="cs-CZ"/>
              </w:rPr>
              <w:t xml:space="preserve">krajský úřad </w:t>
            </w:r>
          </w:p>
        </w:tc>
        <w:tc>
          <w:tcPr>
            <w:tcW w:w="1559"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69</w:t>
            </w:r>
          </w:p>
        </w:tc>
        <w:tc>
          <w:tcPr>
            <w:tcW w:w="2126"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40,1</w:t>
            </w:r>
          </w:p>
        </w:tc>
        <w:tc>
          <w:tcPr>
            <w:tcW w:w="1134"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14</w:t>
            </w:r>
          </w:p>
        </w:tc>
      </w:tr>
      <w:tr w:rsidR="005943DA" w:rsidRPr="005943DA" w:rsidTr="00952ADB">
        <w:trPr>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5943DA" w:rsidRPr="005943DA" w:rsidRDefault="005943DA" w:rsidP="003E4A5D">
            <w:pPr>
              <w:widowControl w:val="0"/>
              <w:spacing w:before="0" w:after="0"/>
              <w:jc w:val="left"/>
              <w:rPr>
                <w:rFonts w:ascii="Calibri" w:eastAsia="Times New Roman" w:hAnsi="Calibri" w:cs="Calibri"/>
                <w:b w:val="0"/>
                <w:sz w:val="20"/>
                <w:szCs w:val="20"/>
                <w:lang w:eastAsia="cs-CZ"/>
              </w:rPr>
            </w:pPr>
            <w:r w:rsidRPr="005943DA">
              <w:rPr>
                <w:rFonts w:ascii="Calibri" w:eastAsia="Times New Roman" w:hAnsi="Calibri" w:cs="Calibri"/>
                <w:b w:val="0"/>
                <w:sz w:val="20"/>
                <w:szCs w:val="20"/>
                <w:lang w:eastAsia="cs-CZ"/>
              </w:rPr>
              <w:t>ministerstvo</w:t>
            </w:r>
          </w:p>
        </w:tc>
        <w:tc>
          <w:tcPr>
            <w:tcW w:w="1559"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51</w:t>
            </w:r>
          </w:p>
        </w:tc>
        <w:tc>
          <w:tcPr>
            <w:tcW w:w="2126"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51</w:t>
            </w:r>
          </w:p>
        </w:tc>
        <w:tc>
          <w:tcPr>
            <w:tcW w:w="1134" w:type="dxa"/>
            <w:noWrap/>
            <w:vAlign w:val="center"/>
            <w:hideMark/>
          </w:tcPr>
          <w:p w:rsidR="005943DA" w:rsidRPr="005943DA" w:rsidRDefault="005943D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43DA">
              <w:rPr>
                <w:rFonts w:ascii="Calibri" w:eastAsia="Times New Roman" w:hAnsi="Calibri" w:cs="Calibri"/>
                <w:sz w:val="20"/>
                <w:szCs w:val="20"/>
                <w:lang w:eastAsia="cs-CZ"/>
              </w:rPr>
              <w:t>3</w:t>
            </w:r>
          </w:p>
        </w:tc>
      </w:tr>
      <w:tr w:rsidR="005943DA" w:rsidRPr="005943DA"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5943DA" w:rsidRPr="005943DA" w:rsidRDefault="005943DA" w:rsidP="003E4A5D">
            <w:pPr>
              <w:widowControl w:val="0"/>
              <w:spacing w:before="0" w:after="0"/>
              <w:jc w:val="left"/>
              <w:rPr>
                <w:rFonts w:ascii="Calibri" w:eastAsia="Times New Roman" w:hAnsi="Calibri" w:cs="Calibri"/>
                <w:b w:val="0"/>
                <w:sz w:val="20"/>
                <w:szCs w:val="20"/>
                <w:lang w:eastAsia="cs-CZ"/>
              </w:rPr>
            </w:pPr>
            <w:r w:rsidRPr="005943DA">
              <w:rPr>
                <w:rFonts w:ascii="Calibri" w:eastAsia="Times New Roman" w:hAnsi="Calibri" w:cs="Calibri"/>
                <w:b w:val="0"/>
                <w:sz w:val="20"/>
                <w:szCs w:val="20"/>
                <w:lang w:eastAsia="cs-CZ"/>
              </w:rPr>
              <w:t>Celkový součet</w:t>
            </w:r>
          </w:p>
        </w:tc>
        <w:tc>
          <w:tcPr>
            <w:tcW w:w="1559"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cs-CZ"/>
              </w:rPr>
            </w:pPr>
            <w:r w:rsidRPr="005943DA">
              <w:rPr>
                <w:rFonts w:ascii="Calibri" w:eastAsia="Times New Roman" w:hAnsi="Calibri" w:cs="Calibri"/>
                <w:bCs/>
                <w:sz w:val="20"/>
                <w:szCs w:val="20"/>
                <w:lang w:eastAsia="cs-CZ"/>
              </w:rPr>
              <w:t>900</w:t>
            </w:r>
          </w:p>
        </w:tc>
        <w:tc>
          <w:tcPr>
            <w:tcW w:w="2126"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cs-CZ"/>
              </w:rPr>
            </w:pPr>
            <w:r w:rsidRPr="005943DA">
              <w:rPr>
                <w:rFonts w:ascii="Calibri" w:eastAsia="Times New Roman" w:hAnsi="Calibri" w:cs="Calibri"/>
                <w:bCs/>
                <w:sz w:val="20"/>
                <w:szCs w:val="20"/>
                <w:lang w:eastAsia="cs-CZ"/>
              </w:rPr>
              <w:t>687,065</w:t>
            </w:r>
          </w:p>
        </w:tc>
        <w:tc>
          <w:tcPr>
            <w:tcW w:w="1134" w:type="dxa"/>
            <w:noWrap/>
            <w:vAlign w:val="center"/>
            <w:hideMark/>
          </w:tcPr>
          <w:p w:rsidR="005943DA" w:rsidRPr="005943DA" w:rsidRDefault="005943D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lang w:eastAsia="cs-CZ"/>
              </w:rPr>
            </w:pPr>
            <w:r w:rsidRPr="005943DA">
              <w:rPr>
                <w:rFonts w:ascii="Calibri" w:eastAsia="Times New Roman" w:hAnsi="Calibri" w:cs="Calibri"/>
                <w:bCs/>
                <w:sz w:val="20"/>
                <w:szCs w:val="20"/>
                <w:lang w:eastAsia="cs-CZ"/>
              </w:rPr>
              <w:t>298</w:t>
            </w:r>
          </w:p>
        </w:tc>
      </w:tr>
    </w:tbl>
    <w:p w:rsidR="0011797D" w:rsidRDefault="0011797D" w:rsidP="003E4A5D">
      <w:pPr>
        <w:pStyle w:val="Titulek"/>
      </w:pPr>
    </w:p>
    <w:p w:rsidR="008F2F50" w:rsidRDefault="008F2F50" w:rsidP="0089559F">
      <w:pPr>
        <w:pStyle w:val="Titulek"/>
        <w:keepNext/>
      </w:pPr>
      <w:r>
        <w:t xml:space="preserve">Tabulka </w:t>
      </w:r>
      <w:r w:rsidR="00AB65E9">
        <w:rPr>
          <w:noProof/>
        </w:rPr>
        <w:fldChar w:fldCharType="begin"/>
      </w:r>
      <w:r>
        <w:rPr>
          <w:noProof/>
        </w:rPr>
        <w:instrText xml:space="preserve"> SEQ Tabulka \* ARABIC </w:instrText>
      </w:r>
      <w:r w:rsidR="00AB65E9">
        <w:rPr>
          <w:noProof/>
        </w:rPr>
        <w:fldChar w:fldCharType="separate"/>
      </w:r>
      <w:r w:rsidR="00263A1B">
        <w:rPr>
          <w:noProof/>
        </w:rPr>
        <w:t>12</w:t>
      </w:r>
      <w:r w:rsidR="00AB65E9">
        <w:rPr>
          <w:noProof/>
        </w:rPr>
        <w:fldChar w:fldCharType="end"/>
      </w:r>
      <w:r>
        <w:t>: SSÚ – vodní díla (SSÚ – V) –</w:t>
      </w:r>
      <w:r w:rsidRPr="009D5F63">
        <w:t xml:space="preserve"> </w:t>
      </w:r>
      <w:r>
        <w:t xml:space="preserve">počty zaměstnanců </w:t>
      </w:r>
    </w:p>
    <w:tbl>
      <w:tblPr>
        <w:tblStyle w:val="Svtlstnovn1"/>
        <w:tblW w:w="9072" w:type="dxa"/>
        <w:tblInd w:w="108" w:type="dxa"/>
        <w:tblLayout w:type="fixed"/>
        <w:tblLook w:val="04A0" w:firstRow="1" w:lastRow="0" w:firstColumn="1" w:lastColumn="0" w:noHBand="0" w:noVBand="1"/>
      </w:tblPr>
      <w:tblGrid>
        <w:gridCol w:w="4253"/>
        <w:gridCol w:w="1559"/>
        <w:gridCol w:w="2126"/>
        <w:gridCol w:w="1134"/>
      </w:tblGrid>
      <w:tr w:rsidR="008F2F50" w:rsidRPr="00D94F6C" w:rsidTr="00952A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8F2F50" w:rsidRPr="00D94F6C" w:rsidRDefault="008F2F50" w:rsidP="0089559F">
            <w:pPr>
              <w:keepNext/>
              <w:widowControl w:val="0"/>
              <w:spacing w:before="0" w:after="0"/>
              <w:jc w:val="left"/>
              <w:rPr>
                <w:rFonts w:ascii="Calibri" w:eastAsia="Times New Roman" w:hAnsi="Calibri" w:cs="Calibri"/>
                <w:b w:val="0"/>
                <w:sz w:val="20"/>
                <w:szCs w:val="20"/>
                <w:lang w:eastAsia="cs-CZ"/>
              </w:rPr>
            </w:pPr>
            <w:r w:rsidRPr="00D94F6C">
              <w:rPr>
                <w:rFonts w:ascii="Calibri" w:eastAsia="Times New Roman" w:hAnsi="Calibri" w:cs="Calibri"/>
                <w:b w:val="0"/>
                <w:sz w:val="20"/>
                <w:szCs w:val="20"/>
                <w:lang w:eastAsia="cs-CZ"/>
              </w:rPr>
              <w:t>Popisky řádků</w:t>
            </w:r>
          </w:p>
        </w:tc>
        <w:tc>
          <w:tcPr>
            <w:tcW w:w="1559" w:type="dxa"/>
            <w:noWrap/>
            <w:vAlign w:val="center"/>
            <w:hideMark/>
          </w:tcPr>
          <w:p w:rsidR="008F2F50" w:rsidRPr="00D94F6C" w:rsidRDefault="008F2F50" w:rsidP="0089559F">
            <w:pPr>
              <w:keepNext/>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Počet</w:t>
            </w:r>
            <w:r w:rsidRPr="00D94F6C">
              <w:rPr>
                <w:rFonts w:ascii="Calibri" w:eastAsia="Times New Roman" w:hAnsi="Calibri" w:cs="Calibri"/>
                <w:b w:val="0"/>
                <w:sz w:val="20"/>
                <w:szCs w:val="20"/>
                <w:lang w:eastAsia="cs-CZ"/>
              </w:rPr>
              <w:t xml:space="preserve"> úředních osob</w:t>
            </w:r>
          </w:p>
        </w:tc>
        <w:tc>
          <w:tcPr>
            <w:tcW w:w="2126" w:type="dxa"/>
            <w:noWrap/>
            <w:vAlign w:val="center"/>
            <w:hideMark/>
          </w:tcPr>
          <w:p w:rsidR="008F2F50" w:rsidRPr="00D94F6C" w:rsidRDefault="008F2F50" w:rsidP="0089559F">
            <w:pPr>
              <w:keepNext/>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Počet</w:t>
            </w:r>
            <w:r w:rsidRPr="00D94F6C">
              <w:rPr>
                <w:rFonts w:ascii="Calibri" w:eastAsia="Times New Roman" w:hAnsi="Calibri" w:cs="Calibri"/>
                <w:b w:val="0"/>
                <w:sz w:val="20"/>
                <w:szCs w:val="20"/>
                <w:lang w:eastAsia="cs-CZ"/>
              </w:rPr>
              <w:t xml:space="preserve"> pracovních úvazků úředních osob</w:t>
            </w:r>
          </w:p>
        </w:tc>
        <w:tc>
          <w:tcPr>
            <w:tcW w:w="1134" w:type="dxa"/>
            <w:noWrap/>
            <w:vAlign w:val="center"/>
            <w:hideMark/>
          </w:tcPr>
          <w:p w:rsidR="008F2F50" w:rsidRPr="00D94F6C" w:rsidRDefault="008F2F50" w:rsidP="0089559F">
            <w:pPr>
              <w:keepNext/>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cs-CZ"/>
              </w:rPr>
            </w:pPr>
            <w:r w:rsidRPr="00D94F6C">
              <w:rPr>
                <w:rFonts w:ascii="Calibri" w:eastAsia="Times New Roman" w:hAnsi="Calibri" w:cs="Calibri"/>
                <w:b w:val="0"/>
                <w:sz w:val="20"/>
                <w:szCs w:val="20"/>
                <w:lang w:eastAsia="cs-CZ"/>
              </w:rPr>
              <w:t xml:space="preserve">Počet </w:t>
            </w:r>
            <w:r>
              <w:rPr>
                <w:rFonts w:ascii="Calibri" w:eastAsia="Times New Roman" w:hAnsi="Calibri" w:cs="Calibri"/>
                <w:b w:val="0"/>
                <w:sz w:val="20"/>
                <w:szCs w:val="20"/>
                <w:lang w:eastAsia="cs-CZ"/>
              </w:rPr>
              <w:t>úřadů</w:t>
            </w:r>
          </w:p>
        </w:tc>
      </w:tr>
      <w:tr w:rsidR="008F2F50" w:rsidRPr="00D94F6C"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8F2F50" w:rsidRPr="00D94F6C" w:rsidRDefault="00873B3D" w:rsidP="00873B3D">
            <w:pPr>
              <w:keepNext/>
              <w:widowControl w:val="0"/>
              <w:spacing w:before="0" w:after="0"/>
              <w:jc w:val="left"/>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úřad obce III. typu</w:t>
            </w:r>
          </w:p>
        </w:tc>
        <w:tc>
          <w:tcPr>
            <w:tcW w:w="1559"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672</w:t>
            </w:r>
          </w:p>
        </w:tc>
        <w:tc>
          <w:tcPr>
            <w:tcW w:w="2126"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594,705</w:t>
            </w:r>
          </w:p>
        </w:tc>
        <w:tc>
          <w:tcPr>
            <w:tcW w:w="1134"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202</w:t>
            </w:r>
          </w:p>
        </w:tc>
      </w:tr>
      <w:tr w:rsidR="008F2F50" w:rsidRPr="00D94F6C" w:rsidTr="00952ADB">
        <w:trPr>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8F2F50" w:rsidRPr="00D94F6C" w:rsidRDefault="008F2F50" w:rsidP="00873B3D">
            <w:pPr>
              <w:keepNext/>
              <w:widowControl w:val="0"/>
              <w:spacing w:before="0" w:after="0"/>
              <w:jc w:val="left"/>
              <w:rPr>
                <w:rFonts w:ascii="Calibri" w:eastAsia="Times New Roman" w:hAnsi="Calibri" w:cs="Calibri"/>
                <w:b w:val="0"/>
                <w:sz w:val="20"/>
                <w:szCs w:val="20"/>
                <w:lang w:eastAsia="cs-CZ"/>
              </w:rPr>
            </w:pPr>
            <w:r w:rsidRPr="00D94F6C">
              <w:rPr>
                <w:rFonts w:ascii="Calibri" w:eastAsia="Times New Roman" w:hAnsi="Calibri" w:cs="Calibri"/>
                <w:b w:val="0"/>
                <w:sz w:val="20"/>
                <w:szCs w:val="20"/>
                <w:lang w:eastAsia="cs-CZ"/>
              </w:rPr>
              <w:t>magistrát územně členěného statutárního města</w:t>
            </w:r>
          </w:p>
        </w:tc>
        <w:tc>
          <w:tcPr>
            <w:tcW w:w="1559"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30</w:t>
            </w:r>
          </w:p>
        </w:tc>
        <w:tc>
          <w:tcPr>
            <w:tcW w:w="2126"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30</w:t>
            </w:r>
          </w:p>
        </w:tc>
        <w:tc>
          <w:tcPr>
            <w:tcW w:w="1134"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3</w:t>
            </w:r>
          </w:p>
        </w:tc>
      </w:tr>
      <w:tr w:rsidR="008F2F50" w:rsidRPr="00D94F6C"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8F2F50" w:rsidRPr="00D94F6C" w:rsidRDefault="00873B3D" w:rsidP="0089559F">
            <w:pPr>
              <w:keepNext/>
              <w:widowControl w:val="0"/>
              <w:spacing w:before="0" w:after="0"/>
              <w:jc w:val="left"/>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úřad městského obvodu</w:t>
            </w:r>
          </w:p>
        </w:tc>
        <w:tc>
          <w:tcPr>
            <w:tcW w:w="1559"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27</w:t>
            </w:r>
          </w:p>
        </w:tc>
        <w:tc>
          <w:tcPr>
            <w:tcW w:w="2126"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26,05</w:t>
            </w:r>
          </w:p>
        </w:tc>
        <w:tc>
          <w:tcPr>
            <w:tcW w:w="1134"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10</w:t>
            </w:r>
          </w:p>
        </w:tc>
      </w:tr>
      <w:tr w:rsidR="008F2F50" w:rsidRPr="00D94F6C" w:rsidTr="00952ADB">
        <w:trPr>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8F2F50" w:rsidRPr="00D94F6C" w:rsidRDefault="008F2F50" w:rsidP="0089559F">
            <w:pPr>
              <w:keepNext/>
              <w:widowControl w:val="0"/>
              <w:spacing w:before="0" w:after="0"/>
              <w:jc w:val="left"/>
              <w:rPr>
                <w:rFonts w:ascii="Calibri" w:eastAsia="Times New Roman" w:hAnsi="Calibri" w:cs="Calibri"/>
                <w:b w:val="0"/>
                <w:sz w:val="20"/>
                <w:szCs w:val="20"/>
                <w:lang w:eastAsia="cs-CZ"/>
              </w:rPr>
            </w:pPr>
            <w:r w:rsidRPr="00D94F6C">
              <w:rPr>
                <w:rFonts w:ascii="Calibri" w:eastAsia="Times New Roman" w:hAnsi="Calibri" w:cs="Calibri"/>
                <w:b w:val="0"/>
                <w:sz w:val="20"/>
                <w:szCs w:val="20"/>
                <w:lang w:eastAsia="cs-CZ"/>
              </w:rPr>
              <w:t>úřad městské části</w:t>
            </w:r>
          </w:p>
        </w:tc>
        <w:tc>
          <w:tcPr>
            <w:tcW w:w="1559"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120</w:t>
            </w:r>
          </w:p>
        </w:tc>
        <w:tc>
          <w:tcPr>
            <w:tcW w:w="2126"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96,8</w:t>
            </w:r>
          </w:p>
        </w:tc>
        <w:tc>
          <w:tcPr>
            <w:tcW w:w="1134"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47</w:t>
            </w:r>
          </w:p>
        </w:tc>
      </w:tr>
      <w:tr w:rsidR="008F2F50" w:rsidRPr="00D94F6C"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8F2F50" w:rsidRPr="00D94F6C" w:rsidRDefault="008F2F50" w:rsidP="0089559F">
            <w:pPr>
              <w:keepNext/>
              <w:widowControl w:val="0"/>
              <w:spacing w:before="0" w:after="0"/>
              <w:jc w:val="left"/>
              <w:rPr>
                <w:rFonts w:ascii="Calibri" w:eastAsia="Times New Roman" w:hAnsi="Calibri" w:cs="Calibri"/>
                <w:b w:val="0"/>
                <w:sz w:val="20"/>
                <w:szCs w:val="20"/>
                <w:lang w:eastAsia="cs-CZ"/>
              </w:rPr>
            </w:pPr>
            <w:r w:rsidRPr="00D94F6C">
              <w:rPr>
                <w:rFonts w:ascii="Calibri" w:eastAsia="Times New Roman" w:hAnsi="Calibri" w:cs="Calibri"/>
                <w:b w:val="0"/>
                <w:sz w:val="20"/>
                <w:szCs w:val="20"/>
                <w:lang w:eastAsia="cs-CZ"/>
              </w:rPr>
              <w:t>krajský úřad</w:t>
            </w:r>
          </w:p>
        </w:tc>
        <w:tc>
          <w:tcPr>
            <w:tcW w:w="1559"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101</w:t>
            </w:r>
          </w:p>
        </w:tc>
        <w:tc>
          <w:tcPr>
            <w:tcW w:w="2126"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92,54</w:t>
            </w:r>
          </w:p>
        </w:tc>
        <w:tc>
          <w:tcPr>
            <w:tcW w:w="1134" w:type="dxa"/>
            <w:noWrap/>
            <w:vAlign w:val="center"/>
            <w:hideMark/>
          </w:tcPr>
          <w:p w:rsidR="008F2F50" w:rsidRPr="00D94F6C" w:rsidRDefault="008F2F50" w:rsidP="0089559F">
            <w:pPr>
              <w:keepNext/>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D94F6C">
              <w:rPr>
                <w:rFonts w:ascii="Calibri" w:eastAsia="Times New Roman" w:hAnsi="Calibri" w:cs="Calibri"/>
                <w:sz w:val="20"/>
                <w:szCs w:val="20"/>
                <w:lang w:eastAsia="cs-CZ"/>
              </w:rPr>
              <w:t>14</w:t>
            </w:r>
          </w:p>
        </w:tc>
      </w:tr>
      <w:tr w:rsidR="008F2F50" w:rsidRPr="00D94F6C" w:rsidTr="00952ADB">
        <w:trPr>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8F2F50" w:rsidRPr="00D94F6C" w:rsidRDefault="008F2F50" w:rsidP="0089559F">
            <w:pPr>
              <w:keepNext/>
              <w:widowControl w:val="0"/>
              <w:spacing w:before="0" w:after="0"/>
              <w:jc w:val="left"/>
              <w:rPr>
                <w:rFonts w:ascii="Calibri" w:eastAsia="Times New Roman" w:hAnsi="Calibri" w:cs="Calibri"/>
                <w:b w:val="0"/>
                <w:sz w:val="20"/>
                <w:szCs w:val="20"/>
                <w:lang w:eastAsia="cs-CZ"/>
              </w:rPr>
            </w:pPr>
            <w:r w:rsidRPr="00D94F6C">
              <w:rPr>
                <w:rFonts w:ascii="Calibri" w:eastAsia="Times New Roman" w:hAnsi="Calibri" w:cs="Calibri"/>
                <w:b w:val="0"/>
                <w:sz w:val="20"/>
                <w:szCs w:val="20"/>
                <w:lang w:eastAsia="cs-CZ"/>
              </w:rPr>
              <w:t>Celkový součet</w:t>
            </w:r>
          </w:p>
        </w:tc>
        <w:tc>
          <w:tcPr>
            <w:tcW w:w="1559"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D94F6C">
              <w:rPr>
                <w:rFonts w:ascii="Calibri" w:eastAsia="Times New Roman" w:hAnsi="Calibri" w:cs="Calibri"/>
                <w:bCs/>
                <w:sz w:val="20"/>
                <w:szCs w:val="20"/>
                <w:lang w:eastAsia="cs-CZ"/>
              </w:rPr>
              <w:t>950</w:t>
            </w:r>
          </w:p>
        </w:tc>
        <w:tc>
          <w:tcPr>
            <w:tcW w:w="2126"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D94F6C">
              <w:rPr>
                <w:rFonts w:ascii="Calibri" w:eastAsia="Times New Roman" w:hAnsi="Calibri" w:cs="Calibri"/>
                <w:bCs/>
                <w:sz w:val="20"/>
                <w:szCs w:val="20"/>
                <w:lang w:eastAsia="cs-CZ"/>
              </w:rPr>
              <w:t>840,095</w:t>
            </w:r>
          </w:p>
        </w:tc>
        <w:tc>
          <w:tcPr>
            <w:tcW w:w="1134" w:type="dxa"/>
            <w:noWrap/>
            <w:vAlign w:val="center"/>
            <w:hideMark/>
          </w:tcPr>
          <w:p w:rsidR="008F2F50" w:rsidRPr="00D94F6C" w:rsidRDefault="008F2F50" w:rsidP="0089559F">
            <w:pPr>
              <w:keepNext/>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D94F6C">
              <w:rPr>
                <w:rFonts w:ascii="Calibri" w:eastAsia="Times New Roman" w:hAnsi="Calibri" w:cs="Calibri"/>
                <w:bCs/>
                <w:sz w:val="20"/>
                <w:szCs w:val="20"/>
                <w:lang w:eastAsia="cs-CZ"/>
              </w:rPr>
              <w:t>276</w:t>
            </w:r>
          </w:p>
        </w:tc>
      </w:tr>
    </w:tbl>
    <w:p w:rsidR="008F2F50" w:rsidRDefault="008F2F50" w:rsidP="0089559F">
      <w:pPr>
        <w:pStyle w:val="Citt"/>
        <w:keepNext/>
      </w:pPr>
      <w:r>
        <w:t>Zdroj: ÚÚR</w:t>
      </w:r>
    </w:p>
    <w:p w:rsidR="008F2F50" w:rsidRDefault="008F2F50" w:rsidP="003E4A5D">
      <w:pPr>
        <w:pStyle w:val="Titulek"/>
        <w:rPr>
          <w:rFonts w:eastAsia="Calibri"/>
          <w:b w:val="0"/>
          <w:bCs w:val="0"/>
          <w:color w:val="auto"/>
          <w:sz w:val="24"/>
          <w:szCs w:val="22"/>
          <w:lang w:eastAsia="en-US"/>
        </w:rPr>
      </w:pPr>
      <w:r w:rsidRPr="00804432">
        <w:rPr>
          <w:rFonts w:eastAsia="Calibri"/>
          <w:b w:val="0"/>
          <w:bCs w:val="0"/>
          <w:color w:val="auto"/>
          <w:sz w:val="24"/>
          <w:szCs w:val="22"/>
          <w:lang w:eastAsia="en-US"/>
        </w:rPr>
        <w:t>Úspěšnost odvolávajících se, a tudíž míru pravděpodobnosti prodloužení povolovacího procesu, zachycují následující dva grafy pro SSÚ.</w:t>
      </w:r>
    </w:p>
    <w:p w:rsidR="00A31AEE" w:rsidRDefault="00A31AEE">
      <w:pPr>
        <w:spacing w:before="0" w:after="0"/>
        <w:jc w:val="left"/>
      </w:pPr>
      <w:r>
        <w:br w:type="page"/>
      </w:r>
    </w:p>
    <w:p w:rsidR="007E301E" w:rsidRDefault="007E301E" w:rsidP="003E4A5D">
      <w:pPr>
        <w:pStyle w:val="Titulek"/>
      </w:pPr>
      <w:r>
        <w:lastRenderedPageBreak/>
        <w:t xml:space="preserve">Graf </w:t>
      </w:r>
      <w:r w:rsidR="00AB65E9">
        <w:rPr>
          <w:noProof/>
        </w:rPr>
        <w:fldChar w:fldCharType="begin"/>
      </w:r>
      <w:r w:rsidR="00790BCF">
        <w:rPr>
          <w:noProof/>
        </w:rPr>
        <w:instrText xml:space="preserve"> SEQ Graf \* ARABIC </w:instrText>
      </w:r>
      <w:r w:rsidR="00AB65E9">
        <w:rPr>
          <w:noProof/>
        </w:rPr>
        <w:fldChar w:fldCharType="separate"/>
      </w:r>
      <w:r w:rsidR="00263A1B">
        <w:rPr>
          <w:noProof/>
        </w:rPr>
        <w:t>14</w:t>
      </w:r>
      <w:r w:rsidR="00AB65E9">
        <w:rPr>
          <w:noProof/>
        </w:rPr>
        <w:fldChar w:fldCharType="end"/>
      </w:r>
      <w:r>
        <w:t>: Odvolací řízení – SSÚ – D</w:t>
      </w:r>
    </w:p>
    <w:p w:rsidR="00DC4415" w:rsidRDefault="0035159B" w:rsidP="003E4A5D">
      <w:pPr>
        <w:pStyle w:val="Text-Normaln"/>
        <w:widowControl w:val="0"/>
        <w:tabs>
          <w:tab w:val="left" w:pos="6521"/>
        </w:tabs>
        <w:spacing w:before="0"/>
        <w:rPr>
          <w:b/>
        </w:rPr>
      </w:pPr>
      <w:r>
        <w:rPr>
          <w:b/>
          <w:noProof/>
          <w:lang w:eastAsia="cs-CZ"/>
        </w:rPr>
        <w:drawing>
          <wp:inline distT="0" distB="0" distL="0" distR="0" wp14:anchorId="2B60E892" wp14:editId="3FC6EC8D">
            <wp:extent cx="5753100" cy="215900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2739" b="1524"/>
                    <a:stretch/>
                  </pic:blipFill>
                  <pic:spPr bwMode="auto">
                    <a:xfrm>
                      <a:off x="0" y="0"/>
                      <a:ext cx="5751260" cy="2158309"/>
                    </a:xfrm>
                    <a:prstGeom prst="rect">
                      <a:avLst/>
                    </a:prstGeom>
                    <a:noFill/>
                    <a:ln>
                      <a:noFill/>
                    </a:ln>
                    <a:extLst>
                      <a:ext uri="{53640926-AAD7-44D8-BBD7-CCE9431645EC}">
                        <a14:shadowObscured xmlns:a14="http://schemas.microsoft.com/office/drawing/2010/main"/>
                      </a:ext>
                    </a:extLst>
                  </pic:spPr>
                </pic:pic>
              </a:graphicData>
            </a:graphic>
          </wp:inline>
        </w:drawing>
      </w:r>
    </w:p>
    <w:p w:rsidR="0011797D" w:rsidRDefault="0011797D" w:rsidP="003E4A5D">
      <w:pPr>
        <w:pStyle w:val="Citt"/>
      </w:pPr>
      <w:r>
        <w:t>Zdroj: ÚÚR</w:t>
      </w:r>
    </w:p>
    <w:p w:rsidR="007E301E" w:rsidRDefault="007E301E" w:rsidP="003E4A5D">
      <w:pPr>
        <w:pStyle w:val="Titulek"/>
      </w:pPr>
      <w:r>
        <w:t xml:space="preserve">Graf </w:t>
      </w:r>
      <w:r w:rsidR="00AB65E9">
        <w:rPr>
          <w:noProof/>
        </w:rPr>
        <w:fldChar w:fldCharType="begin"/>
      </w:r>
      <w:r w:rsidR="00790BCF">
        <w:rPr>
          <w:noProof/>
        </w:rPr>
        <w:instrText xml:space="preserve"> SEQ Graf \* ARABIC </w:instrText>
      </w:r>
      <w:r w:rsidR="00AB65E9">
        <w:rPr>
          <w:noProof/>
        </w:rPr>
        <w:fldChar w:fldCharType="separate"/>
      </w:r>
      <w:r w:rsidR="00263A1B">
        <w:rPr>
          <w:noProof/>
        </w:rPr>
        <w:t>15</w:t>
      </w:r>
      <w:r w:rsidR="00AB65E9">
        <w:rPr>
          <w:noProof/>
        </w:rPr>
        <w:fldChar w:fldCharType="end"/>
      </w:r>
      <w:r>
        <w:t>: Odvolací řízení SSÚ – V 2017</w:t>
      </w:r>
    </w:p>
    <w:p w:rsidR="0011797D" w:rsidRDefault="0011797D" w:rsidP="003E4A5D">
      <w:pPr>
        <w:pStyle w:val="Text-Normaln"/>
        <w:widowControl w:val="0"/>
        <w:spacing w:before="0" w:after="0"/>
        <w:rPr>
          <w:b/>
        </w:rPr>
      </w:pPr>
      <w:r>
        <w:rPr>
          <w:b/>
          <w:noProof/>
          <w:lang w:eastAsia="cs-CZ"/>
        </w:rPr>
        <w:drawing>
          <wp:inline distT="0" distB="0" distL="0" distR="0" wp14:anchorId="4D6DA9F3" wp14:editId="031DA91F">
            <wp:extent cx="5744496" cy="221615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colorTemperature colorTemp="6400"/>
                              </a14:imgEffect>
                            </a14:imgLayer>
                          </a14:imgProps>
                        </a:ext>
                        <a:ext uri="{28A0092B-C50C-407E-A947-70E740481C1C}">
                          <a14:useLocalDpi xmlns:a14="http://schemas.microsoft.com/office/drawing/2010/main" val="0"/>
                        </a:ext>
                      </a:extLst>
                    </a:blip>
                    <a:srcRect t="11191" b="2333"/>
                    <a:stretch/>
                  </pic:blipFill>
                  <pic:spPr bwMode="auto">
                    <a:xfrm>
                      <a:off x="0" y="0"/>
                      <a:ext cx="5824561" cy="2247038"/>
                    </a:xfrm>
                    <a:prstGeom prst="rect">
                      <a:avLst/>
                    </a:prstGeom>
                    <a:noFill/>
                    <a:ln>
                      <a:noFill/>
                    </a:ln>
                    <a:extLst>
                      <a:ext uri="{53640926-AAD7-44D8-BBD7-CCE9431645EC}">
                        <a14:shadowObscured xmlns:a14="http://schemas.microsoft.com/office/drawing/2010/main"/>
                      </a:ext>
                    </a:extLst>
                  </pic:spPr>
                </pic:pic>
              </a:graphicData>
            </a:graphic>
          </wp:inline>
        </w:drawing>
      </w:r>
    </w:p>
    <w:p w:rsidR="0011797D" w:rsidRDefault="0011797D" w:rsidP="003E4A5D">
      <w:pPr>
        <w:pStyle w:val="Citt"/>
      </w:pPr>
      <w:r>
        <w:t>Zdroj: ÚÚR</w:t>
      </w:r>
    </w:p>
    <w:p w:rsidR="003B6334" w:rsidRDefault="0011797D" w:rsidP="003B6334">
      <w:pPr>
        <w:pStyle w:val="Text-Normaln"/>
        <w:widowControl w:val="0"/>
      </w:pPr>
      <w:r w:rsidRPr="0011797D">
        <w:t>Co se tý</w:t>
      </w:r>
      <w:r w:rsidR="00F8593A">
        <w:t>ká</w:t>
      </w:r>
      <w:r w:rsidRPr="0011797D">
        <w:t xml:space="preserve"> </w:t>
      </w:r>
      <w:r w:rsidRPr="008F2F50">
        <w:rPr>
          <w:b/>
        </w:rPr>
        <w:t>druhoinstančních</w:t>
      </w:r>
      <w:r w:rsidRPr="0011797D">
        <w:t xml:space="preserve"> </w:t>
      </w:r>
      <w:r w:rsidR="000E28B7">
        <w:t>SSÚ</w:t>
      </w:r>
      <w:r w:rsidRPr="0011797D">
        <w:t>, situace tam z pohledu počtu zaměstnanců vypadá následovně.</w:t>
      </w:r>
    </w:p>
    <w:p w:rsidR="003B6334" w:rsidRDefault="003B6334" w:rsidP="003B6334">
      <w:pPr>
        <w:pStyle w:val="Text-Normaln"/>
        <w:widowControl w:val="0"/>
        <w:spacing w:before="0" w:after="0"/>
      </w:pPr>
    </w:p>
    <w:p w:rsidR="0011797D" w:rsidRDefault="0011797D" w:rsidP="003B6334">
      <w:pPr>
        <w:pStyle w:val="Text-Normaln"/>
        <w:widowControl w:val="0"/>
      </w:pPr>
      <w:r>
        <w:t xml:space="preserve">Tabulka </w:t>
      </w:r>
      <w:r w:rsidR="00AB65E9">
        <w:rPr>
          <w:noProof/>
        </w:rPr>
        <w:fldChar w:fldCharType="begin"/>
      </w:r>
      <w:r w:rsidR="004D7258">
        <w:rPr>
          <w:noProof/>
        </w:rPr>
        <w:instrText xml:space="preserve"> SEQ Tabulka \* ARABIC </w:instrText>
      </w:r>
      <w:r w:rsidR="00AB65E9">
        <w:rPr>
          <w:noProof/>
        </w:rPr>
        <w:fldChar w:fldCharType="separate"/>
      </w:r>
      <w:r w:rsidR="00263A1B">
        <w:rPr>
          <w:noProof/>
        </w:rPr>
        <w:t>13</w:t>
      </w:r>
      <w:r w:rsidR="00AB65E9">
        <w:rPr>
          <w:noProof/>
        </w:rPr>
        <w:fldChar w:fldCharType="end"/>
      </w:r>
      <w:r>
        <w:t xml:space="preserve">: Druhoinstanční SSÚ </w:t>
      </w:r>
      <w:r w:rsidR="007E301E">
        <w:t>–</w:t>
      </w:r>
      <w:r>
        <w:t xml:space="preserve"> D</w:t>
      </w:r>
      <w:r w:rsidR="007E301E">
        <w:t xml:space="preserve"> (</w:t>
      </w:r>
      <w:r w:rsidR="007E301E" w:rsidRPr="00D67A9A">
        <w:rPr>
          <w:i/>
        </w:rPr>
        <w:t>k přesunu</w:t>
      </w:r>
      <w:r w:rsidR="007E301E">
        <w:rPr>
          <w:i/>
        </w:rPr>
        <w:t xml:space="preserve"> v dále uvedeném poměru</w:t>
      </w:r>
      <w:r w:rsidR="007E301E">
        <w:t xml:space="preserve">) </w:t>
      </w:r>
    </w:p>
    <w:tbl>
      <w:tblPr>
        <w:tblStyle w:val="Svtlstnovn1"/>
        <w:tblW w:w="9072" w:type="dxa"/>
        <w:tblInd w:w="108" w:type="dxa"/>
        <w:tblLayout w:type="fixed"/>
        <w:tblLook w:val="04A0" w:firstRow="1" w:lastRow="0" w:firstColumn="1" w:lastColumn="0" w:noHBand="0" w:noVBand="1"/>
      </w:tblPr>
      <w:tblGrid>
        <w:gridCol w:w="4536"/>
        <w:gridCol w:w="1560"/>
        <w:gridCol w:w="2126"/>
        <w:gridCol w:w="850"/>
      </w:tblGrid>
      <w:tr w:rsidR="008F2F50" w:rsidRPr="009F2358" w:rsidTr="00952A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8F2F50" w:rsidRPr="009F2358" w:rsidRDefault="008F2F50" w:rsidP="003E4A5D">
            <w:pPr>
              <w:widowControl w:val="0"/>
              <w:spacing w:before="0" w:after="0"/>
              <w:jc w:val="left"/>
              <w:rPr>
                <w:rFonts w:ascii="Calibri" w:eastAsia="Times New Roman" w:hAnsi="Calibri" w:cs="Calibri"/>
                <w:b w:val="0"/>
                <w:sz w:val="20"/>
                <w:szCs w:val="20"/>
                <w:lang w:eastAsia="cs-CZ"/>
              </w:rPr>
            </w:pPr>
            <w:r w:rsidRPr="009F2358">
              <w:rPr>
                <w:rFonts w:ascii="Calibri" w:eastAsia="Times New Roman" w:hAnsi="Calibri" w:cs="Calibri"/>
                <w:b w:val="0"/>
                <w:sz w:val="20"/>
                <w:szCs w:val="20"/>
                <w:lang w:eastAsia="cs-CZ"/>
              </w:rPr>
              <w:t>Popisky řádků</w:t>
            </w:r>
          </w:p>
        </w:tc>
        <w:tc>
          <w:tcPr>
            <w:tcW w:w="1560" w:type="dxa"/>
            <w:noWrap/>
            <w:vAlign w:val="center"/>
            <w:hideMark/>
          </w:tcPr>
          <w:p w:rsidR="008F2F50" w:rsidRPr="009F2358" w:rsidRDefault="008F2F50"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Počet</w:t>
            </w:r>
            <w:r w:rsidRPr="009F2358">
              <w:rPr>
                <w:rFonts w:ascii="Calibri" w:eastAsia="Times New Roman" w:hAnsi="Calibri" w:cs="Calibri"/>
                <w:b w:val="0"/>
                <w:sz w:val="20"/>
                <w:szCs w:val="20"/>
                <w:lang w:eastAsia="cs-CZ"/>
              </w:rPr>
              <w:t xml:space="preserve"> úředních osob</w:t>
            </w:r>
          </w:p>
        </w:tc>
        <w:tc>
          <w:tcPr>
            <w:tcW w:w="2126" w:type="dxa"/>
            <w:noWrap/>
            <w:vAlign w:val="center"/>
            <w:hideMark/>
          </w:tcPr>
          <w:p w:rsidR="008F2F50" w:rsidRPr="007E301E" w:rsidRDefault="008F2F50"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highlight w:val="yellow"/>
                <w:lang w:eastAsia="cs-CZ"/>
              </w:rPr>
            </w:pPr>
            <w:r>
              <w:rPr>
                <w:rFonts w:ascii="Calibri" w:eastAsia="Times New Roman" w:hAnsi="Calibri" w:cs="Calibri"/>
                <w:b w:val="0"/>
                <w:sz w:val="20"/>
                <w:szCs w:val="20"/>
                <w:lang w:eastAsia="cs-CZ"/>
              </w:rPr>
              <w:t>Počet</w:t>
            </w:r>
            <w:r w:rsidRPr="00D94F6C">
              <w:rPr>
                <w:rFonts w:ascii="Calibri" w:eastAsia="Times New Roman" w:hAnsi="Calibri" w:cs="Calibri"/>
                <w:b w:val="0"/>
                <w:sz w:val="20"/>
                <w:szCs w:val="20"/>
                <w:lang w:eastAsia="cs-CZ"/>
              </w:rPr>
              <w:t xml:space="preserve"> pracovních úvazků úředních osob</w:t>
            </w:r>
          </w:p>
        </w:tc>
        <w:tc>
          <w:tcPr>
            <w:tcW w:w="850" w:type="dxa"/>
            <w:noWrap/>
            <w:vAlign w:val="center"/>
            <w:hideMark/>
          </w:tcPr>
          <w:p w:rsidR="008F2F50" w:rsidRPr="007E301E" w:rsidRDefault="008F2F50"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highlight w:val="yellow"/>
                <w:lang w:eastAsia="cs-CZ"/>
              </w:rPr>
            </w:pPr>
            <w:r w:rsidRPr="00D94F6C">
              <w:rPr>
                <w:rFonts w:ascii="Calibri" w:eastAsia="Times New Roman" w:hAnsi="Calibri" w:cs="Calibri"/>
                <w:b w:val="0"/>
                <w:sz w:val="20"/>
                <w:szCs w:val="20"/>
                <w:lang w:eastAsia="cs-CZ"/>
              </w:rPr>
              <w:t xml:space="preserve">Počet </w:t>
            </w:r>
            <w:r>
              <w:rPr>
                <w:rFonts w:ascii="Calibri" w:eastAsia="Times New Roman" w:hAnsi="Calibri" w:cs="Calibri"/>
                <w:b w:val="0"/>
                <w:sz w:val="20"/>
                <w:szCs w:val="20"/>
                <w:lang w:eastAsia="cs-CZ"/>
              </w:rPr>
              <w:t>úřadů</w:t>
            </w:r>
          </w:p>
        </w:tc>
      </w:tr>
      <w:tr w:rsidR="009F2358" w:rsidRPr="009F2358"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9F2358" w:rsidRPr="009F2358" w:rsidRDefault="00952ADB" w:rsidP="003E4A5D">
            <w:pPr>
              <w:widowControl w:val="0"/>
              <w:spacing w:before="0" w:after="0"/>
              <w:jc w:val="left"/>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 xml:space="preserve">ČR </w:t>
            </w:r>
          </w:p>
        </w:tc>
        <w:tc>
          <w:tcPr>
            <w:tcW w:w="1560" w:type="dxa"/>
            <w:noWrap/>
            <w:vAlign w:val="center"/>
            <w:hideMark/>
          </w:tcPr>
          <w:p w:rsidR="009F2358" w:rsidRPr="009F2358" w:rsidRDefault="009F235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27</w:t>
            </w:r>
          </w:p>
        </w:tc>
        <w:tc>
          <w:tcPr>
            <w:tcW w:w="2126" w:type="dxa"/>
            <w:noWrap/>
            <w:vAlign w:val="center"/>
            <w:hideMark/>
          </w:tcPr>
          <w:p w:rsidR="009F2358" w:rsidRPr="009F2358" w:rsidRDefault="009F235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20,9</w:t>
            </w:r>
          </w:p>
        </w:tc>
        <w:tc>
          <w:tcPr>
            <w:tcW w:w="850" w:type="dxa"/>
            <w:noWrap/>
            <w:vAlign w:val="center"/>
            <w:hideMark/>
          </w:tcPr>
          <w:p w:rsidR="009F2358" w:rsidRPr="009F2358" w:rsidRDefault="009F235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4</w:t>
            </w:r>
          </w:p>
        </w:tc>
      </w:tr>
      <w:tr w:rsidR="009F2358" w:rsidRPr="009F2358" w:rsidTr="00952ADB">
        <w:trPr>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9F2358" w:rsidRPr="009F2358" w:rsidRDefault="00952ADB" w:rsidP="003E4A5D">
            <w:pPr>
              <w:widowControl w:val="0"/>
              <w:spacing w:before="0" w:after="0"/>
              <w:jc w:val="left"/>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 xml:space="preserve">krajský úřad </w:t>
            </w:r>
          </w:p>
        </w:tc>
        <w:tc>
          <w:tcPr>
            <w:tcW w:w="1560" w:type="dxa"/>
            <w:noWrap/>
            <w:vAlign w:val="center"/>
            <w:hideMark/>
          </w:tcPr>
          <w:p w:rsidR="009F2358" w:rsidRPr="009F2358" w:rsidRDefault="009F235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44</w:t>
            </w:r>
          </w:p>
        </w:tc>
        <w:tc>
          <w:tcPr>
            <w:tcW w:w="2126" w:type="dxa"/>
            <w:noWrap/>
            <w:vAlign w:val="center"/>
            <w:hideMark/>
          </w:tcPr>
          <w:p w:rsidR="009F2358" w:rsidRPr="009F2358" w:rsidRDefault="009F235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22,8</w:t>
            </w:r>
          </w:p>
        </w:tc>
        <w:tc>
          <w:tcPr>
            <w:tcW w:w="850" w:type="dxa"/>
            <w:noWrap/>
            <w:vAlign w:val="center"/>
            <w:hideMark/>
          </w:tcPr>
          <w:p w:rsidR="009F2358" w:rsidRPr="009F2358" w:rsidRDefault="009F235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13</w:t>
            </w:r>
          </w:p>
        </w:tc>
      </w:tr>
      <w:tr w:rsidR="009F2358" w:rsidRPr="009F2358"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9F2358" w:rsidRPr="009F2358" w:rsidRDefault="009F2358" w:rsidP="00952ADB">
            <w:pPr>
              <w:widowControl w:val="0"/>
              <w:spacing w:before="0" w:after="0"/>
              <w:jc w:val="left"/>
              <w:rPr>
                <w:rFonts w:ascii="Calibri" w:eastAsia="Times New Roman" w:hAnsi="Calibri" w:cs="Calibri"/>
                <w:b w:val="0"/>
                <w:sz w:val="20"/>
                <w:szCs w:val="20"/>
                <w:lang w:eastAsia="cs-CZ"/>
              </w:rPr>
            </w:pPr>
            <w:r w:rsidRPr="009F2358">
              <w:rPr>
                <w:rFonts w:ascii="Calibri" w:eastAsia="Times New Roman" w:hAnsi="Calibri" w:cs="Calibri"/>
                <w:b w:val="0"/>
                <w:sz w:val="20"/>
                <w:szCs w:val="20"/>
                <w:lang w:eastAsia="cs-CZ"/>
              </w:rPr>
              <w:t>magistrát územně člen</w:t>
            </w:r>
            <w:r w:rsidR="00952ADB">
              <w:rPr>
                <w:rFonts w:ascii="Calibri" w:eastAsia="Times New Roman" w:hAnsi="Calibri" w:cs="Calibri"/>
                <w:b w:val="0"/>
                <w:sz w:val="20"/>
                <w:szCs w:val="20"/>
                <w:lang w:eastAsia="cs-CZ"/>
              </w:rPr>
              <w:t>ěného</w:t>
            </w:r>
            <w:r w:rsidRPr="009F2358">
              <w:rPr>
                <w:rFonts w:ascii="Calibri" w:eastAsia="Times New Roman" w:hAnsi="Calibri" w:cs="Calibri"/>
                <w:b w:val="0"/>
                <w:sz w:val="20"/>
                <w:szCs w:val="20"/>
                <w:lang w:eastAsia="cs-CZ"/>
              </w:rPr>
              <w:t xml:space="preserve"> statutárního města </w:t>
            </w:r>
          </w:p>
        </w:tc>
        <w:tc>
          <w:tcPr>
            <w:tcW w:w="1560" w:type="dxa"/>
            <w:noWrap/>
            <w:vAlign w:val="center"/>
            <w:hideMark/>
          </w:tcPr>
          <w:p w:rsidR="009F2358" w:rsidRPr="009F2358" w:rsidRDefault="009F235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10</w:t>
            </w:r>
          </w:p>
        </w:tc>
        <w:tc>
          <w:tcPr>
            <w:tcW w:w="2126" w:type="dxa"/>
            <w:noWrap/>
            <w:vAlign w:val="center"/>
            <w:hideMark/>
          </w:tcPr>
          <w:p w:rsidR="009F2358" w:rsidRPr="009F2358" w:rsidRDefault="009F235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8,1</w:t>
            </w:r>
          </w:p>
        </w:tc>
        <w:tc>
          <w:tcPr>
            <w:tcW w:w="850" w:type="dxa"/>
            <w:noWrap/>
            <w:vAlign w:val="center"/>
            <w:hideMark/>
          </w:tcPr>
          <w:p w:rsidR="009F2358" w:rsidRPr="009F2358" w:rsidRDefault="009F2358"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9F2358">
              <w:rPr>
                <w:rFonts w:ascii="Calibri" w:eastAsia="Times New Roman" w:hAnsi="Calibri" w:cs="Calibri"/>
                <w:sz w:val="20"/>
                <w:szCs w:val="20"/>
                <w:lang w:eastAsia="cs-CZ"/>
              </w:rPr>
              <w:t>4</w:t>
            </w:r>
          </w:p>
        </w:tc>
      </w:tr>
      <w:tr w:rsidR="009F2358" w:rsidRPr="009F2358" w:rsidTr="00952ADB">
        <w:trPr>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9F2358" w:rsidRPr="009F2358" w:rsidRDefault="009F2358" w:rsidP="003E4A5D">
            <w:pPr>
              <w:widowControl w:val="0"/>
              <w:spacing w:before="0" w:after="0"/>
              <w:jc w:val="left"/>
              <w:rPr>
                <w:rFonts w:ascii="Calibri" w:eastAsia="Times New Roman" w:hAnsi="Calibri" w:cs="Calibri"/>
                <w:b w:val="0"/>
                <w:sz w:val="20"/>
                <w:szCs w:val="20"/>
                <w:lang w:eastAsia="cs-CZ"/>
              </w:rPr>
            </w:pPr>
            <w:r w:rsidRPr="009F2358">
              <w:rPr>
                <w:rFonts w:ascii="Calibri" w:eastAsia="Times New Roman" w:hAnsi="Calibri" w:cs="Calibri"/>
                <w:b w:val="0"/>
                <w:sz w:val="20"/>
                <w:szCs w:val="20"/>
                <w:lang w:eastAsia="cs-CZ"/>
              </w:rPr>
              <w:t>Celkový součet</w:t>
            </w:r>
          </w:p>
        </w:tc>
        <w:tc>
          <w:tcPr>
            <w:tcW w:w="1560" w:type="dxa"/>
            <w:noWrap/>
            <w:vAlign w:val="center"/>
            <w:hideMark/>
          </w:tcPr>
          <w:p w:rsidR="009F2358" w:rsidRPr="009F2358" w:rsidRDefault="009F235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9F2358">
              <w:rPr>
                <w:rFonts w:ascii="Calibri" w:eastAsia="Times New Roman" w:hAnsi="Calibri" w:cs="Calibri"/>
                <w:bCs/>
                <w:sz w:val="20"/>
                <w:szCs w:val="20"/>
                <w:lang w:eastAsia="cs-CZ"/>
              </w:rPr>
              <w:t>81</w:t>
            </w:r>
          </w:p>
        </w:tc>
        <w:tc>
          <w:tcPr>
            <w:tcW w:w="2126" w:type="dxa"/>
            <w:noWrap/>
            <w:vAlign w:val="center"/>
            <w:hideMark/>
          </w:tcPr>
          <w:p w:rsidR="009F2358" w:rsidRPr="009F2358" w:rsidRDefault="009F235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9F2358">
              <w:rPr>
                <w:rFonts w:ascii="Calibri" w:eastAsia="Times New Roman" w:hAnsi="Calibri" w:cs="Calibri"/>
                <w:bCs/>
                <w:sz w:val="20"/>
                <w:szCs w:val="20"/>
                <w:lang w:eastAsia="cs-CZ"/>
              </w:rPr>
              <w:t>51,8</w:t>
            </w:r>
          </w:p>
        </w:tc>
        <w:tc>
          <w:tcPr>
            <w:tcW w:w="850" w:type="dxa"/>
            <w:noWrap/>
            <w:vAlign w:val="center"/>
            <w:hideMark/>
          </w:tcPr>
          <w:p w:rsidR="009F2358" w:rsidRPr="009F2358" w:rsidRDefault="009F2358"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9F2358">
              <w:rPr>
                <w:rFonts w:ascii="Calibri" w:eastAsia="Times New Roman" w:hAnsi="Calibri" w:cs="Calibri"/>
                <w:bCs/>
                <w:sz w:val="20"/>
                <w:szCs w:val="20"/>
                <w:lang w:eastAsia="cs-CZ"/>
              </w:rPr>
              <w:t>21</w:t>
            </w:r>
          </w:p>
        </w:tc>
      </w:tr>
    </w:tbl>
    <w:p w:rsidR="0011797D" w:rsidRDefault="0011797D" w:rsidP="003E4A5D">
      <w:pPr>
        <w:pStyle w:val="Citt"/>
      </w:pPr>
      <w:r>
        <w:t>Zdroj: ÚÚR</w:t>
      </w:r>
    </w:p>
    <w:p w:rsidR="0011797D" w:rsidRDefault="0011797D" w:rsidP="003E4A5D">
      <w:pPr>
        <w:pStyle w:val="Titulek"/>
      </w:pPr>
      <w:r>
        <w:t xml:space="preserve">Tabulka </w:t>
      </w:r>
      <w:r w:rsidR="00AB65E9">
        <w:rPr>
          <w:noProof/>
        </w:rPr>
        <w:fldChar w:fldCharType="begin"/>
      </w:r>
      <w:r w:rsidR="004D7258">
        <w:rPr>
          <w:noProof/>
        </w:rPr>
        <w:instrText xml:space="preserve"> SEQ Tabulka \* ARABIC </w:instrText>
      </w:r>
      <w:r w:rsidR="00AB65E9">
        <w:rPr>
          <w:noProof/>
        </w:rPr>
        <w:fldChar w:fldCharType="separate"/>
      </w:r>
      <w:r w:rsidR="00263A1B">
        <w:rPr>
          <w:noProof/>
        </w:rPr>
        <w:t>14</w:t>
      </w:r>
      <w:r w:rsidR="00AB65E9">
        <w:rPr>
          <w:noProof/>
        </w:rPr>
        <w:fldChar w:fldCharType="end"/>
      </w:r>
      <w:r>
        <w:t xml:space="preserve">: Druhoinstanční SSÚ </w:t>
      </w:r>
      <w:r w:rsidR="00022484">
        <w:t>–</w:t>
      </w:r>
      <w:r>
        <w:t xml:space="preserve"> V</w:t>
      </w:r>
      <w:r w:rsidR="00022484">
        <w:t xml:space="preserve"> </w:t>
      </w:r>
    </w:p>
    <w:tbl>
      <w:tblPr>
        <w:tblStyle w:val="Svtlstnovn1"/>
        <w:tblW w:w="9106" w:type="dxa"/>
        <w:tblInd w:w="108" w:type="dxa"/>
        <w:tblLayout w:type="fixed"/>
        <w:tblLook w:val="04A0" w:firstRow="1" w:lastRow="0" w:firstColumn="1" w:lastColumn="0" w:noHBand="0" w:noVBand="1"/>
      </w:tblPr>
      <w:tblGrid>
        <w:gridCol w:w="4536"/>
        <w:gridCol w:w="1560"/>
        <w:gridCol w:w="2126"/>
        <w:gridCol w:w="884"/>
      </w:tblGrid>
      <w:tr w:rsidR="008F2F50" w:rsidRPr="000E37B5" w:rsidTr="00952A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8F2F50" w:rsidRPr="000E37B5" w:rsidRDefault="008F2F50" w:rsidP="003E4A5D">
            <w:pPr>
              <w:widowControl w:val="0"/>
              <w:spacing w:before="0" w:after="0"/>
              <w:jc w:val="left"/>
              <w:rPr>
                <w:rFonts w:ascii="Calibri" w:eastAsia="Times New Roman" w:hAnsi="Calibri" w:cs="Calibri"/>
                <w:b w:val="0"/>
                <w:sz w:val="20"/>
                <w:szCs w:val="20"/>
                <w:lang w:eastAsia="cs-CZ"/>
              </w:rPr>
            </w:pPr>
            <w:r w:rsidRPr="000E37B5">
              <w:rPr>
                <w:rFonts w:ascii="Calibri" w:eastAsia="Times New Roman" w:hAnsi="Calibri" w:cs="Calibri"/>
                <w:b w:val="0"/>
                <w:sz w:val="20"/>
                <w:szCs w:val="20"/>
                <w:lang w:eastAsia="cs-CZ"/>
              </w:rPr>
              <w:t>Popisky řádků</w:t>
            </w:r>
          </w:p>
        </w:tc>
        <w:tc>
          <w:tcPr>
            <w:tcW w:w="1560" w:type="dxa"/>
            <w:noWrap/>
            <w:vAlign w:val="center"/>
            <w:hideMark/>
          </w:tcPr>
          <w:p w:rsidR="008F2F50" w:rsidRPr="000E37B5" w:rsidRDefault="008F2F50" w:rsidP="003E4A5D">
            <w:pPr>
              <w:widowControl w:val="0"/>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Počet</w:t>
            </w:r>
            <w:r w:rsidRPr="000E37B5">
              <w:rPr>
                <w:rFonts w:ascii="Calibri" w:eastAsia="Times New Roman" w:hAnsi="Calibri" w:cs="Calibri"/>
                <w:b w:val="0"/>
                <w:sz w:val="20"/>
                <w:szCs w:val="20"/>
                <w:lang w:eastAsia="cs-CZ"/>
              </w:rPr>
              <w:t xml:space="preserve"> úředních osob</w:t>
            </w:r>
          </w:p>
        </w:tc>
        <w:tc>
          <w:tcPr>
            <w:tcW w:w="2126" w:type="dxa"/>
            <w:noWrap/>
            <w:vAlign w:val="center"/>
            <w:hideMark/>
          </w:tcPr>
          <w:p w:rsidR="008F2F50" w:rsidRPr="007E301E" w:rsidRDefault="008F2F50" w:rsidP="003E4A5D">
            <w:pPr>
              <w:widowControl w:val="0"/>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highlight w:val="yellow"/>
                <w:lang w:eastAsia="cs-CZ"/>
              </w:rPr>
            </w:pPr>
            <w:r>
              <w:rPr>
                <w:rFonts w:ascii="Calibri" w:eastAsia="Times New Roman" w:hAnsi="Calibri" w:cs="Calibri"/>
                <w:b w:val="0"/>
                <w:sz w:val="20"/>
                <w:szCs w:val="20"/>
                <w:lang w:eastAsia="cs-CZ"/>
              </w:rPr>
              <w:t>Počet</w:t>
            </w:r>
            <w:r w:rsidRPr="00D94F6C">
              <w:rPr>
                <w:rFonts w:ascii="Calibri" w:eastAsia="Times New Roman" w:hAnsi="Calibri" w:cs="Calibri"/>
                <w:b w:val="0"/>
                <w:sz w:val="20"/>
                <w:szCs w:val="20"/>
                <w:lang w:eastAsia="cs-CZ"/>
              </w:rPr>
              <w:t xml:space="preserve"> pracovních úvazků úředních osob</w:t>
            </w:r>
          </w:p>
        </w:tc>
        <w:tc>
          <w:tcPr>
            <w:tcW w:w="884" w:type="dxa"/>
            <w:noWrap/>
            <w:vAlign w:val="center"/>
            <w:hideMark/>
          </w:tcPr>
          <w:p w:rsidR="008F2F50" w:rsidRPr="007E301E" w:rsidRDefault="008F2F50" w:rsidP="003E4A5D">
            <w:pPr>
              <w:widowControl w:val="0"/>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highlight w:val="yellow"/>
                <w:lang w:eastAsia="cs-CZ"/>
              </w:rPr>
            </w:pPr>
            <w:r w:rsidRPr="00D94F6C">
              <w:rPr>
                <w:rFonts w:ascii="Calibri" w:eastAsia="Times New Roman" w:hAnsi="Calibri" w:cs="Calibri"/>
                <w:b w:val="0"/>
                <w:sz w:val="20"/>
                <w:szCs w:val="20"/>
                <w:lang w:eastAsia="cs-CZ"/>
              </w:rPr>
              <w:t xml:space="preserve">Počet </w:t>
            </w:r>
            <w:r>
              <w:rPr>
                <w:rFonts w:ascii="Calibri" w:eastAsia="Times New Roman" w:hAnsi="Calibri" w:cs="Calibri"/>
                <w:b w:val="0"/>
                <w:sz w:val="20"/>
                <w:szCs w:val="20"/>
                <w:lang w:eastAsia="cs-CZ"/>
              </w:rPr>
              <w:t>úřadů</w:t>
            </w:r>
          </w:p>
        </w:tc>
      </w:tr>
      <w:tr w:rsidR="000E37B5" w:rsidRPr="000E37B5"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E37B5" w:rsidRPr="000E37B5" w:rsidRDefault="000E37B5" w:rsidP="003E4A5D">
            <w:pPr>
              <w:widowControl w:val="0"/>
              <w:spacing w:before="0" w:after="0"/>
              <w:jc w:val="left"/>
              <w:rPr>
                <w:rFonts w:ascii="Calibri" w:eastAsia="Times New Roman" w:hAnsi="Calibri" w:cs="Calibri"/>
                <w:b w:val="0"/>
                <w:sz w:val="20"/>
                <w:szCs w:val="20"/>
                <w:lang w:eastAsia="cs-CZ"/>
              </w:rPr>
            </w:pPr>
            <w:r w:rsidRPr="000E37B5">
              <w:rPr>
                <w:rFonts w:ascii="Calibri" w:eastAsia="Times New Roman" w:hAnsi="Calibri" w:cs="Calibri"/>
                <w:b w:val="0"/>
                <w:sz w:val="20"/>
                <w:szCs w:val="20"/>
                <w:lang w:eastAsia="cs-CZ"/>
              </w:rPr>
              <w:t>ČR</w:t>
            </w:r>
          </w:p>
        </w:tc>
        <w:tc>
          <w:tcPr>
            <w:tcW w:w="1560" w:type="dxa"/>
            <w:noWrap/>
            <w:vAlign w:val="center"/>
            <w:hideMark/>
          </w:tcPr>
          <w:p w:rsidR="000E37B5" w:rsidRPr="000E37B5" w:rsidRDefault="000E37B5"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10</w:t>
            </w:r>
          </w:p>
        </w:tc>
        <w:tc>
          <w:tcPr>
            <w:tcW w:w="2126" w:type="dxa"/>
            <w:noWrap/>
            <w:vAlign w:val="center"/>
            <w:hideMark/>
          </w:tcPr>
          <w:p w:rsidR="000E37B5" w:rsidRPr="000E37B5" w:rsidRDefault="000E37B5"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10</w:t>
            </w:r>
          </w:p>
        </w:tc>
        <w:tc>
          <w:tcPr>
            <w:tcW w:w="884" w:type="dxa"/>
            <w:noWrap/>
            <w:vAlign w:val="center"/>
            <w:hideMark/>
          </w:tcPr>
          <w:p w:rsidR="000E37B5" w:rsidRPr="000E37B5" w:rsidRDefault="000E37B5"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1</w:t>
            </w:r>
          </w:p>
        </w:tc>
      </w:tr>
      <w:tr w:rsidR="000E37B5" w:rsidRPr="000E37B5" w:rsidTr="00952ADB">
        <w:trPr>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E37B5" w:rsidRPr="000E37B5" w:rsidRDefault="00952ADB" w:rsidP="003E4A5D">
            <w:pPr>
              <w:widowControl w:val="0"/>
              <w:spacing w:before="0" w:after="0"/>
              <w:jc w:val="left"/>
              <w:rPr>
                <w:rFonts w:ascii="Calibri" w:eastAsia="Times New Roman" w:hAnsi="Calibri" w:cs="Calibri"/>
                <w:b w:val="0"/>
                <w:sz w:val="20"/>
                <w:szCs w:val="20"/>
                <w:lang w:eastAsia="cs-CZ"/>
              </w:rPr>
            </w:pPr>
            <w:r>
              <w:rPr>
                <w:rFonts w:ascii="Calibri" w:eastAsia="Times New Roman" w:hAnsi="Calibri" w:cs="Calibri"/>
                <w:b w:val="0"/>
                <w:sz w:val="20"/>
                <w:szCs w:val="20"/>
                <w:lang w:eastAsia="cs-CZ"/>
              </w:rPr>
              <w:t>krajský úřad</w:t>
            </w:r>
          </w:p>
        </w:tc>
        <w:tc>
          <w:tcPr>
            <w:tcW w:w="1560" w:type="dxa"/>
            <w:noWrap/>
            <w:vAlign w:val="center"/>
            <w:hideMark/>
          </w:tcPr>
          <w:p w:rsidR="000E37B5" w:rsidRPr="000E37B5" w:rsidRDefault="000E37B5"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80</w:t>
            </w:r>
          </w:p>
        </w:tc>
        <w:tc>
          <w:tcPr>
            <w:tcW w:w="2126" w:type="dxa"/>
            <w:noWrap/>
            <w:vAlign w:val="center"/>
            <w:hideMark/>
          </w:tcPr>
          <w:p w:rsidR="000E37B5" w:rsidRPr="000E37B5" w:rsidRDefault="000E37B5"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67,2</w:t>
            </w:r>
          </w:p>
        </w:tc>
        <w:tc>
          <w:tcPr>
            <w:tcW w:w="884" w:type="dxa"/>
            <w:noWrap/>
            <w:vAlign w:val="center"/>
            <w:hideMark/>
          </w:tcPr>
          <w:p w:rsidR="000E37B5" w:rsidRPr="000E37B5" w:rsidRDefault="000E37B5"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13</w:t>
            </w:r>
          </w:p>
        </w:tc>
      </w:tr>
      <w:tr w:rsidR="000E37B5" w:rsidRPr="000E37B5" w:rsidTr="00952A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E37B5" w:rsidRPr="000E37B5" w:rsidRDefault="0039617D" w:rsidP="00952ADB">
            <w:pPr>
              <w:widowControl w:val="0"/>
              <w:spacing w:before="0" w:after="0"/>
              <w:jc w:val="left"/>
              <w:rPr>
                <w:rFonts w:ascii="Calibri" w:eastAsia="Times New Roman" w:hAnsi="Calibri" w:cs="Calibri"/>
                <w:b w:val="0"/>
                <w:sz w:val="20"/>
                <w:szCs w:val="20"/>
                <w:lang w:eastAsia="cs-CZ"/>
              </w:rPr>
            </w:pPr>
            <w:r w:rsidRPr="000E37B5">
              <w:rPr>
                <w:rFonts w:ascii="Calibri" w:eastAsia="Times New Roman" w:hAnsi="Calibri" w:cs="Calibri"/>
                <w:b w:val="0"/>
                <w:sz w:val="20"/>
                <w:szCs w:val="20"/>
                <w:lang w:eastAsia="cs-CZ"/>
              </w:rPr>
              <w:t>magistrát územně člen</w:t>
            </w:r>
            <w:r w:rsidR="00952ADB">
              <w:rPr>
                <w:rFonts w:ascii="Calibri" w:eastAsia="Times New Roman" w:hAnsi="Calibri" w:cs="Calibri"/>
                <w:b w:val="0"/>
                <w:sz w:val="20"/>
                <w:szCs w:val="20"/>
                <w:lang w:eastAsia="cs-CZ"/>
              </w:rPr>
              <w:t>ěného</w:t>
            </w:r>
            <w:r w:rsidRPr="000E37B5">
              <w:rPr>
                <w:rFonts w:ascii="Calibri" w:eastAsia="Times New Roman" w:hAnsi="Calibri" w:cs="Calibri"/>
                <w:b w:val="0"/>
                <w:sz w:val="20"/>
                <w:szCs w:val="20"/>
                <w:lang w:eastAsia="cs-CZ"/>
              </w:rPr>
              <w:t xml:space="preserve"> statutárního města</w:t>
            </w:r>
          </w:p>
        </w:tc>
        <w:tc>
          <w:tcPr>
            <w:tcW w:w="1560" w:type="dxa"/>
            <w:noWrap/>
            <w:vAlign w:val="center"/>
            <w:hideMark/>
          </w:tcPr>
          <w:p w:rsidR="000E37B5" w:rsidRPr="000E37B5" w:rsidRDefault="000E37B5"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24</w:t>
            </w:r>
          </w:p>
        </w:tc>
        <w:tc>
          <w:tcPr>
            <w:tcW w:w="2126" w:type="dxa"/>
            <w:noWrap/>
            <w:vAlign w:val="center"/>
            <w:hideMark/>
          </w:tcPr>
          <w:p w:rsidR="000E37B5" w:rsidRPr="000E37B5" w:rsidRDefault="000E37B5"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23,6</w:t>
            </w:r>
          </w:p>
        </w:tc>
        <w:tc>
          <w:tcPr>
            <w:tcW w:w="884" w:type="dxa"/>
            <w:noWrap/>
            <w:vAlign w:val="center"/>
            <w:hideMark/>
          </w:tcPr>
          <w:p w:rsidR="000E37B5" w:rsidRPr="000E37B5" w:rsidRDefault="000E37B5"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0E37B5">
              <w:rPr>
                <w:rFonts w:ascii="Calibri" w:eastAsia="Times New Roman" w:hAnsi="Calibri" w:cs="Calibri"/>
                <w:sz w:val="20"/>
                <w:szCs w:val="20"/>
                <w:lang w:eastAsia="cs-CZ"/>
              </w:rPr>
              <w:t>3</w:t>
            </w:r>
          </w:p>
        </w:tc>
      </w:tr>
      <w:tr w:rsidR="000E37B5" w:rsidRPr="000E37B5" w:rsidTr="00952ADB">
        <w:trPr>
          <w:trHeight w:val="288"/>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E37B5" w:rsidRPr="000E37B5" w:rsidRDefault="000E37B5" w:rsidP="003E4A5D">
            <w:pPr>
              <w:widowControl w:val="0"/>
              <w:spacing w:before="0" w:after="0"/>
              <w:jc w:val="left"/>
              <w:rPr>
                <w:rFonts w:ascii="Calibri" w:eastAsia="Times New Roman" w:hAnsi="Calibri" w:cs="Calibri"/>
                <w:b w:val="0"/>
                <w:sz w:val="20"/>
                <w:szCs w:val="20"/>
                <w:lang w:eastAsia="cs-CZ"/>
              </w:rPr>
            </w:pPr>
            <w:r w:rsidRPr="000E37B5">
              <w:rPr>
                <w:rFonts w:ascii="Calibri" w:eastAsia="Times New Roman" w:hAnsi="Calibri" w:cs="Calibri"/>
                <w:b w:val="0"/>
                <w:sz w:val="20"/>
                <w:szCs w:val="20"/>
                <w:lang w:eastAsia="cs-CZ"/>
              </w:rPr>
              <w:t>Celkový součet</w:t>
            </w:r>
          </w:p>
        </w:tc>
        <w:tc>
          <w:tcPr>
            <w:tcW w:w="1560" w:type="dxa"/>
            <w:noWrap/>
            <w:vAlign w:val="center"/>
            <w:hideMark/>
          </w:tcPr>
          <w:p w:rsidR="000E37B5" w:rsidRPr="000E37B5" w:rsidRDefault="000E37B5"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0E37B5">
              <w:rPr>
                <w:rFonts w:ascii="Calibri" w:eastAsia="Times New Roman" w:hAnsi="Calibri" w:cs="Calibri"/>
                <w:bCs/>
                <w:sz w:val="20"/>
                <w:szCs w:val="20"/>
                <w:lang w:eastAsia="cs-CZ"/>
              </w:rPr>
              <w:t>114</w:t>
            </w:r>
          </w:p>
        </w:tc>
        <w:tc>
          <w:tcPr>
            <w:tcW w:w="2126" w:type="dxa"/>
            <w:noWrap/>
            <w:vAlign w:val="center"/>
            <w:hideMark/>
          </w:tcPr>
          <w:p w:rsidR="000E37B5" w:rsidRPr="000E37B5" w:rsidRDefault="000E37B5"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0E37B5">
              <w:rPr>
                <w:rFonts w:ascii="Calibri" w:eastAsia="Times New Roman" w:hAnsi="Calibri" w:cs="Calibri"/>
                <w:bCs/>
                <w:sz w:val="20"/>
                <w:szCs w:val="20"/>
                <w:lang w:eastAsia="cs-CZ"/>
              </w:rPr>
              <w:t>100,8</w:t>
            </w:r>
          </w:p>
        </w:tc>
        <w:tc>
          <w:tcPr>
            <w:tcW w:w="884" w:type="dxa"/>
            <w:noWrap/>
            <w:vAlign w:val="center"/>
            <w:hideMark/>
          </w:tcPr>
          <w:p w:rsidR="000E37B5" w:rsidRPr="000E37B5" w:rsidRDefault="000E37B5"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lang w:eastAsia="cs-CZ"/>
              </w:rPr>
            </w:pPr>
            <w:r w:rsidRPr="000E37B5">
              <w:rPr>
                <w:rFonts w:ascii="Calibri" w:eastAsia="Times New Roman" w:hAnsi="Calibri" w:cs="Calibri"/>
                <w:bCs/>
                <w:sz w:val="20"/>
                <w:szCs w:val="20"/>
                <w:lang w:eastAsia="cs-CZ"/>
              </w:rPr>
              <w:t>17</w:t>
            </w:r>
          </w:p>
        </w:tc>
      </w:tr>
    </w:tbl>
    <w:p w:rsidR="0011797D" w:rsidRDefault="0011797D" w:rsidP="003E4A5D">
      <w:pPr>
        <w:pStyle w:val="Citt"/>
      </w:pPr>
      <w:r>
        <w:t>Zdroj: ÚÚR</w:t>
      </w:r>
    </w:p>
    <w:p w:rsidR="006059A5" w:rsidRPr="0076394C" w:rsidRDefault="00041B6B" w:rsidP="0076394C">
      <w:pPr>
        <w:pStyle w:val="Nadpis3a"/>
        <w:numPr>
          <w:ilvl w:val="0"/>
          <w:numId w:val="0"/>
        </w:numPr>
        <w:ind w:left="720" w:hanging="720"/>
        <w:rPr>
          <w:i/>
        </w:rPr>
      </w:pPr>
      <w:bookmarkStart w:id="50" w:name="_Toc536553916"/>
      <w:r w:rsidRPr="0076394C">
        <w:rPr>
          <w:i/>
        </w:rPr>
        <w:lastRenderedPageBreak/>
        <w:t>A.1.</w:t>
      </w:r>
      <w:r w:rsidR="00F75BB5">
        <w:rPr>
          <w:i/>
        </w:rPr>
        <w:t>2</w:t>
      </w:r>
      <w:r w:rsidRPr="0076394C">
        <w:rPr>
          <w:i/>
        </w:rPr>
        <w:t xml:space="preserve"> </w:t>
      </w:r>
      <w:r w:rsidR="00F250C0" w:rsidRPr="0076394C">
        <w:rPr>
          <w:i/>
        </w:rPr>
        <w:t>Definice problém</w:t>
      </w:r>
      <w:r w:rsidRPr="0076394C">
        <w:rPr>
          <w:i/>
        </w:rPr>
        <w:t>ů spojených se současnou</w:t>
      </w:r>
      <w:r w:rsidR="00E54E26" w:rsidRPr="0076394C">
        <w:rPr>
          <w:i/>
        </w:rPr>
        <w:t xml:space="preserve"> </w:t>
      </w:r>
      <w:r w:rsidR="008F2F50" w:rsidRPr="0076394C">
        <w:rPr>
          <w:i/>
        </w:rPr>
        <w:t>institucionální struktur</w:t>
      </w:r>
      <w:r w:rsidRPr="0076394C">
        <w:rPr>
          <w:i/>
        </w:rPr>
        <w:t>ou</w:t>
      </w:r>
      <w:bookmarkEnd w:id="50"/>
    </w:p>
    <w:p w:rsidR="00041B6B" w:rsidRPr="00041B6B" w:rsidRDefault="00041B6B" w:rsidP="003E4A5D">
      <w:pPr>
        <w:pStyle w:val="Text-Normaln"/>
        <w:widowControl w:val="0"/>
      </w:pPr>
      <w:r w:rsidRPr="003B6334">
        <w:t>Následující odstavce shrnují problém</w:t>
      </w:r>
      <w:r w:rsidR="00044B50">
        <w:t>y i</w:t>
      </w:r>
      <w:r w:rsidRPr="003B6334">
        <w:t>nstitucionální struktury. Jde zejména o</w:t>
      </w:r>
      <w:r w:rsidR="00F8593A" w:rsidRPr="003B6334">
        <w:t>:</w:t>
      </w:r>
    </w:p>
    <w:p w:rsidR="000E14B3" w:rsidRDefault="008F2F50" w:rsidP="009D4B5F">
      <w:pPr>
        <w:pStyle w:val="Text-Normaln"/>
        <w:widowControl w:val="0"/>
        <w:numPr>
          <w:ilvl w:val="0"/>
          <w:numId w:val="35"/>
        </w:numPr>
      </w:pPr>
      <w:r>
        <w:t>r</w:t>
      </w:r>
      <w:r w:rsidR="00816E06">
        <w:t>oztříštěnost struktury úřadů</w:t>
      </w:r>
      <w:r w:rsidR="00940E9F">
        <w:t xml:space="preserve"> (</w:t>
      </w:r>
      <w:r w:rsidR="00A43EAA">
        <w:t xml:space="preserve">stanoviska jsou zasílána z několika/mnoha různých kanceláří, příp. míst – hůře </w:t>
      </w:r>
      <w:proofErr w:type="spellStart"/>
      <w:r w:rsidR="00A43EAA">
        <w:t>zkoordinovatelné</w:t>
      </w:r>
      <w:proofErr w:type="spellEnd"/>
      <w:r w:rsidR="00A43EAA">
        <w:t>)</w:t>
      </w:r>
      <w:r w:rsidR="00816E06">
        <w:t xml:space="preserve">, </w:t>
      </w:r>
    </w:p>
    <w:p w:rsidR="000E14B3" w:rsidRDefault="007D395A" w:rsidP="009D4B5F">
      <w:pPr>
        <w:pStyle w:val="Text-Normaln"/>
        <w:widowControl w:val="0"/>
        <w:numPr>
          <w:ilvl w:val="0"/>
          <w:numId w:val="35"/>
        </w:numPr>
      </w:pPr>
      <w:r>
        <w:t xml:space="preserve">kompetenční </w:t>
      </w:r>
      <w:r w:rsidR="000E14B3">
        <w:t>roztříštěnost, kvůli kter</w:t>
      </w:r>
      <w:r w:rsidR="008F2F50">
        <w:t>é</w:t>
      </w:r>
      <w:r w:rsidR="000E14B3">
        <w:t xml:space="preserve"> není pro stavebníky a i</w:t>
      </w:r>
      <w:r w:rsidR="005344C5">
        <w:t>nvestory jednoduché se vyznat v </w:t>
      </w:r>
      <w:r w:rsidR="000E14B3">
        <w:t xml:space="preserve">kategoriích stavebních úřadů, jejich organizaci a zejména </w:t>
      </w:r>
      <w:r w:rsidR="005344C5">
        <w:t>v rozsahu jejich kompetencí a s </w:t>
      </w:r>
      <w:r w:rsidR="000E14B3">
        <w:t xml:space="preserve">tím souvisejících sporech o věcnou příslušnost k </w:t>
      </w:r>
      <w:r w:rsidR="000E14B3" w:rsidRPr="00E54E26">
        <w:t>vedení řízení</w:t>
      </w:r>
      <w:r w:rsidR="008F2F50">
        <w:t>,</w:t>
      </w:r>
    </w:p>
    <w:p w:rsidR="00887726" w:rsidRDefault="00887726" w:rsidP="009D4B5F">
      <w:pPr>
        <w:pStyle w:val="Text-Normaln"/>
        <w:widowControl w:val="0"/>
        <w:numPr>
          <w:ilvl w:val="0"/>
          <w:numId w:val="35"/>
        </w:numPr>
      </w:pPr>
      <w:r>
        <w:t xml:space="preserve">nejednotnost </w:t>
      </w:r>
      <w:r w:rsidR="00940E9F">
        <w:t xml:space="preserve">řízení a </w:t>
      </w:r>
      <w:r>
        <w:t xml:space="preserve">metodické podpory </w:t>
      </w:r>
      <w:r w:rsidR="008F2F50">
        <w:t xml:space="preserve">úřadů </w:t>
      </w:r>
      <w:r>
        <w:t>ze strany nadřízených orgánů</w:t>
      </w:r>
      <w:r w:rsidR="00D220D2">
        <w:t>.</w:t>
      </w:r>
    </w:p>
    <w:p w:rsidR="00682D95" w:rsidRDefault="006F5910" w:rsidP="000E28B7">
      <w:pPr>
        <w:pStyle w:val="Text-Normaln"/>
        <w:widowControl w:val="0"/>
      </w:pPr>
      <w:r w:rsidRPr="00E54E26">
        <w:t xml:space="preserve">Ústřední úroveň stavební správy </w:t>
      </w:r>
      <w:r w:rsidR="000E28B7">
        <w:t xml:space="preserve">(obecné, speciální a jiné) </w:t>
      </w:r>
      <w:r w:rsidRPr="00E54E26">
        <w:t>není centralizovaná a jednotná</w:t>
      </w:r>
      <w:r w:rsidR="00940F8F">
        <w:t>.</w:t>
      </w:r>
      <w:r w:rsidR="00682D95">
        <w:t xml:space="preserve"> </w:t>
      </w:r>
      <w:r w:rsidR="00940F8F">
        <w:t xml:space="preserve">Tato úroveň nekoncentruje </w:t>
      </w:r>
      <w:r w:rsidRPr="00E54E26">
        <w:t>know-how, správní praxi</w:t>
      </w:r>
      <w:r w:rsidR="00940F8F">
        <w:t>,</w:t>
      </w:r>
      <w:r w:rsidRPr="00E54E26">
        <w:t xml:space="preserve"> správní judikaturu a </w:t>
      </w:r>
      <w:r w:rsidR="00A31AEE">
        <w:t>jednotně neřídí</w:t>
      </w:r>
      <w:r w:rsidRPr="00E54E26">
        <w:t xml:space="preserve"> podřízené složky. </w:t>
      </w:r>
      <w:r w:rsidR="00682D95">
        <w:t>Celkem</w:t>
      </w:r>
      <w:r w:rsidR="00EC2B43" w:rsidRPr="00EC2B43">
        <w:t xml:space="preserve"> existuje devět, resp. dvanáct</w:t>
      </w:r>
      <w:r w:rsidR="00682D95">
        <w:t>,</w:t>
      </w:r>
      <w:r w:rsidR="00EC2B43" w:rsidRPr="00EC2B43">
        <w:t xml:space="preserve"> různých režimů (Úřad pro civilní letectví, Drážní úřad a Český báňský úřad jsou též samostatnými ústředními orgány státní správy).</w:t>
      </w:r>
      <w:r w:rsidR="00682D95">
        <w:t xml:space="preserve"> Z tohoto důvodu je vykazována </w:t>
      </w:r>
      <w:r w:rsidR="00A43EAA" w:rsidRPr="00E54E26">
        <w:t xml:space="preserve">relativně </w:t>
      </w:r>
      <w:r w:rsidR="003F6D7C" w:rsidRPr="00E54E26">
        <w:t xml:space="preserve">vysoká míra </w:t>
      </w:r>
      <w:r w:rsidR="00A43EAA" w:rsidRPr="00E54E26">
        <w:t xml:space="preserve">formálních </w:t>
      </w:r>
      <w:r w:rsidR="00682D95">
        <w:t xml:space="preserve">a </w:t>
      </w:r>
      <w:r w:rsidR="00A43EAA" w:rsidRPr="00E54E26">
        <w:t>(méně častěji) věcných chyb</w:t>
      </w:r>
      <w:r w:rsidR="003F6D7C" w:rsidRPr="00E54E26">
        <w:t xml:space="preserve"> </w:t>
      </w:r>
      <w:r w:rsidR="00A31AEE" w:rsidRPr="00E54E26">
        <w:t>v</w:t>
      </w:r>
      <w:r w:rsidR="00A31AEE">
        <w:t> </w:t>
      </w:r>
      <w:r w:rsidR="003F6D7C" w:rsidRPr="00E54E26">
        <w:t>rozhodování úřadů (méně než 50 % stavebních povolení napadených odvoláním je potvrzeno, přič</w:t>
      </w:r>
      <w:r w:rsidR="005344C5">
        <w:t>emž nejkritičtější je situace u </w:t>
      </w:r>
      <w:r w:rsidR="003F6D7C" w:rsidRPr="00E54E26">
        <w:t xml:space="preserve">nejmenších stavebních úřadů na obcích </w:t>
      </w:r>
      <w:r w:rsidR="00A31AEE">
        <w:t>I</w:t>
      </w:r>
      <w:r w:rsidR="003F6D7C" w:rsidRPr="00E54E26">
        <w:t>. typu</w:t>
      </w:r>
      <w:r w:rsidR="00682D95">
        <w:t>).</w:t>
      </w:r>
      <w:r w:rsidR="003F6D7C" w:rsidRPr="00E54E26">
        <w:t xml:space="preserve"> </w:t>
      </w:r>
    </w:p>
    <w:p w:rsidR="00682D95" w:rsidRDefault="00682D95" w:rsidP="000E28B7">
      <w:pPr>
        <w:pStyle w:val="Text-Normaln"/>
        <w:widowControl w:val="0"/>
        <w:rPr>
          <w:i/>
        </w:rPr>
      </w:pPr>
      <w:r w:rsidRPr="00682D95">
        <w:t>Grafy kvantitativně popisující některé problematické aspekty současného povolovacího procesu jsou uvedeny na předchozích stránkách.</w:t>
      </w:r>
      <w:r>
        <w:rPr>
          <w:i/>
        </w:rPr>
        <w:t xml:space="preserve"> </w:t>
      </w:r>
    </w:p>
    <w:p w:rsidR="00E5020F" w:rsidRPr="00022484" w:rsidRDefault="00E5020F" w:rsidP="000E28B7">
      <w:pPr>
        <w:pStyle w:val="Text-Normaln"/>
        <w:widowControl w:val="0"/>
        <w:rPr>
          <w:i/>
        </w:rPr>
      </w:pPr>
      <w:r>
        <w:rPr>
          <w:i/>
        </w:rPr>
        <w:t>Komentář:</w:t>
      </w:r>
    </w:p>
    <w:p w:rsidR="008C7697" w:rsidRPr="008C7697" w:rsidRDefault="008C7697" w:rsidP="000E28B7">
      <w:pPr>
        <w:pStyle w:val="Text-Normaln"/>
        <w:widowControl w:val="0"/>
        <w:rPr>
          <w:i/>
        </w:rPr>
      </w:pPr>
      <w:r w:rsidRPr="008C7697">
        <w:rPr>
          <w:i/>
        </w:rPr>
        <w:t xml:space="preserve">Z analýzy podnětů za posledních pět let vyplývá, že </w:t>
      </w:r>
      <w:r w:rsidRPr="00FB46CF">
        <w:rPr>
          <w:b/>
          <w:i/>
          <w:u w:val="single"/>
        </w:rPr>
        <w:t>88 % šetření končí zjištěním pochybení na straně stavebního úřadu</w:t>
      </w:r>
      <w:r w:rsidRPr="008C7697">
        <w:rPr>
          <w:i/>
        </w:rPr>
        <w:t>, tj</w:t>
      </w:r>
      <w:r w:rsidRPr="00054780">
        <w:rPr>
          <w:i/>
        </w:rPr>
        <w:t>. pouze 1-</w:t>
      </w:r>
      <w:r w:rsidRPr="00E05DA4">
        <w:rPr>
          <w:i/>
        </w:rPr>
        <w:t>2 šetřené případy z deseti jsou v pořádku a postupu stavebního úřadu nelze nic vytknout. Částečně to lze přičítat složitosti řízení, kdy neexistují „univerzální“ rozhodnutí, každé řízení je specifické a každý ze 717 stavebních úřadů v</w:t>
      </w:r>
      <w:r w:rsidR="00C85BD6" w:rsidRPr="001D3B77">
        <w:rPr>
          <w:i/>
        </w:rPr>
        <w:t> </w:t>
      </w:r>
      <w:r w:rsidR="00C85BD6" w:rsidRPr="00696E9E">
        <w:rPr>
          <w:i/>
        </w:rPr>
        <w:t>ČR</w:t>
      </w:r>
      <w:r w:rsidR="00C85BD6" w:rsidRPr="00533FC0">
        <w:rPr>
          <w:i/>
        </w:rPr>
        <w:t xml:space="preserve"> </w:t>
      </w:r>
      <w:r w:rsidR="005344C5" w:rsidRPr="000E635F">
        <w:rPr>
          <w:i/>
        </w:rPr>
        <w:t>si s ním musí sám poradit v </w:t>
      </w:r>
      <w:r w:rsidRPr="000E635F">
        <w:rPr>
          <w:i/>
        </w:rPr>
        <w:t>intencích právních předpisů. Není bez zajímavosti, že za 16 let existence</w:t>
      </w:r>
      <w:r w:rsidRPr="008C7697">
        <w:rPr>
          <w:i/>
        </w:rPr>
        <w:t xml:space="preserve"> </w:t>
      </w:r>
      <w:r w:rsidR="005344C5">
        <w:rPr>
          <w:i/>
        </w:rPr>
        <w:t xml:space="preserve">ombudsmana v </w:t>
      </w:r>
      <w:r w:rsidR="00C85BD6" w:rsidRPr="00C85BD6">
        <w:rPr>
          <w:i/>
        </w:rPr>
        <w:t>ČR</w:t>
      </w:r>
      <w:r w:rsidR="005344C5">
        <w:rPr>
          <w:i/>
        </w:rPr>
        <w:t xml:space="preserve"> se </w:t>
      </w:r>
      <w:r w:rsidRPr="008C7697">
        <w:rPr>
          <w:i/>
        </w:rPr>
        <w:t xml:space="preserve">najde jen 106 stavebních úřadů, jejichž činnost nebyla zmíněna či zpochybněna v žádném podnětu veřejnému ochránci práv. Znamená to, že </w:t>
      </w:r>
      <w:r w:rsidR="007D395A" w:rsidRPr="00FB46CF">
        <w:rPr>
          <w:b/>
          <w:i/>
          <w:u w:val="single"/>
        </w:rPr>
        <w:t>6</w:t>
      </w:r>
      <w:r w:rsidRPr="00FB46CF">
        <w:rPr>
          <w:b/>
          <w:i/>
          <w:u w:val="single"/>
        </w:rPr>
        <w:t xml:space="preserve"> z každých </w:t>
      </w:r>
      <w:r w:rsidR="007D395A" w:rsidRPr="00FB46CF">
        <w:rPr>
          <w:b/>
          <w:i/>
          <w:u w:val="single"/>
        </w:rPr>
        <w:t>7</w:t>
      </w:r>
      <w:r w:rsidRPr="00FB46CF">
        <w:rPr>
          <w:b/>
          <w:i/>
          <w:u w:val="single"/>
        </w:rPr>
        <w:t xml:space="preserve"> stavebních úřadů v</w:t>
      </w:r>
      <w:r w:rsidR="00C85BD6">
        <w:rPr>
          <w:b/>
          <w:i/>
          <w:u w:val="single"/>
        </w:rPr>
        <w:t> </w:t>
      </w:r>
      <w:r w:rsidR="00C85BD6" w:rsidRPr="00C85BD6">
        <w:rPr>
          <w:b/>
          <w:i/>
          <w:u w:val="single"/>
        </w:rPr>
        <w:t>ČR</w:t>
      </w:r>
      <w:r w:rsidR="00C85BD6">
        <w:rPr>
          <w:b/>
          <w:i/>
          <w:u w:val="single"/>
        </w:rPr>
        <w:t xml:space="preserve"> </w:t>
      </w:r>
      <w:r w:rsidRPr="00FB46CF">
        <w:rPr>
          <w:b/>
          <w:i/>
          <w:u w:val="single"/>
        </w:rPr>
        <w:t>svou činností alespoň jednou vyvolalo potřebu lidí obrátit se na ombudsmana</w:t>
      </w:r>
      <w:r w:rsidRPr="009762A5">
        <w:rPr>
          <w:i/>
        </w:rPr>
        <w:t>.</w:t>
      </w:r>
    </w:p>
    <w:p w:rsidR="008C7697" w:rsidRPr="008C7697" w:rsidRDefault="008C7697" w:rsidP="000E28B7">
      <w:pPr>
        <w:pStyle w:val="Text-Normaln"/>
        <w:widowControl w:val="0"/>
        <w:rPr>
          <w:i/>
        </w:rPr>
      </w:pPr>
      <w:r w:rsidRPr="008C7697">
        <w:rPr>
          <w:i/>
        </w:rPr>
        <w:t>Na druhou stranu je třeba uvést, že prakticky vždy se podaří pochyb</w:t>
      </w:r>
      <w:r w:rsidR="005344C5">
        <w:rPr>
          <w:i/>
        </w:rPr>
        <w:t>ení stavebního úřadu napravit a </w:t>
      </w:r>
      <w:r w:rsidRPr="008C7697">
        <w:rPr>
          <w:i/>
        </w:rPr>
        <w:t xml:space="preserve">přesvědčit ho, aby chybnou praxi změnil. V uplynulých pěti letech jen ve 30 případech stavební úřad trval na svém postupu </w:t>
      </w:r>
      <w:r w:rsidR="00A31AEE" w:rsidRPr="008C7697">
        <w:rPr>
          <w:i/>
        </w:rPr>
        <w:t>a</w:t>
      </w:r>
      <w:r w:rsidR="00A31AEE">
        <w:rPr>
          <w:i/>
        </w:rPr>
        <w:t> </w:t>
      </w:r>
      <w:r w:rsidRPr="008C7697">
        <w:rPr>
          <w:i/>
        </w:rPr>
        <w:t>pochybení nenapravil.</w:t>
      </w:r>
    </w:p>
    <w:p w:rsidR="008C7697" w:rsidRPr="008C7697" w:rsidRDefault="008C7697" w:rsidP="000E28B7">
      <w:pPr>
        <w:pStyle w:val="Text-Normaln"/>
        <w:widowControl w:val="0"/>
        <w:rPr>
          <w:i/>
        </w:rPr>
      </w:pPr>
      <w:r w:rsidRPr="008C7697">
        <w:rPr>
          <w:i/>
        </w:rPr>
        <w:t xml:space="preserve">Nejčastěji zjišťovanými pochybeními stavebních úřadů jsou: </w:t>
      </w:r>
      <w:r w:rsidRPr="00FB46CF">
        <w:rPr>
          <w:b/>
          <w:i/>
          <w:u w:val="single"/>
        </w:rPr>
        <w:t>délka řízení a nedodržování zákonných lhůt</w:t>
      </w:r>
      <w:r w:rsidRPr="00FB46CF">
        <w:rPr>
          <w:b/>
          <w:i/>
        </w:rPr>
        <w:t>,</w:t>
      </w:r>
      <w:r w:rsidRPr="008C7697">
        <w:rPr>
          <w:i/>
        </w:rPr>
        <w:t xml:space="preserve"> neřešení stavební nekázně a černých staveb, tolerován</w:t>
      </w:r>
      <w:r w:rsidR="005344C5">
        <w:rPr>
          <w:i/>
        </w:rPr>
        <w:t>í nepovoleného užívání staveb a </w:t>
      </w:r>
      <w:r w:rsidRPr="008C7697">
        <w:rPr>
          <w:i/>
        </w:rPr>
        <w:t>neprovádění výkonu rozhodnutí.</w:t>
      </w:r>
      <w:r>
        <w:rPr>
          <w:i/>
        </w:rPr>
        <w:t xml:space="preserve"> (</w:t>
      </w:r>
      <w:r w:rsidRPr="008C7697">
        <w:rPr>
          <w:i/>
        </w:rPr>
        <w:t>https://www.ochrance.cz/aktualne/tiskove-zpravy-2016/stavebni-urady-jednaji-dlouho-a-nejsou-dostatecne-akcni</w:t>
      </w:r>
      <w:r>
        <w:rPr>
          <w:i/>
        </w:rPr>
        <w:t>)</w:t>
      </w:r>
    </w:p>
    <w:p w:rsidR="00887726" w:rsidRDefault="003F6D7C" w:rsidP="00054780">
      <w:pPr>
        <w:pStyle w:val="Text-Normaln"/>
        <w:widowControl w:val="0"/>
        <w:numPr>
          <w:ilvl w:val="0"/>
          <w:numId w:val="35"/>
        </w:numPr>
        <w:spacing w:before="0"/>
        <w:ind w:left="357" w:hanging="357"/>
      </w:pPr>
      <w:r>
        <w:t>kombinace výkonu samostatné a přenesené působnosti u konkrétních úředníků a z toho plynoucí</w:t>
      </w:r>
      <w:r w:rsidR="009762A5">
        <w:t>:</w:t>
      </w:r>
    </w:p>
    <w:p w:rsidR="003F6D7C" w:rsidRPr="0006162F" w:rsidRDefault="00A43EAA" w:rsidP="00C873B4">
      <w:pPr>
        <w:pStyle w:val="Odstavecseseznamem"/>
        <w:numPr>
          <w:ilvl w:val="0"/>
          <w:numId w:val="69"/>
        </w:numPr>
        <w:spacing w:before="0"/>
        <w:ind w:left="425" w:hanging="425"/>
        <w:rPr>
          <w:rFonts w:eastAsia="MS Mincho"/>
        </w:rPr>
      </w:pPr>
      <w:r w:rsidRPr="0006162F">
        <w:rPr>
          <w:rFonts w:eastAsia="MS Mincho"/>
        </w:rPr>
        <w:t xml:space="preserve">nižší míra </w:t>
      </w:r>
      <w:r w:rsidR="003F6D7C" w:rsidRPr="0006162F">
        <w:rPr>
          <w:rFonts w:eastAsia="MS Mincho"/>
        </w:rPr>
        <w:t>transparen</w:t>
      </w:r>
      <w:r w:rsidR="003E2935" w:rsidRPr="0006162F">
        <w:rPr>
          <w:rFonts w:eastAsia="MS Mincho"/>
        </w:rPr>
        <w:t>tnosti</w:t>
      </w:r>
      <w:r w:rsidR="003F6D7C" w:rsidRPr="0006162F">
        <w:rPr>
          <w:rFonts w:eastAsia="MS Mincho"/>
        </w:rPr>
        <w:t xml:space="preserve"> ve využívání finančních příspěvků na činnost úřadů,</w:t>
      </w:r>
    </w:p>
    <w:p w:rsidR="006059A5" w:rsidRPr="0006162F" w:rsidRDefault="00816E06" w:rsidP="00C873B4">
      <w:pPr>
        <w:pStyle w:val="Odstavecseseznamem"/>
        <w:numPr>
          <w:ilvl w:val="0"/>
          <w:numId w:val="69"/>
        </w:numPr>
        <w:spacing w:before="0"/>
        <w:ind w:left="425" w:hanging="425"/>
        <w:rPr>
          <w:rFonts w:eastAsia="MS Mincho"/>
        </w:rPr>
      </w:pPr>
      <w:r w:rsidRPr="0006162F">
        <w:rPr>
          <w:rFonts w:eastAsia="MS Mincho"/>
        </w:rPr>
        <w:t>k</w:t>
      </w:r>
      <w:r w:rsidR="006059A5" w:rsidRPr="0006162F">
        <w:rPr>
          <w:rFonts w:eastAsia="MS Mincho"/>
        </w:rPr>
        <w:t>onflikt zájmů, do kterého se dostávají úředníci vykonávající v přenesené působnosti agendu obecných, speciálních</w:t>
      </w:r>
      <w:r w:rsidR="0006162F">
        <w:rPr>
          <w:rFonts w:eastAsia="MS Mincho"/>
        </w:rPr>
        <w:t xml:space="preserve"> a</w:t>
      </w:r>
      <w:r w:rsidR="0006162F" w:rsidRPr="0006162F">
        <w:rPr>
          <w:rFonts w:eastAsia="MS Mincho"/>
        </w:rPr>
        <w:t xml:space="preserve"> </w:t>
      </w:r>
      <w:r w:rsidR="006059A5" w:rsidRPr="0006162F">
        <w:rPr>
          <w:rFonts w:eastAsia="MS Mincho"/>
        </w:rPr>
        <w:t xml:space="preserve">vyvlastňovacích úřadů a ty agendy územního plánování, které spadají do přenesené působnosti. Tito úředníci jsou zaměstnanci územně samosprávných celků – obcí a krajů – avšak vykonávají agendu v přenesené působnosti jménem státu. Zatímco </w:t>
      </w:r>
      <w:r w:rsidR="00D931B1" w:rsidRPr="0006162F">
        <w:rPr>
          <w:rFonts w:eastAsia="MS Mincho"/>
        </w:rPr>
        <w:t>v</w:t>
      </w:r>
      <w:r w:rsidR="00D931B1">
        <w:rPr>
          <w:rFonts w:eastAsia="MS Mincho"/>
        </w:rPr>
        <w:t> </w:t>
      </w:r>
      <w:r w:rsidR="006059A5" w:rsidRPr="0006162F">
        <w:rPr>
          <w:rFonts w:eastAsia="MS Mincho"/>
        </w:rPr>
        <w:t>případě celé řady agend vykonávaných rovněž v přenesené působnosti nemusí být postavení úředníka, jakožto vykonavatele přenesené působnosti a současně zaměstnance obce či kraje problém, v případě stavebního řízení úředník v řadě situací stojí proti svému zaměstnavateli. V takovýchto případech se úředník dostává do obtížné situace – ve vztahu ke svému zaměstnavateli (který může ovlivnit jeho osobní ohodnocen</w:t>
      </w:r>
      <w:r w:rsidR="005344C5" w:rsidRPr="0006162F">
        <w:rPr>
          <w:rFonts w:eastAsia="MS Mincho"/>
        </w:rPr>
        <w:t>í aj.), ale i </w:t>
      </w:r>
      <w:r w:rsidR="006059A5" w:rsidRPr="0006162F">
        <w:rPr>
          <w:rFonts w:eastAsia="MS Mincho"/>
        </w:rPr>
        <w:t xml:space="preserve">vůči jakékoliv </w:t>
      </w:r>
      <w:r w:rsidR="006059A5" w:rsidRPr="0006162F">
        <w:rPr>
          <w:rFonts w:eastAsia="MS Mincho"/>
        </w:rPr>
        <w:lastRenderedPageBreak/>
        <w:t xml:space="preserve">třetí straně, která může jednání úředníka ve vztahu ke kraji nebo obci, která ho zaměstnává, vždy považovat za podjaté. </w:t>
      </w:r>
    </w:p>
    <w:p w:rsidR="007B0D3D" w:rsidRDefault="007B0D3D" w:rsidP="00054780">
      <w:pPr>
        <w:widowControl w:val="0"/>
        <w:autoSpaceDE w:val="0"/>
        <w:autoSpaceDN w:val="0"/>
        <w:adjustRightInd w:val="0"/>
        <w:spacing w:before="0"/>
      </w:pPr>
      <w:r w:rsidRPr="00E54E26">
        <w:t>Stávající řešení případů systémové podjatosti, které spočívá v nutnosti detailního</w:t>
      </w:r>
      <w:r w:rsidR="003F5F95" w:rsidRPr="00E54E26">
        <w:t xml:space="preserve"> </w:t>
      </w:r>
      <w:r w:rsidRPr="00E54E26">
        <w:t>prokazování (ne)podjatosti a případně pak v delegaci věci na jiný věcně příslušný</w:t>
      </w:r>
      <w:r w:rsidR="003F5F95" w:rsidRPr="00E54E26">
        <w:t xml:space="preserve"> </w:t>
      </w:r>
      <w:r w:rsidRPr="00E54E26">
        <w:t>stavební úřad, nelze označit za vyhovující. Z judikatury nelze dovodit</w:t>
      </w:r>
      <w:r w:rsidR="003F5F95" w:rsidRPr="00E54E26">
        <w:t xml:space="preserve"> </w:t>
      </w:r>
      <w:r w:rsidRPr="00E54E26">
        <w:t>jednoznačná konkrétní kritéria posuzování jednotlivých případů systémové</w:t>
      </w:r>
      <w:r w:rsidR="003F5F95" w:rsidRPr="00E54E26">
        <w:t xml:space="preserve"> </w:t>
      </w:r>
      <w:r w:rsidRPr="00E54E26">
        <w:t>podjatosti. Současně se nepodařilo do dnešního dne zcela jednoznačně vyjasnit,</w:t>
      </w:r>
      <w:r w:rsidR="003F5F95" w:rsidRPr="00E54E26">
        <w:t xml:space="preserve"> </w:t>
      </w:r>
      <w:r w:rsidRPr="00E54E26">
        <w:t>jak mají procesně v těchto případech stavební úřady postupovat.</w:t>
      </w:r>
      <w:r w:rsidR="003F5F95" w:rsidRPr="00E54E26">
        <w:t xml:space="preserve"> </w:t>
      </w:r>
      <w:r w:rsidRPr="00E54E26">
        <w:t>Kromě těchto problémů, které nepochybně způsobují komplikace a zdržení</w:t>
      </w:r>
      <w:r w:rsidR="003F5F95" w:rsidRPr="00E54E26">
        <w:t xml:space="preserve"> </w:t>
      </w:r>
      <w:r w:rsidRPr="00E54E26">
        <w:t>v jednotlivých řízeních, je však dalším neblahým důsledkem této situace stav,</w:t>
      </w:r>
      <w:r w:rsidR="003F5F95" w:rsidRPr="00E54E26">
        <w:t xml:space="preserve"> </w:t>
      </w:r>
      <w:r w:rsidRPr="00E54E26">
        <w:t>v němž o záměru rozhoduje místně „nepříslušný“ stavební úřad, který nemá</w:t>
      </w:r>
      <w:r w:rsidR="003F5F95" w:rsidRPr="00E54E26">
        <w:t xml:space="preserve"> </w:t>
      </w:r>
      <w:r w:rsidRPr="00E54E26">
        <w:t>potřebnou znalost území ani jiných potenciálně kolidujících záměrů.</w:t>
      </w:r>
    </w:p>
    <w:p w:rsidR="00A04006" w:rsidRPr="0076394C" w:rsidRDefault="00A04006" w:rsidP="0076394C">
      <w:pPr>
        <w:pStyle w:val="Nadpis3a"/>
        <w:numPr>
          <w:ilvl w:val="0"/>
          <w:numId w:val="0"/>
        </w:numPr>
        <w:ind w:left="720" w:hanging="720"/>
        <w:rPr>
          <w:i/>
        </w:rPr>
      </w:pPr>
      <w:bookmarkStart w:id="51" w:name="_Toc536553917"/>
      <w:r w:rsidRPr="0076394C">
        <w:rPr>
          <w:i/>
        </w:rPr>
        <w:t>A.1.</w:t>
      </w:r>
      <w:r w:rsidR="00F75BB5">
        <w:rPr>
          <w:i/>
        </w:rPr>
        <w:t>3</w:t>
      </w:r>
      <w:r w:rsidRPr="0076394C">
        <w:rPr>
          <w:i/>
        </w:rPr>
        <w:t xml:space="preserve"> Hodnocení řešeného věcného okruhu</w:t>
      </w:r>
      <w:bookmarkEnd w:id="51"/>
    </w:p>
    <w:p w:rsidR="00A43EAA" w:rsidRPr="00E414AC" w:rsidRDefault="00F250C0" w:rsidP="003E4A5D">
      <w:pPr>
        <w:pStyle w:val="Text-Normaln"/>
        <w:widowControl w:val="0"/>
        <w:rPr>
          <w:b/>
        </w:rPr>
      </w:pPr>
      <w:r w:rsidRPr="00E414AC">
        <w:rPr>
          <w:b/>
        </w:rPr>
        <w:t>Cíl:</w:t>
      </w:r>
      <w:r w:rsidRPr="00E414AC">
        <w:t xml:space="preserve"> </w:t>
      </w:r>
      <w:r w:rsidR="00A43EAA">
        <w:t xml:space="preserve">Cílovým stavem by měl být takový stav, kdy územně plánovací, stavební a vyvlastňovací úřady zohledňují při územním plánování či územním/stavebním, respektive vyvlastňovacím, řízení vyváženě zájmy všech dotčených subjektů a nejsou na žádný z těchto subjektů </w:t>
      </w:r>
      <w:r w:rsidR="00686D84">
        <w:t>například</w:t>
      </w:r>
      <w:r w:rsidR="00A43EAA">
        <w:t xml:space="preserve"> pracovněprávně vázány. Systém by měl umožňovat administrativně a transakčně nenáročnou koordinaci (</w:t>
      </w:r>
      <w:r w:rsidR="00B257D7">
        <w:t xml:space="preserve">jednak při zohledňování veřejných zájmů chráněných na základě jiných zákonů, jednak </w:t>
      </w:r>
      <w:r w:rsidR="00A43EAA">
        <w:t>v oblasti řízení a metodiky</w:t>
      </w:r>
      <w:r w:rsidR="00B257D7">
        <w:t xml:space="preserve"> atp.</w:t>
      </w:r>
      <w:r w:rsidR="00A43EAA">
        <w:t xml:space="preserve">) a tak nejen sjednotit rozhodovací praxi úřadů napříč ČR, ale zároveň snížit objem </w:t>
      </w:r>
      <w:r w:rsidR="00B257D7">
        <w:t xml:space="preserve">(ať už formálně či věcně) chybných </w:t>
      </w:r>
      <w:r w:rsidR="00A43EAA">
        <w:t>rozhodnutí (resp. úspěšných odvolání proti rozhodnutím stavebních úřadů)</w:t>
      </w:r>
      <w:r w:rsidR="00B257D7">
        <w:t xml:space="preserve"> a i s pomocí vzájemné diskuze (či jiné formy vzájemné interakce) mezi stavebními úřady a </w:t>
      </w:r>
      <w:r w:rsidR="0078162F">
        <w:t>DO</w:t>
      </w:r>
      <w:r w:rsidR="00B257D7">
        <w:t xml:space="preserve"> zrychlit povolovací proces</w:t>
      </w:r>
      <w:r w:rsidR="00A43EAA">
        <w:t>.</w:t>
      </w:r>
    </w:p>
    <w:p w:rsidR="00F250C0" w:rsidRPr="00ED4BCB" w:rsidRDefault="00F250C0" w:rsidP="003E4A5D">
      <w:pPr>
        <w:pStyle w:val="Text-Normaln"/>
        <w:widowControl w:val="0"/>
        <w:rPr>
          <w:b/>
        </w:rPr>
      </w:pPr>
      <w:r w:rsidRPr="00ED4BCB">
        <w:rPr>
          <w:b/>
        </w:rPr>
        <w:t>Návrh variant řešení:</w:t>
      </w:r>
    </w:p>
    <w:p w:rsidR="00F40687" w:rsidRDefault="00F40687" w:rsidP="003E4A5D">
      <w:pPr>
        <w:widowControl w:val="0"/>
        <w:rPr>
          <w:i/>
        </w:rPr>
      </w:pPr>
      <w:r w:rsidRPr="004902ED">
        <w:rPr>
          <w:b/>
        </w:rPr>
        <w:t>Varianta 0:</w:t>
      </w:r>
      <w:r>
        <w:t xml:space="preserve"> </w:t>
      </w:r>
      <w:r w:rsidRPr="006E6CFE">
        <w:rPr>
          <w:i/>
        </w:rPr>
        <w:t>zachování současného stavu</w:t>
      </w:r>
    </w:p>
    <w:p w:rsidR="00033A2C" w:rsidRDefault="00033A2C" w:rsidP="003E4A5D">
      <w:pPr>
        <w:widowControl w:val="0"/>
      </w:pPr>
      <w:r>
        <w:rPr>
          <w:b/>
        </w:rPr>
        <w:t>Varianta 1</w:t>
      </w:r>
      <w:r w:rsidRPr="004902ED">
        <w:rPr>
          <w:b/>
        </w:rPr>
        <w:t>:</w:t>
      </w:r>
      <w:r>
        <w:t xml:space="preserve"> </w:t>
      </w:r>
      <w:r w:rsidRPr="006E6CFE">
        <w:rPr>
          <w:i/>
        </w:rPr>
        <w:t>ponechání stavebních úřadů</w:t>
      </w:r>
      <w:r>
        <w:rPr>
          <w:i/>
        </w:rPr>
        <w:t xml:space="preserve">, úřadů územního plánování a vyvlastňovacích úřadů </w:t>
      </w:r>
      <w:r w:rsidR="00FA22AB">
        <w:rPr>
          <w:i/>
        </w:rPr>
        <w:t xml:space="preserve">aj. </w:t>
      </w:r>
      <w:r w:rsidRPr="006E6CFE">
        <w:rPr>
          <w:i/>
        </w:rPr>
        <w:t>v přenesené působnosti obcí a krajů</w:t>
      </w:r>
      <w:r>
        <w:rPr>
          <w:i/>
        </w:rPr>
        <w:t>,</w:t>
      </w:r>
      <w:r w:rsidRPr="006E6CFE">
        <w:rPr>
          <w:i/>
        </w:rPr>
        <w:t xml:space="preserve"> vytvoření </w:t>
      </w:r>
      <w:r w:rsidR="00FA5B87">
        <w:rPr>
          <w:i/>
        </w:rPr>
        <w:t>dozorové</w:t>
      </w:r>
      <w:r>
        <w:rPr>
          <w:i/>
        </w:rPr>
        <w:t xml:space="preserve"> generální stavební inspekce</w:t>
      </w:r>
      <w:r w:rsidRPr="006E6CFE">
        <w:rPr>
          <w:i/>
        </w:rPr>
        <w:t xml:space="preserve">, která bude kontrolovat stavební </w:t>
      </w:r>
      <w:r>
        <w:rPr>
          <w:i/>
        </w:rPr>
        <w:t xml:space="preserve">a územní </w:t>
      </w:r>
      <w:r w:rsidRPr="006E6CFE">
        <w:rPr>
          <w:i/>
        </w:rPr>
        <w:t>řízení probíhající na stavebních úřadech</w:t>
      </w:r>
      <w:r>
        <w:rPr>
          <w:i/>
        </w:rPr>
        <w:t xml:space="preserve"> a úřadech územního plánování</w:t>
      </w:r>
    </w:p>
    <w:p w:rsidR="00033A2C" w:rsidRDefault="00F40687" w:rsidP="003E4A5D">
      <w:pPr>
        <w:widowControl w:val="0"/>
        <w:rPr>
          <w:i/>
        </w:rPr>
      </w:pPr>
      <w:r w:rsidRPr="00940FC3">
        <w:rPr>
          <w:b/>
        </w:rPr>
        <w:t xml:space="preserve">Varianta </w:t>
      </w:r>
      <w:r w:rsidR="00033A2C">
        <w:rPr>
          <w:b/>
        </w:rPr>
        <w:t>2</w:t>
      </w:r>
      <w:r w:rsidRPr="00940FC3">
        <w:rPr>
          <w:b/>
        </w:rPr>
        <w:t xml:space="preserve">: </w:t>
      </w:r>
      <w:r w:rsidR="00E36BBC" w:rsidRPr="00E36BBC">
        <w:rPr>
          <w:i/>
        </w:rPr>
        <w:t>vytvo</w:t>
      </w:r>
      <w:r w:rsidR="00E36BBC">
        <w:rPr>
          <w:i/>
        </w:rPr>
        <w:t>ření</w:t>
      </w:r>
      <w:r w:rsidR="00E36BBC" w:rsidRPr="00E36BBC">
        <w:rPr>
          <w:i/>
        </w:rPr>
        <w:t xml:space="preserve"> po</w:t>
      </w:r>
      <w:r w:rsidR="00E36BBC">
        <w:rPr>
          <w:i/>
        </w:rPr>
        <w:t xml:space="preserve"> </w:t>
      </w:r>
      <w:r w:rsidR="00E36BBC" w:rsidRPr="00E36BBC">
        <w:rPr>
          <w:i/>
        </w:rPr>
        <w:t xml:space="preserve">vzoru </w:t>
      </w:r>
      <w:r w:rsidR="00741A4A">
        <w:rPr>
          <w:i/>
        </w:rPr>
        <w:t>již</w:t>
      </w:r>
      <w:r w:rsidR="00E36BBC" w:rsidRPr="00E36BBC">
        <w:rPr>
          <w:i/>
        </w:rPr>
        <w:t xml:space="preserve"> fungujících samostatných soustav státní správy novou, samostatnou, jednotnou a hierarchicky členěnou soustavu</w:t>
      </w:r>
      <w:r w:rsidR="00741A4A">
        <w:rPr>
          <w:i/>
        </w:rPr>
        <w:t xml:space="preserve"> </w:t>
      </w:r>
      <w:r w:rsidR="00E36BBC" w:rsidRPr="00E36BBC">
        <w:rPr>
          <w:i/>
        </w:rPr>
        <w:t xml:space="preserve">státní stavební správy, v jejímž čele by stál </w:t>
      </w:r>
      <w:r w:rsidR="00B56274">
        <w:rPr>
          <w:i/>
        </w:rPr>
        <w:t>NSÚ</w:t>
      </w:r>
      <w:r w:rsidR="00E36BBC" w:rsidRPr="00E36BBC">
        <w:rPr>
          <w:i/>
        </w:rPr>
        <w:t>, který by byl nejvyšším článkem v oblasti stavební správy, resp.</w:t>
      </w:r>
      <w:r w:rsidR="00741A4A">
        <w:rPr>
          <w:i/>
        </w:rPr>
        <w:t xml:space="preserve"> </w:t>
      </w:r>
      <w:r w:rsidR="0084658A">
        <w:rPr>
          <w:i/>
        </w:rPr>
        <w:t>územního plánování a </w:t>
      </w:r>
      <w:r w:rsidR="00E36BBC" w:rsidRPr="00E36BBC">
        <w:rPr>
          <w:i/>
        </w:rPr>
        <w:t>stavebního řádu</w:t>
      </w:r>
      <w:r w:rsidR="00B56274">
        <w:rPr>
          <w:i/>
        </w:rPr>
        <w:t xml:space="preserve">, s </w:t>
      </w:r>
      <w:r w:rsidR="00B56274" w:rsidRPr="00B56274">
        <w:rPr>
          <w:i/>
        </w:rPr>
        <w:t>krajský</w:t>
      </w:r>
      <w:r w:rsidR="00B56274">
        <w:rPr>
          <w:i/>
        </w:rPr>
        <w:t>mi</w:t>
      </w:r>
      <w:r w:rsidR="00B56274" w:rsidRPr="00B56274">
        <w:rPr>
          <w:i/>
        </w:rPr>
        <w:t xml:space="preserve"> stavební</w:t>
      </w:r>
      <w:r w:rsidR="00B56274">
        <w:rPr>
          <w:i/>
        </w:rPr>
        <w:t>mi</w:t>
      </w:r>
      <w:r w:rsidR="00B56274" w:rsidRPr="00B56274">
        <w:rPr>
          <w:i/>
        </w:rPr>
        <w:t xml:space="preserve"> úřad</w:t>
      </w:r>
      <w:r w:rsidR="00B56274">
        <w:rPr>
          <w:i/>
        </w:rPr>
        <w:t>y</w:t>
      </w:r>
      <w:r w:rsidR="00B56274" w:rsidRPr="00B56274">
        <w:rPr>
          <w:i/>
        </w:rPr>
        <w:t xml:space="preserve"> s</w:t>
      </w:r>
      <w:r w:rsidR="00B56274">
        <w:rPr>
          <w:i/>
        </w:rPr>
        <w:t> </w:t>
      </w:r>
      <w:r w:rsidR="00133B3B">
        <w:rPr>
          <w:i/>
        </w:rPr>
        <w:t>územními</w:t>
      </w:r>
      <w:r w:rsidR="00B56274">
        <w:rPr>
          <w:i/>
        </w:rPr>
        <w:t xml:space="preserve"> </w:t>
      </w:r>
      <w:r w:rsidR="00B56274" w:rsidRPr="00B56274">
        <w:rPr>
          <w:i/>
        </w:rPr>
        <w:t>pracovišti</w:t>
      </w:r>
      <w:r w:rsidR="00B56274">
        <w:rPr>
          <w:i/>
        </w:rPr>
        <w:t xml:space="preserve"> (nejpravděpodobněji dle současného rozmístění ORP).</w:t>
      </w:r>
      <w:r w:rsidR="00033A2C">
        <w:rPr>
          <w:i/>
        </w:rPr>
        <w:t xml:space="preserve"> </w:t>
      </w:r>
      <w:r w:rsidR="00B56274">
        <w:rPr>
          <w:i/>
        </w:rPr>
        <w:t>V</w:t>
      </w:r>
      <w:r w:rsidR="00033A2C">
        <w:rPr>
          <w:i/>
        </w:rPr>
        <w:t xml:space="preserve">arianta počítá také s převedením všech speciálních, vojenských a jiných stavebních úřadů pod </w:t>
      </w:r>
      <w:r w:rsidR="00D931B1">
        <w:rPr>
          <w:i/>
        </w:rPr>
        <w:t>NSÚ</w:t>
      </w:r>
      <w:r w:rsidR="00033A2C">
        <w:rPr>
          <w:i/>
        </w:rPr>
        <w:t xml:space="preserve">. </w:t>
      </w:r>
    </w:p>
    <w:p w:rsidR="00386CE1" w:rsidRPr="00EE674F" w:rsidRDefault="00E54E26" w:rsidP="00054780">
      <w:pPr>
        <w:widowControl w:val="0"/>
        <w:spacing w:before="0" w:after="80"/>
      </w:pPr>
      <w:r>
        <w:t xml:space="preserve">Problematika </w:t>
      </w:r>
      <w:r w:rsidR="0078162F">
        <w:t>DO</w:t>
      </w:r>
      <w:r w:rsidR="00386CE1" w:rsidRPr="00E54E26">
        <w:t xml:space="preserve"> bud</w:t>
      </w:r>
      <w:r>
        <w:t>e</w:t>
      </w:r>
      <w:r w:rsidR="00386CE1" w:rsidRPr="00E54E26">
        <w:t xml:space="preserve"> řešen</w:t>
      </w:r>
      <w:r>
        <w:t>a</w:t>
      </w:r>
      <w:r w:rsidR="00386CE1" w:rsidRPr="00E54E26">
        <w:t xml:space="preserve"> </w:t>
      </w:r>
      <w:r>
        <w:t xml:space="preserve">samostatně </w:t>
      </w:r>
      <w:r w:rsidR="00386CE1" w:rsidRPr="00E54E26">
        <w:t>dále</w:t>
      </w:r>
      <w:r>
        <w:t>.</w:t>
      </w:r>
    </w:p>
    <w:p w:rsidR="009F52D7" w:rsidRPr="00EE674F" w:rsidRDefault="009F52D7" w:rsidP="00054780">
      <w:pPr>
        <w:widowControl w:val="0"/>
        <w:spacing w:before="0" w:after="80"/>
      </w:pPr>
      <w:r w:rsidRPr="00EE674F">
        <w:t xml:space="preserve">Varianta </w:t>
      </w:r>
      <w:r w:rsidR="009806A7">
        <w:t xml:space="preserve">2 </w:t>
      </w:r>
      <w:r w:rsidRPr="00EE674F">
        <w:t xml:space="preserve">se dále </w:t>
      </w:r>
      <w:r w:rsidR="00FA5B87" w:rsidRPr="00EE674F">
        <w:t>m</w:t>
      </w:r>
      <w:r w:rsidR="009806A7">
        <w:t>ůže</w:t>
      </w:r>
      <w:r w:rsidR="00FA5B87" w:rsidRPr="00EE674F">
        <w:t xml:space="preserve"> </w:t>
      </w:r>
      <w:r w:rsidRPr="00EE674F">
        <w:t>děl</w:t>
      </w:r>
      <w:r w:rsidR="00FA5B87" w:rsidRPr="00EE674F">
        <w:t>it</w:t>
      </w:r>
      <w:r w:rsidRPr="00EE674F">
        <w:t xml:space="preserve"> na: 1a) představuje verzi varianty 1, kde každý stavební úřad bude dělat svoji administrativu (včetně účetnictví, správy majetku a některých dalších administrativní</w:t>
      </w:r>
      <w:r w:rsidR="0072453C">
        <w:t>ch</w:t>
      </w:r>
      <w:r w:rsidRPr="00EE674F">
        <w:t xml:space="preserve"> činností) sám; 1b) představuje verzi varianty 1, kde bude účetnictví, správa majetku a některé další administrativní činnosti místních </w:t>
      </w:r>
      <w:r w:rsidRPr="00EE674F">
        <w:rPr>
          <w:iCs/>
        </w:rPr>
        <w:t xml:space="preserve">stavebních úřadů </w:t>
      </w:r>
      <w:r w:rsidRPr="00EE674F">
        <w:t>děláno na nadřízeném krajském stavebním úřadě.</w:t>
      </w:r>
    </w:p>
    <w:p w:rsidR="00133A48" w:rsidRPr="00133A48" w:rsidRDefault="00133A48" w:rsidP="00054780">
      <w:pPr>
        <w:pStyle w:val="Text-Normaln"/>
        <w:widowControl w:val="0"/>
        <w:spacing w:before="0" w:after="80"/>
      </w:pPr>
      <w:r w:rsidRPr="00133A48">
        <w:t xml:space="preserve">Rizika spočívají především v nákladech. V případě, že </w:t>
      </w:r>
      <w:r w:rsidR="0072453C">
        <w:t>by došlo</w:t>
      </w:r>
      <w:r w:rsidRPr="00133A48">
        <w:t xml:space="preserve"> při transformaci stavebních úřadů k vystěhování téměř všech </w:t>
      </w:r>
      <w:r w:rsidR="00415629">
        <w:t>stavebních úřadů</w:t>
      </w:r>
      <w:r w:rsidR="00415629" w:rsidRPr="00133A48">
        <w:t xml:space="preserve"> </w:t>
      </w:r>
      <w:r w:rsidRPr="00133A48">
        <w:t>mimo budovy obecních a krajských úřadů, moh</w:t>
      </w:r>
      <w:r w:rsidR="0072453C">
        <w:t>ly</w:t>
      </w:r>
      <w:r w:rsidRPr="00133A48">
        <w:t xml:space="preserve"> </w:t>
      </w:r>
      <w:r w:rsidR="0072453C">
        <w:t xml:space="preserve">by </w:t>
      </w:r>
      <w:r w:rsidRPr="00133A48">
        <w:t>vyšplhat transformační náklady změny vysoko. Jedn</w:t>
      </w:r>
      <w:r w:rsidR="0072453C">
        <w:t>alo</w:t>
      </w:r>
      <w:r w:rsidRPr="00133A48">
        <w:t xml:space="preserve"> </w:t>
      </w:r>
      <w:r w:rsidR="0072453C">
        <w:t xml:space="preserve">by </w:t>
      </w:r>
      <w:r w:rsidRPr="00133A48">
        <w:t xml:space="preserve">se především o náklady, které </w:t>
      </w:r>
      <w:r w:rsidR="0072453C">
        <w:t xml:space="preserve">by </w:t>
      </w:r>
      <w:r w:rsidRPr="00133A48">
        <w:t>moh</w:t>
      </w:r>
      <w:r w:rsidR="0072453C">
        <w:t>ly</w:t>
      </w:r>
      <w:r w:rsidRPr="00133A48">
        <w:t xml:space="preserve"> vzniknout tím, že u realizace projektů výstavby </w:t>
      </w:r>
      <w:r w:rsidR="0072453C">
        <w:t>by</w:t>
      </w:r>
      <w:r w:rsidRPr="00133A48">
        <w:t xml:space="preserve"> muse</w:t>
      </w:r>
      <w:r w:rsidR="0072453C">
        <w:t>ly</w:t>
      </w:r>
      <w:r w:rsidRPr="00133A48">
        <w:t xml:space="preserve"> obecní a krajské úřady jednat </w:t>
      </w:r>
      <w:r w:rsidR="00415629" w:rsidRPr="00133A48">
        <w:t>s</w:t>
      </w:r>
      <w:r w:rsidR="00415629">
        <w:t> </w:t>
      </w:r>
      <w:r w:rsidRPr="00133A48">
        <w:t xml:space="preserve">dalším úřadem, náklady na pořízení nových prostor pro stavební úřady a náklady na přesun </w:t>
      </w:r>
      <w:r w:rsidR="00415629" w:rsidRPr="00133A48">
        <w:t>a</w:t>
      </w:r>
      <w:r w:rsidR="00415629">
        <w:t> </w:t>
      </w:r>
      <w:r w:rsidRPr="00133A48">
        <w:t xml:space="preserve">zajištění prostor pro ukládání stavební dokumentace ve spisovně. </w:t>
      </w:r>
    </w:p>
    <w:p w:rsidR="00133A48" w:rsidRPr="00133A48" w:rsidRDefault="00133A48" w:rsidP="00054780">
      <w:pPr>
        <w:pStyle w:val="Text-Normaln"/>
        <w:widowControl w:val="0"/>
        <w:spacing w:before="0" w:after="80"/>
      </w:pPr>
      <w:r w:rsidRPr="00133A48">
        <w:t>Riziko představuje i možnost, že v určitých případech při</w:t>
      </w:r>
      <w:r w:rsidR="0084658A">
        <w:t xml:space="preserve"> vystěhování stavebního úřadu z </w:t>
      </w:r>
      <w:r w:rsidRPr="00133A48">
        <w:t xml:space="preserve">obecního úřadu nebude možné najít odpovídající prostor k pronájmu a stavební úřad bude nucen zajistit prostory pomocí nákupu nemovitosti. Dále se jedná o rizika spojená s nárůstem administrativních činností a o transformační náklady spojené s přesunem vybavení, vybavení kanceláří a pořízení vozového parku. </w:t>
      </w:r>
    </w:p>
    <w:p w:rsidR="00133A48" w:rsidRPr="00133A48" w:rsidRDefault="00133A48" w:rsidP="003E4A5D">
      <w:pPr>
        <w:pStyle w:val="Text-Normaln"/>
        <w:widowControl w:val="0"/>
      </w:pPr>
      <w:r w:rsidRPr="00133A48">
        <w:lastRenderedPageBreak/>
        <w:t>Lze očekávat i problémy spojené s převodem zaměstnanců stave</w:t>
      </w:r>
      <w:r w:rsidR="0084658A">
        <w:t>bních úřadů z krajských úřadů a </w:t>
      </w:r>
      <w:r w:rsidRPr="00133A48">
        <w:t>magistrátů, neboť se odhaduje, že tito zaměstnanci díky osobnímu ohodnocení pobírají podstatně vyšší platy, než indikují platové tabulky pro veřejnou a státní správu. Snížení jejich platů tedy představuje riziko odlivu některých úředníků, spojeného s poklesem kvality služeb stavebních úřadů, vyvlastňovacích úřadů a části úřadů územního plánování</w:t>
      </w:r>
      <w:r>
        <w:t>.</w:t>
      </w:r>
      <w:r w:rsidRPr="00133A48">
        <w:t xml:space="preserve"> Toto riziko však může být eliminováno dodatečnými kroky, které by narovnaly poklesy příjmů v důsledku přechodu zaměstnanců do státní správy</w:t>
      </w:r>
      <w:r w:rsidR="00A94EA2">
        <w:t xml:space="preserve">. Obecně </w:t>
      </w:r>
      <w:r w:rsidRPr="00133A48">
        <w:t>lze očekávat, že riziko, že zaměstnanci ze stavebních úřadů nepřejdou z veřejné do státní správy, se bude typicky týkat především úřadů při krajích a ve velkých městech, kde je pro tyto pracovníky dostatek příležitostí zejména v soukromé sféře (a lze zároveň očekávat, že jejich platy jsou vyšší než st</w:t>
      </w:r>
      <w:r w:rsidR="0084658A">
        <w:t>andardní ve veřejné správě). Na </w:t>
      </w:r>
      <w:r w:rsidRPr="00133A48">
        <w:t>druhou stranu v menších obcích či městech a na nižších pozicích v rámci stavebních úřadů zřejmě převod zaměstnanců do státní správy nebude představovat tak radikální změnu a tedy riziko výrazného úbytku zaměstnanců v důsledku transformace není vysoké – což zároveň znamená, že by nemělo dojít k ohrožení stavebních řízení probíhajících u těchto úřadů.</w:t>
      </w:r>
    </w:p>
    <w:p w:rsidR="00486BB0" w:rsidRDefault="00133A48" w:rsidP="003E4A5D">
      <w:pPr>
        <w:pStyle w:val="Text-Normaln"/>
        <w:widowControl w:val="0"/>
      </w:pPr>
      <w:r w:rsidRPr="00133A48">
        <w:t xml:space="preserve">Rizika varianty </w:t>
      </w:r>
      <w:r w:rsidR="00E32629">
        <w:t>1</w:t>
      </w:r>
      <w:r w:rsidRPr="00133A48">
        <w:t xml:space="preserve"> spočívají v možnosti, že generální inspekce nebude ve svých kontrolách efektivní a fakticky tak nedojde kromě nákladů na zavedení nového úřadu k žádným změnám. Pak by rizika byla stejná jako v případě zachování současného stavu. Riziko z druhé strany naopak představuje varianta, kdy inspekce bude až příliš restrik</w:t>
      </w:r>
      <w:r w:rsidR="0084658A">
        <w:t>tivní, což odradí samosprávy od </w:t>
      </w:r>
      <w:r w:rsidRPr="00133A48">
        <w:t>projektů na rozvoj obce, jelikož úředníci a zastupitelé nebudou chtít riskovat, že udělají chybu, za kterou mohou být přísně trestáni</w:t>
      </w:r>
      <w:r w:rsidR="003F6613">
        <w:t>.</w:t>
      </w:r>
    </w:p>
    <w:p w:rsidR="00AF18EA" w:rsidRDefault="00AF18EA" w:rsidP="003E4A5D">
      <w:pPr>
        <w:pStyle w:val="Titulek"/>
      </w:pPr>
      <w:r>
        <w:t xml:space="preserve">Tabulka </w:t>
      </w:r>
      <w:r w:rsidR="00AB65E9">
        <w:rPr>
          <w:noProof/>
        </w:rPr>
        <w:fldChar w:fldCharType="begin"/>
      </w:r>
      <w:r w:rsidR="00790BCF">
        <w:rPr>
          <w:noProof/>
        </w:rPr>
        <w:instrText xml:space="preserve"> SEQ Tabulka \* ARABIC </w:instrText>
      </w:r>
      <w:r w:rsidR="00AB65E9">
        <w:rPr>
          <w:noProof/>
        </w:rPr>
        <w:fldChar w:fldCharType="separate"/>
      </w:r>
      <w:r w:rsidR="00263A1B">
        <w:rPr>
          <w:noProof/>
        </w:rPr>
        <w:t>15</w:t>
      </w:r>
      <w:r w:rsidR="00AB65E9">
        <w:rPr>
          <w:noProof/>
        </w:rPr>
        <w:fldChar w:fldCharType="end"/>
      </w:r>
      <w:r>
        <w:t xml:space="preserve">: </w:t>
      </w:r>
      <w:r w:rsidRPr="00AF18EA">
        <w:t>Identifikace nákladů a přínosů:</w:t>
      </w:r>
    </w:p>
    <w:tbl>
      <w:tblPr>
        <w:tblW w:w="0" w:type="auto"/>
        <w:tblInd w:w="108" w:type="dxa"/>
        <w:tblBorders>
          <w:top w:val="single" w:sz="4" w:space="0" w:color="auto"/>
        </w:tblBorders>
        <w:shd w:val="clear" w:color="auto" w:fill="B6B002"/>
        <w:tblLook w:val="00A0" w:firstRow="1" w:lastRow="0" w:firstColumn="1" w:lastColumn="0" w:noHBand="0" w:noVBand="0"/>
      </w:tblPr>
      <w:tblGrid>
        <w:gridCol w:w="8962"/>
      </w:tblGrid>
      <w:tr w:rsidR="00430A29" w:rsidRPr="0011797D" w:rsidTr="00AF18EA">
        <w:trPr>
          <w:trHeight w:val="340"/>
        </w:trPr>
        <w:tc>
          <w:tcPr>
            <w:tcW w:w="8962" w:type="dxa"/>
            <w:tcBorders>
              <w:top w:val="single" w:sz="4" w:space="0" w:color="auto"/>
              <w:bottom w:val="single" w:sz="4" w:space="0" w:color="auto"/>
            </w:tcBorders>
            <w:shd w:val="clear" w:color="auto" w:fill="D9D9D9" w:themeFill="background1" w:themeFillShade="D9"/>
            <w:vAlign w:val="center"/>
          </w:tcPr>
          <w:p w:rsidR="00430A29" w:rsidRPr="0011797D" w:rsidRDefault="00430A29" w:rsidP="003E4A5D">
            <w:pPr>
              <w:widowControl w:val="0"/>
              <w:spacing w:before="0" w:after="0"/>
              <w:jc w:val="left"/>
              <w:rPr>
                <w:rFonts w:asciiTheme="minorHAnsi" w:hAnsiTheme="minorHAnsi"/>
                <w:b/>
                <w:color w:val="000000"/>
                <w:sz w:val="20"/>
                <w:szCs w:val="20"/>
              </w:rPr>
            </w:pPr>
            <w:r w:rsidRPr="0011797D">
              <w:rPr>
                <w:rFonts w:asciiTheme="minorHAnsi" w:hAnsiTheme="minorHAnsi"/>
                <w:b/>
                <w:color w:val="000000"/>
                <w:sz w:val="20"/>
                <w:szCs w:val="20"/>
              </w:rPr>
              <w:t>Náklady</w:t>
            </w:r>
          </w:p>
        </w:tc>
      </w:tr>
      <w:tr w:rsidR="00430A29" w:rsidRPr="00682D95" w:rsidTr="00AF18EA">
        <w:trPr>
          <w:trHeight w:val="340"/>
        </w:trPr>
        <w:tc>
          <w:tcPr>
            <w:tcW w:w="8962" w:type="dxa"/>
            <w:tcBorders>
              <w:top w:val="single" w:sz="4" w:space="0" w:color="auto"/>
              <w:bottom w:val="single" w:sz="4" w:space="0" w:color="auto"/>
            </w:tcBorders>
            <w:shd w:val="clear" w:color="auto" w:fill="auto"/>
            <w:vAlign w:val="center"/>
          </w:tcPr>
          <w:p w:rsidR="00430A29" w:rsidRPr="00682D95" w:rsidRDefault="00430A29" w:rsidP="003E4A5D">
            <w:pPr>
              <w:pStyle w:val="Odstavecseseznamem"/>
              <w:widowControl w:val="0"/>
              <w:numPr>
                <w:ilvl w:val="0"/>
                <w:numId w:val="28"/>
              </w:numPr>
              <w:spacing w:before="0" w:after="0"/>
              <w:rPr>
                <w:rFonts w:asciiTheme="minorHAnsi" w:hAnsiTheme="minorHAnsi"/>
                <w:sz w:val="20"/>
                <w:szCs w:val="20"/>
              </w:rPr>
            </w:pPr>
            <w:r w:rsidRPr="00682D95">
              <w:rPr>
                <w:rFonts w:asciiTheme="minorHAnsi" w:hAnsiTheme="minorHAnsi"/>
                <w:sz w:val="20"/>
                <w:szCs w:val="20"/>
              </w:rPr>
              <w:t xml:space="preserve">Vytvoření </w:t>
            </w:r>
            <w:r w:rsidR="003E2935" w:rsidRPr="00682D95">
              <w:rPr>
                <w:rFonts w:asciiTheme="minorHAnsi" w:hAnsiTheme="minorHAnsi"/>
                <w:sz w:val="20"/>
                <w:szCs w:val="20"/>
              </w:rPr>
              <w:t>dozorové generální stavební inspekce</w:t>
            </w:r>
            <w:r w:rsidR="003E2935" w:rsidRPr="00682D95" w:rsidDel="003E2935">
              <w:rPr>
                <w:rFonts w:asciiTheme="minorHAnsi" w:hAnsiTheme="minorHAnsi"/>
                <w:sz w:val="20"/>
                <w:szCs w:val="20"/>
              </w:rPr>
              <w:t xml:space="preserve"> </w:t>
            </w:r>
            <w:r w:rsidR="00682D95" w:rsidRPr="00682D95">
              <w:rPr>
                <w:rFonts w:asciiTheme="minorHAnsi" w:hAnsiTheme="minorHAnsi"/>
                <w:sz w:val="20"/>
                <w:szCs w:val="20"/>
              </w:rPr>
              <w:t xml:space="preserve">či </w:t>
            </w:r>
            <w:r w:rsidR="006C41FA">
              <w:rPr>
                <w:rFonts w:asciiTheme="minorHAnsi" w:hAnsiTheme="minorHAnsi"/>
                <w:sz w:val="20"/>
                <w:szCs w:val="20"/>
              </w:rPr>
              <w:t>NSÚ</w:t>
            </w:r>
            <w:r w:rsidR="00682D95" w:rsidRPr="00682D95">
              <w:rPr>
                <w:rFonts w:asciiTheme="minorHAnsi" w:hAnsiTheme="minorHAnsi"/>
                <w:sz w:val="20"/>
                <w:szCs w:val="20"/>
              </w:rPr>
              <w:t xml:space="preserve"> dle hodnocené varianty</w:t>
            </w:r>
          </w:p>
          <w:p w:rsidR="00E32629" w:rsidRPr="00682D95" w:rsidRDefault="00430A29" w:rsidP="003E4A5D">
            <w:pPr>
              <w:pStyle w:val="Odstavecseseznamem"/>
              <w:widowControl w:val="0"/>
              <w:numPr>
                <w:ilvl w:val="0"/>
                <w:numId w:val="28"/>
              </w:numPr>
              <w:spacing w:before="0" w:after="0"/>
              <w:rPr>
                <w:rFonts w:asciiTheme="minorHAnsi" w:hAnsiTheme="minorHAnsi"/>
                <w:sz w:val="20"/>
                <w:szCs w:val="20"/>
              </w:rPr>
            </w:pPr>
            <w:r w:rsidRPr="00682D95">
              <w:rPr>
                <w:rFonts w:asciiTheme="minorHAnsi" w:hAnsiTheme="minorHAnsi"/>
                <w:sz w:val="20"/>
                <w:szCs w:val="20"/>
              </w:rPr>
              <w:t>Mzdové a režijní náklady</w:t>
            </w:r>
          </w:p>
          <w:p w:rsidR="00682D95" w:rsidRPr="00391E39" w:rsidRDefault="00682D95" w:rsidP="00391E39">
            <w:pPr>
              <w:widowControl w:val="0"/>
              <w:spacing w:before="0" w:after="0"/>
              <w:rPr>
                <w:rFonts w:asciiTheme="minorHAnsi" w:hAnsiTheme="minorHAnsi"/>
                <w:i/>
                <w:sz w:val="20"/>
                <w:szCs w:val="20"/>
              </w:rPr>
            </w:pPr>
            <w:r w:rsidRPr="00391E39">
              <w:rPr>
                <w:rFonts w:asciiTheme="minorHAnsi" w:hAnsiTheme="minorHAnsi"/>
                <w:i/>
                <w:sz w:val="20"/>
                <w:szCs w:val="20"/>
              </w:rPr>
              <w:t>V případě varianty 2 pak:</w:t>
            </w:r>
          </w:p>
          <w:p w:rsidR="00E32629" w:rsidRPr="00682D95" w:rsidRDefault="00E32629" w:rsidP="003E4A5D">
            <w:pPr>
              <w:pStyle w:val="Odstavecseseznamem"/>
              <w:widowControl w:val="0"/>
              <w:numPr>
                <w:ilvl w:val="0"/>
                <w:numId w:val="28"/>
              </w:numPr>
              <w:spacing w:before="0" w:after="0"/>
              <w:rPr>
                <w:rFonts w:asciiTheme="minorHAnsi" w:hAnsiTheme="minorHAnsi"/>
                <w:sz w:val="20"/>
                <w:szCs w:val="20"/>
              </w:rPr>
            </w:pPr>
            <w:r w:rsidRPr="00682D95">
              <w:rPr>
                <w:rFonts w:asciiTheme="minorHAnsi" w:hAnsiTheme="minorHAnsi"/>
                <w:sz w:val="20"/>
                <w:szCs w:val="20"/>
              </w:rPr>
              <w:t>Pronájem nových kancelářských prostor v případě vystěhování úřadů nebo pronájem prostor a</w:t>
            </w:r>
            <w:r w:rsidR="0084658A">
              <w:rPr>
                <w:rFonts w:asciiTheme="minorHAnsi" w:hAnsiTheme="minorHAnsi"/>
                <w:sz w:val="20"/>
                <w:szCs w:val="20"/>
              </w:rPr>
              <w:t> </w:t>
            </w:r>
            <w:r w:rsidRPr="00682D95">
              <w:rPr>
                <w:rFonts w:asciiTheme="minorHAnsi" w:hAnsiTheme="minorHAnsi"/>
                <w:sz w:val="20"/>
                <w:szCs w:val="20"/>
              </w:rPr>
              <w:t xml:space="preserve">vybavení </w:t>
            </w:r>
          </w:p>
          <w:p w:rsidR="00E32629" w:rsidRPr="00682D95" w:rsidRDefault="00E32629" w:rsidP="003E4A5D">
            <w:pPr>
              <w:pStyle w:val="Odstavecseseznamem"/>
              <w:widowControl w:val="0"/>
              <w:numPr>
                <w:ilvl w:val="0"/>
                <w:numId w:val="28"/>
              </w:numPr>
              <w:spacing w:before="0" w:after="0"/>
              <w:rPr>
                <w:rFonts w:asciiTheme="minorHAnsi" w:hAnsiTheme="minorHAnsi"/>
                <w:sz w:val="20"/>
                <w:szCs w:val="20"/>
              </w:rPr>
            </w:pPr>
            <w:r w:rsidRPr="00682D95">
              <w:rPr>
                <w:rFonts w:asciiTheme="minorHAnsi" w:hAnsiTheme="minorHAnsi"/>
                <w:sz w:val="20"/>
                <w:szCs w:val="20"/>
              </w:rPr>
              <w:t>Pronájem prostor pro ukládání spisů</w:t>
            </w:r>
          </w:p>
          <w:p w:rsidR="00E32629" w:rsidRPr="00682D95" w:rsidRDefault="00E32629" w:rsidP="003E4A5D">
            <w:pPr>
              <w:pStyle w:val="Odstavecseseznamem"/>
              <w:widowControl w:val="0"/>
              <w:numPr>
                <w:ilvl w:val="0"/>
                <w:numId w:val="28"/>
              </w:numPr>
              <w:spacing w:before="0" w:after="0"/>
              <w:rPr>
                <w:rFonts w:asciiTheme="minorHAnsi" w:hAnsiTheme="minorHAnsi"/>
                <w:sz w:val="20"/>
                <w:szCs w:val="20"/>
              </w:rPr>
            </w:pPr>
            <w:r w:rsidRPr="00682D95">
              <w:rPr>
                <w:rFonts w:asciiTheme="minorHAnsi" w:hAnsiTheme="minorHAnsi"/>
                <w:sz w:val="20"/>
                <w:szCs w:val="20"/>
              </w:rPr>
              <w:t>Nárůst administrativních nákladů na komunikaci mezi nově vzniklými úřady a samosprávami</w:t>
            </w:r>
          </w:p>
          <w:p w:rsidR="00E32629" w:rsidRPr="00682D95" w:rsidRDefault="00E32629" w:rsidP="003E4A5D">
            <w:pPr>
              <w:pStyle w:val="Odstavecseseznamem"/>
              <w:widowControl w:val="0"/>
              <w:numPr>
                <w:ilvl w:val="0"/>
                <w:numId w:val="28"/>
              </w:numPr>
              <w:spacing w:before="0" w:after="0"/>
              <w:rPr>
                <w:rFonts w:asciiTheme="minorHAnsi" w:hAnsiTheme="minorHAnsi"/>
                <w:sz w:val="20"/>
                <w:szCs w:val="20"/>
              </w:rPr>
            </w:pPr>
            <w:r w:rsidRPr="00682D95">
              <w:rPr>
                <w:rFonts w:asciiTheme="minorHAnsi" w:hAnsiTheme="minorHAnsi"/>
                <w:sz w:val="20"/>
                <w:szCs w:val="20"/>
              </w:rPr>
              <w:t>Transformační náklady na vznik nových pracovních míst - pořízení počítače, softwaru, vozového parku, kancelářského vybavení apod.</w:t>
            </w:r>
          </w:p>
          <w:p w:rsidR="00E32629" w:rsidRPr="00682D95" w:rsidRDefault="00E32629" w:rsidP="003E4A5D">
            <w:pPr>
              <w:pStyle w:val="Odstavecseseznamem"/>
              <w:widowControl w:val="0"/>
              <w:numPr>
                <w:ilvl w:val="0"/>
                <w:numId w:val="28"/>
              </w:numPr>
              <w:spacing w:before="0" w:after="0"/>
              <w:rPr>
                <w:rFonts w:asciiTheme="minorHAnsi" w:hAnsiTheme="minorHAnsi"/>
                <w:sz w:val="20"/>
                <w:szCs w:val="20"/>
              </w:rPr>
            </w:pPr>
            <w:r w:rsidRPr="00682D95">
              <w:rPr>
                <w:rFonts w:asciiTheme="minorHAnsi" w:hAnsiTheme="minorHAnsi"/>
                <w:sz w:val="20"/>
                <w:szCs w:val="20"/>
              </w:rPr>
              <w:t>IS – centrální evidence apod.</w:t>
            </w:r>
          </w:p>
          <w:p w:rsidR="00E32629" w:rsidRPr="00682D95" w:rsidRDefault="00E32629" w:rsidP="003E4A5D">
            <w:pPr>
              <w:pStyle w:val="Odstavecseseznamem"/>
              <w:widowControl w:val="0"/>
              <w:numPr>
                <w:ilvl w:val="0"/>
                <w:numId w:val="28"/>
              </w:numPr>
              <w:spacing w:before="0" w:after="0"/>
              <w:rPr>
                <w:rFonts w:asciiTheme="minorHAnsi" w:hAnsiTheme="minorHAnsi"/>
                <w:sz w:val="20"/>
                <w:szCs w:val="20"/>
              </w:rPr>
            </w:pPr>
            <w:r w:rsidRPr="00682D95">
              <w:rPr>
                <w:rFonts w:asciiTheme="minorHAnsi" w:hAnsiTheme="minorHAnsi"/>
                <w:sz w:val="20"/>
                <w:szCs w:val="20"/>
              </w:rPr>
              <w:t xml:space="preserve">Náklady </w:t>
            </w:r>
            <w:r w:rsidR="006C41FA">
              <w:rPr>
                <w:rFonts w:asciiTheme="minorHAnsi" w:hAnsiTheme="minorHAnsi"/>
                <w:sz w:val="20"/>
                <w:szCs w:val="20"/>
              </w:rPr>
              <w:t>územně samosprávných celků</w:t>
            </w:r>
          </w:p>
          <w:p w:rsidR="00371833" w:rsidRPr="00682D95" w:rsidRDefault="00E32629" w:rsidP="00E05DA4">
            <w:pPr>
              <w:pStyle w:val="Odstavecseseznamem"/>
              <w:widowControl w:val="0"/>
              <w:numPr>
                <w:ilvl w:val="0"/>
                <w:numId w:val="28"/>
              </w:numPr>
              <w:spacing w:before="0" w:after="0"/>
              <w:rPr>
                <w:rFonts w:asciiTheme="minorHAnsi" w:hAnsiTheme="minorHAnsi"/>
                <w:color w:val="000000"/>
                <w:sz w:val="20"/>
                <w:szCs w:val="20"/>
              </w:rPr>
            </w:pPr>
            <w:r w:rsidRPr="00682D95">
              <w:rPr>
                <w:rFonts w:asciiTheme="minorHAnsi" w:hAnsiTheme="minorHAnsi"/>
                <w:sz w:val="20"/>
                <w:szCs w:val="20"/>
              </w:rPr>
              <w:t xml:space="preserve">Náklady klientů </w:t>
            </w:r>
            <w:r w:rsidR="006C41FA">
              <w:rPr>
                <w:rFonts w:asciiTheme="minorHAnsi" w:hAnsiTheme="minorHAnsi"/>
                <w:sz w:val="20"/>
                <w:szCs w:val="20"/>
              </w:rPr>
              <w:t>veřejné správy</w:t>
            </w:r>
            <w:r w:rsidR="006C41FA" w:rsidRPr="00682D95">
              <w:rPr>
                <w:rFonts w:asciiTheme="minorHAnsi" w:hAnsiTheme="minorHAnsi"/>
                <w:sz w:val="20"/>
                <w:szCs w:val="20"/>
              </w:rPr>
              <w:t xml:space="preserve"> </w:t>
            </w:r>
            <w:r w:rsidRPr="00682D95">
              <w:rPr>
                <w:rFonts w:asciiTheme="minorHAnsi" w:hAnsiTheme="minorHAnsi"/>
                <w:sz w:val="20"/>
                <w:szCs w:val="20"/>
              </w:rPr>
              <w:t>dle lokace nových pracovišť vykonávajících PP apod.</w:t>
            </w:r>
            <w:r w:rsidR="00430A29" w:rsidRPr="00682D95">
              <w:rPr>
                <w:rFonts w:asciiTheme="minorHAnsi" w:hAnsiTheme="minorHAnsi"/>
                <w:sz w:val="20"/>
                <w:szCs w:val="20"/>
              </w:rPr>
              <w:t xml:space="preserve"> </w:t>
            </w:r>
          </w:p>
        </w:tc>
      </w:tr>
      <w:tr w:rsidR="00430A29" w:rsidRPr="0011797D" w:rsidTr="00AF18EA">
        <w:trPr>
          <w:trHeight w:val="340"/>
        </w:trPr>
        <w:tc>
          <w:tcPr>
            <w:tcW w:w="8962" w:type="dxa"/>
            <w:tcBorders>
              <w:top w:val="single" w:sz="4" w:space="0" w:color="auto"/>
              <w:bottom w:val="single" w:sz="4" w:space="0" w:color="auto"/>
            </w:tcBorders>
            <w:shd w:val="clear" w:color="auto" w:fill="D9D9D9" w:themeFill="background1" w:themeFillShade="D9"/>
            <w:vAlign w:val="center"/>
          </w:tcPr>
          <w:p w:rsidR="00430A29" w:rsidRPr="0011797D" w:rsidRDefault="00430A29" w:rsidP="003E4A5D">
            <w:pPr>
              <w:widowControl w:val="0"/>
              <w:spacing w:before="0" w:after="0"/>
              <w:rPr>
                <w:rFonts w:asciiTheme="minorHAnsi" w:hAnsiTheme="minorHAnsi"/>
                <w:b/>
                <w:color w:val="000000"/>
                <w:sz w:val="20"/>
                <w:szCs w:val="20"/>
              </w:rPr>
            </w:pPr>
            <w:r w:rsidRPr="0011797D">
              <w:rPr>
                <w:rFonts w:asciiTheme="minorHAnsi" w:hAnsiTheme="minorHAnsi"/>
                <w:b/>
                <w:color w:val="000000"/>
                <w:sz w:val="20"/>
                <w:szCs w:val="20"/>
              </w:rPr>
              <w:t>Přínosy</w:t>
            </w:r>
          </w:p>
        </w:tc>
      </w:tr>
      <w:tr w:rsidR="00430A29" w:rsidRPr="0011797D" w:rsidTr="00AF18EA">
        <w:trPr>
          <w:trHeight w:val="340"/>
        </w:trPr>
        <w:tc>
          <w:tcPr>
            <w:tcW w:w="8962" w:type="dxa"/>
            <w:tcBorders>
              <w:top w:val="single" w:sz="4" w:space="0" w:color="auto"/>
              <w:bottom w:val="single" w:sz="4" w:space="0" w:color="auto"/>
            </w:tcBorders>
            <w:shd w:val="clear" w:color="auto" w:fill="FFFFFF" w:themeFill="background1"/>
            <w:vAlign w:val="center"/>
          </w:tcPr>
          <w:p w:rsidR="00DB3F81" w:rsidRPr="0011797D" w:rsidRDefault="00DB3F81" w:rsidP="003E4A5D">
            <w:pPr>
              <w:widowControl w:val="0"/>
              <w:spacing w:before="0" w:after="0"/>
              <w:rPr>
                <w:rFonts w:asciiTheme="minorHAnsi" w:hAnsiTheme="minorHAnsi"/>
                <w:sz w:val="20"/>
                <w:szCs w:val="20"/>
              </w:rPr>
            </w:pPr>
            <w:r w:rsidRPr="0011797D">
              <w:rPr>
                <w:rFonts w:asciiTheme="minorHAnsi" w:hAnsiTheme="minorHAnsi"/>
                <w:sz w:val="20"/>
                <w:szCs w:val="20"/>
              </w:rPr>
              <w:t>Přínosy z</w:t>
            </w:r>
            <w:r w:rsidR="00682D95">
              <w:rPr>
                <w:rFonts w:asciiTheme="minorHAnsi" w:hAnsiTheme="minorHAnsi"/>
                <w:sz w:val="20"/>
                <w:szCs w:val="20"/>
              </w:rPr>
              <w:t> </w:t>
            </w:r>
            <w:r w:rsidRPr="0011797D">
              <w:rPr>
                <w:rFonts w:asciiTheme="minorHAnsi" w:hAnsiTheme="minorHAnsi"/>
                <w:sz w:val="20"/>
                <w:szCs w:val="20"/>
              </w:rPr>
              <w:t>variant</w:t>
            </w:r>
            <w:r w:rsidR="00682D95">
              <w:rPr>
                <w:rFonts w:asciiTheme="minorHAnsi" w:hAnsiTheme="minorHAnsi"/>
                <w:sz w:val="20"/>
                <w:szCs w:val="20"/>
              </w:rPr>
              <w:t>, a to především z varianty</w:t>
            </w:r>
            <w:r w:rsidRPr="0011797D">
              <w:rPr>
                <w:rFonts w:asciiTheme="minorHAnsi" w:hAnsiTheme="minorHAnsi"/>
                <w:sz w:val="20"/>
                <w:szCs w:val="20"/>
              </w:rPr>
              <w:t xml:space="preserve"> </w:t>
            </w:r>
            <w:r w:rsidR="00682D95">
              <w:rPr>
                <w:rFonts w:asciiTheme="minorHAnsi" w:hAnsiTheme="minorHAnsi"/>
                <w:sz w:val="20"/>
                <w:szCs w:val="20"/>
              </w:rPr>
              <w:t>2,</w:t>
            </w:r>
            <w:r w:rsidRPr="0011797D">
              <w:rPr>
                <w:rFonts w:asciiTheme="minorHAnsi" w:hAnsiTheme="minorHAnsi"/>
                <w:sz w:val="20"/>
                <w:szCs w:val="20"/>
              </w:rPr>
              <w:t xml:space="preserve"> je obtížnější kvantifikovat, neboť se jedná především o</w:t>
            </w:r>
            <w:r w:rsidR="0084658A">
              <w:rPr>
                <w:rFonts w:asciiTheme="minorHAnsi" w:hAnsiTheme="minorHAnsi"/>
                <w:sz w:val="20"/>
                <w:szCs w:val="20"/>
              </w:rPr>
              <w:t> </w:t>
            </w:r>
            <w:r w:rsidRPr="0011797D">
              <w:rPr>
                <w:rFonts w:asciiTheme="minorHAnsi" w:hAnsiTheme="minorHAnsi"/>
                <w:sz w:val="20"/>
                <w:szCs w:val="20"/>
              </w:rPr>
              <w:t>kvalitativní změny:</w:t>
            </w:r>
          </w:p>
          <w:p w:rsidR="00DB3F81" w:rsidRPr="0011797D" w:rsidRDefault="00DB3F81" w:rsidP="003E4A5D">
            <w:pPr>
              <w:pStyle w:val="Odstavecseseznamem"/>
              <w:widowControl w:val="0"/>
              <w:numPr>
                <w:ilvl w:val="0"/>
                <w:numId w:val="28"/>
              </w:numPr>
              <w:spacing w:before="0" w:after="0"/>
              <w:rPr>
                <w:rFonts w:asciiTheme="minorHAnsi" w:hAnsiTheme="minorHAnsi"/>
                <w:sz w:val="20"/>
                <w:szCs w:val="20"/>
              </w:rPr>
            </w:pPr>
            <w:r w:rsidRPr="0011797D">
              <w:rPr>
                <w:rFonts w:asciiTheme="minorHAnsi" w:hAnsiTheme="minorHAnsi"/>
                <w:sz w:val="20"/>
                <w:szCs w:val="20"/>
              </w:rPr>
              <w:t>Zlepšení koordinace a komunikace mezi úředníky zastupujícími další veřejné zájmy navzájem a se stavebními úřady</w:t>
            </w:r>
          </w:p>
          <w:p w:rsidR="00DB3F81" w:rsidRPr="0011797D" w:rsidRDefault="00DB3F81" w:rsidP="003E4A5D">
            <w:pPr>
              <w:pStyle w:val="Odstavecseseznamem"/>
              <w:widowControl w:val="0"/>
              <w:numPr>
                <w:ilvl w:val="0"/>
                <w:numId w:val="28"/>
              </w:numPr>
              <w:spacing w:before="0" w:after="0"/>
              <w:rPr>
                <w:rFonts w:asciiTheme="minorHAnsi" w:hAnsiTheme="minorHAnsi"/>
                <w:sz w:val="20"/>
                <w:szCs w:val="20"/>
              </w:rPr>
            </w:pPr>
            <w:r w:rsidRPr="0011797D">
              <w:rPr>
                <w:rFonts w:asciiTheme="minorHAnsi" w:hAnsiTheme="minorHAnsi"/>
                <w:sz w:val="20"/>
                <w:szCs w:val="20"/>
              </w:rPr>
              <w:t xml:space="preserve">Vyšší transparentnost systému pro žadatele a časové úspory při mapování, jak řešit životní situaci </w:t>
            </w:r>
          </w:p>
          <w:p w:rsidR="009C081E" w:rsidRPr="0011797D" w:rsidRDefault="009C081E" w:rsidP="003E4A5D">
            <w:pPr>
              <w:pStyle w:val="Odstavecseseznamem"/>
              <w:widowControl w:val="0"/>
              <w:numPr>
                <w:ilvl w:val="0"/>
                <w:numId w:val="28"/>
              </w:numPr>
              <w:spacing w:before="0" w:after="0"/>
              <w:rPr>
                <w:rFonts w:asciiTheme="minorHAnsi" w:hAnsiTheme="minorHAnsi"/>
                <w:sz w:val="20"/>
                <w:szCs w:val="20"/>
              </w:rPr>
            </w:pPr>
            <w:r w:rsidRPr="0011797D">
              <w:rPr>
                <w:rFonts w:asciiTheme="minorHAnsi" w:hAnsiTheme="minorHAnsi"/>
                <w:sz w:val="20"/>
                <w:szCs w:val="20"/>
              </w:rPr>
              <w:t>Jednotné řízení a metodické vedení úřadů = zvýšení právní jistoty u všech dotčených stran</w:t>
            </w:r>
          </w:p>
          <w:p w:rsidR="009C081E" w:rsidRPr="0011797D" w:rsidRDefault="009C081E" w:rsidP="003E4A5D">
            <w:pPr>
              <w:pStyle w:val="Odstavecseseznamem"/>
              <w:widowControl w:val="0"/>
              <w:numPr>
                <w:ilvl w:val="0"/>
                <w:numId w:val="28"/>
              </w:numPr>
              <w:spacing w:before="0" w:after="0"/>
              <w:rPr>
                <w:rFonts w:asciiTheme="minorHAnsi" w:hAnsiTheme="minorHAnsi"/>
                <w:sz w:val="20"/>
                <w:szCs w:val="20"/>
              </w:rPr>
            </w:pPr>
            <w:r w:rsidRPr="0011797D">
              <w:rPr>
                <w:rFonts w:asciiTheme="minorHAnsi" w:hAnsiTheme="minorHAnsi"/>
                <w:sz w:val="20"/>
                <w:szCs w:val="20"/>
              </w:rPr>
              <w:t xml:space="preserve">Vyšší kvalifikace úředníků = možné snížení počtu formálních/věcných pochybení </w:t>
            </w:r>
          </w:p>
          <w:p w:rsidR="00DB3F81" w:rsidRPr="0011797D" w:rsidRDefault="00DB3F81" w:rsidP="003E4A5D">
            <w:pPr>
              <w:pStyle w:val="Odstavecseseznamem"/>
              <w:widowControl w:val="0"/>
              <w:numPr>
                <w:ilvl w:val="0"/>
                <w:numId w:val="28"/>
              </w:numPr>
              <w:spacing w:before="0" w:after="0"/>
              <w:rPr>
                <w:rFonts w:asciiTheme="minorHAnsi" w:hAnsiTheme="minorHAnsi"/>
                <w:sz w:val="20"/>
                <w:szCs w:val="20"/>
              </w:rPr>
            </w:pPr>
            <w:r w:rsidRPr="0011797D">
              <w:rPr>
                <w:rFonts w:asciiTheme="minorHAnsi" w:hAnsiTheme="minorHAnsi"/>
                <w:sz w:val="20"/>
                <w:szCs w:val="20"/>
              </w:rPr>
              <w:t xml:space="preserve">Přínosy v podobě eliminace možné podjatosti </w:t>
            </w:r>
          </w:p>
          <w:p w:rsidR="00371833" w:rsidRPr="0011797D" w:rsidRDefault="009C081E" w:rsidP="003E4A5D">
            <w:pPr>
              <w:pStyle w:val="Odstavecseseznamem"/>
              <w:widowControl w:val="0"/>
              <w:numPr>
                <w:ilvl w:val="0"/>
                <w:numId w:val="28"/>
              </w:numPr>
              <w:spacing w:before="0" w:after="0"/>
              <w:rPr>
                <w:rFonts w:asciiTheme="minorHAnsi" w:hAnsiTheme="minorHAnsi"/>
                <w:sz w:val="20"/>
                <w:szCs w:val="20"/>
              </w:rPr>
            </w:pPr>
            <w:r w:rsidRPr="0011797D">
              <w:rPr>
                <w:rFonts w:asciiTheme="minorHAnsi" w:hAnsiTheme="minorHAnsi"/>
                <w:sz w:val="20"/>
                <w:szCs w:val="20"/>
              </w:rPr>
              <w:t>Odstranění možného konfliktu zájmů</w:t>
            </w:r>
          </w:p>
          <w:p w:rsidR="00430A29" w:rsidRPr="0011797D" w:rsidRDefault="00371833" w:rsidP="003E4A5D">
            <w:pPr>
              <w:pStyle w:val="Odstavecseseznamem"/>
              <w:widowControl w:val="0"/>
              <w:numPr>
                <w:ilvl w:val="0"/>
                <w:numId w:val="28"/>
              </w:numPr>
              <w:spacing w:before="0" w:after="0"/>
              <w:rPr>
                <w:rFonts w:asciiTheme="minorHAnsi" w:hAnsiTheme="minorHAnsi"/>
                <w:color w:val="000000"/>
                <w:sz w:val="20"/>
                <w:szCs w:val="20"/>
              </w:rPr>
            </w:pPr>
            <w:r w:rsidRPr="0011797D">
              <w:rPr>
                <w:rFonts w:asciiTheme="minorHAnsi" w:hAnsiTheme="minorHAnsi"/>
                <w:sz w:val="20"/>
                <w:szCs w:val="20"/>
              </w:rPr>
              <w:t>Úspory z</w:t>
            </w:r>
            <w:r w:rsidR="00570CC1">
              <w:rPr>
                <w:rFonts w:asciiTheme="minorHAnsi" w:hAnsiTheme="minorHAnsi"/>
                <w:sz w:val="20"/>
                <w:szCs w:val="20"/>
              </w:rPr>
              <w:t> </w:t>
            </w:r>
            <w:r w:rsidRPr="0011797D">
              <w:rPr>
                <w:rFonts w:asciiTheme="minorHAnsi" w:hAnsiTheme="minorHAnsi"/>
                <w:sz w:val="20"/>
                <w:szCs w:val="20"/>
              </w:rPr>
              <w:t>rozsahu</w:t>
            </w:r>
          </w:p>
        </w:tc>
      </w:tr>
    </w:tbl>
    <w:p w:rsidR="00430A29" w:rsidRDefault="00430A29" w:rsidP="003E4A5D">
      <w:pPr>
        <w:pStyle w:val="Text-Normaln"/>
        <w:widowControl w:val="0"/>
        <w:rPr>
          <w:b/>
        </w:rPr>
      </w:pPr>
      <w:r w:rsidRPr="00CF6F45">
        <w:rPr>
          <w:b/>
        </w:rPr>
        <w:t>Kvantifikace nákladů:</w:t>
      </w:r>
    </w:p>
    <w:p w:rsidR="006539D7" w:rsidRDefault="00C65FBD" w:rsidP="003E4A5D">
      <w:pPr>
        <w:pStyle w:val="Text-Normaln"/>
        <w:widowControl w:val="0"/>
      </w:pPr>
      <w:r w:rsidRPr="00C65FBD">
        <w:t>P</w:t>
      </w:r>
      <w:r>
        <w:t xml:space="preserve">ředem veškerých úvah uveďme celková čísla za počet pracovníků a počet úvazků, které sleduje </w:t>
      </w:r>
      <w:r w:rsidR="005C185C" w:rsidRPr="005C185C">
        <w:t xml:space="preserve">Ústav územního rozvoje </w:t>
      </w:r>
      <w:r w:rsidR="005C185C">
        <w:t>(</w:t>
      </w:r>
      <w:r>
        <w:t>ÚÚR</w:t>
      </w:r>
      <w:r w:rsidR="005C185C">
        <w:t>)</w:t>
      </w:r>
      <w:r w:rsidR="00570CC1">
        <w:t>,</w:t>
      </w:r>
      <w:r>
        <w:t xml:space="preserve"> a ze kterých budeme při hodnocení variant vycházet. </w:t>
      </w:r>
    </w:p>
    <w:p w:rsidR="006539D7" w:rsidRDefault="006539D7">
      <w:pPr>
        <w:spacing w:before="0" w:after="0"/>
        <w:jc w:val="left"/>
      </w:pPr>
      <w:r>
        <w:br w:type="page"/>
      </w:r>
    </w:p>
    <w:p w:rsidR="00C65FBD" w:rsidRDefault="00C65FBD" w:rsidP="000E635F">
      <w:pPr>
        <w:pStyle w:val="Text-Normaln"/>
        <w:widowControl w:val="0"/>
      </w:pPr>
      <w:r>
        <w:lastRenderedPageBreak/>
        <w:t xml:space="preserve">Tabulka </w:t>
      </w:r>
      <w:r w:rsidR="00AB65E9">
        <w:rPr>
          <w:noProof/>
        </w:rPr>
        <w:fldChar w:fldCharType="begin"/>
      </w:r>
      <w:r w:rsidR="007B0D8A">
        <w:rPr>
          <w:noProof/>
        </w:rPr>
        <w:instrText xml:space="preserve"> SEQ Tabulka \* ARABIC </w:instrText>
      </w:r>
      <w:r w:rsidR="00AB65E9">
        <w:rPr>
          <w:noProof/>
        </w:rPr>
        <w:fldChar w:fldCharType="separate"/>
      </w:r>
      <w:r w:rsidR="00263A1B">
        <w:rPr>
          <w:noProof/>
        </w:rPr>
        <w:t>16</w:t>
      </w:r>
      <w:r w:rsidR="00AB65E9">
        <w:rPr>
          <w:noProof/>
        </w:rPr>
        <w:fldChar w:fldCharType="end"/>
      </w:r>
      <w:r>
        <w:t>: Počty pracovníků a úvazků na klíčových úřadech vykonávajících úkoly stanovené stavebním zákonem, které mapuje ÚÚR</w:t>
      </w:r>
      <w:r w:rsidR="00022484">
        <w:t xml:space="preserve"> </w:t>
      </w:r>
    </w:p>
    <w:tbl>
      <w:tblPr>
        <w:tblStyle w:val="Svtlstnovn1"/>
        <w:tblW w:w="0" w:type="auto"/>
        <w:tblInd w:w="108" w:type="dxa"/>
        <w:tblLook w:val="04A0" w:firstRow="1" w:lastRow="0" w:firstColumn="1" w:lastColumn="0" w:noHBand="0" w:noVBand="1"/>
      </w:tblPr>
      <w:tblGrid>
        <w:gridCol w:w="3275"/>
        <w:gridCol w:w="3017"/>
        <w:gridCol w:w="2780"/>
      </w:tblGrid>
      <w:tr w:rsidR="00C65FBD" w:rsidRPr="00016999" w:rsidTr="00CA4A83">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widowControl w:val="0"/>
              <w:spacing w:before="0" w:after="0"/>
              <w:rPr>
                <w:sz w:val="20"/>
                <w:szCs w:val="20"/>
              </w:rPr>
            </w:pPr>
          </w:p>
        </w:tc>
        <w:tc>
          <w:tcPr>
            <w:tcW w:w="3017" w:type="dxa"/>
            <w:vAlign w:val="center"/>
          </w:tcPr>
          <w:p w:rsidR="00C65FBD" w:rsidRPr="00016999" w:rsidRDefault="00C65FBD"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16999">
              <w:rPr>
                <w:sz w:val="20"/>
                <w:szCs w:val="20"/>
              </w:rPr>
              <w:t>Počet pracovníků</w:t>
            </w:r>
          </w:p>
        </w:tc>
        <w:tc>
          <w:tcPr>
            <w:tcW w:w="2780" w:type="dxa"/>
            <w:vAlign w:val="center"/>
          </w:tcPr>
          <w:p w:rsidR="00C65FBD" w:rsidRPr="00016999" w:rsidRDefault="00C65FBD"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16999">
              <w:rPr>
                <w:sz w:val="20"/>
                <w:szCs w:val="20"/>
              </w:rPr>
              <w:t>Počet úvazků</w:t>
            </w:r>
          </w:p>
        </w:tc>
      </w:tr>
      <w:tr w:rsidR="00C65FBD" w:rsidRPr="00016999" w:rsidTr="00CA4A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widowControl w:val="0"/>
              <w:spacing w:before="0" w:after="0"/>
              <w:rPr>
                <w:sz w:val="20"/>
                <w:szCs w:val="20"/>
              </w:rPr>
            </w:pPr>
            <w:r w:rsidRPr="00016999">
              <w:rPr>
                <w:sz w:val="20"/>
                <w:szCs w:val="20"/>
              </w:rPr>
              <w:t>ÚÚP - prvoinstanční</w:t>
            </w:r>
          </w:p>
        </w:tc>
        <w:tc>
          <w:tcPr>
            <w:tcW w:w="3017" w:type="dxa"/>
            <w:vAlign w:val="center"/>
          </w:tcPr>
          <w:p w:rsidR="00C65FBD" w:rsidRPr="00016999"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016999">
              <w:rPr>
                <w:sz w:val="20"/>
                <w:szCs w:val="20"/>
              </w:rPr>
              <w:t>803</w:t>
            </w:r>
          </w:p>
        </w:tc>
        <w:tc>
          <w:tcPr>
            <w:tcW w:w="2780" w:type="dxa"/>
            <w:vAlign w:val="center"/>
          </w:tcPr>
          <w:p w:rsidR="00C65FBD" w:rsidRPr="00016999"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016999">
              <w:rPr>
                <w:sz w:val="20"/>
                <w:szCs w:val="20"/>
              </w:rPr>
              <w:t>691</w:t>
            </w:r>
          </w:p>
        </w:tc>
      </w:tr>
      <w:tr w:rsidR="00C65FBD" w:rsidRPr="00016999" w:rsidTr="00CA4A83">
        <w:trPr>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widowControl w:val="0"/>
              <w:spacing w:before="0" w:after="0"/>
              <w:rPr>
                <w:sz w:val="20"/>
                <w:szCs w:val="20"/>
              </w:rPr>
            </w:pPr>
            <w:r w:rsidRPr="00016999">
              <w:rPr>
                <w:sz w:val="20"/>
                <w:szCs w:val="20"/>
              </w:rPr>
              <w:t>ÚÚP - druhoinstanční</w:t>
            </w:r>
          </w:p>
        </w:tc>
        <w:tc>
          <w:tcPr>
            <w:tcW w:w="3017" w:type="dxa"/>
            <w:vAlign w:val="center"/>
          </w:tcPr>
          <w:p w:rsidR="00C65FBD" w:rsidRPr="00016999" w:rsidRDefault="00C65FBD"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016999">
              <w:rPr>
                <w:sz w:val="20"/>
                <w:szCs w:val="20"/>
              </w:rPr>
              <w:t>158</w:t>
            </w:r>
          </w:p>
        </w:tc>
        <w:tc>
          <w:tcPr>
            <w:tcW w:w="2780" w:type="dxa"/>
            <w:vAlign w:val="center"/>
          </w:tcPr>
          <w:p w:rsidR="00C65FBD" w:rsidRPr="00016999" w:rsidRDefault="00C65FBD"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016999">
              <w:rPr>
                <w:sz w:val="20"/>
                <w:szCs w:val="20"/>
              </w:rPr>
              <w:t>156</w:t>
            </w:r>
          </w:p>
        </w:tc>
      </w:tr>
      <w:tr w:rsidR="00C65FBD" w:rsidRPr="00016999" w:rsidTr="00CA4A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widowControl w:val="0"/>
              <w:spacing w:before="0" w:after="0"/>
              <w:rPr>
                <w:sz w:val="20"/>
                <w:szCs w:val="20"/>
              </w:rPr>
            </w:pPr>
            <w:r w:rsidRPr="00016999">
              <w:rPr>
                <w:sz w:val="20"/>
                <w:szCs w:val="20"/>
              </w:rPr>
              <w:t>OSÚ - prvoinstanční</w:t>
            </w:r>
          </w:p>
        </w:tc>
        <w:tc>
          <w:tcPr>
            <w:tcW w:w="3017" w:type="dxa"/>
            <w:vAlign w:val="center"/>
          </w:tcPr>
          <w:p w:rsidR="00C65FBD" w:rsidRPr="00016999"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016999">
              <w:rPr>
                <w:sz w:val="20"/>
                <w:szCs w:val="20"/>
              </w:rPr>
              <w:t>3 507</w:t>
            </w:r>
          </w:p>
        </w:tc>
        <w:tc>
          <w:tcPr>
            <w:tcW w:w="2780" w:type="dxa"/>
            <w:vAlign w:val="center"/>
          </w:tcPr>
          <w:p w:rsidR="00C65FBD" w:rsidRPr="00016999"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016999">
              <w:rPr>
                <w:sz w:val="20"/>
                <w:szCs w:val="20"/>
              </w:rPr>
              <w:t>3 350</w:t>
            </w:r>
          </w:p>
        </w:tc>
      </w:tr>
      <w:tr w:rsidR="00C65FBD" w:rsidRPr="00016999" w:rsidTr="00CA4A83">
        <w:trPr>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widowControl w:val="0"/>
              <w:spacing w:before="0" w:after="0"/>
              <w:rPr>
                <w:sz w:val="20"/>
                <w:szCs w:val="20"/>
              </w:rPr>
            </w:pPr>
            <w:r w:rsidRPr="00016999">
              <w:rPr>
                <w:sz w:val="20"/>
                <w:szCs w:val="20"/>
              </w:rPr>
              <w:t>OSÚ - druhoinstanční</w:t>
            </w:r>
          </w:p>
        </w:tc>
        <w:tc>
          <w:tcPr>
            <w:tcW w:w="3017" w:type="dxa"/>
            <w:vAlign w:val="center"/>
          </w:tcPr>
          <w:p w:rsidR="00C65FBD" w:rsidRPr="00016999" w:rsidRDefault="00C65FBD"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016999">
              <w:rPr>
                <w:sz w:val="20"/>
                <w:szCs w:val="20"/>
              </w:rPr>
              <w:t>235</w:t>
            </w:r>
          </w:p>
        </w:tc>
        <w:tc>
          <w:tcPr>
            <w:tcW w:w="2780" w:type="dxa"/>
            <w:vAlign w:val="center"/>
          </w:tcPr>
          <w:p w:rsidR="00C65FBD" w:rsidRPr="00016999" w:rsidRDefault="00C65FBD"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016999">
              <w:rPr>
                <w:sz w:val="20"/>
                <w:szCs w:val="20"/>
              </w:rPr>
              <w:t>217</w:t>
            </w:r>
          </w:p>
        </w:tc>
      </w:tr>
      <w:tr w:rsidR="00C65FBD" w:rsidRPr="00016999" w:rsidTr="00CA4A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widowControl w:val="0"/>
              <w:spacing w:before="0" w:after="0"/>
              <w:rPr>
                <w:sz w:val="20"/>
                <w:szCs w:val="20"/>
              </w:rPr>
            </w:pPr>
            <w:r w:rsidRPr="00016999">
              <w:rPr>
                <w:sz w:val="20"/>
                <w:szCs w:val="20"/>
              </w:rPr>
              <w:t>SSÚ – D</w:t>
            </w:r>
          </w:p>
        </w:tc>
        <w:tc>
          <w:tcPr>
            <w:tcW w:w="3017" w:type="dxa"/>
            <w:vAlign w:val="center"/>
          </w:tcPr>
          <w:p w:rsidR="00C65FBD" w:rsidRPr="00016999"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016999">
              <w:rPr>
                <w:sz w:val="20"/>
                <w:szCs w:val="20"/>
              </w:rPr>
              <w:t>900</w:t>
            </w:r>
          </w:p>
        </w:tc>
        <w:tc>
          <w:tcPr>
            <w:tcW w:w="2780" w:type="dxa"/>
            <w:vAlign w:val="center"/>
          </w:tcPr>
          <w:p w:rsidR="00C65FBD" w:rsidRPr="00016999"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016999">
              <w:rPr>
                <w:sz w:val="20"/>
                <w:szCs w:val="20"/>
              </w:rPr>
              <w:t>687</w:t>
            </w:r>
          </w:p>
        </w:tc>
      </w:tr>
      <w:tr w:rsidR="00C65FBD" w:rsidRPr="00016999" w:rsidTr="00CA4A83">
        <w:trPr>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pStyle w:val="Text-Normaln"/>
              <w:widowControl w:val="0"/>
              <w:spacing w:before="0" w:after="0"/>
              <w:rPr>
                <w:sz w:val="20"/>
                <w:szCs w:val="20"/>
              </w:rPr>
            </w:pPr>
            <w:r w:rsidRPr="00016999">
              <w:rPr>
                <w:sz w:val="20"/>
                <w:szCs w:val="20"/>
              </w:rPr>
              <w:t>Druhoinstanční SSÚ - D</w:t>
            </w:r>
          </w:p>
        </w:tc>
        <w:tc>
          <w:tcPr>
            <w:tcW w:w="3017" w:type="dxa"/>
            <w:vAlign w:val="center"/>
          </w:tcPr>
          <w:p w:rsidR="00C65FBD" w:rsidRPr="00016999" w:rsidRDefault="00C65FBD"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016999">
              <w:rPr>
                <w:sz w:val="20"/>
                <w:szCs w:val="20"/>
              </w:rPr>
              <w:t>81</w:t>
            </w:r>
          </w:p>
        </w:tc>
        <w:tc>
          <w:tcPr>
            <w:tcW w:w="2780" w:type="dxa"/>
            <w:vAlign w:val="center"/>
          </w:tcPr>
          <w:p w:rsidR="00C65FBD" w:rsidRPr="00016999" w:rsidRDefault="00C65FBD"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016999">
              <w:rPr>
                <w:sz w:val="20"/>
                <w:szCs w:val="20"/>
              </w:rPr>
              <w:t>52</w:t>
            </w:r>
          </w:p>
        </w:tc>
      </w:tr>
      <w:tr w:rsidR="00C65FBD" w:rsidRPr="00016999" w:rsidTr="00CA4A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pStyle w:val="Text-Normaln"/>
              <w:widowControl w:val="0"/>
              <w:spacing w:before="0" w:after="0"/>
              <w:rPr>
                <w:sz w:val="20"/>
                <w:szCs w:val="20"/>
              </w:rPr>
            </w:pPr>
            <w:r w:rsidRPr="00016999">
              <w:rPr>
                <w:sz w:val="20"/>
                <w:szCs w:val="20"/>
              </w:rPr>
              <w:t>SSÚ – V – první instance</w:t>
            </w:r>
          </w:p>
        </w:tc>
        <w:tc>
          <w:tcPr>
            <w:tcW w:w="3017" w:type="dxa"/>
            <w:vAlign w:val="center"/>
          </w:tcPr>
          <w:p w:rsidR="00C65FBD" w:rsidRPr="00016999"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016999">
              <w:rPr>
                <w:sz w:val="20"/>
                <w:szCs w:val="20"/>
              </w:rPr>
              <w:t>672</w:t>
            </w:r>
          </w:p>
        </w:tc>
        <w:tc>
          <w:tcPr>
            <w:tcW w:w="2780" w:type="dxa"/>
            <w:vAlign w:val="center"/>
          </w:tcPr>
          <w:p w:rsidR="00C65FBD" w:rsidRPr="00016999"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016999">
              <w:rPr>
                <w:sz w:val="20"/>
                <w:szCs w:val="20"/>
              </w:rPr>
              <w:t>595</w:t>
            </w:r>
          </w:p>
        </w:tc>
      </w:tr>
      <w:tr w:rsidR="00C65FBD" w:rsidRPr="00016999" w:rsidTr="00CA4A83">
        <w:trPr>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016999" w:rsidRDefault="00C65FBD" w:rsidP="003E4A5D">
            <w:pPr>
              <w:pStyle w:val="Text-Normaln"/>
              <w:widowControl w:val="0"/>
              <w:spacing w:before="0" w:after="0"/>
              <w:rPr>
                <w:sz w:val="20"/>
                <w:szCs w:val="20"/>
              </w:rPr>
            </w:pPr>
            <w:r w:rsidRPr="00016999">
              <w:rPr>
                <w:sz w:val="20"/>
                <w:szCs w:val="20"/>
              </w:rPr>
              <w:t>SSÚ – V – druhá instance</w:t>
            </w:r>
          </w:p>
        </w:tc>
        <w:tc>
          <w:tcPr>
            <w:tcW w:w="3017" w:type="dxa"/>
            <w:vAlign w:val="center"/>
          </w:tcPr>
          <w:p w:rsidR="00C65FBD" w:rsidRPr="00016999" w:rsidRDefault="00C65FBD"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016999">
              <w:rPr>
                <w:sz w:val="20"/>
                <w:szCs w:val="20"/>
              </w:rPr>
              <w:t>114</w:t>
            </w:r>
          </w:p>
        </w:tc>
        <w:tc>
          <w:tcPr>
            <w:tcW w:w="2780" w:type="dxa"/>
            <w:vAlign w:val="center"/>
          </w:tcPr>
          <w:p w:rsidR="00C65FBD" w:rsidRPr="00016999" w:rsidRDefault="00C65FBD"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016999">
              <w:rPr>
                <w:sz w:val="20"/>
                <w:szCs w:val="20"/>
              </w:rPr>
              <w:t>101</w:t>
            </w:r>
          </w:p>
        </w:tc>
      </w:tr>
      <w:tr w:rsidR="00C65FBD" w:rsidRPr="00016999" w:rsidTr="00CA4A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75" w:type="dxa"/>
            <w:vAlign w:val="center"/>
          </w:tcPr>
          <w:p w:rsidR="00C65FBD" w:rsidRPr="00C65FBD" w:rsidRDefault="00C65FBD" w:rsidP="003E4A5D">
            <w:pPr>
              <w:pStyle w:val="Text-Normaln"/>
              <w:widowControl w:val="0"/>
              <w:spacing w:before="0" w:after="0"/>
              <w:rPr>
                <w:sz w:val="20"/>
                <w:szCs w:val="20"/>
              </w:rPr>
            </w:pPr>
          </w:p>
        </w:tc>
        <w:tc>
          <w:tcPr>
            <w:tcW w:w="3017" w:type="dxa"/>
            <w:vAlign w:val="center"/>
          </w:tcPr>
          <w:p w:rsidR="00C65FBD" w:rsidRPr="00C65FBD"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b/>
                <w:sz w:val="20"/>
                <w:szCs w:val="20"/>
              </w:rPr>
            </w:pPr>
            <w:r w:rsidRPr="00C65FBD">
              <w:rPr>
                <w:b/>
                <w:sz w:val="20"/>
                <w:szCs w:val="20"/>
              </w:rPr>
              <w:t>6 470</w:t>
            </w:r>
          </w:p>
        </w:tc>
        <w:tc>
          <w:tcPr>
            <w:tcW w:w="2780" w:type="dxa"/>
            <w:vAlign w:val="center"/>
          </w:tcPr>
          <w:p w:rsidR="00C65FBD" w:rsidRPr="00C65FBD" w:rsidRDefault="00C65FBD"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b/>
                <w:sz w:val="20"/>
                <w:szCs w:val="20"/>
              </w:rPr>
            </w:pPr>
            <w:r w:rsidRPr="00C65FBD">
              <w:rPr>
                <w:b/>
                <w:sz w:val="20"/>
                <w:szCs w:val="20"/>
              </w:rPr>
              <w:t>5 849</w:t>
            </w:r>
          </w:p>
        </w:tc>
      </w:tr>
    </w:tbl>
    <w:p w:rsidR="00F75BB5" w:rsidRPr="0089559F" w:rsidRDefault="00C65FBD" w:rsidP="0089559F">
      <w:pPr>
        <w:pStyle w:val="Citt"/>
      </w:pPr>
      <w:r>
        <w:t>Zdroj: ÚÚR</w:t>
      </w:r>
    </w:p>
    <w:p w:rsidR="00430A29" w:rsidRPr="009910DF" w:rsidRDefault="009910DF" w:rsidP="003E4A5D">
      <w:pPr>
        <w:widowControl w:val="0"/>
        <w:rPr>
          <w:u w:val="single"/>
        </w:rPr>
      </w:pPr>
      <w:r w:rsidRPr="009910DF">
        <w:rPr>
          <w:u w:val="single"/>
        </w:rPr>
        <w:t>Varianta 1</w:t>
      </w:r>
    </w:p>
    <w:p w:rsidR="00C65FBD" w:rsidRDefault="00C65FBD" w:rsidP="003E4A5D">
      <w:pPr>
        <w:widowControl w:val="0"/>
      </w:pPr>
      <w:r w:rsidRPr="00C65FBD">
        <w:t>Ne</w:t>
      </w:r>
      <w:r>
        <w:t>j</w:t>
      </w:r>
      <w:r w:rsidRPr="00C65FBD">
        <w:t>významn</w:t>
      </w:r>
      <w:r>
        <w:t xml:space="preserve">ějším nákladem Varianty 1 bude zřízení inspekce, která bude dle výše uvedené definice kontrolovat výkon ÚÚP, OSÚ a SSÚ. Pro přiblížení její náplně činnosti využijeme Výroční zprávy Ministerstva kultury </w:t>
      </w:r>
      <w:r w:rsidR="00A63E61">
        <w:t xml:space="preserve">(MK) </w:t>
      </w:r>
      <w:r>
        <w:t>2017, v</w:t>
      </w:r>
      <w:r w:rsidR="00A63E61">
        <w:t xml:space="preserve"> jehož </w:t>
      </w:r>
      <w:r>
        <w:t>rámci funguje obdobně Památková inspekce.</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962"/>
      </w:tblGrid>
      <w:tr w:rsidR="00A63E61" w:rsidRPr="00A63E61" w:rsidTr="00E00D9F">
        <w:tc>
          <w:tcPr>
            <w:tcW w:w="8962" w:type="dxa"/>
            <w:shd w:val="clear" w:color="auto" w:fill="D9D9D9" w:themeFill="background1" w:themeFillShade="D9"/>
          </w:tcPr>
          <w:p w:rsidR="001836FC" w:rsidRDefault="001836FC" w:rsidP="003E4A5D">
            <w:pPr>
              <w:pStyle w:val="Titulek"/>
            </w:pPr>
            <w:r>
              <w:t xml:space="preserve">Box </w:t>
            </w:r>
            <w:r w:rsidR="00570CC1">
              <w:rPr>
                <w:noProof/>
              </w:rPr>
              <w:t>5</w:t>
            </w:r>
          </w:p>
          <w:p w:rsidR="001836FC" w:rsidRPr="001836FC" w:rsidRDefault="001836FC" w:rsidP="003E4A5D">
            <w:pPr>
              <w:widowControl w:val="0"/>
              <w:rPr>
                <w:b/>
                <w:i/>
                <w:sz w:val="20"/>
                <w:szCs w:val="20"/>
              </w:rPr>
            </w:pPr>
            <w:r w:rsidRPr="001836FC">
              <w:rPr>
                <w:b/>
                <w:sz w:val="20"/>
                <w:szCs w:val="20"/>
              </w:rPr>
              <w:t>Činnost Památkové inspekce (PI) v roce 2017</w:t>
            </w:r>
          </w:p>
          <w:p w:rsidR="00A63E61" w:rsidRPr="00A63E61" w:rsidRDefault="00A63E61" w:rsidP="003E4A5D">
            <w:pPr>
              <w:widowControl w:val="0"/>
              <w:rPr>
                <w:i/>
                <w:sz w:val="20"/>
                <w:szCs w:val="20"/>
              </w:rPr>
            </w:pPr>
            <w:r w:rsidRPr="00A63E61">
              <w:rPr>
                <w:i/>
                <w:sz w:val="20"/>
                <w:szCs w:val="20"/>
              </w:rPr>
              <w:t xml:space="preserve">„PI v roce 2017 prováděla systematickou kontrolu krajských úřadů v souladu s usnesením vlády ČR č. 689 ze dne 11. září 2013 na základě harmonogramu Ministerstva vnitra. Podle ustanovení </w:t>
            </w:r>
            <w:r>
              <w:rPr>
                <w:i/>
                <w:sz w:val="20"/>
                <w:szCs w:val="20"/>
              </w:rPr>
              <w:t>…</w:t>
            </w:r>
            <w:r w:rsidRPr="00A63E61">
              <w:rPr>
                <w:i/>
                <w:sz w:val="20"/>
                <w:szCs w:val="20"/>
              </w:rPr>
              <w:t xml:space="preserve"> zákona o státní památkové péči byl předmětem kontrol výkon státní správy na úseku státní památkové péče prováděný krajskými úřady. Kontrolovány byly krajské úřady krajů Jihomoravského, Olomouckého, Plzeňského, Středočeského a Ústeckého.</w:t>
            </w:r>
          </w:p>
          <w:p w:rsidR="00A63E61" w:rsidRPr="00A63E61" w:rsidRDefault="00A63E61" w:rsidP="003E4A5D">
            <w:pPr>
              <w:widowControl w:val="0"/>
              <w:rPr>
                <w:i/>
                <w:sz w:val="20"/>
                <w:szCs w:val="20"/>
              </w:rPr>
            </w:pPr>
            <w:r w:rsidRPr="00A63E61">
              <w:rPr>
                <w:i/>
                <w:sz w:val="20"/>
                <w:szCs w:val="20"/>
              </w:rPr>
              <w:t>Kontrolována byla agenda za rok 2016 formou výběrového vzorku spisového materiálu. Jeho výběr byl koncipován standardním způsobem jako kombinovaný – jednak náhodný, s ohledem na to, aby pokud možno pokrýval celé spektrum výkonu státní památkové péče kontrolovaným subjektem, jednak cílený v případech, kdy byla sledována činnost kontrolovaného úřadu ve věci, která se týkala předchozích návrhů opatření PI nebo která se stala předmětem podnětů a stížností různých osob.</w:t>
            </w:r>
          </w:p>
          <w:p w:rsidR="00A63E61" w:rsidRPr="00A63E61" w:rsidRDefault="00A63E61" w:rsidP="003E4A5D">
            <w:pPr>
              <w:widowControl w:val="0"/>
              <w:rPr>
                <w:i/>
                <w:sz w:val="20"/>
                <w:szCs w:val="20"/>
              </w:rPr>
            </w:pPr>
            <w:r w:rsidRPr="00A63E61">
              <w:rPr>
                <w:i/>
                <w:sz w:val="20"/>
                <w:szCs w:val="20"/>
              </w:rPr>
              <w:t xml:space="preserve">V kontrolovaných spisových materiálech po věcné stránce převažovala rozhodnutí a závazná stanoviska vydaná v návrhovém řízení v 1. stupni </w:t>
            </w:r>
            <w:r>
              <w:rPr>
                <w:i/>
                <w:sz w:val="20"/>
                <w:szCs w:val="20"/>
              </w:rPr>
              <w:t>…</w:t>
            </w:r>
            <w:r w:rsidRPr="00A63E61">
              <w:rPr>
                <w:i/>
                <w:sz w:val="20"/>
                <w:szCs w:val="20"/>
              </w:rPr>
              <w:t>, tj. závazná stanoviska k obnově národních kulturních památek a kulturních památek. Spisový materiál byl konfrontován s fyzickým stavem předmětu řízení. Zásadním a opakujícím se kontrolním zjištěním bylo porušení § 14 odst. 3 zákona o státní památkové péči; základní podmínky, za nichž bylo možno obnovu národní kulturní památky připravovat a provést, nebyly stanoveny dostatečně určitě a mnohdy nevycházely z poznání kulturně-historických hodnot, které bylo nutno při umožnění realizace zamýšlených prací zachovat. Z kontrolního vzorku současně vyplynulo, že v praxi se dosud nevžila nová povinnost uvádět míru zavinění ve výroku rozhodnutí o přestupku.</w:t>
            </w:r>
          </w:p>
          <w:p w:rsidR="00A63E61" w:rsidRPr="00A63E61" w:rsidRDefault="00A63E61" w:rsidP="003E4A5D">
            <w:pPr>
              <w:widowControl w:val="0"/>
              <w:rPr>
                <w:i/>
                <w:sz w:val="20"/>
                <w:szCs w:val="20"/>
              </w:rPr>
            </w:pPr>
            <w:r w:rsidRPr="00A63E61">
              <w:rPr>
                <w:i/>
                <w:sz w:val="20"/>
                <w:szCs w:val="20"/>
              </w:rPr>
              <w:t>Na krajských úřadech dále byla kontrolována agenda 2. stupně, tj. rozhodování o řádných a mimořádných opravných prostředcích podaných do rozhodnutí úřadů obcí s rozšířenou působností. Zde byl zjištěn, podobně jako v předchozích letech, menší počet nedostatků. V rámci odvolacích a přezkumných řízení nezjistila PI systémové opakující se pochybení, přičemž je třeba konstatovat, že v kontrolovaném období se dílčí pochybení vyskytovala v této souvislosti nejčastěji v sankčních řízeních.</w:t>
            </w:r>
          </w:p>
          <w:p w:rsidR="00A63E61" w:rsidRPr="00A63E61" w:rsidRDefault="00A63E61" w:rsidP="003E4A5D">
            <w:pPr>
              <w:widowControl w:val="0"/>
              <w:rPr>
                <w:sz w:val="20"/>
                <w:szCs w:val="20"/>
              </w:rPr>
            </w:pPr>
            <w:r w:rsidRPr="00A63E61">
              <w:rPr>
                <w:i/>
                <w:sz w:val="20"/>
                <w:szCs w:val="20"/>
              </w:rPr>
              <w:t xml:space="preserve">PI dále sledovala, jak krajské úřady provádějí kontroly výkonu státní správy na úseku státní památkové péče na obecních úřadech obcí s rozšířenou působností </w:t>
            </w:r>
            <w:r>
              <w:rPr>
                <w:i/>
                <w:sz w:val="20"/>
                <w:szCs w:val="20"/>
              </w:rPr>
              <w:t>…</w:t>
            </w:r>
            <w:r w:rsidRPr="00A63E61">
              <w:rPr>
                <w:i/>
                <w:sz w:val="20"/>
                <w:szCs w:val="20"/>
              </w:rPr>
              <w:t xml:space="preserve"> a jak metodicky řídí výkon státní památkové péče v kraji </w:t>
            </w:r>
            <w:r>
              <w:rPr>
                <w:i/>
                <w:sz w:val="20"/>
                <w:szCs w:val="20"/>
              </w:rPr>
              <w:t>..</w:t>
            </w:r>
            <w:r w:rsidRPr="00A63E61">
              <w:rPr>
                <w:i/>
                <w:sz w:val="20"/>
                <w:szCs w:val="20"/>
              </w:rPr>
              <w:t>.“ (Výroční zpráva Ministerstva kultury za rok 2017</w:t>
            </w:r>
            <w:r w:rsidR="002A1C03">
              <w:rPr>
                <w:i/>
                <w:sz w:val="20"/>
                <w:szCs w:val="20"/>
              </w:rPr>
              <w:t xml:space="preserve"> (VZ MK 2017)</w:t>
            </w:r>
            <w:r w:rsidRPr="00A63E61">
              <w:rPr>
                <w:i/>
                <w:sz w:val="20"/>
                <w:szCs w:val="20"/>
              </w:rPr>
              <w:t>)</w:t>
            </w:r>
          </w:p>
        </w:tc>
      </w:tr>
    </w:tbl>
    <w:p w:rsidR="002A1C03" w:rsidRDefault="00A63E61" w:rsidP="003E4A5D">
      <w:pPr>
        <w:pStyle w:val="Text-Normaln"/>
        <w:widowControl w:val="0"/>
      </w:pPr>
      <w:r w:rsidRPr="00A63E61">
        <w:t xml:space="preserve">Pokud budeme uvažovat, že </w:t>
      </w:r>
      <w:r>
        <w:t xml:space="preserve">odbor PI při MK spotřeboval </w:t>
      </w:r>
      <w:r w:rsidR="002A1C03">
        <w:t xml:space="preserve">v roce 2017 </w:t>
      </w:r>
      <w:r>
        <w:t xml:space="preserve">na svou činnost </w:t>
      </w:r>
      <w:r w:rsidR="002A1C03">
        <w:t>75</w:t>
      </w:r>
      <w:r w:rsidR="00CB4895">
        <w:t xml:space="preserve"> 200</w:t>
      </w:r>
      <w:r w:rsidR="00F259A8">
        <w:t> </w:t>
      </w:r>
      <w:r w:rsidR="002A1C03">
        <w:t xml:space="preserve">Kč a při počtu </w:t>
      </w:r>
      <w:r w:rsidR="00CB4895">
        <w:t>7</w:t>
      </w:r>
      <w:r w:rsidR="002A1C03">
        <w:t xml:space="preserve"> zaměstnanců a průměrném platu na </w:t>
      </w:r>
      <w:r w:rsidR="00CB4895">
        <w:t>PI</w:t>
      </w:r>
      <w:r w:rsidR="002A1C03">
        <w:t xml:space="preserve"> dle </w:t>
      </w:r>
      <w:r w:rsidR="00CB4895">
        <w:t>informací PI</w:t>
      </w:r>
      <w:r w:rsidR="002A1C03">
        <w:t xml:space="preserve"> ve výši </w:t>
      </w:r>
      <w:r w:rsidR="00CB4895" w:rsidRPr="00CB4895">
        <w:t>41</w:t>
      </w:r>
      <w:r w:rsidR="00CB4895">
        <w:t xml:space="preserve"> </w:t>
      </w:r>
      <w:r w:rsidR="00CB4895" w:rsidRPr="00CB4895">
        <w:t>870</w:t>
      </w:r>
      <w:r w:rsidR="002A1C03">
        <w:t xml:space="preserve"> Kč se mohou </w:t>
      </w:r>
      <w:r w:rsidR="00CB4895">
        <w:t xml:space="preserve">v případě zřízení nové inspekce po vzoru PI </w:t>
      </w:r>
      <w:r w:rsidR="002A1C03">
        <w:t>roční náklady pohybovat řádově okolo 0,</w:t>
      </w:r>
      <w:r w:rsidR="00CB4895">
        <w:t>1</w:t>
      </w:r>
      <w:r w:rsidR="002A1C03">
        <w:t xml:space="preserve"> mil. Kč</w:t>
      </w:r>
      <w:r w:rsidR="00585D0F">
        <w:t xml:space="preserve"> na jednoho zaměstnance</w:t>
      </w:r>
      <w:r w:rsidR="002A1C03">
        <w:t xml:space="preserve">. Pokud na základě údajů ve zveřejněných výročních </w:t>
      </w:r>
      <w:r w:rsidR="00FD278E">
        <w:t xml:space="preserve">zprávách obcí a krajů odhadneme počet úředníků na prvoinstančních i druhoinstančních úřadech památkové péče na 400, dojdeme při poměrném navýšení částky zohledňujícím počet zaměstnanců na ÚÚP, OSÚ a SSÚ k přibližnému rozpočtu </w:t>
      </w:r>
      <w:r w:rsidR="006078CC">
        <w:t>1,6</w:t>
      </w:r>
      <w:r w:rsidR="00FD278E">
        <w:t xml:space="preserve"> mil. Kč.</w:t>
      </w:r>
      <w:r w:rsidR="00FB46CF">
        <w:t xml:space="preserve"> </w:t>
      </w:r>
    </w:p>
    <w:p w:rsidR="007E62EE" w:rsidRPr="00FD278E" w:rsidRDefault="007E62EE" w:rsidP="003E4A5D">
      <w:pPr>
        <w:pStyle w:val="Text-Normaln"/>
        <w:widowControl w:val="0"/>
        <w:rPr>
          <w:u w:val="single"/>
        </w:rPr>
      </w:pPr>
      <w:r w:rsidRPr="00FD278E">
        <w:rPr>
          <w:u w:val="single"/>
        </w:rPr>
        <w:lastRenderedPageBreak/>
        <w:t>Varianta 2</w:t>
      </w:r>
    </w:p>
    <w:p w:rsidR="003D6CD3" w:rsidRDefault="00E747E5" w:rsidP="003E4A5D">
      <w:pPr>
        <w:widowControl w:val="0"/>
        <w:spacing w:after="0"/>
      </w:pPr>
      <w:r w:rsidRPr="008712FB">
        <w:t xml:space="preserve">V resortu </w:t>
      </w:r>
      <w:r w:rsidR="006539D7" w:rsidRPr="008712FB">
        <w:t xml:space="preserve">ČÚZK </w:t>
      </w:r>
      <w:r w:rsidR="003D6CD3" w:rsidRPr="008712FB">
        <w:t xml:space="preserve">bylo </w:t>
      </w:r>
      <w:r w:rsidRPr="008712FB">
        <w:t xml:space="preserve">k 31. 12. 2017 </w:t>
      </w:r>
      <w:r w:rsidR="003D6CD3" w:rsidRPr="008712FB">
        <w:t xml:space="preserve">zaměstnáno celkem 5 041 osob, z toho 4 658 zaměstnanců na služebních místech a 383 zaměstnanců na místech pracovních. </w:t>
      </w:r>
      <w:r w:rsidRPr="008712FB">
        <w:t>V nové soustavě stavební správy se předpokládá podobný počet osob. Níže uvedené údaje mohou</w:t>
      </w:r>
      <w:r>
        <w:t xml:space="preserve"> </w:t>
      </w:r>
      <w:r w:rsidR="00A1018F">
        <w:t>napovědět, jaké</w:t>
      </w:r>
      <w:r>
        <w:t xml:space="preserve"> náklady budou spojené s </w:t>
      </w:r>
      <w:r w:rsidR="00A1018F">
        <w:t>novou</w:t>
      </w:r>
      <w:r>
        <w:t xml:space="preserve"> stavební správ</w:t>
      </w:r>
      <w:r w:rsidR="00A1018F">
        <w:t>ou</w:t>
      </w:r>
      <w:r>
        <w:t>.</w:t>
      </w:r>
    </w:p>
    <w:p w:rsidR="003D6CD3" w:rsidRDefault="003D6CD3" w:rsidP="003E4A5D">
      <w:pPr>
        <w:widowControl w:val="0"/>
        <w:spacing w:after="0"/>
      </w:pPr>
      <w:r>
        <w:t xml:space="preserve">Celkové výdaje v roce 2017 dosáhly 3 108,3 mil. Kč. Největší část tvořily prostředky na platy zaměstnanců včetně pojistného a FKSP, tvořící 74,6 % celkových výdajů. Průměrný měsíční příjem u státních zaměstnanců dosáhl v roce 2017 výše 28 972 Kč a u zaměstnanců v pracovním poměru dosáhl výše 23 935 Kč. </w:t>
      </w:r>
    </w:p>
    <w:p w:rsidR="003D6CD3" w:rsidRDefault="003D6CD3" w:rsidP="003E4A5D">
      <w:pPr>
        <w:widowControl w:val="0"/>
        <w:spacing w:after="0"/>
      </w:pPr>
      <w:r>
        <w:t>Druhou největší částí výdajů kapitoly 346 ČÚZK byly ostatní věcné výdaje (OVV) v objemu 586,5 mil. Kč. Služby pošt byly čerpány ve výši 138,1 mil. Kč. Kromě poštovného byly v roce 2017 čerpány výdaje především na nákup služeb zejména na zpraco</w:t>
      </w:r>
      <w:r w:rsidR="0084658A">
        <w:t>vání dat a služby související s </w:t>
      </w:r>
      <w:r>
        <w:t>informačními a komunikačními technologiemi (124,3 mil. Kč), na nákup materiálu a drobného hmotného majetku (53,4 mil. Kč), na datové a hlasové telekomunikační služby (21,4 mil. Kč), dále na pronájmy budov a výpočetní techniky (29,6 mil. Kč) a na stravování zaměstnanců (24,5 mil. Kč). OVV zahrnují dále výdaje na nákup elektrické energie, paliv a vody (62,1 mil. Kč), výdaje na opravy a udržování majetku (31,8 mil. Kč), cestovní výdaje (12,2 mil. Kč) a náhrady mezd v době nemoci (8,1 mil. Kč).</w:t>
      </w:r>
      <w:r w:rsidRPr="00EC68D4">
        <w:t xml:space="preserve"> </w:t>
      </w:r>
      <w:r>
        <w:t>Významnou částí výdajů (202,3 mil. Kč) byly výdaje na financování programů vedených v informačním systému programového financování EDS/SMVS, tj. na pořízení a obnovu hmotného a nehmotného majetku resortu. Podstatnou část programových výdajů představovaly výdaje na ICT, celkem se jednalo o 126,5 mil. Kč, a to především na programové vybavení (69,6 mil. Kč), na pořízení HW (16,3 mil. Kč) a na nákup služeb pro DMS, RÚIAN a ISKN (39,0 mil. Kč). Dalšími výdaji v rámci programových výdajů byly především výdaje na rekonstrukce budov (58,8 mil. Kč) a výdaje na obnovu dopravní (7,9 mil. Kč) a měřické techniky (8,9 mil. Kč).</w:t>
      </w:r>
    </w:p>
    <w:p w:rsidR="003D6CD3" w:rsidRDefault="003D6CD3" w:rsidP="003E4A5D">
      <w:pPr>
        <w:pStyle w:val="Titulek"/>
        <w:rPr>
          <w:highlight w:val="yellow"/>
        </w:rPr>
      </w:pPr>
      <w:r>
        <w:t xml:space="preserve">Tabulka </w:t>
      </w:r>
      <w:r w:rsidR="00AB65E9">
        <w:rPr>
          <w:noProof/>
        </w:rPr>
        <w:fldChar w:fldCharType="begin"/>
      </w:r>
      <w:r w:rsidR="007B0D8A">
        <w:rPr>
          <w:noProof/>
        </w:rPr>
        <w:instrText xml:space="preserve"> SEQ Tabulka \* ARABIC </w:instrText>
      </w:r>
      <w:r w:rsidR="00AB65E9">
        <w:rPr>
          <w:noProof/>
        </w:rPr>
        <w:fldChar w:fldCharType="separate"/>
      </w:r>
      <w:r w:rsidR="00263A1B">
        <w:rPr>
          <w:noProof/>
        </w:rPr>
        <w:t>17</w:t>
      </w:r>
      <w:r w:rsidR="00AB65E9">
        <w:rPr>
          <w:noProof/>
        </w:rPr>
        <w:fldChar w:fldCharType="end"/>
      </w:r>
      <w:r>
        <w:t>:</w:t>
      </w:r>
      <w:r w:rsidRPr="00EC68D4">
        <w:t xml:space="preserve"> Příjmy a výdaje státního rozpočtu – kapitola 346 ČÚZK</w:t>
      </w:r>
      <w:r w:rsidR="00DA40DD">
        <w:t xml:space="preserve"> (tis. Kč)</w:t>
      </w:r>
      <w:r w:rsidR="00022484">
        <w:t xml:space="preserve"> </w:t>
      </w:r>
    </w:p>
    <w:tbl>
      <w:tblPr>
        <w:tblStyle w:val="Svtlstnovn1"/>
        <w:tblW w:w="8984" w:type="dxa"/>
        <w:tblLayout w:type="fixed"/>
        <w:tblLook w:val="04A0" w:firstRow="1" w:lastRow="0" w:firstColumn="1" w:lastColumn="0" w:noHBand="0" w:noVBand="1"/>
      </w:tblPr>
      <w:tblGrid>
        <w:gridCol w:w="4111"/>
        <w:gridCol w:w="975"/>
        <w:gridCol w:w="975"/>
        <w:gridCol w:w="974"/>
        <w:gridCol w:w="975"/>
        <w:gridCol w:w="974"/>
      </w:tblGrid>
      <w:tr w:rsidR="00790BCF" w:rsidRPr="00CF383C" w:rsidTr="00790BC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hideMark/>
          </w:tcPr>
          <w:p w:rsidR="00790BCF" w:rsidRPr="00CF383C" w:rsidRDefault="00790BCF" w:rsidP="003E4A5D">
            <w:pPr>
              <w:widowControl w:val="0"/>
              <w:spacing w:before="0" w:after="0"/>
              <w:jc w:val="left"/>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Ukazatel/Rok</w:t>
            </w:r>
          </w:p>
        </w:tc>
        <w:tc>
          <w:tcPr>
            <w:tcW w:w="975" w:type="dxa"/>
            <w:noWrap/>
            <w:vAlign w:val="center"/>
          </w:tcPr>
          <w:p w:rsidR="00790BCF" w:rsidRPr="00CF383C" w:rsidRDefault="00790BCF"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2013</w:t>
            </w:r>
          </w:p>
        </w:tc>
        <w:tc>
          <w:tcPr>
            <w:tcW w:w="975" w:type="dxa"/>
            <w:noWrap/>
            <w:vAlign w:val="center"/>
          </w:tcPr>
          <w:p w:rsidR="00790BCF" w:rsidRPr="00CF383C" w:rsidRDefault="00790BCF"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2014</w:t>
            </w:r>
          </w:p>
        </w:tc>
        <w:tc>
          <w:tcPr>
            <w:tcW w:w="974" w:type="dxa"/>
            <w:noWrap/>
            <w:vAlign w:val="center"/>
          </w:tcPr>
          <w:p w:rsidR="00790BCF" w:rsidRPr="00CF383C" w:rsidRDefault="00790BCF"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2015</w:t>
            </w:r>
          </w:p>
        </w:tc>
        <w:tc>
          <w:tcPr>
            <w:tcW w:w="975" w:type="dxa"/>
            <w:noWrap/>
            <w:vAlign w:val="center"/>
          </w:tcPr>
          <w:p w:rsidR="00790BCF" w:rsidRPr="00CF383C" w:rsidRDefault="00790BCF"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2016</w:t>
            </w:r>
          </w:p>
        </w:tc>
        <w:tc>
          <w:tcPr>
            <w:tcW w:w="974" w:type="dxa"/>
            <w:noWrap/>
            <w:vAlign w:val="center"/>
          </w:tcPr>
          <w:p w:rsidR="00790BCF" w:rsidRPr="00CF383C" w:rsidRDefault="00790BCF"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2017</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hideMark/>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Příjmy kapitoly</w:t>
            </w:r>
          </w:p>
        </w:tc>
        <w:tc>
          <w:tcPr>
            <w:tcW w:w="975" w:type="dxa"/>
            <w:noWrap/>
            <w:vAlign w:val="center"/>
          </w:tcPr>
          <w:p w:rsidR="00790BCF" w:rsidRPr="00CF383C" w:rsidRDefault="00790BCF"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721 424</w:t>
            </w:r>
          </w:p>
        </w:tc>
        <w:tc>
          <w:tcPr>
            <w:tcW w:w="975" w:type="dxa"/>
            <w:noWrap/>
            <w:vAlign w:val="center"/>
          </w:tcPr>
          <w:p w:rsidR="00790BCF" w:rsidRPr="00CF383C" w:rsidRDefault="00790BCF"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1 160 637</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950 029</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929 130</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889 519</w:t>
            </w:r>
          </w:p>
        </w:tc>
      </w:tr>
      <w:tr w:rsidR="00790BCF" w:rsidRPr="00CF383C" w:rsidTr="00790BCF">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hideMark/>
          </w:tcPr>
          <w:p w:rsidR="00790BCF" w:rsidRPr="00CF383C" w:rsidRDefault="00CF383C" w:rsidP="003E4A5D">
            <w:pPr>
              <w:widowControl w:val="0"/>
              <w:spacing w:before="0" w:after="0"/>
              <w:jc w:val="left"/>
              <w:rPr>
                <w:rFonts w:ascii="Calibri" w:eastAsia="Times New Roman" w:hAnsi="Calibri" w:cs="Calibri"/>
                <w:b w:val="0"/>
                <w:sz w:val="18"/>
                <w:szCs w:val="18"/>
                <w:lang w:eastAsia="cs-CZ"/>
              </w:rPr>
            </w:pPr>
            <w:r>
              <w:rPr>
                <w:rFonts w:ascii="Calibri" w:eastAsia="Times New Roman" w:hAnsi="Calibri" w:cs="Calibri"/>
                <w:b w:val="0"/>
                <w:sz w:val="18"/>
                <w:szCs w:val="18"/>
                <w:lang w:eastAsia="cs-CZ"/>
              </w:rPr>
              <w:t>z</w:t>
            </w:r>
            <w:r w:rsidR="00790BCF" w:rsidRPr="00CF383C">
              <w:rPr>
                <w:rFonts w:ascii="Calibri" w:eastAsia="Times New Roman" w:hAnsi="Calibri" w:cs="Calibri"/>
                <w:b w:val="0"/>
                <w:sz w:val="18"/>
                <w:szCs w:val="18"/>
                <w:lang w:eastAsia="cs-CZ"/>
              </w:rPr>
              <w:t xml:space="preserve"> toho: daňové příjmy za správní poplatky v hotovosti</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503 369</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542 068</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632 582</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657 597</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651 805</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hideMark/>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Příjmy z rozpočtu Evropské unie</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723</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420 624</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82 287</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38 730</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194</w:t>
            </w:r>
          </w:p>
        </w:tc>
      </w:tr>
      <w:tr w:rsidR="00790BCF" w:rsidRPr="00CF383C" w:rsidTr="00790BCF">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Výdaje kapitoly celkem</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2 787 362</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2 826 373</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2 882 336</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2 981 920</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3 108 288</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z toho: na projekty spolufinancované z rozpočtu EU</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97 518</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87 717</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55 621</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912</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0</w:t>
            </w:r>
          </w:p>
        </w:tc>
      </w:tr>
      <w:tr w:rsidR="00790BCF" w:rsidRPr="00CF383C" w:rsidTr="00790BCF">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Běžné výdaje bez NIV</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2 477 766</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2 558 418</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2 624 142</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2 624 142</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2 905 947</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v tom: mzdové prostředky</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1 426 590</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1 462 339</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1 532 404</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1 613 019</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1 705 674</w:t>
            </w:r>
          </w:p>
        </w:tc>
      </w:tr>
      <w:tr w:rsidR="00790BCF" w:rsidRPr="00CF383C" w:rsidTr="00790BCF">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ind w:firstLine="459"/>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pojistné a FKSP</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498 743</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511 031</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535 852</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572 228</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613 732</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CF383C" w:rsidP="003E4A5D">
            <w:pPr>
              <w:widowControl w:val="0"/>
              <w:spacing w:before="0" w:after="0"/>
              <w:ind w:firstLine="459"/>
              <w:jc w:val="left"/>
              <w:rPr>
                <w:rFonts w:ascii="Calibri" w:eastAsia="Times New Roman" w:hAnsi="Calibri" w:cs="Calibri"/>
                <w:b w:val="0"/>
                <w:sz w:val="18"/>
                <w:szCs w:val="18"/>
                <w:lang w:eastAsia="cs-CZ"/>
              </w:rPr>
            </w:pPr>
            <w:r>
              <w:rPr>
                <w:rFonts w:ascii="Calibri" w:eastAsia="Times New Roman" w:hAnsi="Calibri" w:cs="Calibri"/>
                <w:b w:val="0"/>
                <w:sz w:val="18"/>
                <w:szCs w:val="18"/>
                <w:lang w:eastAsia="cs-CZ"/>
              </w:rPr>
              <w:t>o</w:t>
            </w:r>
            <w:r w:rsidR="00790BCF" w:rsidRPr="00CF383C">
              <w:rPr>
                <w:rFonts w:ascii="Calibri" w:eastAsia="Times New Roman" w:hAnsi="Calibri" w:cs="Calibri"/>
                <w:b w:val="0"/>
                <w:sz w:val="18"/>
                <w:szCs w:val="18"/>
                <w:lang w:eastAsia="cs-CZ"/>
              </w:rPr>
              <w:t>statní věcné výdaje</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552 434</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587 207</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555 886</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584 881</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586 541</w:t>
            </w:r>
          </w:p>
        </w:tc>
      </w:tr>
      <w:tr w:rsidR="00790BCF" w:rsidRPr="00CF383C" w:rsidTr="00790BCF">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Programové výdaje</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314 192</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267 955</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258 233</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211 793</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202 341</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shd w:val="clear" w:color="auto" w:fill="BFBFBF" w:themeFill="background1" w:themeFillShade="BF"/>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V tom: neinvestiční (NIV)</w:t>
            </w:r>
          </w:p>
        </w:tc>
        <w:tc>
          <w:tcPr>
            <w:tcW w:w="975" w:type="dxa"/>
            <w:shd w:val="clear" w:color="auto" w:fill="BFBFBF" w:themeFill="background1" w:themeFillShade="BF"/>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56 455</w:t>
            </w:r>
          </w:p>
        </w:tc>
        <w:tc>
          <w:tcPr>
            <w:tcW w:w="975" w:type="dxa"/>
            <w:shd w:val="clear" w:color="auto" w:fill="BFBFBF" w:themeFill="background1" w:themeFillShade="BF"/>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49 280</w:t>
            </w:r>
          </w:p>
        </w:tc>
        <w:tc>
          <w:tcPr>
            <w:tcW w:w="974" w:type="dxa"/>
            <w:shd w:val="clear" w:color="auto" w:fill="BFBFBF" w:themeFill="background1" w:themeFillShade="BF"/>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57 167</w:t>
            </w:r>
          </w:p>
        </w:tc>
        <w:tc>
          <w:tcPr>
            <w:tcW w:w="975" w:type="dxa"/>
            <w:shd w:val="clear" w:color="auto" w:fill="BFBFBF" w:themeFill="background1" w:themeFillShade="BF"/>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40 079</w:t>
            </w:r>
          </w:p>
        </w:tc>
        <w:tc>
          <w:tcPr>
            <w:tcW w:w="974" w:type="dxa"/>
            <w:shd w:val="clear" w:color="auto" w:fill="BFBFBF" w:themeFill="background1" w:themeFillShade="BF"/>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40 297</w:t>
            </w:r>
          </w:p>
        </w:tc>
      </w:tr>
      <w:tr w:rsidR="00790BCF" w:rsidRPr="00CF383C" w:rsidTr="00790BCF">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CF383C" w:rsidP="003E4A5D">
            <w:pPr>
              <w:widowControl w:val="0"/>
              <w:spacing w:before="0" w:after="0"/>
              <w:ind w:firstLine="459"/>
              <w:jc w:val="left"/>
              <w:rPr>
                <w:rFonts w:ascii="Calibri" w:eastAsia="Times New Roman" w:hAnsi="Calibri" w:cs="Calibri"/>
                <w:b w:val="0"/>
                <w:sz w:val="18"/>
                <w:szCs w:val="18"/>
                <w:lang w:eastAsia="cs-CZ"/>
              </w:rPr>
            </w:pPr>
            <w:r>
              <w:rPr>
                <w:rFonts w:ascii="Calibri" w:eastAsia="Times New Roman" w:hAnsi="Calibri" w:cs="Calibri"/>
                <w:b w:val="0"/>
                <w:sz w:val="18"/>
                <w:szCs w:val="18"/>
                <w:lang w:eastAsia="cs-CZ"/>
              </w:rPr>
              <w:t>i</w:t>
            </w:r>
            <w:r w:rsidR="00790BCF" w:rsidRPr="00CF383C">
              <w:rPr>
                <w:rFonts w:ascii="Calibri" w:eastAsia="Times New Roman" w:hAnsi="Calibri" w:cs="Calibri"/>
                <w:b w:val="0"/>
                <w:sz w:val="18"/>
                <w:szCs w:val="18"/>
                <w:lang w:eastAsia="cs-CZ"/>
              </w:rPr>
              <w:t>nvestiční (IV)</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257 737</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218 675</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201 066</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171 714</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162 044</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sz w:val="18"/>
                <w:szCs w:val="18"/>
                <w:lang w:eastAsia="cs-CZ"/>
              </w:rPr>
            </w:pPr>
            <w:r w:rsidRPr="00CF383C">
              <w:rPr>
                <w:rFonts w:ascii="Calibri" w:eastAsia="Times New Roman" w:hAnsi="Calibri" w:cs="Calibri"/>
                <w:sz w:val="18"/>
                <w:szCs w:val="18"/>
                <w:lang w:eastAsia="cs-CZ"/>
              </w:rPr>
              <w:t>Počet zaměstnanců v resortu</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5 070</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5 096</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5 062</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4 995</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4 963</w:t>
            </w:r>
          </w:p>
        </w:tc>
      </w:tr>
      <w:tr w:rsidR="00790BCF" w:rsidRPr="00CF383C" w:rsidTr="00790BCF">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ČÚZK</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147</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146</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138</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137</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136</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Katastrální úřady</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4 450</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4 486</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4 459</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4 398</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4 371</w:t>
            </w:r>
          </w:p>
        </w:tc>
      </w:tr>
      <w:tr w:rsidR="00790BCF" w:rsidRPr="00CF383C" w:rsidTr="00790BCF">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Zeměměřický úřad</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384</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378</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380</w:t>
            </w:r>
          </w:p>
        </w:tc>
        <w:tc>
          <w:tcPr>
            <w:tcW w:w="975"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375</w:t>
            </w:r>
          </w:p>
        </w:tc>
        <w:tc>
          <w:tcPr>
            <w:tcW w:w="974" w:type="dxa"/>
            <w:noWrap/>
            <w:vAlign w:val="center"/>
          </w:tcPr>
          <w:p w:rsidR="00790BCF" w:rsidRPr="00CF383C" w:rsidRDefault="00CF383C"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372</w:t>
            </w:r>
          </w:p>
        </w:tc>
      </w:tr>
      <w:tr w:rsidR="00790BCF" w:rsidRPr="00CF383C" w:rsidTr="00790B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rsidR="00790BCF" w:rsidRPr="00CF383C" w:rsidRDefault="00790BCF" w:rsidP="003E4A5D">
            <w:pPr>
              <w:widowControl w:val="0"/>
              <w:spacing w:before="0" w:after="0"/>
              <w:jc w:val="left"/>
              <w:rPr>
                <w:rFonts w:ascii="Calibri" w:eastAsia="Times New Roman" w:hAnsi="Calibri" w:cs="Calibri"/>
                <w:b w:val="0"/>
                <w:sz w:val="18"/>
                <w:szCs w:val="18"/>
                <w:lang w:eastAsia="cs-CZ"/>
              </w:rPr>
            </w:pPr>
            <w:r w:rsidRPr="00CF383C">
              <w:rPr>
                <w:rFonts w:ascii="Calibri" w:eastAsia="Times New Roman" w:hAnsi="Calibri" w:cs="Calibri"/>
                <w:b w:val="0"/>
                <w:sz w:val="18"/>
                <w:szCs w:val="18"/>
                <w:lang w:eastAsia="cs-CZ"/>
              </w:rPr>
              <w:t>Zeměměřické a katastrální inspektoráty</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89</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86</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85</w:t>
            </w:r>
          </w:p>
        </w:tc>
        <w:tc>
          <w:tcPr>
            <w:tcW w:w="975"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85</w:t>
            </w:r>
          </w:p>
        </w:tc>
        <w:tc>
          <w:tcPr>
            <w:tcW w:w="974" w:type="dxa"/>
            <w:noWrap/>
            <w:vAlign w:val="center"/>
          </w:tcPr>
          <w:p w:rsidR="00790BCF" w:rsidRPr="00CF383C" w:rsidRDefault="00CF383C"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Pr>
                <w:rFonts w:ascii="Calibri" w:eastAsia="Times New Roman" w:hAnsi="Calibri" w:cs="Calibri"/>
                <w:sz w:val="18"/>
                <w:szCs w:val="18"/>
                <w:lang w:eastAsia="cs-CZ"/>
              </w:rPr>
              <w:t>84</w:t>
            </w:r>
          </w:p>
        </w:tc>
      </w:tr>
    </w:tbl>
    <w:p w:rsidR="003D6CD3" w:rsidRDefault="003D6CD3" w:rsidP="003E4A5D">
      <w:pPr>
        <w:pStyle w:val="Citt"/>
      </w:pPr>
      <w:r>
        <w:t xml:space="preserve">Zdroj: Výroční zpráva ČÚZK 2017, dostupná z </w:t>
      </w:r>
      <w:r w:rsidRPr="00EC68D4">
        <w:t>https://www.cuzk.cz/Aktuality-resort/2018/Vyrocni-zprava-2017/vyrocni-zrava-final.aspx</w:t>
      </w:r>
    </w:p>
    <w:p w:rsidR="003D6CD3" w:rsidRDefault="00A1018F" w:rsidP="003E4A5D">
      <w:pPr>
        <w:pStyle w:val="Text-Normaln"/>
        <w:widowControl w:val="0"/>
      </w:pPr>
      <w:r>
        <w:t>Lze předpokládat</w:t>
      </w:r>
      <w:r w:rsidR="003677D3">
        <w:t>, že v nákladové struktuře</w:t>
      </w:r>
      <w:r w:rsidR="0084658A">
        <w:t xml:space="preserve"> NSÚ a jemu podřízených úřadu a </w:t>
      </w:r>
      <w:r w:rsidR="000D021D">
        <w:t>územních</w:t>
      </w:r>
      <w:r w:rsidR="003677D3">
        <w:t xml:space="preserve"> </w:t>
      </w:r>
      <w:r w:rsidR="003677D3">
        <w:lastRenderedPageBreak/>
        <w:t>pracovišť by hlavní podíl tvořily náklady na lidské zdroje a dále pak věcné výdaje zahrnující potřebné ICT a vybavení. Vzhledem k obdobnému počtu zaměstnanců rezortu ČÚZK a počtu úředníků na stavebních úřadech tak lze konstatovat, že pokud by nedocházelo k </w:t>
      </w:r>
      <w:r w:rsidR="005564B4">
        <w:t>jakýmkoli</w:t>
      </w:r>
      <w:r w:rsidR="003677D3">
        <w:t xml:space="preserve"> přesunům a nová struktura by byla vytvořena zcela na zelené louce</w:t>
      </w:r>
      <w:r w:rsidR="005564B4">
        <w:t xml:space="preserve">, mohly by se pravidelné roční náklady pohybovat kolem 3 </w:t>
      </w:r>
      <w:r w:rsidR="00F4519C">
        <w:t xml:space="preserve">– 4 </w:t>
      </w:r>
      <w:r w:rsidR="005564B4">
        <w:t xml:space="preserve">mld. Kč. Jednorázové náklady </w:t>
      </w:r>
      <w:r w:rsidR="008F3E5F" w:rsidRPr="008F3E5F">
        <w:t xml:space="preserve">odhadujeme </w:t>
      </w:r>
      <w:r w:rsidR="008F3E5F">
        <w:t>při</w:t>
      </w:r>
      <w:r w:rsidR="008F3E5F" w:rsidRPr="008F3E5F">
        <w:t xml:space="preserve"> náklad</w:t>
      </w:r>
      <w:r w:rsidR="008F3E5F">
        <w:t>ech</w:t>
      </w:r>
      <w:r w:rsidR="008F3E5F" w:rsidRPr="008F3E5F">
        <w:t xml:space="preserve"> na nové pracovní místo</w:t>
      </w:r>
      <w:r w:rsidR="007B78B4">
        <w:t xml:space="preserve"> </w:t>
      </w:r>
      <w:r w:rsidR="008F3E5F" w:rsidRPr="008F3E5F">
        <w:t xml:space="preserve">přibližně 100 000 Kč </w:t>
      </w:r>
      <w:r w:rsidR="007B78B4">
        <w:t>a</w:t>
      </w:r>
      <w:r w:rsidR="008F3E5F" w:rsidRPr="008F3E5F">
        <w:t xml:space="preserve"> při přesunu </w:t>
      </w:r>
      <w:r w:rsidR="008F3E5F">
        <w:t>cca</w:t>
      </w:r>
      <w:r w:rsidR="008F3E5F" w:rsidRPr="008F3E5F">
        <w:t xml:space="preserve"> </w:t>
      </w:r>
      <w:r w:rsidR="008F3E5F">
        <w:t>6</w:t>
      </w:r>
      <w:r w:rsidR="008F3E5F" w:rsidRPr="008F3E5F">
        <w:t xml:space="preserve"> </w:t>
      </w:r>
      <w:r w:rsidR="008F3E5F">
        <w:t>500</w:t>
      </w:r>
      <w:r w:rsidR="008F3E5F" w:rsidRPr="008F3E5F">
        <w:t xml:space="preserve"> zaměstnanců na </w:t>
      </w:r>
      <w:r w:rsidR="008F3E5F">
        <w:t>65</w:t>
      </w:r>
      <w:r w:rsidR="00040F55">
        <w:t>0</w:t>
      </w:r>
      <w:r w:rsidR="008F3E5F" w:rsidRPr="008F3E5F">
        <w:t xml:space="preserve"> m</w:t>
      </w:r>
      <w:r w:rsidR="00040F55">
        <w:t>i</w:t>
      </w:r>
      <w:r w:rsidR="008F3E5F" w:rsidRPr="008F3E5F">
        <w:t>l. Kč.</w:t>
      </w:r>
    </w:p>
    <w:p w:rsidR="003D6CD3" w:rsidRDefault="007B78B4" w:rsidP="003E4A5D">
      <w:pPr>
        <w:pStyle w:val="Text-Normaln"/>
        <w:widowControl w:val="0"/>
      </w:pPr>
      <w:r>
        <w:t xml:space="preserve">Tato varianta je však variantou extrémní a maximalistickou, neboť přijetím zákona nedojde k vytvoření zcela nové struktury, nýbrž </w:t>
      </w:r>
      <w:r w:rsidR="0035381B">
        <w:t xml:space="preserve">jen </w:t>
      </w:r>
      <w:r>
        <w:t xml:space="preserve">k vyčlenění stávajících stavebních úřadů pod nový subjekt. Nepředpokládáme, že případnou realizací varianty 2 by si obce ponechaly 6 500 úředníků vykonávajících převážně úkoly v přenesené působnosti </w:t>
      </w:r>
      <w:r w:rsidR="0084658A">
        <w:t>ve svém zaměstnaneckém poměru a </w:t>
      </w:r>
      <w:r>
        <w:t>hledaly jim nové uplatnění</w:t>
      </w:r>
      <w:r w:rsidR="00453567">
        <w:t xml:space="preserve"> v rámci samosprávy.</w:t>
      </w:r>
      <w:r>
        <w:t xml:space="preserve"> </w:t>
      </w:r>
    </w:p>
    <w:p w:rsidR="003D6CD3" w:rsidRDefault="003D6CD3" w:rsidP="003E4A5D">
      <w:pPr>
        <w:pStyle w:val="Text-Normaln"/>
        <w:widowControl w:val="0"/>
      </w:pPr>
      <w:r>
        <w:t>Následná</w:t>
      </w:r>
      <w:r w:rsidR="0035381B">
        <w:t xml:space="preserve"> </w:t>
      </w:r>
      <w:r>
        <w:t>kvantifikace</w:t>
      </w:r>
      <w:r w:rsidRPr="002F7D16">
        <w:t xml:space="preserve"> </w:t>
      </w:r>
      <w:r w:rsidR="00C14ED1">
        <w:t xml:space="preserve">pravděpodobnějších </w:t>
      </w:r>
      <w:r w:rsidRPr="002F7D16">
        <w:t xml:space="preserve">dopadů </w:t>
      </w:r>
      <w:r>
        <w:t>bude pracovat</w:t>
      </w:r>
      <w:r w:rsidRPr="002F7D16">
        <w:t xml:space="preserve"> pouze </w:t>
      </w:r>
      <w:r w:rsidR="00F53BF4">
        <w:t>s daty za ÚÚP, OSÚ a </w:t>
      </w:r>
      <w:r>
        <w:t>SSÚ</w:t>
      </w:r>
      <w:r w:rsidRPr="002F7D16">
        <w:t xml:space="preserve">, </w:t>
      </w:r>
      <w:r>
        <w:t>neboť</w:t>
      </w:r>
      <w:r w:rsidRPr="002F7D16">
        <w:t xml:space="preserve"> </w:t>
      </w:r>
      <w:r>
        <w:t>za</w:t>
      </w:r>
      <w:r w:rsidRPr="002F7D16">
        <w:t xml:space="preserve"> </w:t>
      </w:r>
      <w:r>
        <w:t>ostatní</w:t>
      </w:r>
      <w:r w:rsidRPr="002F7D16">
        <w:t xml:space="preserve"> </w:t>
      </w:r>
      <w:r>
        <w:t xml:space="preserve">stavební </w:t>
      </w:r>
      <w:r w:rsidRPr="002F7D16">
        <w:t xml:space="preserve">úřady chybí potřebná data. Kvalitativně však lze předpokládat, že u </w:t>
      </w:r>
      <w:r>
        <w:t>zbývajících</w:t>
      </w:r>
      <w:r w:rsidRPr="002F7D16">
        <w:t xml:space="preserve"> stavebních úřadů dojde k podobnému efektu, jako u transformace speciálních stavebních úřadů. </w:t>
      </w:r>
      <w:r>
        <w:t>Navíc tyto úřady netvoří z pohledu počtu úvazků významný podíl, tj. při míře detailu, s jakou RIA pracuje, nebude jejich zanedbání znamenat výrazné zhoršení spolehlivosti odhadů</w:t>
      </w:r>
      <w:r w:rsidRPr="002F7D16">
        <w:t>.</w:t>
      </w:r>
    </w:p>
    <w:p w:rsidR="0066084D" w:rsidRDefault="007076C8" w:rsidP="003E4A5D">
      <w:pPr>
        <w:pStyle w:val="Text-Normaln"/>
        <w:widowControl w:val="0"/>
      </w:pPr>
      <w:r>
        <w:t xml:space="preserve">Aby bylo zřejmé, k jaké konstrukci RIA počítá náklady, uvedeme nejdříve stručný popis </w:t>
      </w:r>
      <w:r w:rsidR="0066084D">
        <w:t>nové struktury tak, jak by dle provedených konzultací měla jednak co nejlépe zapadnout do českého institucionálního rámce</w:t>
      </w:r>
      <w:r w:rsidR="008249B8">
        <w:t xml:space="preserve"> a</w:t>
      </w:r>
      <w:r w:rsidR="0066084D">
        <w:t xml:space="preserve"> jednak co nejvíce zjednodušit a zefektivnit řešené procesy.</w:t>
      </w:r>
    </w:p>
    <w:p w:rsidR="007076C8" w:rsidRDefault="0066084D" w:rsidP="003E4A5D">
      <w:pPr>
        <w:pStyle w:val="Text-Normaln"/>
        <w:widowControl w:val="0"/>
      </w:pPr>
      <w:r>
        <w:t>Nová soustava by měla být</w:t>
      </w:r>
      <w:r w:rsidR="007076C8" w:rsidRPr="00A94743">
        <w:t xml:space="preserve"> </w:t>
      </w:r>
      <w:r w:rsidR="007076C8" w:rsidRPr="004853E2">
        <w:t>dvoučlánkov</w:t>
      </w:r>
      <w:r>
        <w:t>á</w:t>
      </w:r>
      <w:r w:rsidR="007076C8" w:rsidRPr="004853E2">
        <w:t xml:space="preserve"> </w:t>
      </w:r>
      <w:r>
        <w:t>a měla by být tvořena</w:t>
      </w:r>
      <w:r w:rsidR="007076C8" w:rsidRPr="00A94743">
        <w:t xml:space="preserve"> </w:t>
      </w:r>
      <w:r w:rsidR="002E25FF">
        <w:t>NSÚ</w:t>
      </w:r>
      <w:r w:rsidR="00F53BF4">
        <w:t xml:space="preserve"> </w:t>
      </w:r>
      <w:r w:rsidR="007076C8" w:rsidRPr="004853E2">
        <w:t>a</w:t>
      </w:r>
      <w:r w:rsidR="007076C8">
        <w:t> </w:t>
      </w:r>
      <w:r w:rsidR="007076C8" w:rsidRPr="004853E2">
        <w:t>krajský</w:t>
      </w:r>
      <w:r>
        <w:t>mi</w:t>
      </w:r>
      <w:r w:rsidR="007076C8" w:rsidRPr="004853E2">
        <w:t xml:space="preserve"> stavební</w:t>
      </w:r>
      <w:r>
        <w:t>mi</w:t>
      </w:r>
      <w:r w:rsidR="007076C8" w:rsidRPr="004853E2">
        <w:t xml:space="preserve"> úřad</w:t>
      </w:r>
      <w:r>
        <w:t>y</w:t>
      </w:r>
      <w:r w:rsidR="007076C8" w:rsidRPr="004853E2">
        <w:t xml:space="preserve"> se sídlem v jednotlivých krajích</w:t>
      </w:r>
      <w:r>
        <w:t xml:space="preserve">. Aby státní správa zůstala blízko občanům, krajské stavební úřady by měly mít svá </w:t>
      </w:r>
      <w:r w:rsidR="000D021D">
        <w:t>územní</w:t>
      </w:r>
      <w:r w:rsidR="007076C8" w:rsidRPr="004853E2">
        <w:t xml:space="preserve"> pracovišt</w:t>
      </w:r>
      <w:r>
        <w:t>ě</w:t>
      </w:r>
      <w:r w:rsidR="007076C8" w:rsidRPr="00A94743">
        <w:t xml:space="preserve"> v</w:t>
      </w:r>
      <w:r w:rsidR="007076C8">
        <w:t xml:space="preserve"> obcích </w:t>
      </w:r>
      <w:r w:rsidR="007076C8" w:rsidRPr="00A94743">
        <w:t>s rozšířenou působností (na</w:t>
      </w:r>
      <w:r w:rsidR="007076C8">
        <w:t> </w:t>
      </w:r>
      <w:r w:rsidR="007076C8" w:rsidRPr="00A94743">
        <w:t xml:space="preserve">základní úrovni). </w:t>
      </w:r>
    </w:p>
    <w:p w:rsidR="007076C8" w:rsidRDefault="0066084D" w:rsidP="003E4A5D">
      <w:pPr>
        <w:pStyle w:val="Text-Normaln"/>
        <w:widowControl w:val="0"/>
      </w:pPr>
      <w:r>
        <w:t>Ř</w:t>
      </w:r>
      <w:r w:rsidR="007076C8" w:rsidRPr="0030739B">
        <w:t>ízení v</w:t>
      </w:r>
      <w:r>
        <w:rPr>
          <w:color w:val="000000"/>
          <w:szCs w:val="24"/>
        </w:rPr>
        <w:t xml:space="preserve"> </w:t>
      </w:r>
      <w:r w:rsidR="007076C8" w:rsidRPr="0030739B">
        <w:t xml:space="preserve">prvním stupni </w:t>
      </w:r>
      <w:r>
        <w:t xml:space="preserve">by </w:t>
      </w:r>
      <w:r w:rsidR="007076C8" w:rsidRPr="0030739B">
        <w:t>zajišťova</w:t>
      </w:r>
      <w:r>
        <w:t>lo</w:t>
      </w:r>
      <w:r w:rsidR="007076C8" w:rsidRPr="0030739B">
        <w:t xml:space="preserve"> příslušné </w:t>
      </w:r>
      <w:r w:rsidR="000D021D">
        <w:t>územní</w:t>
      </w:r>
      <w:r w:rsidR="007076C8" w:rsidRPr="0030739B">
        <w:t xml:space="preserve"> pracoviště krajského stavebního úřadu. O</w:t>
      </w:r>
      <w:r w:rsidR="00F53BF4">
        <w:rPr>
          <w:color w:val="000000"/>
          <w:szCs w:val="24"/>
        </w:rPr>
        <w:t> </w:t>
      </w:r>
      <w:r w:rsidR="007076C8" w:rsidRPr="0030739B">
        <w:t>opravných prostředcích ve druhém stupni b</w:t>
      </w:r>
      <w:r>
        <w:t>y pak</w:t>
      </w:r>
      <w:r w:rsidR="007076C8" w:rsidRPr="0030739B">
        <w:t xml:space="preserve"> rozhodova</w:t>
      </w:r>
      <w:r>
        <w:t>l</w:t>
      </w:r>
      <w:r w:rsidR="007076C8" w:rsidRPr="0030739B">
        <w:t xml:space="preserve"> tentýž krajský stavební úřad z</w:t>
      </w:r>
      <w:r w:rsidR="00F53BF4">
        <w:rPr>
          <w:color w:val="000000"/>
          <w:szCs w:val="24"/>
        </w:rPr>
        <w:t> </w:t>
      </w:r>
      <w:r w:rsidR="007076C8" w:rsidRPr="0030739B">
        <w:t xml:space="preserve">krajského ústředí. </w:t>
      </w:r>
      <w:r w:rsidR="007076C8">
        <w:t xml:space="preserve">Kromě tohoto aspektu </w:t>
      </w:r>
      <w:r>
        <w:t>by nemělo dojít k</w:t>
      </w:r>
      <w:r w:rsidR="007076C8">
        <w:t xml:space="preserve"> modifik</w:t>
      </w:r>
      <w:r>
        <w:t>aci</w:t>
      </w:r>
      <w:r w:rsidR="007076C8">
        <w:t xml:space="preserve"> právní úprav</w:t>
      </w:r>
      <w:r w:rsidR="007D4E2C">
        <w:t>y</w:t>
      </w:r>
      <w:r w:rsidR="007076C8">
        <w:t xml:space="preserve"> vzájemných vztahů jednotlivých stupňů nové soustavy a s tím spojen</w:t>
      </w:r>
      <w:r>
        <w:t>ých</w:t>
      </w:r>
      <w:r w:rsidR="007076C8">
        <w:t xml:space="preserve"> procesní pravid</w:t>
      </w:r>
      <w:r>
        <w:t>e</w:t>
      </w:r>
      <w:r w:rsidR="007076C8">
        <w:t xml:space="preserve">l správního řízení při rozhodování </w:t>
      </w:r>
      <w:r w:rsidR="007076C8" w:rsidRPr="00261D49">
        <w:t>o</w:t>
      </w:r>
      <w:r w:rsidR="007076C8">
        <w:t> </w:t>
      </w:r>
      <w:r w:rsidR="007076C8" w:rsidRPr="00261D49">
        <w:t>opravných a</w:t>
      </w:r>
      <w:r w:rsidR="007076C8">
        <w:t> </w:t>
      </w:r>
      <w:r w:rsidR="007076C8" w:rsidRPr="00261D49">
        <w:t>dozorčích prostředcích</w:t>
      </w:r>
      <w:r w:rsidR="007076C8">
        <w:t xml:space="preserve"> tak, jak jsou stanovena správním řádem</w:t>
      </w:r>
      <w:r w:rsidR="007076C8" w:rsidRPr="00261D49">
        <w:t>.</w:t>
      </w:r>
      <w:r w:rsidR="007076C8">
        <w:t xml:space="preserve"> </w:t>
      </w:r>
      <w:r w:rsidR="002E25FF">
        <w:t>NSÚ</w:t>
      </w:r>
      <w:r w:rsidR="007076C8">
        <w:t xml:space="preserve"> </w:t>
      </w:r>
      <w:r>
        <w:t>by pak měl být</w:t>
      </w:r>
      <w:r w:rsidR="007076C8">
        <w:t xml:space="preserve"> </w:t>
      </w:r>
      <w:r w:rsidR="007076C8" w:rsidRPr="00261D49">
        <w:t>nadřízeným správním orgánem vůči krajsk</w:t>
      </w:r>
      <w:r w:rsidR="007076C8">
        <w:t xml:space="preserve">ému </w:t>
      </w:r>
      <w:r w:rsidR="007076C8" w:rsidRPr="00261D49">
        <w:t>stavební</w:t>
      </w:r>
      <w:r w:rsidR="007076C8">
        <w:t>mu</w:t>
      </w:r>
      <w:r w:rsidR="007076C8" w:rsidRPr="00261D49">
        <w:t xml:space="preserve"> úřad</w:t>
      </w:r>
      <w:r w:rsidR="007076C8">
        <w:t xml:space="preserve">u </w:t>
      </w:r>
      <w:r>
        <w:t>při jeho rozhodovací kompetenci</w:t>
      </w:r>
      <w:r w:rsidR="007076C8">
        <w:t xml:space="preserve"> z ústředí, </w:t>
      </w:r>
      <w:r>
        <w:t>a krajský úřad by</w:t>
      </w:r>
      <w:r w:rsidR="007076C8">
        <w:t xml:space="preserve"> </w:t>
      </w:r>
      <w:r>
        <w:t xml:space="preserve">měl </w:t>
      </w:r>
      <w:r w:rsidR="007076C8">
        <w:t xml:space="preserve">tutéž roli zastávat vůči vlastním </w:t>
      </w:r>
      <w:r w:rsidR="000D021D">
        <w:t>územním</w:t>
      </w:r>
      <w:r w:rsidR="007076C8">
        <w:t xml:space="preserve"> pracovištím. </w:t>
      </w:r>
      <w:r>
        <w:t>Tímto způsobem bude zajištěno, že p</w:t>
      </w:r>
      <w:r w:rsidR="007076C8" w:rsidRPr="004D211A">
        <w:t xml:space="preserve">roti rozhodnutí </w:t>
      </w:r>
      <w:r w:rsidR="000D021D">
        <w:t>územního</w:t>
      </w:r>
      <w:r w:rsidR="007076C8" w:rsidRPr="004D211A">
        <w:t xml:space="preserve"> pracoviště </w:t>
      </w:r>
      <w:r>
        <w:t>se</w:t>
      </w:r>
      <w:r w:rsidR="007076C8" w:rsidRPr="004D211A">
        <w:t xml:space="preserve"> bude </w:t>
      </w:r>
      <w:r>
        <w:t>možné odvolat.</w:t>
      </w:r>
      <w:r w:rsidR="007076C8" w:rsidRPr="004D211A">
        <w:t xml:space="preserve"> </w:t>
      </w:r>
      <w:r>
        <w:t>O</w:t>
      </w:r>
      <w:r w:rsidR="007076C8" w:rsidRPr="004D211A">
        <w:t> </w:t>
      </w:r>
      <w:r>
        <w:t>odvolání</w:t>
      </w:r>
      <w:r w:rsidR="007076C8" w:rsidRPr="004D211A">
        <w:t xml:space="preserve"> bude rozhodovat příslušný krajský stavební úřad. Bude-li rozhodovat v prvním stupni ve stanovených případech krajský stavební úřad ze svého ústředí, bude o</w:t>
      </w:r>
      <w:r w:rsidR="007076C8">
        <w:t> </w:t>
      </w:r>
      <w:r w:rsidR="007076C8" w:rsidRPr="004D211A">
        <w:t xml:space="preserve">odvolání proti jeho rozhodnutí rozhodovat </w:t>
      </w:r>
      <w:r w:rsidR="002E25FF">
        <w:t>NSÚ</w:t>
      </w:r>
      <w:r w:rsidR="007076C8" w:rsidRPr="004D211A">
        <w:t>.</w:t>
      </w:r>
    </w:p>
    <w:p w:rsidR="008E4374" w:rsidRDefault="007076C8" w:rsidP="003E4A5D">
      <w:pPr>
        <w:pStyle w:val="Text-Normaln"/>
        <w:widowControl w:val="0"/>
      </w:pPr>
      <w:r w:rsidRPr="00A94743">
        <w:t>Bude-li výše popsaný procesní model pravidlem, nevylučuje to samozřejmě zvláštní úpravu rozhodování u</w:t>
      </w:r>
      <w:r w:rsidR="008E4374">
        <w:rPr>
          <w:color w:val="000000"/>
          <w:szCs w:val="24"/>
        </w:rPr>
        <w:t xml:space="preserve"> </w:t>
      </w:r>
      <w:r w:rsidRPr="00A94743">
        <w:t>vybraných typů staveb</w:t>
      </w:r>
      <w:r>
        <w:t xml:space="preserve">. V jejich případě může zákon </w:t>
      </w:r>
      <w:r w:rsidR="00686D84">
        <w:t>například</w:t>
      </w:r>
      <w:r>
        <w:t xml:space="preserve"> stanovit</w:t>
      </w:r>
      <w:r w:rsidRPr="00A94743">
        <w:t>, že</w:t>
      </w:r>
      <w:r>
        <w:t> </w:t>
      </w:r>
      <w:r w:rsidRPr="00A94743">
        <w:t>v prvním stupni rozhoduje krajský stavební úřad z ústředí a</w:t>
      </w:r>
      <w:r>
        <w:t> </w:t>
      </w:r>
      <w:r w:rsidRPr="00A94743">
        <w:t xml:space="preserve">odvolacím orgánem je </w:t>
      </w:r>
      <w:r w:rsidR="002E25FF">
        <w:t>NSÚ</w:t>
      </w:r>
      <w:r w:rsidRPr="00A94743">
        <w:t xml:space="preserve">. Kromě toho </w:t>
      </w:r>
      <w:r w:rsidR="007D4E2C">
        <w:t>je</w:t>
      </w:r>
      <w:r w:rsidRPr="00A94743">
        <w:t xml:space="preserve"> v případě specifických typů staveb (</w:t>
      </w:r>
      <w:r w:rsidR="00686D84">
        <w:t>například</w:t>
      </w:r>
      <w:r w:rsidRPr="00A94743">
        <w:t xml:space="preserve"> dálnice) </w:t>
      </w:r>
      <w:r w:rsidR="008E4374">
        <w:t xml:space="preserve">možné zavést </w:t>
      </w:r>
      <w:r w:rsidRPr="00A94743">
        <w:t>speciální působnost a</w:t>
      </w:r>
      <w:r w:rsidR="008E4374">
        <w:rPr>
          <w:color w:val="000000"/>
          <w:szCs w:val="24"/>
        </w:rPr>
        <w:t xml:space="preserve"> </w:t>
      </w:r>
      <w:r w:rsidRPr="00A94743">
        <w:t>příslušnost jednoho konkrétního stavebního úřadu</w:t>
      </w:r>
      <w:r>
        <w:t xml:space="preserve">. </w:t>
      </w:r>
    </w:p>
    <w:p w:rsidR="00AA4200" w:rsidRDefault="00E62213" w:rsidP="003E4A5D">
      <w:pPr>
        <w:pStyle w:val="Text-Normaln"/>
        <w:widowControl w:val="0"/>
      </w:pPr>
      <w:r w:rsidRPr="00E62213">
        <w:tab/>
        <w:t xml:space="preserve">NSÚ bude správním úřadem s celostátní působností podřízený MMR (obdoba struktury Finanční správy </w:t>
      </w:r>
      <w:r>
        <w:t>ČR</w:t>
      </w:r>
      <w:r w:rsidRPr="00E62213">
        <w:t xml:space="preserve">), čímž bude zajištěno efektivnější prosazování vládní politiky prostřednictvím veřejné správy. Varianta ústředního správního úřadu (po vzoru ERÚ nebo NÚKIB) se nejeví jako vhodná. Vyčlenění stavební správy ze struktury MMR </w:t>
      </w:r>
      <w:r>
        <w:t>by znamenalo</w:t>
      </w:r>
      <w:r w:rsidRPr="00E62213">
        <w:t xml:space="preserve"> nesystémové řešení v rámci koordinace politik bydlení, veřejného investování a regionálního a územního rozvoje.</w:t>
      </w:r>
      <w:r w:rsidR="00AA4200">
        <w:t xml:space="preserve"> </w:t>
      </w:r>
    </w:p>
    <w:p w:rsidR="007076C8" w:rsidRPr="00331991" w:rsidRDefault="002E25FF" w:rsidP="003E4A5D">
      <w:pPr>
        <w:pStyle w:val="Text-Normaln"/>
        <w:widowControl w:val="0"/>
      </w:pPr>
      <w:r>
        <w:t>NSÚ</w:t>
      </w:r>
      <w:r w:rsidR="007076C8" w:rsidRPr="00A94743">
        <w:t xml:space="preserve"> </w:t>
      </w:r>
      <w:r w:rsidR="008E4374">
        <w:t>by měl</w:t>
      </w:r>
      <w:r w:rsidR="007076C8" w:rsidRPr="00A94743">
        <w:t xml:space="preserve"> </w:t>
      </w:r>
      <w:r w:rsidR="008E4374">
        <w:t>převzít</w:t>
      </w:r>
      <w:r w:rsidR="007076C8" w:rsidRPr="00A94743">
        <w:t xml:space="preserve"> </w:t>
      </w:r>
      <w:r w:rsidR="00891D72">
        <w:t>část kompetencí</w:t>
      </w:r>
      <w:r w:rsidR="007076C8" w:rsidRPr="00A94743">
        <w:t xml:space="preserve"> stávajících ministerstev a dalších ústředních orgánů státní správy v oblasti stavebního práva v širším smyslu (včetně EIA a</w:t>
      </w:r>
      <w:r w:rsidR="007076C8">
        <w:t> </w:t>
      </w:r>
      <w:r w:rsidR="007076C8" w:rsidRPr="00A94743">
        <w:t>územního plánování)</w:t>
      </w:r>
      <w:r w:rsidR="007076C8">
        <w:t xml:space="preserve"> Z této pozice </w:t>
      </w:r>
      <w:r w:rsidR="008E4374">
        <w:t xml:space="preserve">by </w:t>
      </w:r>
      <w:r w:rsidR="007076C8">
        <w:t xml:space="preserve">pak </w:t>
      </w:r>
      <w:r w:rsidR="008E4374">
        <w:t>měl</w:t>
      </w:r>
      <w:r w:rsidR="007076C8">
        <w:t xml:space="preserve"> </w:t>
      </w:r>
      <w:r w:rsidR="007076C8" w:rsidRPr="00250CF2">
        <w:t>vykonávat působnost nejen ve správním řízení v</w:t>
      </w:r>
      <w:r w:rsidR="007076C8">
        <w:t> </w:t>
      </w:r>
      <w:r w:rsidR="007076C8" w:rsidRPr="00250CF2">
        <w:t>jednotlivých věcech, ale</w:t>
      </w:r>
      <w:r w:rsidR="007076C8">
        <w:t> </w:t>
      </w:r>
      <w:r w:rsidR="007076C8" w:rsidRPr="00250CF2">
        <w:t>též v</w:t>
      </w:r>
      <w:r w:rsidR="007076C8">
        <w:t> </w:t>
      </w:r>
      <w:r w:rsidR="007076C8" w:rsidRPr="00250CF2">
        <w:t>oblasti výkonu vrchního státního dozoru</w:t>
      </w:r>
      <w:r w:rsidR="007076C8">
        <w:t xml:space="preserve">, </w:t>
      </w:r>
      <w:r w:rsidR="00AA4200">
        <w:t>m</w:t>
      </w:r>
      <w:r w:rsidR="00AA4200" w:rsidRPr="00AA4200">
        <w:t>etodick</w:t>
      </w:r>
      <w:r w:rsidR="00AA4200">
        <w:t>é</w:t>
      </w:r>
      <w:r w:rsidR="00AA4200" w:rsidRPr="00AA4200">
        <w:t xml:space="preserve"> činnost</w:t>
      </w:r>
      <w:r w:rsidR="00AA4200">
        <w:t>i</w:t>
      </w:r>
      <w:r w:rsidR="00AA4200" w:rsidRPr="00AA4200">
        <w:t xml:space="preserve"> vůči stavební správě, zajišťování </w:t>
      </w:r>
      <w:r w:rsidR="00AA4200" w:rsidRPr="00AA4200">
        <w:lastRenderedPageBreak/>
        <w:t>elektronizace stavební agendy, zajišťování personálního, majetkového a</w:t>
      </w:r>
      <w:r w:rsidR="00AA4200">
        <w:t> </w:t>
      </w:r>
      <w:r w:rsidR="00AA4200" w:rsidRPr="00AA4200">
        <w:t xml:space="preserve">ekonomického provozu stavební správy, </w:t>
      </w:r>
      <w:r w:rsidR="00AA4200">
        <w:t xml:space="preserve">činnost </w:t>
      </w:r>
      <w:r w:rsidR="00AA4200" w:rsidRPr="00AA4200">
        <w:t>odvolací</w:t>
      </w:r>
      <w:r w:rsidR="00AA4200">
        <w:t>ho</w:t>
      </w:r>
      <w:r w:rsidR="00AA4200" w:rsidRPr="00AA4200">
        <w:t xml:space="preserve"> orgán</w:t>
      </w:r>
      <w:r w:rsidR="00AA4200">
        <w:t xml:space="preserve">u vůči rozhodnutím </w:t>
      </w:r>
      <w:r w:rsidR="00AA4200" w:rsidRPr="00AA4200">
        <w:t>krajského stavebního úřadu.</w:t>
      </w:r>
      <w:r w:rsidR="00AA4200">
        <w:t xml:space="preserve"> </w:t>
      </w:r>
      <w:r w:rsidR="007076C8">
        <w:t>V oblasti územního plánování b</w:t>
      </w:r>
      <w:r w:rsidR="008E4374">
        <w:t>y měl být</w:t>
      </w:r>
      <w:r w:rsidR="007076C8">
        <w:t xml:space="preserve"> </w:t>
      </w:r>
      <w:r>
        <w:t xml:space="preserve">NSÚ </w:t>
      </w:r>
      <w:r w:rsidR="007076C8">
        <w:t>p</w:t>
      </w:r>
      <w:r w:rsidR="007076C8" w:rsidRPr="003C3B98">
        <w:t>ořizovatelem celostátní dokumentace</w:t>
      </w:r>
      <w:r w:rsidR="007076C8">
        <w:t>.</w:t>
      </w:r>
      <w:r w:rsidR="007076C8" w:rsidRPr="00F62067">
        <w:t xml:space="preserve"> </w:t>
      </w:r>
    </w:p>
    <w:p w:rsidR="007076C8" w:rsidRDefault="00891D72" w:rsidP="003E4A5D">
      <w:pPr>
        <w:pStyle w:val="Text-Normaln"/>
        <w:widowControl w:val="0"/>
      </w:pPr>
      <w:r w:rsidRPr="00891D72">
        <w:t>V čele NSÚ bude ředitel podléhající zákonu č. 234/2014 Sb., o stá</w:t>
      </w:r>
      <w:r>
        <w:t>tní službě, avšak v souladu s</w:t>
      </w:r>
      <w:r w:rsidR="00CA5F60">
        <w:t> </w:t>
      </w:r>
      <w:r>
        <w:t>§ </w:t>
      </w:r>
      <w:r w:rsidRPr="00891D72">
        <w:t>54 tohoto zákona bude ředitele NSÚ jmenovat vláda na návrh výběrové komise, kterou rovněž jmenuje vláda. Tato varianta byla zvolena proto, aby se i ostatní resorty mohly podílet na výběru ředitele NSÚ za situace, kdy nová stavební správa bude zahrnovat i některé kompetence přenesené na ní z ostatních resortů.</w:t>
      </w:r>
      <w:r>
        <w:t xml:space="preserve"> </w:t>
      </w:r>
      <w:r w:rsidR="007076C8" w:rsidRPr="00CD1C53">
        <w:rPr>
          <w:bCs/>
          <w:iCs/>
          <w:color w:val="000000"/>
        </w:rPr>
        <w:t xml:space="preserve">Kromě </w:t>
      </w:r>
      <w:r>
        <w:rPr>
          <w:bCs/>
          <w:iCs/>
          <w:color w:val="000000"/>
        </w:rPr>
        <w:t>ředitele</w:t>
      </w:r>
      <w:r w:rsidRPr="00CD1C53">
        <w:rPr>
          <w:bCs/>
          <w:iCs/>
          <w:color w:val="000000"/>
        </w:rPr>
        <w:t xml:space="preserve"> </w:t>
      </w:r>
      <w:r w:rsidR="00B93902">
        <w:rPr>
          <w:bCs/>
          <w:iCs/>
          <w:color w:val="000000"/>
        </w:rPr>
        <w:t>by měli</w:t>
      </w:r>
      <w:r w:rsidR="007076C8" w:rsidRPr="00CD1C53">
        <w:rPr>
          <w:bCs/>
          <w:iCs/>
          <w:color w:val="000000"/>
        </w:rPr>
        <w:t xml:space="preserve"> vedení </w:t>
      </w:r>
      <w:r>
        <w:rPr>
          <w:bCs/>
          <w:iCs/>
          <w:color w:val="000000"/>
        </w:rPr>
        <w:t>NSÚ</w:t>
      </w:r>
      <w:r w:rsidR="007076C8" w:rsidRPr="00CD1C53">
        <w:rPr>
          <w:bCs/>
          <w:iCs/>
          <w:color w:val="000000"/>
        </w:rPr>
        <w:t xml:space="preserve"> tvořit jeho </w:t>
      </w:r>
      <w:r>
        <w:rPr>
          <w:bCs/>
          <w:iCs/>
          <w:color w:val="000000"/>
        </w:rPr>
        <w:t>zástupci</w:t>
      </w:r>
      <w:r w:rsidR="007076C8" w:rsidRPr="00CD1C53">
        <w:rPr>
          <w:bCs/>
          <w:iCs/>
          <w:color w:val="000000"/>
        </w:rPr>
        <w:t>.</w:t>
      </w:r>
      <w:r w:rsidR="007076C8" w:rsidRPr="00CD1C53">
        <w:t xml:space="preserve"> </w:t>
      </w:r>
      <w:r w:rsidR="00B93902">
        <w:t>V souvislosti s tím by mělo dojít k nastavení odpovídajících</w:t>
      </w:r>
      <w:r w:rsidR="007076C8" w:rsidRPr="00A94743">
        <w:t xml:space="preserve"> kvalifikačních požadavků na </w:t>
      </w:r>
      <w:r w:rsidR="00B93902" w:rsidRPr="00A94743">
        <w:t>vzdělání, prax</w:t>
      </w:r>
      <w:r w:rsidR="007D4E2C">
        <w:t>i</w:t>
      </w:r>
      <w:r w:rsidR="00B93902" w:rsidRPr="00A94743">
        <w:t xml:space="preserve"> apod.</w:t>
      </w:r>
      <w:r w:rsidR="00B93902">
        <w:t xml:space="preserve"> pro </w:t>
      </w:r>
      <w:r>
        <w:t>vedení</w:t>
      </w:r>
      <w:r w:rsidR="007076C8" w:rsidRPr="00A94743">
        <w:t xml:space="preserve"> </w:t>
      </w:r>
      <w:r w:rsidR="002E25FF">
        <w:t>NSÚ</w:t>
      </w:r>
      <w:r w:rsidR="007076C8" w:rsidRPr="00A94743">
        <w:t xml:space="preserve">. </w:t>
      </w:r>
      <w:r w:rsidR="005B689A">
        <w:t xml:space="preserve">Nová právní úprava </w:t>
      </w:r>
      <w:r w:rsidR="007D4E2C">
        <w:t xml:space="preserve">by </w:t>
      </w:r>
      <w:r w:rsidR="005B689A">
        <w:t xml:space="preserve">pak </w:t>
      </w:r>
      <w:r w:rsidR="007D4E2C">
        <w:t xml:space="preserve">měla </w:t>
      </w:r>
      <w:r w:rsidR="005B689A">
        <w:t>stanov</w:t>
      </w:r>
      <w:r w:rsidR="007D4E2C">
        <w:t>it</w:t>
      </w:r>
      <w:r w:rsidR="005B689A">
        <w:t xml:space="preserve"> požadavky i</w:t>
      </w:r>
      <w:r>
        <w:t> </w:t>
      </w:r>
      <w:r w:rsidR="005B689A">
        <w:t>na odbornou kvalifikaci ředitelů krajských stavebních úřadů a samotných pracovníků stavebních úřadů.</w:t>
      </w:r>
    </w:p>
    <w:p w:rsidR="007076C8" w:rsidRDefault="00E05DA4" w:rsidP="003E4A5D">
      <w:pPr>
        <w:pStyle w:val="Text-Normaln"/>
        <w:widowControl w:val="0"/>
      </w:pPr>
      <w:r w:rsidRPr="00E05DA4">
        <w:t>Státní stavební správa bude podřízena MMR, rozpočtově tedy bude spadat do kapitoly MMR, které tak bude odpovědné za zajištění rozpočtových prostřed</w:t>
      </w:r>
      <w:r>
        <w:t xml:space="preserve">ků pro státní stavební správu. </w:t>
      </w:r>
      <w:r w:rsidRPr="00E05DA4">
        <w:t xml:space="preserve">NSÚ bude účetní jednotkou a </w:t>
      </w:r>
      <w:r w:rsidRPr="001D3B77">
        <w:t>organizační složk</w:t>
      </w:r>
      <w:r w:rsidRPr="00696E9E">
        <w:t>ou státu (obdobně jako GFŘ) a bude zajišťovat personální, platové a ekonomické činnosti (hospodaření s majetkem státu) pro celou státní stavební správu.</w:t>
      </w:r>
      <w:r w:rsidR="002E25FF">
        <w:t xml:space="preserve"> </w:t>
      </w:r>
      <w:r w:rsidR="007076C8">
        <w:t xml:space="preserve"> </w:t>
      </w:r>
    </w:p>
    <w:p w:rsidR="007076C8" w:rsidRPr="007349B9" w:rsidRDefault="007076C8" w:rsidP="003E4A5D">
      <w:pPr>
        <w:pStyle w:val="Text-Normaln"/>
        <w:widowControl w:val="0"/>
      </w:pPr>
      <w:r w:rsidRPr="00A94743">
        <w:t xml:space="preserve">Hlavní město Praha </w:t>
      </w:r>
      <w:r w:rsidR="00B93902">
        <w:t xml:space="preserve">by </w:t>
      </w:r>
      <w:r w:rsidRPr="00A94743">
        <w:t xml:space="preserve">se </w:t>
      </w:r>
      <w:r w:rsidR="00B93902">
        <w:t>mělo pojímat</w:t>
      </w:r>
      <w:r w:rsidRPr="00A94743">
        <w:t xml:space="preserve"> jako kraj a</w:t>
      </w:r>
      <w:r w:rsidR="00B93902">
        <w:t xml:space="preserve"> </w:t>
      </w:r>
      <w:r w:rsidRPr="00A94743">
        <w:t>je</w:t>
      </w:r>
      <w:r w:rsidR="00B93902">
        <w:t>ho</w:t>
      </w:r>
      <w:r w:rsidRPr="00A94743">
        <w:t xml:space="preserve"> městské části jako obce. Namísto krajského stavebního úřadu </w:t>
      </w:r>
      <w:r w:rsidR="00B93902">
        <w:t>by tak měl vzniknout</w:t>
      </w:r>
      <w:r w:rsidRPr="00A94743">
        <w:t xml:space="preserve"> Stavební úřad hl. m. Prahy a</w:t>
      </w:r>
      <w:r w:rsidR="00B93902">
        <w:rPr>
          <w:color w:val="000000"/>
          <w:szCs w:val="24"/>
        </w:rPr>
        <w:t xml:space="preserve"> </w:t>
      </w:r>
      <w:r w:rsidRPr="00A94743">
        <w:t>na úrovni jednotlivých městských částí</w:t>
      </w:r>
      <w:r w:rsidR="007D4E2C" w:rsidRPr="007D4E2C">
        <w:t xml:space="preserve"> </w:t>
      </w:r>
      <w:r w:rsidR="007D4E2C" w:rsidRPr="00A94743">
        <w:t xml:space="preserve">jeho </w:t>
      </w:r>
      <w:r w:rsidR="000D021D">
        <w:t>územní</w:t>
      </w:r>
      <w:r w:rsidR="007D4E2C" w:rsidRPr="00A94743">
        <w:t xml:space="preserve"> pracoviště</w:t>
      </w:r>
      <w:r w:rsidRPr="00A94743">
        <w:t xml:space="preserve">. </w:t>
      </w:r>
    </w:p>
    <w:p w:rsidR="00FE7764" w:rsidRPr="00F17D93" w:rsidRDefault="00FE7764" w:rsidP="003E4A5D">
      <w:pPr>
        <w:widowControl w:val="0"/>
      </w:pPr>
      <w:r>
        <w:t>Pro pochopení prováděných výpočtů je ještě třeba zmínit, že z důvodu menší potřeby ne vždy dostupných dat toto h</w:t>
      </w:r>
      <w:r w:rsidRPr="00F17D93">
        <w:t xml:space="preserve">odnocení dopadů nevyčísluje absolutní výši aktuálních a budoucích nákladů a přínosů, ale kvantifikuje jejich změnu (tj. nárůst či pokles) </w:t>
      </w:r>
      <w:r>
        <w:t xml:space="preserve">oproti současnému stavu </w:t>
      </w:r>
      <w:r w:rsidRPr="00F17D93">
        <w:t>po zavedení vybraných variant. RIA kalkuluje s nejvýznamnějšími dopady na veškeré dotčené strany, marginální náklady a přínosy jsou hodnoceny jako zanedbatelné a nejsou pro jejich nepodstatnost detailně rozebírány.</w:t>
      </w:r>
    </w:p>
    <w:p w:rsidR="007E62EE" w:rsidRPr="00647D6D" w:rsidRDefault="007E62EE" w:rsidP="003E4A5D">
      <w:pPr>
        <w:pStyle w:val="Text-Normaln"/>
        <w:widowControl w:val="0"/>
        <w:rPr>
          <w:i/>
          <w:u w:val="single"/>
        </w:rPr>
      </w:pPr>
      <w:r w:rsidRPr="00647D6D">
        <w:rPr>
          <w:i/>
          <w:u w:val="single"/>
        </w:rPr>
        <w:t xml:space="preserve">Vytvoření Nejvyššího </w:t>
      </w:r>
      <w:r w:rsidR="007D4E2C">
        <w:rPr>
          <w:i/>
          <w:u w:val="single"/>
        </w:rPr>
        <w:t xml:space="preserve">stavebního </w:t>
      </w:r>
      <w:r w:rsidRPr="00647D6D">
        <w:rPr>
          <w:i/>
          <w:u w:val="single"/>
        </w:rPr>
        <w:t>úřadu</w:t>
      </w:r>
    </w:p>
    <w:p w:rsidR="007E62EE" w:rsidRPr="007E62EE" w:rsidRDefault="007E62EE" w:rsidP="003E4A5D">
      <w:pPr>
        <w:pStyle w:val="Text-Normaln"/>
        <w:widowControl w:val="0"/>
      </w:pPr>
      <w:r w:rsidRPr="007E62EE">
        <w:t xml:space="preserve">Důležitým aspektem a podmínkou realizace přínosů Varianty </w:t>
      </w:r>
      <w:r w:rsidR="00FE7764">
        <w:t>2</w:t>
      </w:r>
      <w:r w:rsidRPr="007E62EE">
        <w:t xml:space="preserve"> je:</w:t>
      </w:r>
    </w:p>
    <w:p w:rsidR="007E62EE" w:rsidRDefault="008031D5" w:rsidP="009D4B5F">
      <w:pPr>
        <w:pStyle w:val="Odstavecseseznamem"/>
        <w:widowControl w:val="0"/>
        <w:numPr>
          <w:ilvl w:val="0"/>
          <w:numId w:val="36"/>
        </w:numPr>
        <w:spacing w:before="0" w:after="0"/>
        <w:rPr>
          <w:rFonts w:cs="Segoe UI"/>
          <w:color w:val="000000"/>
        </w:rPr>
      </w:pPr>
      <w:r>
        <w:rPr>
          <w:rFonts w:cs="Segoe UI"/>
          <w:color w:val="000000"/>
        </w:rPr>
        <w:t>nezávislost</w:t>
      </w:r>
      <w:r w:rsidR="001C6CA0">
        <w:rPr>
          <w:rFonts w:cs="Segoe UI"/>
          <w:color w:val="000000"/>
        </w:rPr>
        <w:t>,</w:t>
      </w:r>
      <w:r w:rsidR="007E62EE">
        <w:rPr>
          <w:rFonts w:cs="Segoe UI"/>
          <w:color w:val="000000"/>
        </w:rPr>
        <w:t xml:space="preserve"> stabilita </w:t>
      </w:r>
      <w:r w:rsidR="001C6CA0">
        <w:rPr>
          <w:rFonts w:cs="Segoe UI"/>
          <w:color w:val="000000"/>
        </w:rPr>
        <w:t xml:space="preserve">a profesionalita </w:t>
      </w:r>
      <w:r w:rsidR="007E62EE">
        <w:rPr>
          <w:rFonts w:cs="Segoe UI"/>
          <w:color w:val="000000"/>
        </w:rPr>
        <w:t>úřadu</w:t>
      </w:r>
      <w:r w:rsidR="005C185C">
        <w:rPr>
          <w:rFonts w:cs="Segoe UI"/>
          <w:color w:val="000000"/>
        </w:rPr>
        <w:t>,</w:t>
      </w:r>
    </w:p>
    <w:p w:rsidR="00743157" w:rsidRPr="00743157" w:rsidRDefault="008031D5" w:rsidP="009D4B5F">
      <w:pPr>
        <w:pStyle w:val="Odstavecseseznamem"/>
        <w:widowControl w:val="0"/>
        <w:numPr>
          <w:ilvl w:val="0"/>
          <w:numId w:val="36"/>
        </w:numPr>
        <w:spacing w:before="0" w:after="0"/>
      </w:pPr>
      <w:r>
        <w:rPr>
          <w:rFonts w:cs="Segoe UI"/>
          <w:color w:val="000000"/>
        </w:rPr>
        <w:t xml:space="preserve">sjednocené </w:t>
      </w:r>
      <w:r w:rsidR="007E62EE">
        <w:rPr>
          <w:rFonts w:cs="Segoe UI"/>
          <w:color w:val="000000"/>
        </w:rPr>
        <w:t xml:space="preserve">vnitřní metodické </w:t>
      </w:r>
      <w:r w:rsidR="007076C8">
        <w:rPr>
          <w:rFonts w:cs="Segoe UI"/>
          <w:color w:val="000000"/>
        </w:rPr>
        <w:t xml:space="preserve">a provozní </w:t>
      </w:r>
      <w:r w:rsidR="007E62EE">
        <w:rPr>
          <w:rFonts w:cs="Segoe UI"/>
          <w:color w:val="000000"/>
        </w:rPr>
        <w:t xml:space="preserve">řízení (sjednocené řízení úřadů, </w:t>
      </w:r>
      <w:r w:rsidR="007076C8">
        <w:rPr>
          <w:rFonts w:cs="Segoe UI"/>
          <w:color w:val="000000"/>
        </w:rPr>
        <w:t xml:space="preserve">provozně </w:t>
      </w:r>
      <w:r w:rsidR="007E62EE">
        <w:rPr>
          <w:rFonts w:cs="Segoe UI"/>
          <w:color w:val="000000"/>
        </w:rPr>
        <w:t>včetně jednotného I</w:t>
      </w:r>
      <w:r>
        <w:rPr>
          <w:rFonts w:cs="Segoe UI"/>
          <w:color w:val="000000"/>
        </w:rPr>
        <w:t>C</w:t>
      </w:r>
      <w:r w:rsidR="007E62EE">
        <w:rPr>
          <w:rFonts w:cs="Segoe UI"/>
          <w:color w:val="000000"/>
        </w:rPr>
        <w:t>T</w:t>
      </w:r>
      <w:r>
        <w:rPr>
          <w:rFonts w:cs="Segoe UI"/>
          <w:color w:val="000000"/>
        </w:rPr>
        <w:t xml:space="preserve"> vybavení</w:t>
      </w:r>
      <w:r w:rsidR="007076C8">
        <w:rPr>
          <w:rFonts w:cs="Segoe UI"/>
          <w:color w:val="000000"/>
        </w:rPr>
        <w:t xml:space="preserve">, metodicky </w:t>
      </w:r>
      <w:r w:rsidR="00686D84">
        <w:rPr>
          <w:rFonts w:cs="Segoe UI"/>
          <w:color w:val="000000"/>
        </w:rPr>
        <w:t>například</w:t>
      </w:r>
      <w:r w:rsidR="00743157">
        <w:rPr>
          <w:rFonts w:cs="Segoe UI"/>
          <w:color w:val="000000"/>
        </w:rPr>
        <w:t xml:space="preserve"> </w:t>
      </w:r>
      <w:r w:rsidR="007076C8">
        <w:rPr>
          <w:rFonts w:cs="Segoe UI"/>
          <w:color w:val="000000"/>
        </w:rPr>
        <w:t xml:space="preserve">u </w:t>
      </w:r>
      <w:r w:rsidR="007E62EE">
        <w:rPr>
          <w:rFonts w:cs="Segoe UI"/>
          <w:color w:val="000000"/>
        </w:rPr>
        <w:t>kontrolního systému v rámci soustavy úřadů)</w:t>
      </w:r>
      <w:r w:rsidR="005C185C">
        <w:rPr>
          <w:rFonts w:cs="Segoe UI"/>
          <w:color w:val="000000"/>
        </w:rPr>
        <w:t>.</w:t>
      </w:r>
    </w:p>
    <w:p w:rsidR="00B71616" w:rsidRDefault="001C6CA0" w:rsidP="003E4A5D">
      <w:pPr>
        <w:widowControl w:val="0"/>
        <w:spacing w:after="0"/>
      </w:pPr>
      <w:r w:rsidRPr="001C6CA0">
        <w:t xml:space="preserve">Při výpočtu nákladů na vytvoření </w:t>
      </w:r>
      <w:r w:rsidR="005C185C">
        <w:t>NSÚ</w:t>
      </w:r>
      <w:r w:rsidRPr="001C6CA0">
        <w:t xml:space="preserve"> </w:t>
      </w:r>
      <w:r w:rsidR="005C185C">
        <w:t>se vycházelo</w:t>
      </w:r>
      <w:r w:rsidR="005C185C" w:rsidRPr="001C6CA0">
        <w:t xml:space="preserve"> </w:t>
      </w:r>
      <w:r w:rsidRPr="001C6CA0">
        <w:t>z předpokladu, že by nebylo nutné rozšiřovat současné kapacity</w:t>
      </w:r>
      <w:r w:rsidR="00FA140B">
        <w:t>,</w:t>
      </w:r>
      <w:r w:rsidRPr="001C6CA0">
        <w:t xml:space="preserve"> a že by byla pouze přesunuta část odborníků vykonávající </w:t>
      </w:r>
      <w:r w:rsidR="0050529E">
        <w:t>ob</w:t>
      </w:r>
      <w:r w:rsidRPr="001C6CA0">
        <w:t>dobnou agendu v rámci MMR a ÚÚR</w:t>
      </w:r>
      <w:r>
        <w:t xml:space="preserve">, </w:t>
      </w:r>
      <w:r w:rsidRPr="001C6CA0">
        <w:t>Ministerstva dopravy (MD)</w:t>
      </w:r>
      <w:r>
        <w:t>,</w:t>
      </w:r>
      <w:r w:rsidRPr="001C6CA0">
        <w:t xml:space="preserve"> Ministerstva průmyslu </w:t>
      </w:r>
      <w:r w:rsidR="0017590F" w:rsidRPr="001C6CA0">
        <w:t>a</w:t>
      </w:r>
      <w:r w:rsidR="0017590F">
        <w:t> </w:t>
      </w:r>
      <w:r w:rsidRPr="001C6CA0">
        <w:t>obchodu (MPO), Ministerstva zemědělství (</w:t>
      </w:r>
      <w:proofErr w:type="spellStart"/>
      <w:r w:rsidRPr="001C6CA0">
        <w:t>MZ</w:t>
      </w:r>
      <w:r>
        <w:t>e</w:t>
      </w:r>
      <w:proofErr w:type="spellEnd"/>
      <w:r w:rsidRPr="001C6CA0">
        <w:t>)</w:t>
      </w:r>
      <w:r>
        <w:t>,</w:t>
      </w:r>
      <w:r w:rsidRPr="001C6CA0">
        <w:t xml:space="preserve"> Ministerstva vnitra (MV), Ministerstva spravedlnosti (MS)</w:t>
      </w:r>
      <w:r>
        <w:t xml:space="preserve"> </w:t>
      </w:r>
      <w:r w:rsidR="0050529E">
        <w:t>aj.</w:t>
      </w:r>
      <w:r w:rsidRPr="001C6CA0">
        <w:t xml:space="preserve"> na NSÚ. Jelikož se jedná pouze o přesun odborníků, </w:t>
      </w:r>
      <w:r w:rsidR="0017590F">
        <w:t>nelze předpokládat</w:t>
      </w:r>
      <w:r w:rsidR="0017590F" w:rsidRPr="001C6CA0">
        <w:t xml:space="preserve"> </w:t>
      </w:r>
      <w:r w:rsidRPr="001C6CA0">
        <w:t>zásadní změnu ve mzdových a režijních nákladech</w:t>
      </w:r>
      <w:r w:rsidR="007E62EE">
        <w:t xml:space="preserve">. </w:t>
      </w:r>
      <w:r w:rsidR="0017590F">
        <w:t>Lze předpokládat</w:t>
      </w:r>
      <w:r w:rsidR="007E62EE">
        <w:t xml:space="preserve"> pouze navýšení mzdových nákladů ve výši odpovídající platu ředitele </w:t>
      </w:r>
      <w:r w:rsidR="0050529E">
        <w:t>NSÚ</w:t>
      </w:r>
      <w:r w:rsidR="007E62EE">
        <w:t>, u kterého se předpokládají mzdové a režijní náklady ve výši do 115 000 Kč měsíčně</w:t>
      </w:r>
      <w:r w:rsidR="007E62EE">
        <w:rPr>
          <w:rStyle w:val="Znakapoznpodarou"/>
        </w:rPr>
        <w:footnoteReference w:id="9"/>
      </w:r>
      <w:r w:rsidR="007E62EE">
        <w:t xml:space="preserve">, </w:t>
      </w:r>
      <w:r w:rsidR="00B71616">
        <w:t>tj. 1,4 mil. Kč r</w:t>
      </w:r>
      <w:r w:rsidR="007E62EE">
        <w:t>očn</w:t>
      </w:r>
      <w:r w:rsidR="00B71616">
        <w:t>ě.</w:t>
      </w:r>
      <w:r w:rsidR="00FE7764">
        <w:t xml:space="preserve"> Pokud bychom navíc počítali s dalšími 5 </w:t>
      </w:r>
      <w:r w:rsidR="0017590F">
        <w:t>zástupci</w:t>
      </w:r>
      <w:r w:rsidR="00FE7764">
        <w:t xml:space="preserve">, kteří nebudou přesunuti, ale najati nad rámec stávajícího aparátu, </w:t>
      </w:r>
      <w:r w:rsidR="0017590F">
        <w:t xml:space="preserve">zvýšila by se tato částka </w:t>
      </w:r>
      <w:r w:rsidR="00FE7764">
        <w:t>přibližně na šestinásobek.</w:t>
      </w:r>
    </w:p>
    <w:p w:rsidR="0017590F" w:rsidRDefault="0017590F" w:rsidP="003E4A5D">
      <w:pPr>
        <w:widowControl w:val="0"/>
        <w:spacing w:after="0"/>
      </w:pPr>
    </w:p>
    <w:p w:rsidR="007E62EE" w:rsidRPr="00C14ED1" w:rsidRDefault="007E62EE" w:rsidP="003E4A5D">
      <w:pPr>
        <w:widowControl w:val="0"/>
        <w:rPr>
          <w:i/>
          <w:u w:val="single"/>
        </w:rPr>
      </w:pPr>
      <w:r w:rsidRPr="00C14ED1">
        <w:rPr>
          <w:i/>
          <w:u w:val="single"/>
        </w:rPr>
        <w:lastRenderedPageBreak/>
        <w:t xml:space="preserve">Pořízení IS pro </w:t>
      </w:r>
      <w:r w:rsidR="00C14ED1">
        <w:rPr>
          <w:i/>
          <w:u w:val="single"/>
        </w:rPr>
        <w:t>ústřední monitoring</w:t>
      </w:r>
    </w:p>
    <w:p w:rsidR="007E62EE" w:rsidRDefault="007E62EE" w:rsidP="003E4A5D">
      <w:pPr>
        <w:widowControl w:val="0"/>
      </w:pPr>
      <w:r>
        <w:t xml:space="preserve">V případě přesunu </w:t>
      </w:r>
      <w:r w:rsidR="00C14ED1">
        <w:t>ÚÚP, OSÚ a SSÚ</w:t>
      </w:r>
      <w:r>
        <w:t xml:space="preserve"> pod jeden nadřízený subjekt </w:t>
      </w:r>
      <w:r w:rsidR="0050529E">
        <w:t>je žádoucí implementovat</w:t>
      </w:r>
      <w:r>
        <w:t xml:space="preserve"> </w:t>
      </w:r>
      <w:r w:rsidR="00BA0861">
        <w:t>informační systém (</w:t>
      </w:r>
      <w:r>
        <w:t>IS</w:t>
      </w:r>
      <w:r w:rsidR="00BA0861">
        <w:t>)</w:t>
      </w:r>
      <w:r>
        <w:t xml:space="preserve">, jehož klíčovou součástí by mohl být softwarový produkt nebo set provázaných aplikací, sledujících </w:t>
      </w:r>
      <w:r w:rsidR="00C14ED1">
        <w:t xml:space="preserve">časový sled a </w:t>
      </w:r>
      <w:r>
        <w:t xml:space="preserve">časovou náročnost jednotlivých procesů - </w:t>
      </w:r>
      <w:proofErr w:type="spellStart"/>
      <w:r>
        <w:t>workflow</w:t>
      </w:r>
      <w:proofErr w:type="spellEnd"/>
      <w:r>
        <w:t xml:space="preserve"> IS, personální systém - za účelem jednotné evidence zaměstnanců a logické funkce pro vzorovou kalkulaci mezd, evidenci úkonů atd.</w:t>
      </w:r>
      <w:r w:rsidR="0050529E">
        <w:t xml:space="preserve"> </w:t>
      </w:r>
      <w:r>
        <w:t xml:space="preserve">Dle konzultací s experty v dané oblasti </w:t>
      </w:r>
      <w:r w:rsidR="00D67B13">
        <w:t>lze předpokládat</w:t>
      </w:r>
      <w:r w:rsidR="00F53BF4">
        <w:t>, že </w:t>
      </w:r>
      <w:r>
        <w:t xml:space="preserve">administrativní náročnost tohoto systému by neměla být </w:t>
      </w:r>
      <w:r w:rsidR="00C14ED1">
        <w:t xml:space="preserve">příliš </w:t>
      </w:r>
      <w:r w:rsidR="00F53BF4">
        <w:t>vysoká, jelikož jde již o </w:t>
      </w:r>
      <w:r>
        <w:t xml:space="preserve">standardní řešení využívané v soukromé sféře a v některých případech i interně v rámci </w:t>
      </w:r>
      <w:r w:rsidR="0050529E">
        <w:t>stavebních úřadů</w:t>
      </w:r>
      <w:r>
        <w:t xml:space="preserve"> a lze ho zkombinovat s již </w:t>
      </w:r>
      <w:r w:rsidR="0050529E">
        <w:t>pořízenými</w:t>
      </w:r>
      <w:r>
        <w:t xml:space="preserve"> aplikacemi. Náklady v případě jednoduššího řešení </w:t>
      </w:r>
      <w:r w:rsidR="00D67B13">
        <w:t xml:space="preserve">se odhadují </w:t>
      </w:r>
      <w:r>
        <w:t xml:space="preserve">v řádech </w:t>
      </w:r>
      <w:r w:rsidR="008041C9">
        <w:t xml:space="preserve">desítek </w:t>
      </w:r>
      <w:r>
        <w:t xml:space="preserve">mil. Kč. Skutečná výše nákladů se však bude odvíjet od počtu požadovaných funkcionalit v rámci konkrétního řešení. </w:t>
      </w:r>
    </w:p>
    <w:p w:rsidR="007E62EE" w:rsidRPr="00C14ED1" w:rsidRDefault="007E62EE" w:rsidP="003E4A5D">
      <w:pPr>
        <w:widowControl w:val="0"/>
        <w:rPr>
          <w:i/>
          <w:u w:val="single"/>
        </w:rPr>
      </w:pPr>
      <w:r w:rsidRPr="00C14ED1">
        <w:rPr>
          <w:i/>
          <w:u w:val="single"/>
        </w:rPr>
        <w:t>Mzdové a režijní náklady</w:t>
      </w:r>
    </w:p>
    <w:p w:rsidR="007E62EE" w:rsidRDefault="007E62EE" w:rsidP="003E4A5D">
      <w:pPr>
        <w:pStyle w:val="Textkomente"/>
        <w:widowControl w:val="0"/>
      </w:pPr>
      <w:r w:rsidRPr="001B642D">
        <w:rPr>
          <w:sz w:val="24"/>
          <w:szCs w:val="22"/>
        </w:rPr>
        <w:t xml:space="preserve">Dojde-li k transformaci úřadů pod </w:t>
      </w:r>
      <w:r w:rsidR="002E1975">
        <w:rPr>
          <w:sz w:val="24"/>
          <w:szCs w:val="22"/>
        </w:rPr>
        <w:t>NSÚ</w:t>
      </w:r>
      <w:r w:rsidRPr="001B642D">
        <w:rPr>
          <w:sz w:val="24"/>
          <w:szCs w:val="22"/>
        </w:rPr>
        <w:t xml:space="preserve"> spolu s přesunem agend vykonávaných v PP, budou zaměstnanci těchto úřadů odměňováni na základě ta</w:t>
      </w:r>
      <w:r w:rsidR="00F53BF4">
        <w:rPr>
          <w:sz w:val="24"/>
          <w:szCs w:val="22"/>
        </w:rPr>
        <w:t>bulkových platů státní správy a </w:t>
      </w:r>
      <w:r w:rsidRPr="001B642D">
        <w:rPr>
          <w:sz w:val="24"/>
          <w:szCs w:val="22"/>
        </w:rPr>
        <w:t>nikoliv tabulkových platů pro územní samosprávy.</w:t>
      </w:r>
      <w:r w:rsidR="001B642D">
        <w:t xml:space="preserve"> </w:t>
      </w:r>
      <w:r>
        <w:t xml:space="preserve"> </w:t>
      </w:r>
    </w:p>
    <w:p w:rsidR="00096627" w:rsidRDefault="00096627" w:rsidP="003E4A5D">
      <w:pPr>
        <w:pStyle w:val="Titulek"/>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18</w:t>
      </w:r>
      <w:r w:rsidR="00AB65E9">
        <w:rPr>
          <w:noProof/>
        </w:rPr>
        <w:fldChar w:fldCharType="end"/>
      </w:r>
      <w:r>
        <w:t xml:space="preserve">: Počty zaměstnanců </w:t>
      </w:r>
      <w:r w:rsidR="002E1975">
        <w:t>ÚÚP</w:t>
      </w:r>
      <w:r>
        <w:t xml:space="preserve"> a stavebních úřadů dle platových tříd</w:t>
      </w:r>
    </w:p>
    <w:tbl>
      <w:tblPr>
        <w:tblStyle w:val="Svtlstnovn1"/>
        <w:tblW w:w="9072" w:type="dxa"/>
        <w:tblInd w:w="108" w:type="dxa"/>
        <w:tblLayout w:type="fixed"/>
        <w:tblLook w:val="04A0" w:firstRow="1" w:lastRow="0" w:firstColumn="1" w:lastColumn="0" w:noHBand="0" w:noVBand="1"/>
      </w:tblPr>
      <w:tblGrid>
        <w:gridCol w:w="1276"/>
        <w:gridCol w:w="725"/>
        <w:gridCol w:w="975"/>
        <w:gridCol w:w="974"/>
        <w:gridCol w:w="975"/>
        <w:gridCol w:w="974"/>
        <w:gridCol w:w="975"/>
        <w:gridCol w:w="974"/>
        <w:gridCol w:w="1224"/>
      </w:tblGrid>
      <w:tr w:rsidR="00C4121A" w:rsidRPr="00C4121A" w:rsidTr="00215D4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DA3293" w:rsidP="003E4A5D">
            <w:pPr>
              <w:widowControl w:val="0"/>
              <w:spacing w:before="0" w:after="0"/>
              <w:jc w:val="left"/>
              <w:rPr>
                <w:rFonts w:ascii="Calibri" w:eastAsia="Times New Roman" w:hAnsi="Calibri" w:cs="Calibri"/>
                <w:sz w:val="16"/>
                <w:szCs w:val="16"/>
                <w:lang w:eastAsia="cs-CZ"/>
              </w:rPr>
            </w:pPr>
            <w:r>
              <w:rPr>
                <w:rFonts w:ascii="Calibri" w:eastAsia="Times New Roman" w:hAnsi="Calibri" w:cs="Calibri"/>
                <w:sz w:val="16"/>
                <w:szCs w:val="16"/>
                <w:lang w:eastAsia="cs-CZ"/>
              </w:rPr>
              <w:t>Počty zaměstnanců dle platových tříd</w:t>
            </w:r>
          </w:p>
        </w:tc>
        <w:tc>
          <w:tcPr>
            <w:tcW w:w="725" w:type="dxa"/>
            <w:noWrap/>
            <w:vAlign w:val="center"/>
            <w:hideMark/>
          </w:tcPr>
          <w:p w:rsidR="00C4121A" w:rsidRPr="00C4121A" w:rsidRDefault="00645A7D"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Pr>
                <w:rFonts w:ascii="Calibri" w:eastAsia="Times New Roman" w:hAnsi="Calibri" w:cs="Calibri"/>
                <w:sz w:val="16"/>
                <w:szCs w:val="16"/>
                <w:lang w:eastAsia="cs-CZ"/>
              </w:rPr>
              <w:t>n</w:t>
            </w:r>
            <w:r w:rsidR="00C4121A" w:rsidRPr="00C4121A">
              <w:rPr>
                <w:rFonts w:ascii="Calibri" w:eastAsia="Times New Roman" w:hAnsi="Calibri" w:cs="Calibri"/>
                <w:sz w:val="16"/>
                <w:szCs w:val="16"/>
                <w:lang w:eastAsia="cs-CZ"/>
              </w:rPr>
              <w:t>ižší než 8. platová třída</w:t>
            </w:r>
          </w:p>
        </w:tc>
        <w:tc>
          <w:tcPr>
            <w:tcW w:w="975" w:type="dxa"/>
            <w:noWrap/>
            <w:vAlign w:val="center"/>
            <w:hideMark/>
          </w:tcPr>
          <w:p w:rsidR="00C4121A" w:rsidRPr="00C4121A" w:rsidRDefault="00C4121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třída 8.</w:t>
            </w:r>
          </w:p>
        </w:tc>
        <w:tc>
          <w:tcPr>
            <w:tcW w:w="974" w:type="dxa"/>
            <w:noWrap/>
            <w:vAlign w:val="center"/>
            <w:hideMark/>
          </w:tcPr>
          <w:p w:rsidR="00C4121A" w:rsidRPr="00C4121A" w:rsidRDefault="00C4121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třída 9.</w:t>
            </w:r>
          </w:p>
        </w:tc>
        <w:tc>
          <w:tcPr>
            <w:tcW w:w="975" w:type="dxa"/>
            <w:noWrap/>
            <w:vAlign w:val="center"/>
            <w:hideMark/>
          </w:tcPr>
          <w:p w:rsidR="00C4121A" w:rsidRPr="00C4121A" w:rsidRDefault="00C4121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třída 10.</w:t>
            </w:r>
          </w:p>
        </w:tc>
        <w:tc>
          <w:tcPr>
            <w:tcW w:w="974" w:type="dxa"/>
            <w:noWrap/>
            <w:vAlign w:val="center"/>
            <w:hideMark/>
          </w:tcPr>
          <w:p w:rsidR="00C4121A" w:rsidRPr="00C4121A" w:rsidRDefault="00C4121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třída 11.</w:t>
            </w:r>
          </w:p>
        </w:tc>
        <w:tc>
          <w:tcPr>
            <w:tcW w:w="975" w:type="dxa"/>
            <w:noWrap/>
            <w:vAlign w:val="center"/>
            <w:hideMark/>
          </w:tcPr>
          <w:p w:rsidR="00C4121A" w:rsidRPr="00C4121A" w:rsidRDefault="00C4121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třída 12.</w:t>
            </w:r>
          </w:p>
        </w:tc>
        <w:tc>
          <w:tcPr>
            <w:tcW w:w="974" w:type="dxa"/>
            <w:noWrap/>
            <w:vAlign w:val="center"/>
            <w:hideMark/>
          </w:tcPr>
          <w:p w:rsidR="00C4121A" w:rsidRPr="00C4121A" w:rsidRDefault="00C4121A"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vyšší než třída 12.</w:t>
            </w:r>
          </w:p>
        </w:tc>
        <w:tc>
          <w:tcPr>
            <w:tcW w:w="1224" w:type="dxa"/>
            <w:noWrap/>
            <w:vAlign w:val="center"/>
            <w:hideMark/>
          </w:tcPr>
          <w:p w:rsidR="00C4121A" w:rsidRPr="00C4121A" w:rsidRDefault="00645A7D"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Pr>
                <w:rFonts w:ascii="Calibri" w:eastAsia="Times New Roman" w:hAnsi="Calibri" w:cs="Calibri"/>
                <w:sz w:val="16"/>
                <w:szCs w:val="16"/>
                <w:lang w:eastAsia="cs-CZ"/>
              </w:rPr>
              <w:t>Celkem</w:t>
            </w:r>
          </w:p>
        </w:tc>
      </w:tr>
      <w:tr w:rsidR="00C4121A" w:rsidRPr="00C4121A"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OSÚ I – ČR</w:t>
            </w:r>
          </w:p>
        </w:tc>
        <w:tc>
          <w:tcPr>
            <w:tcW w:w="72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36</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557</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1 919</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539</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35</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122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r>
      <w:tr w:rsidR="00C4121A" w:rsidRPr="00C4121A" w:rsidTr="00215D45">
        <w:trPr>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OSÚ II 2017</w:t>
            </w:r>
          </w:p>
        </w:tc>
        <w:tc>
          <w:tcPr>
            <w:tcW w:w="72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17</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167</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31</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6</w:t>
            </w:r>
          </w:p>
        </w:tc>
        <w:tc>
          <w:tcPr>
            <w:tcW w:w="122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r>
      <w:tr w:rsidR="00C4121A" w:rsidRPr="00C4121A"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UUP I</w:t>
            </w:r>
          </w:p>
        </w:tc>
        <w:tc>
          <w:tcPr>
            <w:tcW w:w="72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9</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10</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43</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386</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292</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31</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122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r>
      <w:tr w:rsidR="00C4121A" w:rsidRPr="00C4121A" w:rsidTr="00215D45">
        <w:trPr>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UUP II</w:t>
            </w:r>
          </w:p>
        </w:tc>
        <w:tc>
          <w:tcPr>
            <w:tcW w:w="72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116</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33</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4</w:t>
            </w:r>
          </w:p>
        </w:tc>
        <w:tc>
          <w:tcPr>
            <w:tcW w:w="122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r>
      <w:tr w:rsidR="00C4121A" w:rsidRPr="00C4121A"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SSÚ - V I – ČR</w:t>
            </w:r>
          </w:p>
        </w:tc>
        <w:tc>
          <w:tcPr>
            <w:tcW w:w="72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189</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468</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162</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25</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122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r>
      <w:tr w:rsidR="00C4121A" w:rsidRPr="00C4121A" w:rsidTr="00215D45">
        <w:trPr>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SSÚ - V II – ČR</w:t>
            </w:r>
          </w:p>
        </w:tc>
        <w:tc>
          <w:tcPr>
            <w:tcW w:w="72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14</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63</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14</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14</w:t>
            </w:r>
          </w:p>
        </w:tc>
        <w:tc>
          <w:tcPr>
            <w:tcW w:w="122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r>
      <w:tr w:rsidR="00C4121A" w:rsidRPr="00C4121A"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SSÚ - D I– ČR</w:t>
            </w:r>
          </w:p>
        </w:tc>
        <w:tc>
          <w:tcPr>
            <w:tcW w:w="72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0</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89</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419</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205</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35</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122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r>
      <w:tr w:rsidR="00C4121A" w:rsidRPr="00C4121A" w:rsidTr="00215D45">
        <w:trPr>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SSÚ - D II – ČR</w:t>
            </w:r>
          </w:p>
        </w:tc>
        <w:tc>
          <w:tcPr>
            <w:tcW w:w="72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0</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31</w:t>
            </w:r>
          </w:p>
        </w:tc>
        <w:tc>
          <w:tcPr>
            <w:tcW w:w="975"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8</w:t>
            </w:r>
          </w:p>
        </w:tc>
        <w:tc>
          <w:tcPr>
            <w:tcW w:w="97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14</w:t>
            </w:r>
          </w:p>
        </w:tc>
        <w:tc>
          <w:tcPr>
            <w:tcW w:w="1224" w:type="dxa"/>
            <w:noWrap/>
            <w:vAlign w:val="center"/>
            <w:hideMark/>
          </w:tcPr>
          <w:p w:rsidR="00C4121A" w:rsidRPr="00C4121A" w:rsidRDefault="00C4121A"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r>
      <w:tr w:rsidR="00C4121A" w:rsidRPr="00C4121A"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C4121A" w:rsidRPr="00C4121A" w:rsidRDefault="00C4121A"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72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cs-CZ"/>
              </w:rPr>
            </w:pPr>
            <w:r w:rsidRPr="00C4121A">
              <w:rPr>
                <w:rFonts w:ascii="Calibri" w:eastAsia="Times New Roman" w:hAnsi="Calibri" w:cs="Calibri"/>
                <w:b/>
                <w:sz w:val="16"/>
                <w:szCs w:val="16"/>
                <w:lang w:eastAsia="cs-CZ"/>
              </w:rPr>
              <w:t>11</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cs-CZ"/>
              </w:rPr>
            </w:pPr>
            <w:r w:rsidRPr="00C4121A">
              <w:rPr>
                <w:rFonts w:ascii="Calibri" w:eastAsia="Times New Roman" w:hAnsi="Calibri" w:cs="Calibri"/>
                <w:b/>
                <w:sz w:val="16"/>
                <w:szCs w:val="16"/>
                <w:lang w:eastAsia="cs-CZ"/>
              </w:rPr>
              <w:t>49</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cs-CZ"/>
              </w:rPr>
            </w:pPr>
            <w:r w:rsidRPr="00C4121A">
              <w:rPr>
                <w:rFonts w:ascii="Calibri" w:eastAsia="Times New Roman" w:hAnsi="Calibri" w:cs="Calibri"/>
                <w:b/>
                <w:sz w:val="16"/>
                <w:szCs w:val="16"/>
                <w:lang w:eastAsia="cs-CZ"/>
              </w:rPr>
              <w:t>879</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cs-CZ"/>
              </w:rPr>
            </w:pPr>
            <w:r w:rsidRPr="00C4121A">
              <w:rPr>
                <w:rFonts w:ascii="Calibri" w:eastAsia="Times New Roman" w:hAnsi="Calibri" w:cs="Calibri"/>
                <w:b/>
                <w:sz w:val="16"/>
                <w:szCs w:val="16"/>
                <w:lang w:eastAsia="cs-CZ"/>
              </w:rPr>
              <w:t>3 224</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cs-CZ"/>
              </w:rPr>
            </w:pPr>
            <w:r w:rsidRPr="00C4121A">
              <w:rPr>
                <w:rFonts w:ascii="Calibri" w:eastAsia="Times New Roman" w:hAnsi="Calibri" w:cs="Calibri"/>
                <w:b/>
                <w:sz w:val="16"/>
                <w:szCs w:val="16"/>
                <w:lang w:eastAsia="cs-CZ"/>
              </w:rPr>
              <w:t>1 575</w:t>
            </w:r>
          </w:p>
        </w:tc>
        <w:tc>
          <w:tcPr>
            <w:tcW w:w="975"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cs-CZ"/>
              </w:rPr>
            </w:pPr>
            <w:r w:rsidRPr="00C4121A">
              <w:rPr>
                <w:rFonts w:ascii="Calibri" w:eastAsia="Times New Roman" w:hAnsi="Calibri" w:cs="Calibri"/>
                <w:b/>
                <w:sz w:val="16"/>
                <w:szCs w:val="16"/>
                <w:lang w:eastAsia="cs-CZ"/>
              </w:rPr>
              <w:t>212</w:t>
            </w:r>
          </w:p>
        </w:tc>
        <w:tc>
          <w:tcPr>
            <w:tcW w:w="97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cs-CZ"/>
              </w:rPr>
            </w:pPr>
            <w:r w:rsidRPr="00C4121A">
              <w:rPr>
                <w:rFonts w:ascii="Calibri" w:eastAsia="Times New Roman" w:hAnsi="Calibri" w:cs="Calibri"/>
                <w:b/>
                <w:sz w:val="16"/>
                <w:szCs w:val="16"/>
                <w:lang w:eastAsia="cs-CZ"/>
              </w:rPr>
              <w:t>38</w:t>
            </w:r>
          </w:p>
        </w:tc>
        <w:tc>
          <w:tcPr>
            <w:tcW w:w="1224" w:type="dxa"/>
            <w:noWrap/>
            <w:vAlign w:val="center"/>
            <w:hideMark/>
          </w:tcPr>
          <w:p w:rsidR="00C4121A" w:rsidRPr="00C4121A" w:rsidRDefault="00C4121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6"/>
                <w:szCs w:val="16"/>
                <w:lang w:eastAsia="cs-CZ"/>
              </w:rPr>
            </w:pPr>
            <w:r w:rsidRPr="00C4121A">
              <w:rPr>
                <w:rFonts w:ascii="Calibri" w:eastAsia="Times New Roman" w:hAnsi="Calibri" w:cs="Calibri"/>
                <w:b/>
                <w:bCs/>
                <w:sz w:val="16"/>
                <w:szCs w:val="16"/>
                <w:lang w:eastAsia="cs-CZ"/>
              </w:rPr>
              <w:t>5 988</w:t>
            </w:r>
          </w:p>
        </w:tc>
      </w:tr>
      <w:tr w:rsidR="00E00D9F" w:rsidRPr="00C4121A" w:rsidTr="00215D45">
        <w:trPr>
          <w:trHeight w:val="288"/>
        </w:trPr>
        <w:tc>
          <w:tcPr>
            <w:cnfStyle w:val="001000000000" w:firstRow="0" w:lastRow="0" w:firstColumn="1" w:lastColumn="0" w:oddVBand="0" w:evenVBand="0" w:oddHBand="0" w:evenHBand="0" w:firstRowFirstColumn="0" w:firstRowLastColumn="0" w:lastRowFirstColumn="0" w:lastRowLastColumn="0"/>
            <w:tcW w:w="9072" w:type="dxa"/>
            <w:gridSpan w:val="9"/>
            <w:noWrap/>
            <w:vAlign w:val="center"/>
          </w:tcPr>
          <w:p w:rsidR="00E00D9F" w:rsidRPr="00C4121A" w:rsidRDefault="00E00D9F" w:rsidP="003E4A5D">
            <w:pPr>
              <w:widowControl w:val="0"/>
              <w:spacing w:before="0" w:after="0"/>
              <w:jc w:val="left"/>
              <w:rPr>
                <w:rFonts w:ascii="Calibri" w:eastAsia="Times New Roman" w:hAnsi="Calibri" w:cs="Calibri"/>
                <w:b w:val="0"/>
                <w:bCs w:val="0"/>
                <w:sz w:val="16"/>
                <w:szCs w:val="16"/>
                <w:lang w:eastAsia="cs-CZ"/>
              </w:rPr>
            </w:pPr>
            <w:r>
              <w:rPr>
                <w:rFonts w:ascii="Calibri" w:eastAsia="Times New Roman" w:hAnsi="Calibri" w:cs="Calibri"/>
                <w:sz w:val="16"/>
                <w:szCs w:val="16"/>
                <w:lang w:eastAsia="cs-CZ"/>
              </w:rPr>
              <w:t>Dle tabulek od 1.1.2019</w:t>
            </w:r>
            <w:r w:rsidR="00162CB7">
              <w:rPr>
                <w:rFonts w:ascii="Calibri" w:eastAsia="Times New Roman" w:hAnsi="Calibri" w:cs="Calibri"/>
                <w:sz w:val="16"/>
                <w:szCs w:val="16"/>
                <w:lang w:eastAsia="cs-CZ"/>
              </w:rPr>
              <w:t>:</w:t>
            </w:r>
          </w:p>
        </w:tc>
      </w:tr>
      <w:tr w:rsidR="003C4FF0" w:rsidRPr="00C4121A"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shd w:val="clear" w:color="auto" w:fill="F4E4D7" w:themeFill="accent6" w:themeFillTint="33"/>
            <w:noWrap/>
            <w:vAlign w:val="center"/>
          </w:tcPr>
          <w:p w:rsidR="003C4FF0" w:rsidRPr="00C4121A" w:rsidRDefault="003C4FF0"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Parametry</w:t>
            </w:r>
          </w:p>
        </w:tc>
        <w:tc>
          <w:tcPr>
            <w:tcW w:w="725" w:type="dxa"/>
            <w:shd w:val="clear" w:color="auto" w:fill="F4E4D7" w:themeFill="accent6" w:themeFillTint="33"/>
            <w:noWrap/>
            <w:vAlign w:val="center"/>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0,20</w:t>
            </w:r>
          </w:p>
        </w:tc>
        <w:tc>
          <w:tcPr>
            <w:tcW w:w="975" w:type="dxa"/>
            <w:shd w:val="clear" w:color="auto" w:fill="F4E4D7" w:themeFill="accent6" w:themeFillTint="33"/>
            <w:noWrap/>
            <w:vAlign w:val="center"/>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0,34</w:t>
            </w:r>
          </w:p>
        </w:tc>
        <w:tc>
          <w:tcPr>
            <w:tcW w:w="974" w:type="dxa"/>
            <w:shd w:val="clear" w:color="auto" w:fill="F4E4D7" w:themeFill="accent6" w:themeFillTint="33"/>
            <w:noWrap/>
            <w:vAlign w:val="center"/>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0,43</w:t>
            </w:r>
          </w:p>
        </w:tc>
        <w:tc>
          <w:tcPr>
            <w:tcW w:w="975" w:type="dxa"/>
            <w:shd w:val="clear" w:color="auto" w:fill="F4E4D7" w:themeFill="accent6" w:themeFillTint="33"/>
            <w:noWrap/>
            <w:vAlign w:val="center"/>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w:t>
            </w:r>
          </w:p>
        </w:tc>
        <w:tc>
          <w:tcPr>
            <w:tcW w:w="974" w:type="dxa"/>
            <w:shd w:val="clear" w:color="auto" w:fill="F4E4D7" w:themeFill="accent6" w:themeFillTint="33"/>
            <w:noWrap/>
            <w:vAlign w:val="center"/>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p>
        </w:tc>
        <w:tc>
          <w:tcPr>
            <w:tcW w:w="975" w:type="dxa"/>
            <w:shd w:val="clear" w:color="auto" w:fill="F4E4D7" w:themeFill="accent6" w:themeFillTint="33"/>
            <w:noWrap/>
            <w:vAlign w:val="center"/>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p>
        </w:tc>
        <w:tc>
          <w:tcPr>
            <w:tcW w:w="974" w:type="dxa"/>
            <w:shd w:val="clear" w:color="auto" w:fill="F4E4D7" w:themeFill="accent6" w:themeFillTint="33"/>
            <w:noWrap/>
            <w:vAlign w:val="center"/>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p>
        </w:tc>
        <w:tc>
          <w:tcPr>
            <w:tcW w:w="1224" w:type="dxa"/>
            <w:shd w:val="clear" w:color="auto" w:fill="F4E4D7" w:themeFill="accent6" w:themeFillTint="33"/>
            <w:noWrap/>
            <w:vAlign w:val="center"/>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6"/>
                <w:szCs w:val="16"/>
                <w:lang w:eastAsia="cs-CZ"/>
              </w:rPr>
            </w:pPr>
          </w:p>
        </w:tc>
      </w:tr>
      <w:tr w:rsidR="003C4FF0" w:rsidRPr="00C4121A" w:rsidTr="00215D45">
        <w:trPr>
          <w:trHeight w:val="288"/>
        </w:trPr>
        <w:tc>
          <w:tcPr>
            <w:cnfStyle w:val="001000000000" w:firstRow="0" w:lastRow="0" w:firstColumn="1" w:lastColumn="0" w:oddVBand="0" w:evenVBand="0" w:oddHBand="0" w:evenHBand="0" w:firstRowFirstColumn="0" w:firstRowLastColumn="0" w:lastRowFirstColumn="0" w:lastRowLastColumn="0"/>
            <w:tcW w:w="1276" w:type="dxa"/>
            <w:shd w:val="clear" w:color="auto" w:fill="FEFCBE" w:themeFill="accent1" w:themeFillTint="33"/>
            <w:noWrap/>
            <w:vAlign w:val="center"/>
            <w:hideMark/>
          </w:tcPr>
          <w:p w:rsidR="003C4FF0" w:rsidRPr="00C4121A" w:rsidRDefault="003C4FF0"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6. stupeň</w:t>
            </w:r>
            <w:r>
              <w:rPr>
                <w:rFonts w:ascii="Calibri" w:eastAsia="Times New Roman" w:hAnsi="Calibri" w:cs="Calibri"/>
                <w:sz w:val="16"/>
                <w:szCs w:val="16"/>
                <w:lang w:eastAsia="cs-CZ"/>
              </w:rPr>
              <w:t xml:space="preserve"> SP</w:t>
            </w:r>
            <w:r w:rsidR="00162CB7">
              <w:rPr>
                <w:rFonts w:ascii="Calibri" w:eastAsia="Times New Roman" w:hAnsi="Calibri" w:cs="Calibri"/>
                <w:sz w:val="16"/>
                <w:szCs w:val="16"/>
                <w:lang w:eastAsia="cs-CZ"/>
              </w:rPr>
              <w:t xml:space="preserve"> </w:t>
            </w:r>
          </w:p>
        </w:tc>
        <w:tc>
          <w:tcPr>
            <w:tcW w:w="725"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18 650</w:t>
            </w:r>
          </w:p>
        </w:tc>
        <w:tc>
          <w:tcPr>
            <w:tcW w:w="975"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20 270</w:t>
            </w:r>
          </w:p>
        </w:tc>
        <w:tc>
          <w:tcPr>
            <w:tcW w:w="974"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21 930</w:t>
            </w:r>
          </w:p>
        </w:tc>
        <w:tc>
          <w:tcPr>
            <w:tcW w:w="975"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23 790</w:t>
            </w:r>
          </w:p>
        </w:tc>
        <w:tc>
          <w:tcPr>
            <w:tcW w:w="974"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25 860</w:t>
            </w:r>
          </w:p>
        </w:tc>
        <w:tc>
          <w:tcPr>
            <w:tcW w:w="975"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28 450</w:t>
            </w:r>
          </w:p>
        </w:tc>
        <w:tc>
          <w:tcPr>
            <w:tcW w:w="974"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31 860</w:t>
            </w:r>
          </w:p>
        </w:tc>
        <w:tc>
          <w:tcPr>
            <w:tcW w:w="1224"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6"/>
                <w:szCs w:val="16"/>
                <w:lang w:eastAsia="cs-CZ"/>
              </w:rPr>
            </w:pPr>
            <w:r w:rsidRPr="00C4121A">
              <w:rPr>
                <w:rFonts w:ascii="Calibri" w:eastAsia="Times New Roman" w:hAnsi="Calibri" w:cs="Calibri"/>
                <w:b/>
                <w:bCs/>
                <w:sz w:val="16"/>
                <w:szCs w:val="16"/>
                <w:lang w:eastAsia="cs-CZ"/>
              </w:rPr>
              <w:t> </w:t>
            </w:r>
          </w:p>
        </w:tc>
      </w:tr>
      <w:tr w:rsidR="003C4FF0" w:rsidRPr="00C4121A"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3C4FF0" w:rsidRPr="00C4121A" w:rsidRDefault="003C4FF0"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xml:space="preserve">Celkem </w:t>
            </w:r>
            <w:r w:rsidR="00162CB7">
              <w:rPr>
                <w:rFonts w:ascii="Calibri" w:eastAsia="Times New Roman" w:hAnsi="Calibri" w:cs="Calibri"/>
                <w:sz w:val="16"/>
                <w:szCs w:val="16"/>
                <w:lang w:eastAsia="cs-CZ"/>
              </w:rPr>
              <w:t>SP</w:t>
            </w:r>
            <w:r>
              <w:rPr>
                <w:rFonts w:ascii="Calibri" w:eastAsia="Times New Roman" w:hAnsi="Calibri" w:cs="Calibri"/>
                <w:sz w:val="16"/>
                <w:szCs w:val="16"/>
                <w:lang w:eastAsia="cs-CZ"/>
              </w:rPr>
              <w:t xml:space="preserve"> Kč</w:t>
            </w:r>
          </w:p>
        </w:tc>
        <w:tc>
          <w:tcPr>
            <w:tcW w:w="725"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205 150</w:t>
            </w:r>
          </w:p>
        </w:tc>
        <w:tc>
          <w:tcPr>
            <w:tcW w:w="975"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993 230</w:t>
            </w:r>
          </w:p>
        </w:tc>
        <w:tc>
          <w:tcPr>
            <w:tcW w:w="974"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19 276 470</w:t>
            </w:r>
          </w:p>
        </w:tc>
        <w:tc>
          <w:tcPr>
            <w:tcW w:w="975"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76 698 960</w:t>
            </w:r>
          </w:p>
        </w:tc>
        <w:tc>
          <w:tcPr>
            <w:tcW w:w="974"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40 729 500</w:t>
            </w:r>
          </w:p>
        </w:tc>
        <w:tc>
          <w:tcPr>
            <w:tcW w:w="975"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6 031 400</w:t>
            </w:r>
          </w:p>
        </w:tc>
        <w:tc>
          <w:tcPr>
            <w:tcW w:w="974"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1 210 680</w:t>
            </w:r>
          </w:p>
        </w:tc>
        <w:tc>
          <w:tcPr>
            <w:tcW w:w="1224" w:type="dxa"/>
            <w:noWrap/>
            <w:vAlign w:val="center"/>
            <w:hideMark/>
          </w:tcPr>
          <w:p w:rsidR="003C4FF0" w:rsidRPr="00C4121A" w:rsidRDefault="0071533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6"/>
                <w:szCs w:val="16"/>
                <w:lang w:eastAsia="cs-CZ"/>
              </w:rPr>
            </w:pPr>
            <w:r w:rsidRPr="0071533A">
              <w:rPr>
                <w:rFonts w:ascii="Calibri" w:eastAsia="Times New Roman" w:hAnsi="Calibri" w:cs="Calibri"/>
                <w:b/>
                <w:sz w:val="16"/>
                <w:szCs w:val="16"/>
                <w:lang w:eastAsia="cs-CZ"/>
              </w:rPr>
              <w:t xml:space="preserve">207 557 908 </w:t>
            </w:r>
            <w:r w:rsidR="003C4FF0">
              <w:rPr>
                <w:rFonts w:ascii="Calibri" w:eastAsia="Times New Roman" w:hAnsi="Calibri" w:cs="Calibri"/>
                <w:b/>
                <w:bCs/>
                <w:sz w:val="16"/>
                <w:szCs w:val="16"/>
                <w:lang w:eastAsia="cs-CZ"/>
              </w:rPr>
              <w:t>/ měsíc</w:t>
            </w:r>
          </w:p>
        </w:tc>
      </w:tr>
      <w:tr w:rsidR="003C4FF0" w:rsidRPr="00C4121A" w:rsidTr="00215D45">
        <w:trPr>
          <w:trHeight w:val="288"/>
        </w:trPr>
        <w:tc>
          <w:tcPr>
            <w:cnfStyle w:val="001000000000" w:firstRow="0" w:lastRow="0" w:firstColumn="1" w:lastColumn="0" w:oddVBand="0" w:evenVBand="0" w:oddHBand="0" w:evenHBand="0" w:firstRowFirstColumn="0" w:firstRowLastColumn="0" w:lastRowFirstColumn="0" w:lastRowLastColumn="0"/>
            <w:tcW w:w="1276" w:type="dxa"/>
            <w:shd w:val="clear" w:color="auto" w:fill="FEFCBE" w:themeFill="accent1" w:themeFillTint="33"/>
            <w:noWrap/>
            <w:vAlign w:val="center"/>
            <w:hideMark/>
          </w:tcPr>
          <w:p w:rsidR="003C4FF0" w:rsidRPr="00C4121A" w:rsidRDefault="003C4FF0"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6. stupeň</w:t>
            </w:r>
            <w:r>
              <w:rPr>
                <w:rFonts w:ascii="Calibri" w:eastAsia="Times New Roman" w:hAnsi="Calibri" w:cs="Calibri"/>
                <w:sz w:val="16"/>
                <w:szCs w:val="16"/>
                <w:lang w:eastAsia="cs-CZ"/>
              </w:rPr>
              <w:t xml:space="preserve"> PP</w:t>
            </w:r>
          </w:p>
        </w:tc>
        <w:tc>
          <w:tcPr>
            <w:tcW w:w="725"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18 650</w:t>
            </w:r>
          </w:p>
        </w:tc>
        <w:tc>
          <w:tcPr>
            <w:tcW w:w="975"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20 270</w:t>
            </w:r>
          </w:p>
        </w:tc>
        <w:tc>
          <w:tcPr>
            <w:tcW w:w="974"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21 930</w:t>
            </w:r>
          </w:p>
        </w:tc>
        <w:tc>
          <w:tcPr>
            <w:tcW w:w="975"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23 790</w:t>
            </w:r>
          </w:p>
        </w:tc>
        <w:tc>
          <w:tcPr>
            <w:tcW w:w="974"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25 860</w:t>
            </w:r>
          </w:p>
        </w:tc>
        <w:tc>
          <w:tcPr>
            <w:tcW w:w="975"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28 000</w:t>
            </w:r>
          </w:p>
        </w:tc>
        <w:tc>
          <w:tcPr>
            <w:tcW w:w="974"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30 360</w:t>
            </w:r>
          </w:p>
        </w:tc>
        <w:tc>
          <w:tcPr>
            <w:tcW w:w="1224" w:type="dxa"/>
            <w:shd w:val="clear" w:color="auto" w:fill="FEFCBE" w:themeFill="accent1" w:themeFillTint="33"/>
            <w:noWrap/>
            <w:vAlign w:val="center"/>
            <w:hideMark/>
          </w:tcPr>
          <w:p w:rsidR="003C4FF0" w:rsidRPr="00C4121A" w:rsidRDefault="003C4FF0"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16"/>
                <w:szCs w:val="16"/>
                <w:lang w:eastAsia="cs-CZ"/>
              </w:rPr>
            </w:pPr>
            <w:r w:rsidRPr="00C4121A">
              <w:rPr>
                <w:rFonts w:ascii="Calibri" w:eastAsia="Times New Roman" w:hAnsi="Calibri" w:cs="Calibri"/>
                <w:b/>
                <w:sz w:val="16"/>
                <w:szCs w:val="16"/>
                <w:lang w:eastAsia="cs-CZ"/>
              </w:rPr>
              <w:t> </w:t>
            </w:r>
          </w:p>
        </w:tc>
      </w:tr>
      <w:tr w:rsidR="003C4FF0" w:rsidRPr="00C4121A"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3C4FF0" w:rsidRPr="00C4121A" w:rsidRDefault="003C4FF0" w:rsidP="003E4A5D">
            <w:pPr>
              <w:widowControl w:val="0"/>
              <w:spacing w:before="0" w:after="0"/>
              <w:jc w:val="left"/>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 xml:space="preserve">Celkem </w:t>
            </w:r>
            <w:r w:rsidR="00162CB7">
              <w:rPr>
                <w:rFonts w:ascii="Calibri" w:eastAsia="Times New Roman" w:hAnsi="Calibri" w:cs="Calibri"/>
                <w:sz w:val="16"/>
                <w:szCs w:val="16"/>
                <w:lang w:eastAsia="cs-CZ"/>
              </w:rPr>
              <w:t>PP</w:t>
            </w:r>
            <w:r>
              <w:rPr>
                <w:rFonts w:ascii="Calibri" w:eastAsia="Times New Roman" w:hAnsi="Calibri" w:cs="Calibri"/>
                <w:sz w:val="16"/>
                <w:szCs w:val="16"/>
                <w:lang w:eastAsia="cs-CZ"/>
              </w:rPr>
              <w:t xml:space="preserve"> Kč</w:t>
            </w:r>
          </w:p>
        </w:tc>
        <w:tc>
          <w:tcPr>
            <w:tcW w:w="725"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205 150</w:t>
            </w:r>
          </w:p>
        </w:tc>
        <w:tc>
          <w:tcPr>
            <w:tcW w:w="975"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993 230</w:t>
            </w:r>
          </w:p>
        </w:tc>
        <w:tc>
          <w:tcPr>
            <w:tcW w:w="974"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19 276 470</w:t>
            </w:r>
          </w:p>
        </w:tc>
        <w:tc>
          <w:tcPr>
            <w:tcW w:w="975"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76 698 960</w:t>
            </w:r>
          </w:p>
        </w:tc>
        <w:tc>
          <w:tcPr>
            <w:tcW w:w="974"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40 729 500</w:t>
            </w:r>
          </w:p>
        </w:tc>
        <w:tc>
          <w:tcPr>
            <w:tcW w:w="975"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5 936 000</w:t>
            </w:r>
          </w:p>
        </w:tc>
        <w:tc>
          <w:tcPr>
            <w:tcW w:w="974" w:type="dxa"/>
            <w:noWrap/>
            <w:vAlign w:val="center"/>
            <w:hideMark/>
          </w:tcPr>
          <w:p w:rsidR="003C4FF0" w:rsidRPr="00C4121A" w:rsidRDefault="003C4FF0"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C4121A">
              <w:rPr>
                <w:rFonts w:ascii="Calibri" w:eastAsia="Times New Roman" w:hAnsi="Calibri" w:cs="Calibri"/>
                <w:sz w:val="16"/>
                <w:szCs w:val="16"/>
                <w:lang w:eastAsia="cs-CZ"/>
              </w:rPr>
              <w:t>1 153 680</w:t>
            </w:r>
          </w:p>
        </w:tc>
        <w:tc>
          <w:tcPr>
            <w:tcW w:w="1224" w:type="dxa"/>
            <w:noWrap/>
            <w:vAlign w:val="center"/>
            <w:hideMark/>
          </w:tcPr>
          <w:p w:rsidR="003C4FF0" w:rsidRPr="00C4121A" w:rsidRDefault="0071533A"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cs-CZ"/>
              </w:rPr>
            </w:pPr>
            <w:r w:rsidRPr="0071533A">
              <w:rPr>
                <w:rFonts w:ascii="Calibri" w:eastAsia="Times New Roman" w:hAnsi="Calibri" w:cs="Calibri"/>
                <w:b/>
                <w:sz w:val="16"/>
                <w:szCs w:val="16"/>
                <w:lang w:eastAsia="cs-CZ"/>
              </w:rPr>
              <w:t xml:space="preserve">207 339 976 </w:t>
            </w:r>
            <w:r w:rsidR="003C4FF0">
              <w:rPr>
                <w:rFonts w:ascii="Calibri" w:eastAsia="Times New Roman" w:hAnsi="Calibri" w:cs="Calibri"/>
                <w:b/>
                <w:bCs/>
                <w:sz w:val="16"/>
                <w:szCs w:val="16"/>
                <w:lang w:eastAsia="cs-CZ"/>
              </w:rPr>
              <w:t>/ měsíc</w:t>
            </w:r>
          </w:p>
        </w:tc>
      </w:tr>
    </w:tbl>
    <w:p w:rsidR="00157A60" w:rsidRDefault="00645A7D" w:rsidP="003E4A5D">
      <w:pPr>
        <w:widowControl w:val="0"/>
      </w:pPr>
      <w:r>
        <w:t xml:space="preserve">Jak je vidět na porovnání potenciálního účtu výdajů, rozdíl před a po </w:t>
      </w:r>
      <w:r w:rsidR="00A86D52">
        <w:t xml:space="preserve">potenciálním </w:t>
      </w:r>
      <w:r>
        <w:t xml:space="preserve">převodu zaměstnanců je zanedbatelný. </w:t>
      </w:r>
      <w:r w:rsidR="00670247">
        <w:t xml:space="preserve">Z tohoto titulu </w:t>
      </w:r>
      <w:r w:rsidR="00D67B13">
        <w:t xml:space="preserve">nelze očekávat </w:t>
      </w:r>
      <w:r w:rsidR="00670247">
        <w:t>výraznější nárůst nákladů na pracovní sílu</w:t>
      </w:r>
      <w:r w:rsidR="00D67B13">
        <w:t>.</w:t>
      </w:r>
      <w:r w:rsidR="00670247">
        <w:t xml:space="preserve"> </w:t>
      </w:r>
      <w:r w:rsidR="00157A60">
        <w:t>Je otázka, jak to reálně vypadá s netarifními sl</w:t>
      </w:r>
      <w:r w:rsidR="00F53BF4">
        <w:t>ožkami platu při porovnání SP a </w:t>
      </w:r>
      <w:r w:rsidR="00157A60">
        <w:t xml:space="preserve">PP. </w:t>
      </w:r>
      <w:r w:rsidR="00D67B13">
        <w:t>V případě</w:t>
      </w:r>
      <w:r w:rsidR="00157A60">
        <w:t>, že výrazné rozdíly nejsou, bude možné postupovat standardně dle metodik pro zpracování RIA a pracovat s 20% navýšením platu v obou případech.</w:t>
      </w:r>
    </w:p>
    <w:p w:rsidR="00C4121A" w:rsidRDefault="00670247" w:rsidP="003E4A5D">
      <w:pPr>
        <w:widowControl w:val="0"/>
      </w:pPr>
      <w:r>
        <w:t xml:space="preserve">Důvodem, proč bude třeba vynaložit další finanční prostředky, bude především potřeba </w:t>
      </w:r>
      <w:r w:rsidR="00A86D52">
        <w:t xml:space="preserve">zajistit </w:t>
      </w:r>
      <w:r>
        <w:t>vyšší specializac</w:t>
      </w:r>
      <w:r w:rsidR="00A86D52">
        <w:t>i</w:t>
      </w:r>
      <w:r>
        <w:t xml:space="preserve"> a profesionalizac</w:t>
      </w:r>
      <w:r w:rsidR="00A86D52">
        <w:t>i</w:t>
      </w:r>
      <w:r>
        <w:t xml:space="preserve"> zaměstnanců stavebních úřadů, a </w:t>
      </w:r>
      <w:r w:rsidR="00A86D52">
        <w:t xml:space="preserve">to </w:t>
      </w:r>
      <w:r>
        <w:t>jak prostřednictv</w:t>
      </w:r>
      <w:r w:rsidR="00A86D52">
        <w:t>ím vzdělávacích aktivit, tak náborovými požadavky podloženými odpovídajícím platovým ohodnocením.</w:t>
      </w:r>
    </w:p>
    <w:p w:rsidR="00D36754" w:rsidRDefault="00D67B13" w:rsidP="003E4A5D">
      <w:pPr>
        <w:widowControl w:val="0"/>
      </w:pPr>
      <w:r>
        <w:t>S</w:t>
      </w:r>
      <w:r w:rsidR="00D36754">
        <w:t xml:space="preserve">polu s přesunem </w:t>
      </w:r>
      <w:r w:rsidR="00DA3293">
        <w:t xml:space="preserve">větší </w:t>
      </w:r>
      <w:r w:rsidR="00D36754">
        <w:t>části</w:t>
      </w:r>
      <w:r w:rsidR="00DA3293">
        <w:t xml:space="preserve"> </w:t>
      </w:r>
      <w:r w:rsidR="00D36754">
        <w:t xml:space="preserve">pravomocí a povinností </w:t>
      </w:r>
      <w:r w:rsidR="00DA3293">
        <w:t>ukládaných stavebním zákonem</w:t>
      </w:r>
      <w:r w:rsidR="00D36754">
        <w:t xml:space="preserve"> </w:t>
      </w:r>
      <w:r w:rsidR="00DA3293">
        <w:t>na</w:t>
      </w:r>
      <w:r w:rsidR="00D36754">
        <w:t xml:space="preserve"> nově vzniklé stavební úřady dojde k přesunu velké části zaměstnanců. Na druhou stranu rozhodovací pravomoc o územním rozvoji samospráv zůst</w:t>
      </w:r>
      <w:r w:rsidR="00DA3293">
        <w:t>ane</w:t>
      </w:r>
      <w:r w:rsidR="00D36754">
        <w:t xml:space="preserve"> obcím a krajům</w:t>
      </w:r>
      <w:r w:rsidR="00B54309">
        <w:t xml:space="preserve">, které mohou potřebovat </w:t>
      </w:r>
      <w:r>
        <w:lastRenderedPageBreak/>
        <w:t>i </w:t>
      </w:r>
      <w:r w:rsidR="00B54309">
        <w:t>některé stavební odborníky pro výkon SP</w:t>
      </w:r>
      <w:r w:rsidR="00DA3293">
        <w:t xml:space="preserve">. </w:t>
      </w:r>
      <w:r w:rsidR="00D36754" w:rsidRPr="00B532D7">
        <w:t xml:space="preserve">Konkrétně </w:t>
      </w:r>
      <w:r w:rsidR="00B54309">
        <w:t xml:space="preserve">tak </w:t>
      </w:r>
      <w:r w:rsidR="00D36754" w:rsidRPr="00B532D7">
        <w:t xml:space="preserve">pro další výpočty </w:t>
      </w:r>
      <w:r w:rsidR="002E1975" w:rsidRPr="00B532D7">
        <w:t>vycház</w:t>
      </w:r>
      <w:r w:rsidR="002E1975">
        <w:t>ejí</w:t>
      </w:r>
      <w:r w:rsidR="002E1975" w:rsidRPr="00B532D7">
        <w:t xml:space="preserve"> </w:t>
      </w:r>
      <w:r w:rsidR="00D36754" w:rsidRPr="00B532D7">
        <w:t>z předpoklad</w:t>
      </w:r>
      <w:r w:rsidR="00DA3293">
        <w:t>u</w:t>
      </w:r>
      <w:r w:rsidR="00D36754" w:rsidRPr="00B532D7">
        <w:t xml:space="preserve">, že v případě varianty </w:t>
      </w:r>
      <w:r w:rsidR="00DA3293">
        <w:t>2</w:t>
      </w:r>
      <w:r w:rsidR="00D36754" w:rsidRPr="00B532D7">
        <w:t xml:space="preserve"> dojde </w:t>
      </w:r>
      <w:r w:rsidR="00FA140B">
        <w:t xml:space="preserve">v průměru </w:t>
      </w:r>
      <w:r w:rsidR="00D36754" w:rsidRPr="00B532D7">
        <w:t>k přesunu 80 % zaměstnanců</w:t>
      </w:r>
      <w:r w:rsidR="00DA3293">
        <w:t xml:space="preserve">, tj. </w:t>
      </w:r>
      <w:r w:rsidR="00FC1277">
        <w:t xml:space="preserve">v průměru </w:t>
      </w:r>
      <w:r w:rsidR="00DA3293">
        <w:t xml:space="preserve">20 % úředníků bude muset být zaměstnáno nově. To odpovídá </w:t>
      </w:r>
      <w:r w:rsidR="003C4FF0">
        <w:t xml:space="preserve">cca </w:t>
      </w:r>
      <w:r w:rsidR="001A5BA1">
        <w:t>0,5</w:t>
      </w:r>
      <w:r w:rsidR="003C4FF0">
        <w:t xml:space="preserve"> </w:t>
      </w:r>
      <w:r w:rsidR="00EE16B9">
        <w:t xml:space="preserve">– 0,9 </w:t>
      </w:r>
      <w:r w:rsidR="003C4FF0">
        <w:t>m</w:t>
      </w:r>
      <w:r w:rsidR="00E71371">
        <w:t>l</w:t>
      </w:r>
      <w:r w:rsidR="001A5BA1">
        <w:t>d</w:t>
      </w:r>
      <w:r w:rsidR="003C4FF0">
        <w:t>.</w:t>
      </w:r>
      <w:r w:rsidR="00FC1277">
        <w:t xml:space="preserve"> Kč</w:t>
      </w:r>
      <w:r w:rsidR="003C4FF0">
        <w:t xml:space="preserve"> za rok</w:t>
      </w:r>
      <w:r w:rsidR="00E71371">
        <w:t xml:space="preserve"> (20 % ze </w:t>
      </w:r>
      <w:r w:rsidR="001A5BA1">
        <w:t>3</w:t>
      </w:r>
      <w:r w:rsidR="00E71371">
        <w:t xml:space="preserve"> m</w:t>
      </w:r>
      <w:r w:rsidR="001A5BA1">
        <w:t>ld</w:t>
      </w:r>
      <w:r w:rsidR="00E71371">
        <w:t>. Kč).</w:t>
      </w:r>
    </w:p>
    <w:p w:rsidR="00D36754" w:rsidRDefault="00F4519C" w:rsidP="003E4A5D">
      <w:pPr>
        <w:pStyle w:val="Textkomente"/>
        <w:widowControl w:val="0"/>
      </w:pPr>
      <w:r w:rsidRPr="001B642D">
        <w:rPr>
          <w:sz w:val="24"/>
          <w:szCs w:val="22"/>
        </w:rPr>
        <w:t>(</w:t>
      </w:r>
      <w:r w:rsidR="001D32C5" w:rsidRPr="001B642D">
        <w:rPr>
          <w:sz w:val="24"/>
          <w:szCs w:val="22"/>
        </w:rPr>
        <w:t xml:space="preserve">Pro srovnání ještě uveďme, že v roce 2017 poskytlo MV obcím příspěvek na stavební působnost ve výši </w:t>
      </w:r>
      <w:r w:rsidR="004E3AFB" w:rsidRPr="001B642D">
        <w:rPr>
          <w:sz w:val="24"/>
          <w:szCs w:val="22"/>
        </w:rPr>
        <w:t>1 028 446</w:t>
      </w:r>
      <w:r w:rsidR="0071533A" w:rsidRPr="001B642D">
        <w:rPr>
          <w:sz w:val="24"/>
          <w:szCs w:val="22"/>
        </w:rPr>
        <w:t> </w:t>
      </w:r>
      <w:r w:rsidR="004E3AFB" w:rsidRPr="001B642D">
        <w:rPr>
          <w:sz w:val="24"/>
          <w:szCs w:val="22"/>
        </w:rPr>
        <w:t>898</w:t>
      </w:r>
      <w:r w:rsidR="0071533A" w:rsidRPr="001B642D">
        <w:rPr>
          <w:sz w:val="24"/>
          <w:szCs w:val="22"/>
        </w:rPr>
        <w:t xml:space="preserve"> </w:t>
      </w:r>
      <w:r w:rsidR="001D32C5" w:rsidRPr="001B642D">
        <w:rPr>
          <w:sz w:val="24"/>
          <w:szCs w:val="22"/>
        </w:rPr>
        <w:t>Kč</w:t>
      </w:r>
      <w:r w:rsidR="001D32C5" w:rsidRPr="00C13F6A">
        <w:rPr>
          <w:sz w:val="24"/>
          <w:szCs w:val="22"/>
        </w:rPr>
        <w:t>.</w:t>
      </w:r>
      <w:r w:rsidR="00162CB7">
        <w:t>)</w:t>
      </w:r>
    </w:p>
    <w:p w:rsidR="00536FE6" w:rsidRDefault="00536FE6" w:rsidP="003E4A5D">
      <w:pPr>
        <w:pStyle w:val="Titulek"/>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19</w:t>
      </w:r>
      <w:r w:rsidR="00AB65E9">
        <w:rPr>
          <w:noProof/>
        </w:rPr>
        <w:fldChar w:fldCharType="end"/>
      </w:r>
      <w:r>
        <w:t>: Odhad příjmů ze správních poplatků</w:t>
      </w:r>
      <w:r w:rsidRPr="00536FE6">
        <w:rPr>
          <w:vertAlign w:val="superscript"/>
        </w:rPr>
        <w:t>*</w:t>
      </w:r>
    </w:p>
    <w:tbl>
      <w:tblPr>
        <w:tblStyle w:val="Svtlstnovn1"/>
        <w:tblW w:w="9073" w:type="dxa"/>
        <w:tblInd w:w="108" w:type="dxa"/>
        <w:tblLayout w:type="fixed"/>
        <w:tblLook w:val="04A0" w:firstRow="1" w:lastRow="0" w:firstColumn="1" w:lastColumn="0" w:noHBand="0" w:noVBand="1"/>
      </w:tblPr>
      <w:tblGrid>
        <w:gridCol w:w="5245"/>
        <w:gridCol w:w="1227"/>
        <w:gridCol w:w="2601"/>
      </w:tblGrid>
      <w:tr w:rsidR="005909E2" w:rsidRPr="005909E2" w:rsidTr="00215D4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5" w:type="dxa"/>
            <w:noWrap/>
            <w:vAlign w:val="center"/>
          </w:tcPr>
          <w:p w:rsidR="005909E2" w:rsidRPr="006462BF" w:rsidRDefault="005909E2" w:rsidP="003E4A5D">
            <w:pPr>
              <w:widowControl w:val="0"/>
              <w:spacing w:before="0" w:after="0"/>
              <w:jc w:val="left"/>
              <w:rPr>
                <w:rFonts w:ascii="Calibri" w:eastAsia="Times New Roman" w:hAnsi="Calibri" w:cs="Calibri"/>
                <w:sz w:val="20"/>
                <w:szCs w:val="20"/>
                <w:lang w:eastAsia="cs-CZ"/>
              </w:rPr>
            </w:pPr>
            <w:r w:rsidRPr="006462BF">
              <w:rPr>
                <w:rFonts w:ascii="Calibri" w:eastAsia="Times New Roman" w:hAnsi="Calibri" w:cs="Calibri"/>
                <w:sz w:val="20"/>
                <w:szCs w:val="20"/>
                <w:lang w:eastAsia="cs-CZ"/>
              </w:rPr>
              <w:t>Úkon</w:t>
            </w:r>
          </w:p>
        </w:tc>
        <w:tc>
          <w:tcPr>
            <w:tcW w:w="1227" w:type="dxa"/>
            <w:noWrap/>
            <w:vAlign w:val="center"/>
          </w:tcPr>
          <w:p w:rsidR="005909E2" w:rsidRPr="006462BF" w:rsidRDefault="006462BF"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6462BF">
              <w:rPr>
                <w:rFonts w:ascii="Calibri" w:eastAsia="Times New Roman" w:hAnsi="Calibri" w:cs="Calibri"/>
                <w:sz w:val="20"/>
                <w:szCs w:val="20"/>
                <w:lang w:eastAsia="cs-CZ"/>
              </w:rPr>
              <w:t>Počet</w:t>
            </w:r>
          </w:p>
        </w:tc>
        <w:tc>
          <w:tcPr>
            <w:tcW w:w="2601" w:type="dxa"/>
            <w:noWrap/>
            <w:vAlign w:val="center"/>
          </w:tcPr>
          <w:p w:rsidR="005909E2" w:rsidRPr="006462BF" w:rsidRDefault="006462BF"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6462BF">
              <w:rPr>
                <w:rFonts w:ascii="Calibri" w:eastAsia="Times New Roman" w:hAnsi="Calibri" w:cs="Calibri"/>
                <w:sz w:val="20"/>
                <w:szCs w:val="20"/>
                <w:lang w:eastAsia="cs-CZ"/>
              </w:rPr>
              <w:t>Odhad příjmu ze správních poplatků</w:t>
            </w:r>
          </w:p>
        </w:tc>
      </w:tr>
      <w:tr w:rsidR="005909E2" w:rsidRPr="005909E2"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rsidR="005909E2" w:rsidRPr="005909E2" w:rsidRDefault="005909E2" w:rsidP="003E4A5D">
            <w:pPr>
              <w:widowControl w:val="0"/>
              <w:spacing w:before="0" w:after="0"/>
              <w:jc w:val="left"/>
              <w:rPr>
                <w:rFonts w:ascii="Calibri" w:eastAsia="Times New Roman" w:hAnsi="Calibri" w:cs="Calibri"/>
                <w:b w:val="0"/>
                <w:sz w:val="20"/>
                <w:szCs w:val="20"/>
                <w:lang w:eastAsia="cs-CZ"/>
              </w:rPr>
            </w:pPr>
            <w:r w:rsidRPr="005909E2">
              <w:rPr>
                <w:rFonts w:ascii="Calibri" w:eastAsia="Times New Roman" w:hAnsi="Calibri" w:cs="Calibri"/>
                <w:b w:val="0"/>
                <w:sz w:val="20"/>
                <w:szCs w:val="20"/>
                <w:lang w:eastAsia="cs-CZ"/>
              </w:rPr>
              <w:t>počet vydaných územních souhlasů</w:t>
            </w:r>
          </w:p>
        </w:tc>
        <w:tc>
          <w:tcPr>
            <w:tcW w:w="1227" w:type="dxa"/>
            <w:noWrap/>
            <w:vAlign w:val="center"/>
            <w:hideMark/>
          </w:tcPr>
          <w:p w:rsidR="005909E2" w:rsidRPr="005909E2" w:rsidRDefault="005909E2"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49 280</w:t>
            </w:r>
          </w:p>
        </w:tc>
        <w:tc>
          <w:tcPr>
            <w:tcW w:w="2601" w:type="dxa"/>
            <w:noWrap/>
            <w:vAlign w:val="center"/>
            <w:hideMark/>
          </w:tcPr>
          <w:p w:rsidR="005909E2" w:rsidRPr="005909E2" w:rsidRDefault="005909E2"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88 704 000</w:t>
            </w:r>
          </w:p>
        </w:tc>
      </w:tr>
      <w:tr w:rsidR="005909E2" w:rsidRPr="005909E2" w:rsidTr="00215D45">
        <w:trPr>
          <w:trHeight w:val="288"/>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rsidR="005909E2" w:rsidRPr="005909E2" w:rsidRDefault="005909E2" w:rsidP="003E4A5D">
            <w:pPr>
              <w:widowControl w:val="0"/>
              <w:spacing w:before="0" w:after="0"/>
              <w:jc w:val="left"/>
              <w:rPr>
                <w:rFonts w:ascii="Calibri" w:eastAsia="Times New Roman" w:hAnsi="Calibri" w:cs="Calibri"/>
                <w:b w:val="0"/>
                <w:sz w:val="20"/>
                <w:szCs w:val="20"/>
                <w:lang w:eastAsia="cs-CZ"/>
              </w:rPr>
            </w:pPr>
            <w:r w:rsidRPr="005909E2">
              <w:rPr>
                <w:rFonts w:ascii="Calibri" w:eastAsia="Times New Roman" w:hAnsi="Calibri" w:cs="Calibri"/>
                <w:b w:val="0"/>
                <w:sz w:val="20"/>
                <w:szCs w:val="20"/>
                <w:lang w:eastAsia="cs-CZ"/>
              </w:rPr>
              <w:t xml:space="preserve">počet vydaných územních rozhodnutí </w:t>
            </w:r>
          </w:p>
        </w:tc>
        <w:tc>
          <w:tcPr>
            <w:tcW w:w="1227" w:type="dxa"/>
            <w:noWrap/>
            <w:vAlign w:val="center"/>
            <w:hideMark/>
          </w:tcPr>
          <w:p w:rsidR="005909E2" w:rsidRPr="005909E2" w:rsidRDefault="005909E2"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28 563</w:t>
            </w:r>
          </w:p>
        </w:tc>
        <w:tc>
          <w:tcPr>
            <w:tcW w:w="2601" w:type="dxa"/>
            <w:noWrap/>
            <w:vAlign w:val="center"/>
            <w:hideMark/>
          </w:tcPr>
          <w:p w:rsidR="005909E2" w:rsidRPr="005909E2" w:rsidRDefault="005909E2"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51 413 400</w:t>
            </w:r>
          </w:p>
        </w:tc>
      </w:tr>
      <w:tr w:rsidR="005909E2" w:rsidRPr="005909E2"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rsidR="005909E2" w:rsidRPr="005909E2" w:rsidRDefault="005909E2" w:rsidP="003E4A5D">
            <w:pPr>
              <w:widowControl w:val="0"/>
              <w:spacing w:before="0" w:after="0"/>
              <w:ind w:right="-1241"/>
              <w:jc w:val="left"/>
              <w:rPr>
                <w:rFonts w:ascii="Calibri" w:eastAsia="Times New Roman" w:hAnsi="Calibri" w:cs="Calibri"/>
                <w:b w:val="0"/>
                <w:sz w:val="20"/>
                <w:szCs w:val="20"/>
                <w:lang w:eastAsia="cs-CZ"/>
              </w:rPr>
            </w:pPr>
            <w:r w:rsidRPr="005909E2">
              <w:rPr>
                <w:rFonts w:ascii="Calibri" w:eastAsia="Times New Roman" w:hAnsi="Calibri" w:cs="Calibri"/>
                <w:b w:val="0"/>
                <w:sz w:val="20"/>
                <w:szCs w:val="20"/>
                <w:lang w:eastAsia="cs-CZ"/>
              </w:rPr>
              <w:t>počet vydaných územních rozhodnutí ve zjednodušeném řízení</w:t>
            </w:r>
          </w:p>
        </w:tc>
        <w:tc>
          <w:tcPr>
            <w:tcW w:w="1227" w:type="dxa"/>
            <w:noWrap/>
            <w:vAlign w:val="center"/>
            <w:hideMark/>
          </w:tcPr>
          <w:p w:rsidR="005909E2" w:rsidRPr="005909E2" w:rsidRDefault="005909E2"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869</w:t>
            </w:r>
          </w:p>
        </w:tc>
        <w:tc>
          <w:tcPr>
            <w:tcW w:w="2601" w:type="dxa"/>
            <w:noWrap/>
            <w:vAlign w:val="center"/>
            <w:hideMark/>
          </w:tcPr>
          <w:p w:rsidR="005909E2" w:rsidRPr="005909E2" w:rsidRDefault="005909E2"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869 000</w:t>
            </w:r>
          </w:p>
        </w:tc>
      </w:tr>
      <w:tr w:rsidR="005909E2" w:rsidRPr="005909E2" w:rsidTr="00215D45">
        <w:trPr>
          <w:trHeight w:val="288"/>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rsidR="005909E2" w:rsidRPr="005909E2" w:rsidRDefault="005909E2" w:rsidP="003E4A5D">
            <w:pPr>
              <w:widowControl w:val="0"/>
              <w:spacing w:before="0" w:after="0"/>
              <w:jc w:val="left"/>
              <w:rPr>
                <w:rFonts w:ascii="Calibri" w:eastAsia="Times New Roman" w:hAnsi="Calibri" w:cs="Calibri"/>
                <w:b w:val="0"/>
                <w:sz w:val="20"/>
                <w:szCs w:val="20"/>
                <w:lang w:eastAsia="cs-CZ"/>
              </w:rPr>
            </w:pPr>
            <w:r w:rsidRPr="005909E2">
              <w:rPr>
                <w:rFonts w:ascii="Calibri" w:eastAsia="Times New Roman" w:hAnsi="Calibri" w:cs="Calibri"/>
                <w:b w:val="0"/>
                <w:sz w:val="20"/>
                <w:szCs w:val="20"/>
                <w:lang w:eastAsia="cs-CZ"/>
              </w:rPr>
              <w:t>počet vydaných souhlasů s</w:t>
            </w:r>
            <w:r w:rsidR="00FA140B">
              <w:rPr>
                <w:rFonts w:ascii="Calibri" w:eastAsia="Times New Roman" w:hAnsi="Calibri" w:cs="Calibri"/>
                <w:b w:val="0"/>
                <w:sz w:val="20"/>
                <w:szCs w:val="20"/>
                <w:lang w:eastAsia="cs-CZ"/>
              </w:rPr>
              <w:t> </w:t>
            </w:r>
            <w:r w:rsidRPr="005909E2">
              <w:rPr>
                <w:rFonts w:ascii="Calibri" w:eastAsia="Times New Roman" w:hAnsi="Calibri" w:cs="Calibri"/>
                <w:b w:val="0"/>
                <w:sz w:val="20"/>
                <w:szCs w:val="20"/>
                <w:lang w:eastAsia="cs-CZ"/>
              </w:rPr>
              <w:t>ohlášením</w:t>
            </w:r>
          </w:p>
        </w:tc>
        <w:tc>
          <w:tcPr>
            <w:tcW w:w="1227" w:type="dxa"/>
            <w:noWrap/>
            <w:vAlign w:val="center"/>
            <w:hideMark/>
          </w:tcPr>
          <w:p w:rsidR="005909E2" w:rsidRPr="005909E2" w:rsidRDefault="005909E2"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17 158</w:t>
            </w:r>
          </w:p>
        </w:tc>
        <w:tc>
          <w:tcPr>
            <w:tcW w:w="2601" w:type="dxa"/>
            <w:noWrap/>
            <w:vAlign w:val="center"/>
            <w:hideMark/>
          </w:tcPr>
          <w:p w:rsidR="005909E2" w:rsidRPr="005909E2" w:rsidRDefault="005909E2"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124 266 000</w:t>
            </w:r>
          </w:p>
        </w:tc>
      </w:tr>
      <w:tr w:rsidR="005909E2" w:rsidRPr="005909E2" w:rsidTr="00215D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rsidR="005909E2" w:rsidRPr="005909E2" w:rsidRDefault="005909E2" w:rsidP="003E4A5D">
            <w:pPr>
              <w:widowControl w:val="0"/>
              <w:spacing w:before="0" w:after="0"/>
              <w:jc w:val="left"/>
              <w:rPr>
                <w:rFonts w:ascii="Calibri" w:eastAsia="Times New Roman" w:hAnsi="Calibri" w:cs="Calibri"/>
                <w:b w:val="0"/>
                <w:sz w:val="20"/>
                <w:szCs w:val="20"/>
                <w:lang w:eastAsia="cs-CZ"/>
              </w:rPr>
            </w:pPr>
            <w:r w:rsidRPr="005909E2">
              <w:rPr>
                <w:rFonts w:ascii="Calibri" w:eastAsia="Times New Roman" w:hAnsi="Calibri" w:cs="Calibri"/>
                <w:b w:val="0"/>
                <w:sz w:val="20"/>
                <w:szCs w:val="20"/>
                <w:lang w:eastAsia="cs-CZ"/>
              </w:rPr>
              <w:t xml:space="preserve">počet vydaných stavebních povolení </w:t>
            </w:r>
          </w:p>
        </w:tc>
        <w:tc>
          <w:tcPr>
            <w:tcW w:w="1227" w:type="dxa"/>
            <w:noWrap/>
            <w:vAlign w:val="center"/>
            <w:hideMark/>
          </w:tcPr>
          <w:p w:rsidR="005909E2" w:rsidRPr="005909E2" w:rsidRDefault="005909E2"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20 711</w:t>
            </w:r>
          </w:p>
        </w:tc>
        <w:tc>
          <w:tcPr>
            <w:tcW w:w="2601" w:type="dxa"/>
            <w:noWrap/>
            <w:vAlign w:val="center"/>
            <w:hideMark/>
          </w:tcPr>
          <w:p w:rsidR="005909E2" w:rsidRPr="005909E2" w:rsidRDefault="005909E2"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5909E2">
              <w:rPr>
                <w:rFonts w:ascii="Calibri" w:eastAsia="Times New Roman" w:hAnsi="Calibri" w:cs="Calibri"/>
                <w:sz w:val="20"/>
                <w:szCs w:val="20"/>
                <w:lang w:eastAsia="cs-CZ"/>
              </w:rPr>
              <w:t>48 042 400</w:t>
            </w:r>
          </w:p>
        </w:tc>
      </w:tr>
      <w:tr w:rsidR="005909E2" w:rsidRPr="005909E2" w:rsidTr="00215D45">
        <w:trPr>
          <w:trHeight w:val="288"/>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rsidR="005909E2" w:rsidRPr="005909E2" w:rsidRDefault="005909E2" w:rsidP="003E4A5D">
            <w:pPr>
              <w:widowControl w:val="0"/>
              <w:spacing w:before="0" w:after="0"/>
              <w:jc w:val="right"/>
              <w:rPr>
                <w:rFonts w:ascii="Calibri" w:eastAsia="Times New Roman" w:hAnsi="Calibri" w:cs="Calibri"/>
                <w:b w:val="0"/>
                <w:sz w:val="20"/>
                <w:szCs w:val="20"/>
                <w:lang w:eastAsia="cs-CZ"/>
              </w:rPr>
            </w:pPr>
          </w:p>
        </w:tc>
        <w:tc>
          <w:tcPr>
            <w:tcW w:w="1227" w:type="dxa"/>
            <w:noWrap/>
            <w:vAlign w:val="center"/>
            <w:hideMark/>
          </w:tcPr>
          <w:p w:rsidR="005909E2" w:rsidRPr="005909E2" w:rsidRDefault="005909E2"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2601" w:type="dxa"/>
            <w:noWrap/>
            <w:vAlign w:val="center"/>
            <w:hideMark/>
          </w:tcPr>
          <w:p w:rsidR="005909E2" w:rsidRPr="005909E2" w:rsidRDefault="005909E2"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20"/>
                <w:szCs w:val="20"/>
                <w:lang w:eastAsia="cs-CZ"/>
              </w:rPr>
            </w:pPr>
            <w:r w:rsidRPr="005909E2">
              <w:rPr>
                <w:rFonts w:ascii="Calibri" w:eastAsia="Times New Roman" w:hAnsi="Calibri" w:cs="Calibri"/>
                <w:b/>
                <w:sz w:val="20"/>
                <w:szCs w:val="20"/>
                <w:lang w:eastAsia="cs-CZ"/>
              </w:rPr>
              <w:t>313 294 800</w:t>
            </w:r>
          </w:p>
        </w:tc>
      </w:tr>
    </w:tbl>
    <w:p w:rsidR="006462BF" w:rsidRDefault="006462BF" w:rsidP="003E4A5D">
      <w:pPr>
        <w:pStyle w:val="Citt"/>
      </w:pPr>
      <w:r>
        <w:t>Zdroj: ÚÚR, zákon o správních poplatcích, ČSÚ, výpočet autorů</w:t>
      </w:r>
    </w:p>
    <w:p w:rsidR="005909E2" w:rsidRDefault="006462BF" w:rsidP="003E4A5D">
      <w:pPr>
        <w:pStyle w:val="Citt"/>
      </w:pPr>
      <w:r w:rsidRPr="00697E2F">
        <w:rPr>
          <w:vertAlign w:val="superscript"/>
        </w:rPr>
        <w:t>*</w:t>
      </w:r>
      <w:r>
        <w:t>Předpoklady: podíl BD vůči RD cca 1/5 (dle počtu dokončených staveb dle ČSÚ)</w:t>
      </w:r>
      <w:r w:rsidR="00536FE6">
        <w:t>; tento předpoklad byl</w:t>
      </w:r>
      <w:r w:rsidR="00697E2F">
        <w:t xml:space="preserve"> učiněn, protože výše správního poplatku se u žádostí k BD a RD liší</w:t>
      </w:r>
    </w:p>
    <w:p w:rsidR="005909E2" w:rsidRPr="001D32C5" w:rsidRDefault="006462BF" w:rsidP="003E4A5D">
      <w:pPr>
        <w:widowControl w:val="0"/>
      </w:pPr>
      <w:r>
        <w:t xml:space="preserve">Předcházející tabulka zachycuje odhadované příjmy ze správních poplatků v agendě OSÚ. Protože jsou sečteny </w:t>
      </w:r>
      <w:r w:rsidRPr="00F33442">
        <w:t xml:space="preserve">ne všechny položky ze seznamu zákona o správních poplatcích, nicméně jsou započítány nejčetnější úkony agendy, </w:t>
      </w:r>
      <w:r w:rsidR="002E1975">
        <w:t>je možné</w:t>
      </w:r>
      <w:r w:rsidR="002E1975" w:rsidRPr="00F33442">
        <w:t xml:space="preserve"> </w:t>
      </w:r>
      <w:r w:rsidRPr="00F33442">
        <w:t xml:space="preserve">tuto hodnotu považovat za </w:t>
      </w:r>
      <w:r w:rsidR="00D86D76" w:rsidRPr="00F33442">
        <w:t xml:space="preserve">relativně vypovídající spodní hranici, tj. konzervativní odhad příjmů OSÚ ze správních poplatků. Pokud </w:t>
      </w:r>
      <w:r w:rsidR="002E1975">
        <w:t>bychom přijali</w:t>
      </w:r>
      <w:r w:rsidR="002E1975" w:rsidRPr="00F33442">
        <w:t xml:space="preserve"> </w:t>
      </w:r>
      <w:r w:rsidR="00D86D76" w:rsidRPr="00F33442">
        <w:t>hypotézu</w:t>
      </w:r>
      <w:r w:rsidR="00E52C10" w:rsidRPr="00F33442">
        <w:t xml:space="preserve">, že </w:t>
      </w:r>
      <w:r w:rsidR="00F33442" w:rsidRPr="00F33442">
        <w:t xml:space="preserve">míra krytí nákladů </w:t>
      </w:r>
      <w:r w:rsidR="00F33442">
        <w:t xml:space="preserve">na výkon agendy </w:t>
      </w:r>
      <w:r w:rsidR="00F33442" w:rsidRPr="00F33442">
        <w:t xml:space="preserve">příspěvkem na PP dosahuje </w:t>
      </w:r>
      <w:r w:rsidR="002E1975" w:rsidRPr="00F33442">
        <w:t>u</w:t>
      </w:r>
      <w:r w:rsidR="002E1975">
        <w:t> </w:t>
      </w:r>
      <w:r w:rsidR="00F33442" w:rsidRPr="00F33442">
        <w:t>ORP téměř 100 % (viz závěry</w:t>
      </w:r>
      <w:r w:rsidR="00F33442">
        <w:t xml:space="preserve"> </w:t>
      </w:r>
      <w:r w:rsidR="00D86D76" w:rsidRPr="00F33442">
        <w:t>Analýz</w:t>
      </w:r>
      <w:r w:rsidR="00F33442" w:rsidRPr="00F33442">
        <w:t>y</w:t>
      </w:r>
      <w:r w:rsidR="00D86D76" w:rsidRPr="00F33442">
        <w:t xml:space="preserve"> financování výkonu státní správy a samosprávy</w:t>
      </w:r>
      <w:r w:rsidR="00F33442" w:rsidRPr="00F33442">
        <w:rPr>
          <w:rStyle w:val="Znakapoznpodarou"/>
        </w:rPr>
        <w:footnoteReference w:id="10"/>
      </w:r>
      <w:r w:rsidR="00F33442" w:rsidRPr="00F33442">
        <w:t xml:space="preserve"> )</w:t>
      </w:r>
      <w:r w:rsidR="00F33442">
        <w:t xml:space="preserve">, mohou příjmy ze správních poplatků </w:t>
      </w:r>
      <w:r w:rsidR="00B54309">
        <w:t xml:space="preserve">krýt </w:t>
      </w:r>
      <w:r w:rsidR="00F33442">
        <w:t>cca 30 – 40 % nákladů NSÚ.</w:t>
      </w:r>
      <w:r w:rsidR="00F4519C">
        <w:t xml:space="preserve"> Tato informace může být zajímavá pro návrh způsobu financování nové struktury. Částka se však neobjeví v závěrečném souhrnu, neboť se nejedná o změnovou hodnotu.)</w:t>
      </w:r>
    </w:p>
    <w:p w:rsidR="007E62EE" w:rsidRPr="00A86D52" w:rsidRDefault="00162CB7" w:rsidP="003E4A5D">
      <w:pPr>
        <w:widowControl w:val="0"/>
        <w:rPr>
          <w:i/>
          <w:u w:val="single"/>
        </w:rPr>
      </w:pPr>
      <w:r>
        <w:rPr>
          <w:i/>
          <w:u w:val="single"/>
        </w:rPr>
        <w:t>A</w:t>
      </w:r>
      <w:r w:rsidR="007E62EE" w:rsidRPr="00A86D52">
        <w:rPr>
          <w:i/>
          <w:u w:val="single"/>
        </w:rPr>
        <w:t>dministrativní náklad</w:t>
      </w:r>
      <w:r w:rsidR="007D4E2C">
        <w:rPr>
          <w:i/>
          <w:u w:val="single"/>
        </w:rPr>
        <w:t>y</w:t>
      </w:r>
      <w:r w:rsidR="00C13F6A">
        <w:rPr>
          <w:i/>
          <w:u w:val="single"/>
        </w:rPr>
        <w:t xml:space="preserve"> </w:t>
      </w:r>
    </w:p>
    <w:p w:rsidR="007E62EE" w:rsidRDefault="007E62EE" w:rsidP="003E4A5D">
      <w:pPr>
        <w:widowControl w:val="0"/>
      </w:pPr>
      <w:r>
        <w:t>Pokud budou úřady vykonávající PP vyčleněny mimo obecní a krajské úřad</w:t>
      </w:r>
      <w:r w:rsidR="00FC1277">
        <w:t>y</w:t>
      </w:r>
      <w:r>
        <w:t xml:space="preserve"> vykonávající SP, vzroste administrativa daná potřebou komunikace mezi úřady. Jedná se jednak o posílání materiálů a žádostí přes datové schránky, v listinné podobě, třídění pošty, rozdělení úkolů pro vzájemnou komunikaci atp. Konkrétně lze toto nejlépe ilustrovat </w:t>
      </w:r>
      <w:r w:rsidR="00686D84">
        <w:t>například</w:t>
      </w:r>
      <w:r>
        <w:t xml:space="preserve"> na agendě </w:t>
      </w:r>
      <w:r w:rsidR="002E1975">
        <w:t>ÚÚP</w:t>
      </w:r>
      <w:r>
        <w:t xml:space="preserve"> a OSÚ, kdy kvůli složitější komunikaci může dojít k prodloužení procesu schvalování </w:t>
      </w:r>
      <w:r w:rsidR="00614984">
        <w:t>a vydávání ÚP</w:t>
      </w:r>
      <w:r>
        <w:t>. Zmínit lze i agendy, kde v některých případech dochází dokonce ke sporům, zda daný úkon patří do výkonu SP či PP.</w:t>
      </w:r>
    </w:p>
    <w:p w:rsidR="007E62EE" w:rsidRDefault="007E62EE" w:rsidP="003E4A5D">
      <w:pPr>
        <w:widowControl w:val="0"/>
      </w:pPr>
      <w:r>
        <w:t xml:space="preserve">Na základě konzultací </w:t>
      </w:r>
      <w:r w:rsidR="00105A5C">
        <w:t>se odhaduje</w:t>
      </w:r>
      <w:r>
        <w:t>, že nárůst těchto administrativních nákladů může představovat přibližně 1 % nákladů současné agendy úřadů</w:t>
      </w:r>
      <w:r w:rsidR="004A174A">
        <w:t xml:space="preserve">. </w:t>
      </w:r>
      <w:r>
        <w:t xml:space="preserve">Toto 1 % odpovídá cca </w:t>
      </w:r>
      <w:r w:rsidR="00A701CD">
        <w:t>96</w:t>
      </w:r>
      <w:r>
        <w:t xml:space="preserve"> mil. Kč za rok</w:t>
      </w:r>
      <w:r>
        <w:rPr>
          <w:rStyle w:val="Znakapoznpodarou"/>
        </w:rPr>
        <w:footnoteReference w:id="11"/>
      </w:r>
      <w:r w:rsidR="004A174A">
        <w:t xml:space="preserve">, pokud </w:t>
      </w:r>
      <w:r w:rsidR="00105A5C">
        <w:t>se </w:t>
      </w:r>
      <w:r w:rsidR="004A174A">
        <w:t xml:space="preserve">bude předpokládat, že komunikací se samosprávou nad rámec současného stavu stráví úředník </w:t>
      </w:r>
      <w:r w:rsidR="00105A5C">
        <w:t>i </w:t>
      </w:r>
      <w:r w:rsidR="004A174A">
        <w:t>jeho protistrana 5 min. denně</w:t>
      </w:r>
      <w:r>
        <w:t xml:space="preserve">. </w:t>
      </w:r>
    </w:p>
    <w:p w:rsidR="007E62EE" w:rsidRPr="00BD074B" w:rsidRDefault="007E62EE" w:rsidP="003E4A5D">
      <w:pPr>
        <w:pStyle w:val="Textkomente"/>
        <w:widowControl w:val="0"/>
        <w:rPr>
          <w:sz w:val="24"/>
          <w:szCs w:val="22"/>
        </w:rPr>
      </w:pPr>
      <w:r w:rsidRPr="00BD074B">
        <w:rPr>
          <w:sz w:val="24"/>
          <w:szCs w:val="22"/>
        </w:rPr>
        <w:t xml:space="preserve">Další administrativní náklady vzniknou na straně úřadů, protože jako dva samostatné úřady budou oba potřebovat vést účetnictví a vykonávat další činnosti obdobného charakteru. Jednou </w:t>
      </w:r>
      <w:r w:rsidRPr="00BD074B">
        <w:rPr>
          <w:sz w:val="24"/>
          <w:szCs w:val="22"/>
        </w:rPr>
        <w:lastRenderedPageBreak/>
        <w:t xml:space="preserve">z variant je možnost, </w:t>
      </w:r>
      <w:r w:rsidR="004A174A" w:rsidRPr="00BD074B">
        <w:rPr>
          <w:sz w:val="24"/>
          <w:szCs w:val="22"/>
        </w:rPr>
        <w:t xml:space="preserve">že by tyto činnosti byly vedeny na úrovni krajských stavebních úřadů, které by činnost vykonávaly za všechny kraji podřízené místní stavební úřady. Tím by bylo dosaženo úspor, protože by každý stavební úřad nemusel mít </w:t>
      </w:r>
      <w:r w:rsidR="00686D84">
        <w:rPr>
          <w:sz w:val="24"/>
          <w:szCs w:val="22"/>
        </w:rPr>
        <w:t>například</w:t>
      </w:r>
      <w:r w:rsidR="004A174A" w:rsidRPr="00BD074B">
        <w:rPr>
          <w:sz w:val="24"/>
          <w:szCs w:val="22"/>
        </w:rPr>
        <w:t xml:space="preserve"> svého vlastního účetního (byť jen na částečný úvazek).</w:t>
      </w:r>
    </w:p>
    <w:p w:rsidR="007E62EE" w:rsidRDefault="007E62EE" w:rsidP="003E4A5D">
      <w:pPr>
        <w:widowControl w:val="0"/>
      </w:pPr>
      <w:r>
        <w:t xml:space="preserve">Na vzorku 28 náhodně vybraných ORP bylo zjištěno, že jejich odbory finanční a ekonomické zaměstnávaly 7 – 14 pracovníků, v mediánu pak 9 pracovníků. </w:t>
      </w:r>
      <w:r w:rsidR="009C0AC0">
        <w:t xml:space="preserve">Celkový mediánový počet pracovníků </w:t>
      </w:r>
      <w:r w:rsidR="009C0AC0" w:rsidRPr="00C63EA8">
        <w:t xml:space="preserve">úřadu činil 138; tj. na každého pracovníka úřadu připadalo 0,07 pracovníka finančního a ekonomického odboru. </w:t>
      </w:r>
      <w:r w:rsidRPr="00C63EA8">
        <w:t xml:space="preserve">Pokud </w:t>
      </w:r>
      <w:r w:rsidR="00105A5C">
        <w:t xml:space="preserve">se </w:t>
      </w:r>
      <w:r w:rsidR="009C0AC0" w:rsidRPr="00C63EA8">
        <w:t xml:space="preserve">bude pracovat s počtem zaměstnanců stavebních úřadů </w:t>
      </w:r>
      <w:r w:rsidR="00FD4D33" w:rsidRPr="00C63EA8">
        <w:t>dle ÚÚR 6 470 (2017),</w:t>
      </w:r>
      <w:r w:rsidRPr="00C63EA8">
        <w:t xml:space="preserve"> </w:t>
      </w:r>
      <w:r w:rsidR="00105A5C">
        <w:t>bude třeba</w:t>
      </w:r>
      <w:r w:rsidR="00105A5C" w:rsidRPr="00C63EA8">
        <w:t xml:space="preserve"> </w:t>
      </w:r>
      <w:r w:rsidR="00FD4D33" w:rsidRPr="00C63EA8">
        <w:t xml:space="preserve">440 potřebných </w:t>
      </w:r>
      <w:r w:rsidR="00F4519C" w:rsidRPr="00C63EA8">
        <w:t xml:space="preserve">nových </w:t>
      </w:r>
      <w:r w:rsidR="00F53BF4">
        <w:t>pracovních sil na účetní a </w:t>
      </w:r>
      <w:r w:rsidR="00372C9E" w:rsidRPr="00C63EA8">
        <w:t>e</w:t>
      </w:r>
      <w:r w:rsidR="00FD4D33" w:rsidRPr="00C63EA8">
        <w:t>konomické odbor</w:t>
      </w:r>
      <w:r w:rsidR="00372C9E" w:rsidRPr="00C63EA8">
        <w:t>y</w:t>
      </w:r>
      <w:r w:rsidR="00FD4D33" w:rsidRPr="00C63EA8">
        <w:t xml:space="preserve"> na straně nového NSÚ</w:t>
      </w:r>
      <w:r w:rsidR="00F4519C" w:rsidRPr="00C63EA8">
        <w:t xml:space="preserve"> při potřebě tyto pozice zdvojnásobit</w:t>
      </w:r>
      <w:r w:rsidR="00372C9E" w:rsidRPr="00C63EA8">
        <w:t xml:space="preserve"> a </w:t>
      </w:r>
      <w:r w:rsidRPr="00C63EA8">
        <w:t xml:space="preserve">hrubou částku </w:t>
      </w:r>
      <w:r w:rsidR="00372C9E" w:rsidRPr="00C63EA8">
        <w:t>max. cca 314 mil. Kč</w:t>
      </w:r>
      <w:r w:rsidRPr="00C63EA8">
        <w:t>.</w:t>
      </w:r>
      <w:r w:rsidR="00BD074B" w:rsidRPr="00C63EA8">
        <w:t xml:space="preserve"> </w:t>
      </w:r>
      <w:r w:rsidR="00C63EA8" w:rsidRPr="00C63EA8">
        <w:t xml:space="preserve">Toto je maximální, </w:t>
      </w:r>
      <w:r w:rsidR="00FC1277">
        <w:t>nikoliv</w:t>
      </w:r>
      <w:r w:rsidR="00C63EA8" w:rsidRPr="00C63EA8">
        <w:t xml:space="preserve"> konzervativní odhad. S velkou pravděpodobností o celkové zdvojnásobení nepůjde.</w:t>
      </w:r>
    </w:p>
    <w:p w:rsidR="007E62EE" w:rsidRPr="0015275C" w:rsidRDefault="007E62EE" w:rsidP="003E4A5D">
      <w:pPr>
        <w:widowControl w:val="0"/>
        <w:rPr>
          <w:i/>
          <w:u w:val="single"/>
        </w:rPr>
      </w:pPr>
      <w:r w:rsidRPr="0015275C">
        <w:rPr>
          <w:i/>
          <w:u w:val="single"/>
        </w:rPr>
        <w:t>Pronájem nových kancelářských prostor a prostor pro ukládání spisové dokumentace</w:t>
      </w:r>
    </w:p>
    <w:p w:rsidR="007E62EE" w:rsidRDefault="008207F6" w:rsidP="003E4A5D">
      <w:pPr>
        <w:widowControl w:val="0"/>
      </w:pPr>
      <w:r>
        <w:t>Jak již bylo uvedeno výše, k</w:t>
      </w:r>
      <w:r w:rsidR="007E62EE">
        <w:t xml:space="preserve"> odhadu jednorázových nákladů na vytvoření jednoho úředního pracovního místa lze použít buď </w:t>
      </w:r>
      <w:r w:rsidR="0015275C">
        <w:t xml:space="preserve">fixní hodnotu, </w:t>
      </w:r>
      <w:r w:rsidR="00AB6B90">
        <w:t>která se odhaduje na</w:t>
      </w:r>
      <w:r w:rsidR="0015275C">
        <w:t xml:space="preserve"> cca 100 000 Kč (</w:t>
      </w:r>
      <w:r w:rsidR="007E62EE">
        <w:t>tyto náklady vycházejí z výše nájmu, z poplatků za služby a počtu metrů čtverečních kancelářských prostor připadajících na jednoho zaměstnance</w:t>
      </w:r>
      <w:r w:rsidR="0015275C">
        <w:t xml:space="preserve"> aj.</w:t>
      </w:r>
      <w:r w:rsidR="007E62EE">
        <w:t>)</w:t>
      </w:r>
      <w:r w:rsidR="00AB6B90">
        <w:t>,</w:t>
      </w:r>
      <w:r w:rsidR="007E62EE">
        <w:t xml:space="preserve"> či vlastního výpočtu při dostatečném množství dostupných dat</w:t>
      </w:r>
      <w:r w:rsidR="00717A75">
        <w:t xml:space="preserve"> (tj. již při konkrétní znalosti ohledně budoucí</w:t>
      </w:r>
      <w:r w:rsidR="00F53BF4">
        <w:t>ho sídla NSÚ, podřízených ÚÚP a </w:t>
      </w:r>
      <w:r w:rsidR="00717A75">
        <w:t xml:space="preserve">stavebních úřadů a </w:t>
      </w:r>
      <w:r w:rsidR="000D021D">
        <w:t>územní</w:t>
      </w:r>
      <w:r w:rsidR="00717A75">
        <w:t>ch pracovišť)</w:t>
      </w:r>
      <w:r w:rsidR="007E62EE">
        <w:t xml:space="preserve">. </w:t>
      </w:r>
      <w:r w:rsidR="00717A75">
        <w:t>Odhad dle postupu uvedeného v první větě byl již proveden výše.</w:t>
      </w:r>
      <w:r w:rsidR="00804432">
        <w:t xml:space="preserve"> Částka určená na vybavení pracovního místa počítá s pořizováním moderních zařízení odpovídajících potřebám úředníků a požadavkům stanoveným v rámci procesu digitalizace agend. </w:t>
      </w:r>
    </w:p>
    <w:p w:rsidR="007E62EE" w:rsidRDefault="007E62EE" w:rsidP="003E4A5D">
      <w:pPr>
        <w:widowControl w:val="0"/>
      </w:pPr>
      <w:r>
        <w:t xml:space="preserve">Vlastní výpočet by probíhal následovně. Pro výpočet nákladů na pronájem kanceláří a prostor pro ukládání dokumentace </w:t>
      </w:r>
      <w:r w:rsidR="00AB6B90">
        <w:t>počítáme s tím</w:t>
      </w:r>
      <w:r>
        <w:t>, že by měla být dokumentace dostupná pro úředníky</w:t>
      </w:r>
      <w:r w:rsidR="00FC1277">
        <w:t>,</w:t>
      </w:r>
      <w:r>
        <w:t xml:space="preserve"> a že může být ukládána v některé/některých z místností kancelářských prostor. Výsledná požadovaná plocha by pak byla součtem požadavku na prostor pro ukládání dokumentace a požadavku na velikost kanceláře. Odhad potřebných nákladů by měl být činěn na základě tržní nabídky kancelářských prostor na trhu. </w:t>
      </w:r>
    </w:p>
    <w:p w:rsidR="007E62EE" w:rsidRDefault="007E62EE" w:rsidP="003E4A5D">
      <w:pPr>
        <w:widowControl w:val="0"/>
      </w:pPr>
      <w:r>
        <w:t>Požadavek na prostor kanceláře může být reprezentován přibližně následujícím vzorcem:</w:t>
      </w:r>
    </w:p>
    <w:p w:rsidR="007E62EE" w:rsidRDefault="00CE1110" w:rsidP="003E4A5D">
      <w:pPr>
        <w:widowControl w:val="0"/>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=X+5∙z</m:t>
          </m:r>
        </m:oMath>
      </m:oMathPara>
    </w:p>
    <w:p w:rsidR="00E37CD4" w:rsidRDefault="007E62EE" w:rsidP="003E4A5D">
      <w:pPr>
        <w:widowControl w:val="0"/>
      </w:pPr>
      <w:r>
        <w:t>kde:</w:t>
      </w:r>
    </w:p>
    <w:p w:rsidR="007E62EE" w:rsidRDefault="007E62EE" w:rsidP="003E4A5D">
      <w:pPr>
        <w:widowControl w:val="0"/>
      </w:pPr>
      <w:r>
        <w:tab/>
        <w:t>Y</w:t>
      </w:r>
      <w:r>
        <w:rPr>
          <w:vertAlign w:val="subscript"/>
        </w:rPr>
        <w:t>1</w:t>
      </w:r>
      <w:r>
        <w:t>………….. je požadovaná plocha v metrech čtverečních</w:t>
      </w:r>
    </w:p>
    <w:p w:rsidR="007E62EE" w:rsidRDefault="007E62EE" w:rsidP="003E4A5D">
      <w:pPr>
        <w:widowControl w:val="0"/>
      </w:pPr>
      <w:r>
        <w:tab/>
        <w:t>X…………… je 10 - 50 m</w:t>
      </w:r>
      <w:r>
        <w:rPr>
          <w:vertAlign w:val="superscript"/>
        </w:rPr>
        <w:t>2</w:t>
      </w:r>
      <w:r>
        <w:tab/>
      </w:r>
    </w:p>
    <w:p w:rsidR="007E62EE" w:rsidRDefault="007E62EE" w:rsidP="003E4A5D">
      <w:pPr>
        <w:widowControl w:val="0"/>
      </w:pPr>
      <w:r>
        <w:tab/>
        <w:t>z……………. je počet zaměstnanců úřadu</w:t>
      </w:r>
    </w:p>
    <w:p w:rsidR="007E62EE" w:rsidRDefault="007E62EE" w:rsidP="003E4A5D">
      <w:pPr>
        <w:widowControl w:val="0"/>
      </w:pPr>
      <w:r>
        <w:t>Následující vzorec může vyjadřovat požadovaný prostor pro ukládání dokumentace:</w:t>
      </w:r>
    </w:p>
    <w:p w:rsidR="007E62EE" w:rsidRDefault="00CE1110" w:rsidP="003E4A5D">
      <w:pPr>
        <w:widowControl w:val="0"/>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10</m:t>
              </m:r>
            </m:sub>
          </m:sSub>
          <m:r>
            <w:rPr>
              <w:rFonts w:ascii="Cambria Math" w:hAnsi="Cambria Math"/>
            </w:rPr>
            <m:t>∙0,005</m:t>
          </m:r>
        </m:oMath>
      </m:oMathPara>
    </w:p>
    <w:p w:rsidR="00E37CD4" w:rsidRDefault="007E62EE" w:rsidP="003E4A5D">
      <w:pPr>
        <w:widowControl w:val="0"/>
      </w:pPr>
      <w:r>
        <w:t>kde:</w:t>
      </w:r>
    </w:p>
    <w:p w:rsidR="007E62EE" w:rsidRDefault="007E62EE" w:rsidP="003E4A5D">
      <w:pPr>
        <w:widowControl w:val="0"/>
        <w:rPr>
          <w:vertAlign w:val="superscript"/>
        </w:rPr>
      </w:pPr>
      <w:r>
        <w:tab/>
        <w:t>Y</w:t>
      </w:r>
      <w:r>
        <w:rPr>
          <w:vertAlign w:val="subscript"/>
        </w:rPr>
        <w:t>2</w:t>
      </w:r>
      <w:r>
        <w:t>…………</w:t>
      </w:r>
      <w:r>
        <w:tab/>
        <w:t>je požadovaná plocha pro spisovnu v m</w:t>
      </w:r>
      <w:r>
        <w:rPr>
          <w:vertAlign w:val="superscript"/>
        </w:rPr>
        <w:t>2</w:t>
      </w:r>
    </w:p>
    <w:p w:rsidR="007E62EE" w:rsidRDefault="007E62EE" w:rsidP="003E4A5D">
      <w:pPr>
        <w:widowControl w:val="0"/>
      </w:pPr>
      <w:r>
        <w:tab/>
        <w:t>U</w:t>
      </w:r>
      <w:r>
        <w:rPr>
          <w:vertAlign w:val="subscript"/>
        </w:rPr>
        <w:t>10</w:t>
      </w:r>
      <w:r>
        <w:t>…………</w:t>
      </w:r>
      <w:r>
        <w:tab/>
        <w:t>je odhadovaný počet úkonů úřadu za posledních 10 let</w:t>
      </w:r>
    </w:p>
    <w:p w:rsidR="007E62EE" w:rsidRDefault="007E62EE" w:rsidP="003E4A5D">
      <w:pPr>
        <w:widowControl w:val="0"/>
      </w:pPr>
      <w:r>
        <w:t xml:space="preserve">Požadovaný prostor pro ukládání dokumentace a prostor kanceláře je sečten a tomuto prostoru je přiřazena cena na základě velikosti úřadu a realitních charakteristik obce. </w:t>
      </w:r>
    </w:p>
    <w:p w:rsidR="007E62EE" w:rsidRDefault="007E62EE" w:rsidP="003E4A5D">
      <w:pPr>
        <w:widowControl w:val="0"/>
      </w:pPr>
      <w:r>
        <w:t xml:space="preserve">Možností je i, dle preferencí </w:t>
      </w:r>
      <w:r w:rsidR="00717A75">
        <w:t>samosprávy</w:t>
      </w:r>
      <w:r>
        <w:t xml:space="preserve">, pronájem současných prostor obecních a krajských úřadů. Otázkou je, jaký nájem by si </w:t>
      </w:r>
      <w:r w:rsidR="00717A75">
        <w:t>samosprávy</w:t>
      </w:r>
      <w:r>
        <w:t xml:space="preserve"> účtoval</w:t>
      </w:r>
      <w:r w:rsidR="00717A75">
        <w:t>y</w:t>
      </w:r>
      <w:r>
        <w:t xml:space="preserve"> za využití prostor. </w:t>
      </w:r>
      <w:r w:rsidR="00B50F2B">
        <w:t>Z</w:t>
      </w:r>
      <w:r>
        <w:t xml:space="preserve">de </w:t>
      </w:r>
      <w:r w:rsidR="00B50F2B">
        <w:t xml:space="preserve">je třeba vycházet </w:t>
      </w:r>
      <w:r>
        <w:t xml:space="preserve">z předpokladu efektivního trhu, kdy </w:t>
      </w:r>
      <w:r w:rsidR="00717A75">
        <w:t>stavební úřad</w:t>
      </w:r>
      <w:r>
        <w:t xml:space="preserve"> bude hledat co možná nejlevnější a dostatečně </w:t>
      </w:r>
      <w:r>
        <w:lastRenderedPageBreak/>
        <w:t xml:space="preserve">reprezentativní prostory pro kanceláře a spisovnu a zároveň </w:t>
      </w:r>
      <w:r w:rsidR="00717A75">
        <w:t>samosprávy</w:t>
      </w:r>
      <w:r>
        <w:t xml:space="preserve"> se budou snažit pronajmout své prostory za </w:t>
      </w:r>
      <w:r w:rsidR="00717A75">
        <w:t>tržní cenu</w:t>
      </w:r>
      <w:r>
        <w:t xml:space="preserve">. </w:t>
      </w:r>
      <w:r w:rsidR="00701B77">
        <w:t>Je třeba předpokládat</w:t>
      </w:r>
      <w:r>
        <w:t xml:space="preserve">, že i v případě, že </w:t>
      </w:r>
      <w:r w:rsidR="00717A75">
        <w:t xml:space="preserve">stavební </w:t>
      </w:r>
      <w:r>
        <w:t xml:space="preserve">úřady zůstanou v dnešních prostorách, budou za </w:t>
      </w:r>
      <w:r w:rsidR="00717A75">
        <w:t>ně</w:t>
      </w:r>
      <w:r>
        <w:t xml:space="preserve"> platit tržní nájem. To, zda bude využit stávající prostor nebo komerční prostor, bude mít pouze dopad na příjmy územních samospráv a výdaje nových úřadů. V celkovém součtu lze tyto dopady započíst proti sobě. Projeví se </w:t>
      </w:r>
      <w:r w:rsidR="00717A75">
        <w:t>pouze</w:t>
      </w:r>
      <w:r w:rsidR="00F53BF4">
        <w:t xml:space="preserve"> u </w:t>
      </w:r>
      <w:r w:rsidR="00717A75">
        <w:t>různých</w:t>
      </w:r>
      <w:r>
        <w:t xml:space="preserve"> dotčených stran.</w:t>
      </w:r>
    </w:p>
    <w:p w:rsidR="007E62EE" w:rsidRDefault="007E62EE" w:rsidP="003E4A5D">
      <w:pPr>
        <w:widowControl w:val="0"/>
      </w:pPr>
      <w:r>
        <w:t>V případě, že bude navíc nutné zajistit novým úředníkům odpovídající vozový park, lze při výpočtu jednorázových nákladů vycházet z následujících předpokladů:</w:t>
      </w:r>
    </w:p>
    <w:p w:rsidR="007E62EE" w:rsidRDefault="007E62EE" w:rsidP="009D4B5F">
      <w:pPr>
        <w:pStyle w:val="Odstavecseseznamem"/>
        <w:widowControl w:val="0"/>
        <w:numPr>
          <w:ilvl w:val="0"/>
          <w:numId w:val="37"/>
        </w:numPr>
        <w:ind w:left="360"/>
      </w:pPr>
      <w:r>
        <w:t>přibližně 1 automobil na 3 pracovní úvazky</w:t>
      </w:r>
    </w:p>
    <w:p w:rsidR="007E62EE" w:rsidRDefault="007E62EE" w:rsidP="009D4B5F">
      <w:pPr>
        <w:pStyle w:val="Odstavecseseznamem"/>
        <w:widowControl w:val="0"/>
        <w:numPr>
          <w:ilvl w:val="0"/>
          <w:numId w:val="37"/>
        </w:numPr>
        <w:ind w:left="360"/>
      </w:pPr>
      <w:r>
        <w:t>průměrná hodnota 1 automobilu dle aktuálních tržních cen.</w:t>
      </w:r>
    </w:p>
    <w:p w:rsidR="007E62EE" w:rsidRDefault="00AD2AE3" w:rsidP="003E4A5D">
      <w:pPr>
        <w:widowControl w:val="0"/>
      </w:pPr>
      <w:r>
        <w:t xml:space="preserve">Při nákupu automobilů dle celkového počtu zaměstnanců stavebních úřadů </w:t>
      </w:r>
      <w:r w:rsidR="00B914FA">
        <w:t xml:space="preserve">a při ceně automobilu </w:t>
      </w:r>
      <w:r w:rsidR="00CB2DB4">
        <w:t xml:space="preserve">do </w:t>
      </w:r>
      <w:r w:rsidR="00B914FA">
        <w:t xml:space="preserve">400 000,- Kč (tj. za předpokladu, že by si celý vozový park ponechaly samosprávy) by náklady činily 780 mil. Kč. Opět </w:t>
      </w:r>
      <w:r w:rsidR="00E37CD4">
        <w:t>ne</w:t>
      </w:r>
      <w:r w:rsidR="00B914FA">
        <w:t>jde o konzervativní</w:t>
      </w:r>
      <w:r w:rsidR="00E37CD4">
        <w:t>, ale o</w:t>
      </w:r>
      <w:r w:rsidR="00B914FA">
        <w:t xml:space="preserve"> maximalistickou hodnotu. </w:t>
      </w:r>
    </w:p>
    <w:p w:rsidR="00FB380D" w:rsidRDefault="00FB380D" w:rsidP="003E4A5D">
      <w:pPr>
        <w:pStyle w:val="Text-Normaln"/>
        <w:widowControl w:val="0"/>
        <w:rPr>
          <w:i/>
          <w:u w:val="single"/>
        </w:rPr>
      </w:pPr>
      <w:r>
        <w:rPr>
          <w:i/>
          <w:u w:val="single"/>
        </w:rPr>
        <w:t>Ilustrace n</w:t>
      </w:r>
      <w:r w:rsidRPr="00FB380D">
        <w:rPr>
          <w:i/>
          <w:u w:val="single"/>
        </w:rPr>
        <w:t>áklad</w:t>
      </w:r>
      <w:r>
        <w:rPr>
          <w:i/>
          <w:u w:val="single"/>
        </w:rPr>
        <w:t>ů</w:t>
      </w:r>
      <w:r w:rsidRPr="00FB380D">
        <w:rPr>
          <w:i/>
          <w:u w:val="single"/>
        </w:rPr>
        <w:t xml:space="preserve"> občanů</w:t>
      </w:r>
      <w:r>
        <w:rPr>
          <w:i/>
          <w:u w:val="single"/>
        </w:rPr>
        <w:t xml:space="preserve"> na dojezd po změně modelu</w:t>
      </w:r>
    </w:p>
    <w:p w:rsidR="00A15323" w:rsidRPr="00FB380D" w:rsidRDefault="00A15323" w:rsidP="003E4A5D">
      <w:pPr>
        <w:pStyle w:val="Text-Normaln"/>
        <w:widowControl w:val="0"/>
      </w:pPr>
      <w:r>
        <w:t xml:space="preserve">Následující obrázek zachycuje hustotu úřadů v ČR. Jak je vidět, stavební úřady jsou po pobočkách </w:t>
      </w:r>
      <w:proofErr w:type="spellStart"/>
      <w:r>
        <w:t>CzechPoint</w:t>
      </w:r>
      <w:proofErr w:type="spellEnd"/>
      <w:r>
        <w:t xml:space="preserve"> a matričních úřadech na třetím místě. Lze si klást otázku, zda vzhledem k potřebě nejen místní znalosti, ale i profesní znalosti v oblasti výstavby a stavebního práva je tento stav vyhovující a zda přínosy z posunu úřadů na úroveň ORP by nepřevážily náklady občanů na dojezd. Pro posouzení tohoto aspektu </w:t>
      </w:r>
      <w:r w:rsidR="00701B77">
        <w:t>jsou uvedeny další obrázky níže</w:t>
      </w:r>
      <w:r>
        <w:t>.</w:t>
      </w:r>
    </w:p>
    <w:p w:rsidR="00B47025" w:rsidRDefault="00B47025" w:rsidP="00B47025">
      <w:pPr>
        <w:pStyle w:val="Titulek"/>
        <w:keepNext/>
      </w:pPr>
      <w:r>
        <w:t xml:space="preserve">Obrázek </w:t>
      </w:r>
      <w:r w:rsidR="00AB65E9">
        <w:rPr>
          <w:noProof/>
        </w:rPr>
        <w:fldChar w:fldCharType="begin"/>
      </w:r>
      <w:r w:rsidR="00A53DB2">
        <w:rPr>
          <w:noProof/>
        </w:rPr>
        <w:instrText xml:space="preserve"> SEQ Obrázek \* ARABIC </w:instrText>
      </w:r>
      <w:r w:rsidR="00AB65E9">
        <w:rPr>
          <w:noProof/>
        </w:rPr>
        <w:fldChar w:fldCharType="separate"/>
      </w:r>
      <w:r w:rsidR="00263A1B">
        <w:rPr>
          <w:noProof/>
        </w:rPr>
        <w:t>16</w:t>
      </w:r>
      <w:r w:rsidR="00AB65E9">
        <w:rPr>
          <w:noProof/>
        </w:rPr>
        <w:fldChar w:fldCharType="end"/>
      </w:r>
      <w:r>
        <w:t>: Hustota úřadů v ČR na 1 000 km</w:t>
      </w:r>
      <w:r>
        <w:rPr>
          <w:vertAlign w:val="superscript"/>
        </w:rPr>
        <w:t>2</w:t>
      </w:r>
    </w:p>
    <w:p w:rsidR="002B13B0" w:rsidRDefault="00A15323" w:rsidP="003E4A5D">
      <w:pPr>
        <w:widowControl w:val="0"/>
      </w:pPr>
      <w:r>
        <w:rPr>
          <w:noProof/>
          <w:lang w:eastAsia="cs-CZ"/>
        </w:rPr>
        <w:drawing>
          <wp:inline distT="0" distB="0" distL="0" distR="0" wp14:anchorId="23EDB593" wp14:editId="715B7B6E">
            <wp:extent cx="5724939" cy="18884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35000"/>
                              </a14:imgEffect>
                              <a14:imgEffect>
                                <a14:saturation sat="101000"/>
                              </a14:imgEffect>
                            </a14:imgLayer>
                          </a14:imgProps>
                        </a:ext>
                        <a:ext uri="{28A0092B-C50C-407E-A947-70E740481C1C}">
                          <a14:useLocalDpi xmlns:a14="http://schemas.microsoft.com/office/drawing/2010/main" val="0"/>
                        </a:ext>
                      </a:extLst>
                    </a:blip>
                    <a:srcRect/>
                    <a:stretch>
                      <a:fillRect/>
                    </a:stretch>
                  </pic:blipFill>
                  <pic:spPr bwMode="auto">
                    <a:xfrm>
                      <a:off x="0" y="0"/>
                      <a:ext cx="5724525" cy="1888298"/>
                    </a:xfrm>
                    <a:prstGeom prst="rect">
                      <a:avLst/>
                    </a:prstGeom>
                    <a:noFill/>
                  </pic:spPr>
                </pic:pic>
              </a:graphicData>
            </a:graphic>
          </wp:inline>
        </w:drawing>
      </w:r>
    </w:p>
    <w:p w:rsidR="002B13B0" w:rsidRDefault="002B13B0" w:rsidP="003E4A5D">
      <w:pPr>
        <w:pStyle w:val="Citt"/>
      </w:pPr>
      <w:r>
        <w:t xml:space="preserve">Zdroj: </w:t>
      </w:r>
      <w:r w:rsidR="00A15323">
        <w:t>Analýza (2018)</w:t>
      </w:r>
    </w:p>
    <w:p w:rsidR="00A15323" w:rsidRDefault="00A15323" w:rsidP="003E4A5D">
      <w:pPr>
        <w:pStyle w:val="Text-Normaln"/>
        <w:widowControl w:val="0"/>
      </w:pPr>
      <w:r w:rsidRPr="00FB380D">
        <w:t xml:space="preserve">Následující text je převzat z </w:t>
      </w:r>
      <w:r w:rsidRPr="00FB380D">
        <w:rPr>
          <w:i/>
        </w:rPr>
        <w:t>Analýzy vybraných prostorových aspektů veřejné správy a zlepšení dostupnosti jejích služeb</w:t>
      </w:r>
      <w:r>
        <w:rPr>
          <w:i/>
        </w:rPr>
        <w:t xml:space="preserve"> </w:t>
      </w:r>
      <w:r>
        <w:rPr>
          <w:rStyle w:val="Znakapoznpodarou"/>
        </w:rPr>
        <w:footnoteReference w:id="12"/>
      </w:r>
      <w:r>
        <w:rPr>
          <w:i/>
        </w:rPr>
        <w:t>(dále také Analýza (2018))</w:t>
      </w:r>
      <w:r>
        <w:t xml:space="preserve">, která mimo jiné zkoumala dostupnost státní správy pro občany. </w:t>
      </w:r>
    </w:p>
    <w:p w:rsidR="005F5CD4" w:rsidRDefault="005F5CD4" w:rsidP="003E4A5D">
      <w:pPr>
        <w:widowControl w:val="0"/>
      </w:pPr>
      <w:r>
        <w:t>S rostoucí velikostí správního obvodu roste vzdálenost dojezdu do správního centra, průměrná vzdálenost je od 9 km do POÚ až po 43 km do krajského města. Nutno podotknout, že 50 % všech úřadů (tj. medián) je dostupných u POÚ do 8,6 min</w:t>
      </w:r>
      <w:r w:rsidR="00E37CD4">
        <w:t>.</w:t>
      </w:r>
      <w:r>
        <w:t xml:space="preserve">, u ORP do 11 min, bývalá okresní města do 18 minut a krajská města do 39,5 min. U POÚ má pouze 25 % obcí (tj. horní </w:t>
      </w:r>
      <w:proofErr w:type="spellStart"/>
      <w:r>
        <w:t>kvartil</w:t>
      </w:r>
      <w:proofErr w:type="spellEnd"/>
      <w:r>
        <w:t>) dobu dostupnosti delší než 12,4 min, u ORP je to 16,1 min, u bývalých okresních měst je to nad 25,5 min</w:t>
      </w:r>
      <w:r w:rsidR="00E37CD4">
        <w:t>.</w:t>
      </w:r>
      <w:r>
        <w:t xml:space="preserve"> a u krajských měst nad 53,5 min. </w:t>
      </w:r>
    </w:p>
    <w:p w:rsidR="00701B77" w:rsidRDefault="00701B77" w:rsidP="003E4A5D">
      <w:pPr>
        <w:widowControl w:val="0"/>
      </w:pPr>
    </w:p>
    <w:p w:rsidR="00701B77" w:rsidRDefault="00701B77" w:rsidP="003E4A5D">
      <w:pPr>
        <w:widowControl w:val="0"/>
      </w:pPr>
    </w:p>
    <w:p w:rsidR="004A716B" w:rsidRDefault="004A716B" w:rsidP="003E4A5D">
      <w:pPr>
        <w:pStyle w:val="Titulek"/>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20</w:t>
      </w:r>
      <w:r w:rsidR="00AB65E9">
        <w:rPr>
          <w:noProof/>
        </w:rPr>
        <w:fldChar w:fldCharType="end"/>
      </w:r>
      <w:r>
        <w:t>: Základní statistické charakteristiky</w:t>
      </w:r>
    </w:p>
    <w:tbl>
      <w:tblPr>
        <w:tblStyle w:val="Barevntabulkaseznamu6zvraznn51"/>
        <w:tblW w:w="4885" w:type="pct"/>
        <w:tblInd w:w="108" w:type="dxa"/>
        <w:tblLayout w:type="fixed"/>
        <w:tblLook w:val="04A0" w:firstRow="1" w:lastRow="0" w:firstColumn="1" w:lastColumn="0" w:noHBand="0" w:noVBand="1"/>
      </w:tblPr>
      <w:tblGrid>
        <w:gridCol w:w="2744"/>
        <w:gridCol w:w="762"/>
        <w:gridCol w:w="762"/>
        <w:gridCol w:w="800"/>
        <w:gridCol w:w="896"/>
        <w:gridCol w:w="762"/>
        <w:gridCol w:w="762"/>
        <w:gridCol w:w="800"/>
        <w:gridCol w:w="784"/>
      </w:tblGrid>
      <w:tr w:rsidR="005F5CD4" w:rsidRPr="006359D9" w:rsidTr="00215D4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2" w:type="pct"/>
            <w:noWrap/>
            <w:vAlign w:val="center"/>
            <w:hideMark/>
          </w:tcPr>
          <w:p w:rsidR="005F5CD4" w:rsidRPr="006359D9" w:rsidRDefault="005F5CD4" w:rsidP="003E4A5D">
            <w:pPr>
              <w:widowControl w:val="0"/>
              <w:spacing w:before="0" w:after="0"/>
              <w:jc w:val="center"/>
              <w:rPr>
                <w:rFonts w:asciiTheme="minorHAnsi" w:eastAsia="Times New Roman" w:hAnsiTheme="minorHAnsi" w:cs="Arial"/>
                <w:color w:val="000000"/>
                <w:sz w:val="20"/>
                <w:szCs w:val="20"/>
                <w:lang w:eastAsia="cs-CZ"/>
              </w:rPr>
            </w:pPr>
            <w:r w:rsidRPr="006359D9">
              <w:rPr>
                <w:rFonts w:asciiTheme="minorHAnsi" w:eastAsia="Times New Roman" w:hAnsiTheme="minorHAnsi" w:cs="Arial"/>
                <w:sz w:val="20"/>
                <w:szCs w:val="20"/>
                <w:lang w:eastAsia="cs-CZ"/>
              </w:rPr>
              <w:t>Statistické charakteristiky</w:t>
            </w:r>
          </w:p>
        </w:tc>
        <w:tc>
          <w:tcPr>
            <w:tcW w:w="1775" w:type="pct"/>
            <w:gridSpan w:val="4"/>
            <w:noWrap/>
            <w:vAlign w:val="center"/>
            <w:hideMark/>
          </w:tcPr>
          <w:p w:rsidR="005F5CD4" w:rsidRPr="006359D9" w:rsidRDefault="005F5CD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cs-CZ"/>
              </w:rPr>
            </w:pPr>
            <w:r w:rsidRPr="006359D9">
              <w:rPr>
                <w:rFonts w:asciiTheme="minorHAnsi" w:eastAsia="Times New Roman" w:hAnsiTheme="minorHAnsi" w:cs="Arial"/>
                <w:sz w:val="20"/>
                <w:szCs w:val="20"/>
                <w:lang w:eastAsia="cs-CZ"/>
              </w:rPr>
              <w:t>Vzdálenost (v km)</w:t>
            </w:r>
          </w:p>
        </w:tc>
        <w:tc>
          <w:tcPr>
            <w:tcW w:w="1713" w:type="pct"/>
            <w:gridSpan w:val="4"/>
            <w:noWrap/>
            <w:vAlign w:val="center"/>
            <w:hideMark/>
          </w:tcPr>
          <w:p w:rsidR="005F5CD4" w:rsidRPr="006359D9" w:rsidRDefault="005F5CD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cs-CZ"/>
              </w:rPr>
            </w:pPr>
            <w:r w:rsidRPr="006359D9">
              <w:rPr>
                <w:rFonts w:asciiTheme="minorHAnsi" w:eastAsia="Times New Roman" w:hAnsiTheme="minorHAnsi" w:cs="Arial"/>
                <w:sz w:val="20"/>
                <w:szCs w:val="20"/>
                <w:lang w:eastAsia="cs-CZ"/>
              </w:rPr>
              <w:t xml:space="preserve">Doba dojezdu IAD (min) </w:t>
            </w:r>
          </w:p>
        </w:tc>
      </w:tr>
      <w:tr w:rsidR="005F5CD4" w:rsidRPr="006359D9" w:rsidTr="00215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2" w:type="pct"/>
            <w:vAlign w:val="center"/>
            <w:hideMark/>
          </w:tcPr>
          <w:p w:rsidR="005F5CD4" w:rsidRPr="006359D9" w:rsidRDefault="005F5CD4" w:rsidP="003E4A5D">
            <w:pPr>
              <w:widowControl w:val="0"/>
              <w:spacing w:before="0" w:after="0"/>
              <w:jc w:val="left"/>
              <w:rPr>
                <w:rFonts w:asciiTheme="minorHAnsi" w:eastAsia="Times New Roman" w:hAnsiTheme="minorHAnsi" w:cs="Arial"/>
                <w:color w:val="000000"/>
                <w:sz w:val="20"/>
                <w:szCs w:val="20"/>
                <w:lang w:eastAsia="cs-CZ"/>
              </w:rPr>
            </w:pPr>
          </w:p>
        </w:tc>
        <w:tc>
          <w:tcPr>
            <w:tcW w:w="420" w:type="pct"/>
            <w:noWrap/>
            <w:vAlign w:val="center"/>
            <w:hideMark/>
          </w:tcPr>
          <w:p w:rsidR="005F5CD4" w:rsidRPr="006359D9"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FFFFFF" w:themeColor="background1"/>
                <w:sz w:val="20"/>
                <w:szCs w:val="20"/>
                <w:lang w:eastAsia="cs-CZ"/>
              </w:rPr>
            </w:pPr>
            <w:r w:rsidRPr="006359D9">
              <w:rPr>
                <w:rFonts w:asciiTheme="minorHAnsi" w:eastAsia="Times New Roman" w:hAnsiTheme="minorHAnsi" w:cs="Arial"/>
                <w:b/>
                <w:color w:val="FFFFFF" w:themeColor="background1"/>
                <w:sz w:val="20"/>
                <w:szCs w:val="20"/>
                <w:lang w:eastAsia="cs-CZ"/>
              </w:rPr>
              <w:t>POÚ</w:t>
            </w:r>
          </w:p>
        </w:tc>
        <w:tc>
          <w:tcPr>
            <w:tcW w:w="420" w:type="pct"/>
            <w:noWrap/>
            <w:vAlign w:val="center"/>
            <w:hideMark/>
          </w:tcPr>
          <w:p w:rsidR="005F5CD4" w:rsidRPr="006359D9"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FFFFFF" w:themeColor="background1"/>
                <w:sz w:val="20"/>
                <w:szCs w:val="20"/>
                <w:lang w:eastAsia="cs-CZ"/>
              </w:rPr>
            </w:pPr>
            <w:r w:rsidRPr="006359D9">
              <w:rPr>
                <w:rFonts w:asciiTheme="minorHAnsi" w:eastAsia="Times New Roman" w:hAnsiTheme="minorHAnsi" w:cs="Arial"/>
                <w:b/>
                <w:color w:val="FFFFFF" w:themeColor="background1"/>
                <w:sz w:val="20"/>
                <w:szCs w:val="20"/>
                <w:lang w:eastAsia="cs-CZ"/>
              </w:rPr>
              <w:t>ORP</w:t>
            </w:r>
          </w:p>
        </w:tc>
        <w:tc>
          <w:tcPr>
            <w:tcW w:w="441" w:type="pct"/>
            <w:vAlign w:val="center"/>
            <w:hideMark/>
          </w:tcPr>
          <w:p w:rsidR="005F5CD4" w:rsidRPr="006359D9"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FFFFFF" w:themeColor="background1"/>
                <w:sz w:val="20"/>
                <w:szCs w:val="20"/>
                <w:lang w:eastAsia="cs-CZ"/>
              </w:rPr>
            </w:pPr>
            <w:r w:rsidRPr="006359D9">
              <w:rPr>
                <w:rFonts w:asciiTheme="minorHAnsi" w:eastAsia="Times New Roman" w:hAnsiTheme="minorHAnsi" w:cs="Arial"/>
                <w:b/>
                <w:color w:val="FFFFFF" w:themeColor="background1"/>
                <w:sz w:val="20"/>
                <w:szCs w:val="20"/>
                <w:lang w:eastAsia="cs-CZ"/>
              </w:rPr>
              <w:t>Okres</w:t>
            </w:r>
          </w:p>
        </w:tc>
        <w:tc>
          <w:tcPr>
            <w:tcW w:w="494" w:type="pct"/>
            <w:vAlign w:val="center"/>
            <w:hideMark/>
          </w:tcPr>
          <w:p w:rsidR="005F5CD4" w:rsidRPr="006359D9"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FFFFFF" w:themeColor="background1"/>
                <w:sz w:val="20"/>
                <w:szCs w:val="20"/>
                <w:lang w:eastAsia="cs-CZ"/>
              </w:rPr>
            </w:pPr>
            <w:r w:rsidRPr="006359D9">
              <w:rPr>
                <w:rFonts w:asciiTheme="minorHAnsi" w:eastAsia="Times New Roman" w:hAnsiTheme="minorHAnsi" w:cs="Arial"/>
                <w:b/>
                <w:color w:val="FFFFFF" w:themeColor="background1"/>
                <w:sz w:val="20"/>
                <w:szCs w:val="20"/>
                <w:lang w:eastAsia="cs-CZ"/>
              </w:rPr>
              <w:t>Kraj</w:t>
            </w:r>
          </w:p>
        </w:tc>
        <w:tc>
          <w:tcPr>
            <w:tcW w:w="420" w:type="pct"/>
            <w:noWrap/>
            <w:vAlign w:val="center"/>
            <w:hideMark/>
          </w:tcPr>
          <w:p w:rsidR="005F5CD4" w:rsidRPr="006359D9"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FFFFFF" w:themeColor="background1"/>
                <w:sz w:val="20"/>
                <w:szCs w:val="20"/>
                <w:lang w:eastAsia="cs-CZ"/>
              </w:rPr>
            </w:pPr>
            <w:r w:rsidRPr="006359D9">
              <w:rPr>
                <w:rFonts w:asciiTheme="minorHAnsi" w:eastAsia="Times New Roman" w:hAnsiTheme="minorHAnsi" w:cs="Arial"/>
                <w:b/>
                <w:color w:val="FFFFFF" w:themeColor="background1"/>
                <w:sz w:val="20"/>
                <w:szCs w:val="20"/>
                <w:lang w:eastAsia="cs-CZ"/>
              </w:rPr>
              <w:t>POÚ</w:t>
            </w:r>
          </w:p>
        </w:tc>
        <w:tc>
          <w:tcPr>
            <w:tcW w:w="420" w:type="pct"/>
            <w:noWrap/>
            <w:vAlign w:val="center"/>
            <w:hideMark/>
          </w:tcPr>
          <w:p w:rsidR="005F5CD4" w:rsidRPr="006359D9"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FFFFFF" w:themeColor="background1"/>
                <w:sz w:val="20"/>
                <w:szCs w:val="20"/>
                <w:lang w:eastAsia="cs-CZ"/>
              </w:rPr>
            </w:pPr>
            <w:r w:rsidRPr="006359D9">
              <w:rPr>
                <w:rFonts w:asciiTheme="minorHAnsi" w:eastAsia="Times New Roman" w:hAnsiTheme="minorHAnsi" w:cs="Arial"/>
                <w:b/>
                <w:color w:val="FFFFFF" w:themeColor="background1"/>
                <w:sz w:val="20"/>
                <w:szCs w:val="20"/>
                <w:lang w:eastAsia="cs-CZ"/>
              </w:rPr>
              <w:t>ORP</w:t>
            </w:r>
          </w:p>
        </w:tc>
        <w:tc>
          <w:tcPr>
            <w:tcW w:w="441" w:type="pct"/>
            <w:vAlign w:val="center"/>
            <w:hideMark/>
          </w:tcPr>
          <w:p w:rsidR="005F5CD4" w:rsidRPr="006359D9"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FFFFFF" w:themeColor="background1"/>
                <w:sz w:val="20"/>
                <w:szCs w:val="20"/>
                <w:lang w:eastAsia="cs-CZ"/>
              </w:rPr>
            </w:pPr>
            <w:r w:rsidRPr="006359D9">
              <w:rPr>
                <w:rFonts w:asciiTheme="minorHAnsi" w:eastAsia="Times New Roman" w:hAnsiTheme="minorHAnsi" w:cs="Arial"/>
                <w:b/>
                <w:color w:val="FFFFFF" w:themeColor="background1"/>
                <w:sz w:val="20"/>
                <w:szCs w:val="20"/>
                <w:lang w:eastAsia="cs-CZ"/>
              </w:rPr>
              <w:t>Okres</w:t>
            </w:r>
          </w:p>
        </w:tc>
        <w:tc>
          <w:tcPr>
            <w:tcW w:w="432" w:type="pct"/>
            <w:vAlign w:val="center"/>
            <w:hideMark/>
          </w:tcPr>
          <w:p w:rsidR="005F5CD4" w:rsidRPr="006359D9"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FFFFFF" w:themeColor="background1"/>
                <w:sz w:val="20"/>
                <w:szCs w:val="20"/>
                <w:lang w:eastAsia="cs-CZ"/>
              </w:rPr>
            </w:pPr>
            <w:r w:rsidRPr="006359D9">
              <w:rPr>
                <w:rFonts w:asciiTheme="minorHAnsi" w:eastAsia="Times New Roman" w:hAnsiTheme="minorHAnsi" w:cs="Arial"/>
                <w:b/>
                <w:color w:val="FFFFFF" w:themeColor="background1"/>
                <w:sz w:val="20"/>
                <w:szCs w:val="20"/>
                <w:lang w:eastAsia="cs-CZ"/>
              </w:rPr>
              <w:t>Kraj</w:t>
            </w:r>
          </w:p>
        </w:tc>
      </w:tr>
      <w:tr w:rsidR="005F5CD4" w:rsidRPr="006359D9" w:rsidTr="00215D45">
        <w:trPr>
          <w:trHeight w:val="340"/>
        </w:trPr>
        <w:tc>
          <w:tcPr>
            <w:cnfStyle w:val="001000000000" w:firstRow="0" w:lastRow="0" w:firstColumn="1" w:lastColumn="0" w:oddVBand="0" w:evenVBand="0" w:oddHBand="0" w:evenHBand="0" w:firstRowFirstColumn="0" w:firstRowLastColumn="0" w:lastRowFirstColumn="0" w:lastRowLastColumn="0"/>
            <w:tcW w:w="1512" w:type="pct"/>
            <w:vAlign w:val="center"/>
            <w:hideMark/>
          </w:tcPr>
          <w:p w:rsidR="005F5CD4" w:rsidRPr="006359D9" w:rsidRDefault="005F5CD4" w:rsidP="003E4A5D">
            <w:pPr>
              <w:widowControl w:val="0"/>
              <w:spacing w:before="0" w:after="0"/>
              <w:jc w:val="left"/>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Průměr</w:t>
            </w:r>
          </w:p>
        </w:tc>
        <w:tc>
          <w:tcPr>
            <w:tcW w:w="420"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9,06</w:t>
            </w:r>
          </w:p>
        </w:tc>
        <w:tc>
          <w:tcPr>
            <w:tcW w:w="420"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11,93</w:t>
            </w:r>
          </w:p>
        </w:tc>
        <w:tc>
          <w:tcPr>
            <w:tcW w:w="441"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19,42</w:t>
            </w:r>
          </w:p>
        </w:tc>
        <w:tc>
          <w:tcPr>
            <w:tcW w:w="494"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43,03</w:t>
            </w:r>
          </w:p>
        </w:tc>
        <w:tc>
          <w:tcPr>
            <w:tcW w:w="420"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9,34</w:t>
            </w:r>
          </w:p>
        </w:tc>
        <w:tc>
          <w:tcPr>
            <w:tcW w:w="420"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12,18</w:t>
            </w:r>
          </w:p>
        </w:tc>
        <w:tc>
          <w:tcPr>
            <w:tcW w:w="441"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19,32</w:t>
            </w:r>
          </w:p>
        </w:tc>
        <w:tc>
          <w:tcPr>
            <w:tcW w:w="432"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41,05</w:t>
            </w:r>
          </w:p>
        </w:tc>
      </w:tr>
      <w:tr w:rsidR="005F5CD4" w:rsidRPr="006359D9" w:rsidTr="00215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2" w:type="pct"/>
            <w:vAlign w:val="center"/>
            <w:hideMark/>
          </w:tcPr>
          <w:p w:rsidR="005F5CD4" w:rsidRPr="006359D9" w:rsidRDefault="005F5CD4" w:rsidP="003E4A5D">
            <w:pPr>
              <w:widowControl w:val="0"/>
              <w:spacing w:before="0" w:after="0"/>
              <w:jc w:val="left"/>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Medián</w:t>
            </w:r>
          </w:p>
        </w:tc>
        <w:tc>
          <w:tcPr>
            <w:tcW w:w="420"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8,34</w:t>
            </w:r>
          </w:p>
        </w:tc>
        <w:tc>
          <w:tcPr>
            <w:tcW w:w="420"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10,76</w:t>
            </w:r>
          </w:p>
        </w:tc>
        <w:tc>
          <w:tcPr>
            <w:tcW w:w="441"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18,27</w:t>
            </w:r>
          </w:p>
        </w:tc>
        <w:tc>
          <w:tcPr>
            <w:tcW w:w="494"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40,87</w:t>
            </w:r>
          </w:p>
        </w:tc>
        <w:tc>
          <w:tcPr>
            <w:tcW w:w="420"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8,62</w:t>
            </w:r>
          </w:p>
        </w:tc>
        <w:tc>
          <w:tcPr>
            <w:tcW w:w="420"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10,97</w:t>
            </w:r>
          </w:p>
        </w:tc>
        <w:tc>
          <w:tcPr>
            <w:tcW w:w="441"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18,13</w:t>
            </w:r>
          </w:p>
        </w:tc>
        <w:tc>
          <w:tcPr>
            <w:tcW w:w="432"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39,47</w:t>
            </w:r>
          </w:p>
        </w:tc>
      </w:tr>
      <w:tr w:rsidR="005F5CD4" w:rsidRPr="006359D9" w:rsidTr="00215D45">
        <w:trPr>
          <w:trHeight w:val="340"/>
        </w:trPr>
        <w:tc>
          <w:tcPr>
            <w:cnfStyle w:val="001000000000" w:firstRow="0" w:lastRow="0" w:firstColumn="1" w:lastColumn="0" w:oddVBand="0" w:evenVBand="0" w:oddHBand="0" w:evenHBand="0" w:firstRowFirstColumn="0" w:firstRowLastColumn="0" w:lastRowFirstColumn="0" w:lastRowLastColumn="0"/>
            <w:tcW w:w="1512" w:type="pct"/>
            <w:vAlign w:val="center"/>
            <w:hideMark/>
          </w:tcPr>
          <w:p w:rsidR="005F5CD4" w:rsidRPr="006359D9" w:rsidRDefault="005F5CD4" w:rsidP="003E4A5D">
            <w:pPr>
              <w:widowControl w:val="0"/>
              <w:spacing w:before="0" w:after="0"/>
              <w:jc w:val="left"/>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 xml:space="preserve">Dolní </w:t>
            </w:r>
            <w:proofErr w:type="spellStart"/>
            <w:r w:rsidRPr="006359D9">
              <w:rPr>
                <w:rFonts w:asciiTheme="minorHAnsi" w:eastAsia="Times New Roman" w:hAnsiTheme="minorHAnsi" w:cs="Arial"/>
                <w:color w:val="000000"/>
                <w:sz w:val="20"/>
                <w:szCs w:val="20"/>
                <w:lang w:eastAsia="cs-CZ"/>
              </w:rPr>
              <w:t>kvartil</w:t>
            </w:r>
            <w:proofErr w:type="spellEnd"/>
          </w:p>
        </w:tc>
        <w:tc>
          <w:tcPr>
            <w:tcW w:w="420"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5,39</w:t>
            </w:r>
          </w:p>
        </w:tc>
        <w:tc>
          <w:tcPr>
            <w:tcW w:w="420"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7,08</w:t>
            </w:r>
          </w:p>
        </w:tc>
        <w:tc>
          <w:tcPr>
            <w:tcW w:w="441"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11,83</w:t>
            </w:r>
          </w:p>
        </w:tc>
        <w:tc>
          <w:tcPr>
            <w:tcW w:w="494"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27,55</w:t>
            </w:r>
          </w:p>
        </w:tc>
        <w:tc>
          <w:tcPr>
            <w:tcW w:w="420"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5,58</w:t>
            </w:r>
          </w:p>
        </w:tc>
        <w:tc>
          <w:tcPr>
            <w:tcW w:w="420"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7,19</w:t>
            </w:r>
          </w:p>
        </w:tc>
        <w:tc>
          <w:tcPr>
            <w:tcW w:w="441"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11,77</w:t>
            </w:r>
          </w:p>
        </w:tc>
        <w:tc>
          <w:tcPr>
            <w:tcW w:w="432" w:type="pct"/>
            <w:noWrap/>
            <w:vAlign w:val="center"/>
            <w:hideMark/>
          </w:tcPr>
          <w:p w:rsidR="005F5CD4" w:rsidRPr="006359D9"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26,41</w:t>
            </w:r>
          </w:p>
        </w:tc>
      </w:tr>
      <w:tr w:rsidR="005F5CD4" w:rsidRPr="006359D9" w:rsidTr="00215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2" w:type="pct"/>
            <w:vAlign w:val="center"/>
            <w:hideMark/>
          </w:tcPr>
          <w:p w:rsidR="005F5CD4" w:rsidRPr="006359D9" w:rsidRDefault="005F5CD4" w:rsidP="003E4A5D">
            <w:pPr>
              <w:widowControl w:val="0"/>
              <w:spacing w:before="0" w:after="0"/>
              <w:jc w:val="left"/>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 xml:space="preserve">Horní </w:t>
            </w:r>
            <w:proofErr w:type="spellStart"/>
            <w:r w:rsidRPr="006359D9">
              <w:rPr>
                <w:rFonts w:asciiTheme="minorHAnsi" w:eastAsia="Times New Roman" w:hAnsiTheme="minorHAnsi" w:cs="Arial"/>
                <w:color w:val="000000"/>
                <w:sz w:val="20"/>
                <w:szCs w:val="20"/>
                <w:lang w:eastAsia="cs-CZ"/>
              </w:rPr>
              <w:t>kvartil</w:t>
            </w:r>
            <w:proofErr w:type="spellEnd"/>
          </w:p>
        </w:tc>
        <w:tc>
          <w:tcPr>
            <w:tcW w:w="420"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12,04</w:t>
            </w:r>
          </w:p>
        </w:tc>
        <w:tc>
          <w:tcPr>
            <w:tcW w:w="420"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15,65</w:t>
            </w:r>
          </w:p>
        </w:tc>
        <w:tc>
          <w:tcPr>
            <w:tcW w:w="441"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25,84</w:t>
            </w:r>
          </w:p>
        </w:tc>
        <w:tc>
          <w:tcPr>
            <w:tcW w:w="494"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56,64</w:t>
            </w:r>
          </w:p>
        </w:tc>
        <w:tc>
          <w:tcPr>
            <w:tcW w:w="420"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12,43</w:t>
            </w:r>
          </w:p>
        </w:tc>
        <w:tc>
          <w:tcPr>
            <w:tcW w:w="420"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16,11</w:t>
            </w:r>
          </w:p>
        </w:tc>
        <w:tc>
          <w:tcPr>
            <w:tcW w:w="441"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25,57</w:t>
            </w:r>
          </w:p>
        </w:tc>
        <w:tc>
          <w:tcPr>
            <w:tcW w:w="432" w:type="pct"/>
            <w:noWrap/>
            <w:vAlign w:val="center"/>
            <w:hideMark/>
          </w:tcPr>
          <w:p w:rsidR="005F5CD4" w:rsidRPr="006359D9"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cs-CZ"/>
              </w:rPr>
            </w:pPr>
            <w:r w:rsidRPr="006359D9">
              <w:rPr>
                <w:rFonts w:asciiTheme="minorHAnsi" w:eastAsia="Times New Roman" w:hAnsiTheme="minorHAnsi" w:cs="Arial"/>
                <w:color w:val="000000"/>
                <w:sz w:val="20"/>
                <w:szCs w:val="20"/>
                <w:lang w:eastAsia="cs-CZ"/>
              </w:rPr>
              <w:t>53,52</w:t>
            </w:r>
          </w:p>
        </w:tc>
      </w:tr>
    </w:tbl>
    <w:p w:rsidR="006359D9" w:rsidRDefault="006359D9" w:rsidP="003E4A5D">
      <w:pPr>
        <w:pStyle w:val="Citt"/>
      </w:pPr>
      <w:r>
        <w:t>Zdroj: Analýza (2018)</w:t>
      </w:r>
    </w:p>
    <w:p w:rsidR="005F5CD4" w:rsidRDefault="005F5CD4" w:rsidP="003E4A5D">
      <w:pPr>
        <w:widowControl w:val="0"/>
      </w:pPr>
      <w:r>
        <w:t>Rozložení časové dostupnosti v obcích na území ČR dle jednotlivých prostorových úrovní je zřetelné na níže zobrazeném box plotu. Je zde viditelný nárůst doby dojezdu se zvyšující se prostorovou úrovní. Rozdíly mezi dostupností obcí do správních center POÚ a ORP nejsou tak výrazné jako u vyšších prostorových úrovní okresů a krajů.</w:t>
      </w:r>
    </w:p>
    <w:p w:rsidR="006359D9" w:rsidRDefault="006359D9" w:rsidP="003E4A5D">
      <w:pPr>
        <w:pStyle w:val="Titulek"/>
      </w:pPr>
      <w:r>
        <w:t xml:space="preserve">Obrázek </w:t>
      </w:r>
      <w:r w:rsidR="00AB65E9">
        <w:rPr>
          <w:noProof/>
        </w:rPr>
        <w:fldChar w:fldCharType="begin"/>
      </w:r>
      <w:r w:rsidR="00D24CDE">
        <w:rPr>
          <w:noProof/>
        </w:rPr>
        <w:instrText xml:space="preserve"> SEQ Obrázek \* ARABIC </w:instrText>
      </w:r>
      <w:r w:rsidR="00AB65E9">
        <w:rPr>
          <w:noProof/>
        </w:rPr>
        <w:fldChar w:fldCharType="separate"/>
      </w:r>
      <w:r w:rsidR="00263A1B">
        <w:rPr>
          <w:noProof/>
        </w:rPr>
        <w:t>17</w:t>
      </w:r>
      <w:r w:rsidR="00AB65E9">
        <w:rPr>
          <w:noProof/>
        </w:rPr>
        <w:fldChar w:fldCharType="end"/>
      </w:r>
      <w:r>
        <w:t xml:space="preserve">: </w:t>
      </w:r>
      <w:r w:rsidRPr="006359D9">
        <w:t>Box – plot distribuce doby dojezdu z obcí do správních center/ okresů (v min)</w:t>
      </w:r>
      <w:r w:rsidR="008752B8">
        <w:t xml:space="preserve"> </w:t>
      </w:r>
    </w:p>
    <w:p w:rsidR="005F5CD4" w:rsidRDefault="005F5CD4" w:rsidP="003E4A5D">
      <w:pPr>
        <w:widowControl w:val="0"/>
        <w:autoSpaceDE w:val="0"/>
        <w:autoSpaceDN w:val="0"/>
        <w:adjustRightInd w:val="0"/>
        <w:spacing w:after="0"/>
        <w:jc w:val="left"/>
        <w:rPr>
          <w:rFonts w:ascii="Times New Roman" w:eastAsiaTheme="minorHAnsi" w:hAnsi="Times New Roman"/>
          <w:szCs w:val="24"/>
        </w:rPr>
      </w:pPr>
      <w:r>
        <w:rPr>
          <w:rFonts w:ascii="Times New Roman" w:eastAsiaTheme="minorHAnsi" w:hAnsi="Times New Roman"/>
          <w:noProof/>
          <w:szCs w:val="24"/>
          <w:lang w:eastAsia="cs-CZ"/>
        </w:rPr>
        <w:drawing>
          <wp:inline distT="0" distB="0" distL="0" distR="0" wp14:anchorId="5D9B1030" wp14:editId="20C8EA90">
            <wp:extent cx="5746750" cy="33020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1"/>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52396" cy="3305244"/>
                    </a:xfrm>
                    <a:prstGeom prst="rect">
                      <a:avLst/>
                    </a:prstGeom>
                    <a:noFill/>
                    <a:ln>
                      <a:noFill/>
                    </a:ln>
                  </pic:spPr>
                </pic:pic>
              </a:graphicData>
            </a:graphic>
          </wp:inline>
        </w:drawing>
      </w:r>
    </w:p>
    <w:p w:rsidR="006359D9" w:rsidRPr="006359D9" w:rsidRDefault="006359D9" w:rsidP="003E4A5D">
      <w:pPr>
        <w:pStyle w:val="Zdroj"/>
        <w:widowControl w:val="0"/>
        <w:spacing w:after="0" w:line="240" w:lineRule="auto"/>
        <w:rPr>
          <w:rFonts w:ascii="Garamond" w:hAnsi="Garamond"/>
          <w:i/>
          <w:iCs/>
          <w:color w:val="000000"/>
          <w:sz w:val="22"/>
          <w:szCs w:val="20"/>
        </w:rPr>
      </w:pPr>
      <w:r w:rsidRPr="006359D9">
        <w:rPr>
          <w:rFonts w:ascii="Garamond" w:hAnsi="Garamond"/>
          <w:i/>
          <w:iCs/>
          <w:color w:val="000000"/>
          <w:sz w:val="22"/>
          <w:szCs w:val="20"/>
        </w:rPr>
        <w:t>Zdroj: Analýza (2018)</w:t>
      </w:r>
    </w:p>
    <w:p w:rsidR="005F5CD4" w:rsidRPr="006359D9" w:rsidRDefault="005F5CD4" w:rsidP="003E4A5D">
      <w:pPr>
        <w:pStyle w:val="Zdroj"/>
        <w:widowControl w:val="0"/>
        <w:rPr>
          <w:rFonts w:ascii="Garamond" w:hAnsi="Garamond"/>
          <w:i/>
          <w:iCs/>
          <w:color w:val="000000"/>
          <w:sz w:val="22"/>
          <w:szCs w:val="20"/>
        </w:rPr>
      </w:pPr>
      <w:r w:rsidRPr="006359D9">
        <w:rPr>
          <w:rFonts w:ascii="Garamond" w:hAnsi="Garamond"/>
          <w:i/>
          <w:iCs/>
          <w:color w:val="000000"/>
          <w:sz w:val="22"/>
          <w:szCs w:val="20"/>
        </w:rPr>
        <w:t>Pozn.: Přerušované čáry ukazují vymezení doby dojezdu po 60 minutách.</w:t>
      </w:r>
    </w:p>
    <w:p w:rsidR="006359D9" w:rsidRDefault="005F5CD4" w:rsidP="003E4A5D">
      <w:pPr>
        <w:pStyle w:val="Text-Normaln"/>
        <w:widowControl w:val="0"/>
      </w:pPr>
      <w:r>
        <w:t xml:space="preserve">Při posuzování rozmístění veřejné správy v území je potřebné posoudit také dostupnost úřadů veřejnou hromadnou dopravou, a to z důvodu, aby nedocházelo k znevýhodňování obyvatel, kteří nevlastní osobní automobil. </w:t>
      </w:r>
    </w:p>
    <w:p w:rsidR="005F5CD4" w:rsidRDefault="005F5CD4" w:rsidP="003E4A5D">
      <w:pPr>
        <w:pStyle w:val="Text-Normaln"/>
        <w:widowControl w:val="0"/>
        <w:rPr>
          <w:lang w:eastAsia="cs-CZ"/>
        </w:rPr>
      </w:pPr>
      <w:r>
        <w:rPr>
          <w:lang w:eastAsia="cs-CZ"/>
        </w:rPr>
        <w:t>Na základě analýzy výše uvedených ukazatelů na 4 prostorových</w:t>
      </w:r>
      <w:r w:rsidR="00F53BF4">
        <w:rPr>
          <w:lang w:eastAsia="cs-CZ"/>
        </w:rPr>
        <w:t xml:space="preserve"> úrovních vyplývá, že do obce s </w:t>
      </w:r>
      <w:r>
        <w:rPr>
          <w:lang w:eastAsia="cs-CZ"/>
        </w:rPr>
        <w:t>POÚ trvá dojezd průměrně 19,43 min</w:t>
      </w:r>
      <w:r w:rsidR="00E37CD4">
        <w:rPr>
          <w:lang w:eastAsia="cs-CZ"/>
        </w:rPr>
        <w:t>.</w:t>
      </w:r>
      <w:r>
        <w:rPr>
          <w:lang w:eastAsia="cs-CZ"/>
        </w:rPr>
        <w:t xml:space="preserve"> (při průměrné vzdálenosti</w:t>
      </w:r>
      <w:r w:rsidR="00F53BF4">
        <w:rPr>
          <w:lang w:eastAsia="cs-CZ"/>
        </w:rPr>
        <w:t>, kterou spoj urazí 9,2 km), do </w:t>
      </w:r>
      <w:r>
        <w:rPr>
          <w:lang w:eastAsia="cs-CZ"/>
        </w:rPr>
        <w:t>ORP 25,61 min</w:t>
      </w:r>
      <w:r w:rsidR="00E37CD4">
        <w:rPr>
          <w:lang w:eastAsia="cs-CZ"/>
        </w:rPr>
        <w:t>.</w:t>
      </w:r>
      <w:r>
        <w:rPr>
          <w:lang w:eastAsia="cs-CZ"/>
        </w:rPr>
        <w:t xml:space="preserve"> (12,44 km), do okresního města 39,19 min</w:t>
      </w:r>
      <w:r w:rsidR="00E37CD4">
        <w:rPr>
          <w:lang w:eastAsia="cs-CZ"/>
        </w:rPr>
        <w:t>.</w:t>
      </w:r>
      <w:r>
        <w:rPr>
          <w:lang w:eastAsia="cs-CZ"/>
        </w:rPr>
        <w:t xml:space="preserve"> (20,22 km) a do krajského města 71,03 min</w:t>
      </w:r>
      <w:r w:rsidR="00E37CD4">
        <w:rPr>
          <w:lang w:eastAsia="cs-CZ"/>
        </w:rPr>
        <w:t>.</w:t>
      </w:r>
      <w:r>
        <w:rPr>
          <w:lang w:eastAsia="cs-CZ"/>
        </w:rPr>
        <w:t xml:space="preserve"> (44,22 km). Průměrný počet spojení do správních center/okresů se pohybuje v rozmezí 6,9 až 8,41 spojů, přičemž roste s významností centra. Stejně tak jako počet přestupů, kdy je do obcí s POÚ podíl spojů bez přestupů 91,67 %, do ORP 85,37 %, do okresního města 66,57 % a do krajského města 34,14 %. </w:t>
      </w:r>
      <w:r w:rsidR="006359D9">
        <w:rPr>
          <w:lang w:eastAsia="cs-CZ"/>
        </w:rPr>
        <w:t>(pozn. autora – metodologie výpočtu je detailně popsána v Analýze (2018))</w:t>
      </w:r>
      <w:r>
        <w:rPr>
          <w:lang w:eastAsia="cs-CZ"/>
        </w:rPr>
        <w:t>.</w:t>
      </w:r>
    </w:p>
    <w:p w:rsidR="00701B77" w:rsidRDefault="00701B77" w:rsidP="003E4A5D">
      <w:pPr>
        <w:pStyle w:val="Titulek"/>
      </w:pPr>
    </w:p>
    <w:p w:rsidR="004A716B" w:rsidRDefault="004A716B" w:rsidP="003E4A5D">
      <w:pPr>
        <w:pStyle w:val="Titulek"/>
      </w:pPr>
      <w:r>
        <w:lastRenderedPageBreak/>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21</w:t>
      </w:r>
      <w:r w:rsidR="00AB65E9">
        <w:rPr>
          <w:noProof/>
        </w:rPr>
        <w:fldChar w:fldCharType="end"/>
      </w:r>
      <w:r>
        <w:t>: Základní charakteristiky spojení do center/okresů veřejnou hromadnou dopravou</w:t>
      </w:r>
    </w:p>
    <w:tbl>
      <w:tblPr>
        <w:tblStyle w:val="Tabulkaseznamu21"/>
        <w:tblW w:w="4885" w:type="pct"/>
        <w:tblInd w:w="108" w:type="dxa"/>
        <w:tblLook w:val="04A0" w:firstRow="1" w:lastRow="0" w:firstColumn="1" w:lastColumn="0" w:noHBand="0" w:noVBand="1"/>
      </w:tblPr>
      <w:tblGrid>
        <w:gridCol w:w="2688"/>
        <w:gridCol w:w="2564"/>
        <w:gridCol w:w="955"/>
        <w:gridCol w:w="955"/>
        <w:gridCol w:w="955"/>
        <w:gridCol w:w="955"/>
      </w:tblGrid>
      <w:tr w:rsidR="005F5CD4" w:rsidTr="00533FC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5F5CD4" w:rsidRPr="006359D9" w:rsidRDefault="005F5CD4" w:rsidP="003E4A5D">
            <w:pPr>
              <w:widowControl w:val="0"/>
              <w:spacing w:before="0" w:after="0"/>
              <w:jc w:val="left"/>
              <w:rPr>
                <w:rFonts w:asciiTheme="minorHAnsi" w:eastAsia="Times New Roman" w:hAnsiTheme="minorHAnsi"/>
                <w:bCs w:val="0"/>
                <w:sz w:val="18"/>
                <w:szCs w:val="18"/>
                <w:lang w:eastAsia="cs-CZ"/>
              </w:rPr>
            </w:pPr>
            <w:r w:rsidRPr="006359D9">
              <w:rPr>
                <w:rFonts w:asciiTheme="minorHAnsi" w:eastAsia="Times New Roman" w:hAnsiTheme="minorHAnsi"/>
                <w:bCs w:val="0"/>
                <w:sz w:val="18"/>
                <w:szCs w:val="18"/>
                <w:lang w:eastAsia="cs-CZ"/>
              </w:rPr>
              <w:t>Ukazatel</w:t>
            </w:r>
          </w:p>
        </w:tc>
        <w:tc>
          <w:tcPr>
            <w:tcW w:w="2435" w:type="dxa"/>
            <w:noWrap/>
            <w:vAlign w:val="center"/>
            <w:hideMark/>
          </w:tcPr>
          <w:p w:rsidR="005F5CD4" w:rsidRPr="006359D9" w:rsidRDefault="005F5CD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sz w:val="18"/>
                <w:szCs w:val="18"/>
                <w:lang w:eastAsia="cs-CZ"/>
              </w:rPr>
            </w:pPr>
            <w:r w:rsidRPr="006359D9">
              <w:rPr>
                <w:rFonts w:asciiTheme="minorHAnsi" w:eastAsia="Times New Roman" w:hAnsiTheme="minorHAnsi"/>
                <w:bCs w:val="0"/>
                <w:sz w:val="18"/>
                <w:szCs w:val="18"/>
                <w:lang w:eastAsia="cs-CZ"/>
              </w:rPr>
              <w:t>Statistická charakteristika</w:t>
            </w:r>
          </w:p>
        </w:tc>
        <w:tc>
          <w:tcPr>
            <w:tcW w:w="907" w:type="dxa"/>
            <w:vAlign w:val="center"/>
            <w:hideMark/>
          </w:tcPr>
          <w:p w:rsidR="005F5CD4" w:rsidRPr="006359D9" w:rsidRDefault="005F5CD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sz w:val="18"/>
                <w:szCs w:val="18"/>
                <w:lang w:eastAsia="cs-CZ"/>
              </w:rPr>
            </w:pPr>
            <w:r w:rsidRPr="006359D9">
              <w:rPr>
                <w:rFonts w:asciiTheme="minorHAnsi" w:eastAsia="Times New Roman" w:hAnsiTheme="minorHAnsi"/>
                <w:bCs w:val="0"/>
                <w:sz w:val="18"/>
                <w:szCs w:val="18"/>
                <w:lang w:eastAsia="cs-CZ"/>
              </w:rPr>
              <w:t>POÚ</w:t>
            </w:r>
          </w:p>
        </w:tc>
        <w:tc>
          <w:tcPr>
            <w:tcW w:w="907" w:type="dxa"/>
            <w:vAlign w:val="center"/>
            <w:hideMark/>
          </w:tcPr>
          <w:p w:rsidR="005F5CD4" w:rsidRPr="006359D9" w:rsidRDefault="005F5CD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sz w:val="18"/>
                <w:szCs w:val="18"/>
                <w:lang w:eastAsia="cs-CZ"/>
              </w:rPr>
            </w:pPr>
            <w:r w:rsidRPr="006359D9">
              <w:rPr>
                <w:rFonts w:asciiTheme="minorHAnsi" w:eastAsia="Times New Roman" w:hAnsiTheme="minorHAnsi"/>
                <w:bCs w:val="0"/>
                <w:sz w:val="18"/>
                <w:szCs w:val="18"/>
                <w:lang w:eastAsia="cs-CZ"/>
              </w:rPr>
              <w:t>ORP</w:t>
            </w:r>
          </w:p>
        </w:tc>
        <w:tc>
          <w:tcPr>
            <w:tcW w:w="907" w:type="dxa"/>
            <w:vAlign w:val="center"/>
            <w:hideMark/>
          </w:tcPr>
          <w:p w:rsidR="005F5CD4" w:rsidRPr="006359D9" w:rsidRDefault="005F5CD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sz w:val="18"/>
                <w:szCs w:val="18"/>
                <w:lang w:eastAsia="cs-CZ"/>
              </w:rPr>
            </w:pPr>
            <w:r w:rsidRPr="006359D9">
              <w:rPr>
                <w:rFonts w:asciiTheme="minorHAnsi" w:eastAsia="Times New Roman" w:hAnsiTheme="minorHAnsi"/>
                <w:bCs w:val="0"/>
                <w:sz w:val="18"/>
                <w:szCs w:val="18"/>
                <w:lang w:eastAsia="cs-CZ"/>
              </w:rPr>
              <w:t>Okres</w:t>
            </w:r>
          </w:p>
        </w:tc>
        <w:tc>
          <w:tcPr>
            <w:tcW w:w="907" w:type="dxa"/>
            <w:vAlign w:val="center"/>
            <w:hideMark/>
          </w:tcPr>
          <w:p w:rsidR="005F5CD4" w:rsidRPr="006359D9" w:rsidRDefault="005F5CD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sz w:val="18"/>
                <w:szCs w:val="18"/>
                <w:lang w:eastAsia="cs-CZ"/>
              </w:rPr>
            </w:pPr>
            <w:r w:rsidRPr="006359D9">
              <w:rPr>
                <w:rFonts w:asciiTheme="minorHAnsi" w:eastAsia="Times New Roman" w:hAnsiTheme="minorHAnsi"/>
                <w:bCs w:val="0"/>
                <w:sz w:val="18"/>
                <w:szCs w:val="18"/>
                <w:lang w:eastAsia="cs-CZ"/>
              </w:rPr>
              <w:t>Kraj</w:t>
            </w:r>
          </w:p>
        </w:tc>
      </w:tr>
      <w:tr w:rsidR="005F5CD4" w:rsidTr="00533FC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Doba dojezdu na 8 hod. (v min)</w:t>
            </w:r>
          </w:p>
        </w:tc>
        <w:tc>
          <w:tcPr>
            <w:tcW w:w="2435" w:type="dxa"/>
            <w:vAlign w:val="center"/>
            <w:hideMark/>
          </w:tcPr>
          <w:p w:rsidR="005F5CD4" w:rsidRDefault="005F5CD4"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Průměr</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19,43</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25,61</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39,19</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71,03</w:t>
            </w:r>
          </w:p>
        </w:tc>
      </w:tr>
      <w:tr w:rsidR="005F5CD4" w:rsidTr="00533FC0">
        <w:trPr>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Medián</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16,00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22,00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35,00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68,00</w:t>
            </w:r>
          </w:p>
        </w:tc>
      </w:tr>
      <w:tr w:rsidR="005F5CD4" w:rsidTr="00533FC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 xml:space="preserve">Dolní </w:t>
            </w:r>
            <w:proofErr w:type="spellStart"/>
            <w:r>
              <w:rPr>
                <w:rFonts w:asciiTheme="minorHAnsi" w:eastAsia="Times New Roman" w:hAnsiTheme="minorHAnsi"/>
                <w:color w:val="000000"/>
                <w:sz w:val="18"/>
                <w:szCs w:val="18"/>
                <w:lang w:eastAsia="cs-CZ"/>
              </w:rPr>
              <w:t>kvartil</w:t>
            </w:r>
            <w:proofErr w:type="spellEnd"/>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9,00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13,00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21,00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44,00</w:t>
            </w:r>
          </w:p>
        </w:tc>
      </w:tr>
      <w:tr w:rsidR="005F5CD4" w:rsidTr="00533FC0">
        <w:trPr>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 xml:space="preserve">Horní </w:t>
            </w:r>
            <w:proofErr w:type="spellStart"/>
            <w:r>
              <w:rPr>
                <w:rFonts w:asciiTheme="minorHAnsi" w:eastAsia="Times New Roman" w:hAnsiTheme="minorHAnsi"/>
                <w:color w:val="000000"/>
                <w:sz w:val="18"/>
                <w:szCs w:val="18"/>
                <w:lang w:eastAsia="cs-CZ"/>
              </w:rPr>
              <w:t>kvartil</w:t>
            </w:r>
            <w:proofErr w:type="spellEnd"/>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27,00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35,00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53,00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94,00</w:t>
            </w:r>
          </w:p>
        </w:tc>
      </w:tr>
      <w:tr w:rsidR="005F5CD4" w:rsidTr="00533FC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Délka spojení (km)</w:t>
            </w:r>
          </w:p>
        </w:tc>
        <w:tc>
          <w:tcPr>
            <w:tcW w:w="2435" w:type="dxa"/>
            <w:vAlign w:val="center"/>
            <w:hideMark/>
          </w:tcPr>
          <w:p w:rsidR="005F5CD4" w:rsidRDefault="005F5CD4"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Průměr</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9,20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12,44</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20,22</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44,22</w:t>
            </w:r>
          </w:p>
        </w:tc>
      </w:tr>
      <w:tr w:rsidR="005F5CD4" w:rsidTr="00533FC0">
        <w:trPr>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Medián</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8,00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11,00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18,00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42,00</w:t>
            </w:r>
          </w:p>
        </w:tc>
      </w:tr>
      <w:tr w:rsidR="005F5CD4" w:rsidTr="00533FC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 xml:space="preserve">Dolní </w:t>
            </w:r>
            <w:proofErr w:type="spellStart"/>
            <w:r>
              <w:rPr>
                <w:rFonts w:asciiTheme="minorHAnsi" w:eastAsia="Times New Roman" w:hAnsiTheme="minorHAnsi"/>
                <w:color w:val="000000"/>
                <w:sz w:val="18"/>
                <w:szCs w:val="18"/>
                <w:lang w:eastAsia="cs-CZ"/>
              </w:rPr>
              <w:t>kvartil</w:t>
            </w:r>
            <w:proofErr w:type="spellEnd"/>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5,00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7,00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11,00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27,00</w:t>
            </w:r>
          </w:p>
        </w:tc>
      </w:tr>
      <w:tr w:rsidR="005F5CD4" w:rsidTr="00533FC0">
        <w:trPr>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 xml:space="preserve">Horní </w:t>
            </w:r>
            <w:proofErr w:type="spellStart"/>
            <w:r>
              <w:rPr>
                <w:rFonts w:asciiTheme="minorHAnsi" w:eastAsia="Times New Roman" w:hAnsiTheme="minorHAnsi"/>
                <w:color w:val="000000"/>
                <w:sz w:val="18"/>
                <w:szCs w:val="18"/>
                <w:lang w:eastAsia="cs-CZ"/>
              </w:rPr>
              <w:t>kvartil</w:t>
            </w:r>
            <w:proofErr w:type="spellEnd"/>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13,00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17,00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28,00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60,00</w:t>
            </w:r>
          </w:p>
        </w:tc>
      </w:tr>
      <w:tr w:rsidR="005F5CD4" w:rsidTr="00533FC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Počet spojení na 8 až 15 hod.</w:t>
            </w:r>
          </w:p>
        </w:tc>
        <w:tc>
          <w:tcPr>
            <w:tcW w:w="2435" w:type="dxa"/>
            <w:vAlign w:val="center"/>
            <w:hideMark/>
          </w:tcPr>
          <w:p w:rsidR="005F5CD4" w:rsidRDefault="005F5CD4"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Průměr</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6,90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7,42</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7,98</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8,41</w:t>
            </w:r>
          </w:p>
        </w:tc>
      </w:tr>
      <w:tr w:rsidR="005F5CD4" w:rsidTr="00533FC0">
        <w:trPr>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Medián</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5,00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5,00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6,00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7,00</w:t>
            </w:r>
          </w:p>
        </w:tc>
      </w:tr>
      <w:tr w:rsidR="005F5CD4" w:rsidTr="00533FC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 xml:space="preserve">Dolní </w:t>
            </w:r>
            <w:proofErr w:type="spellStart"/>
            <w:r>
              <w:rPr>
                <w:rFonts w:asciiTheme="minorHAnsi" w:eastAsia="Times New Roman" w:hAnsiTheme="minorHAnsi"/>
                <w:color w:val="000000"/>
                <w:sz w:val="18"/>
                <w:szCs w:val="18"/>
                <w:lang w:eastAsia="cs-CZ"/>
              </w:rPr>
              <w:t>kvartil</w:t>
            </w:r>
            <w:proofErr w:type="spellEnd"/>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3,00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3,00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4,00</w:t>
            </w:r>
          </w:p>
        </w:tc>
        <w:tc>
          <w:tcPr>
            <w:tcW w:w="907"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4,00</w:t>
            </w:r>
          </w:p>
        </w:tc>
      </w:tr>
      <w:tr w:rsidR="005F5CD4" w:rsidTr="00533FC0">
        <w:trPr>
          <w:trHeight w:val="283"/>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5F5CD4" w:rsidRDefault="005F5CD4" w:rsidP="003E4A5D">
            <w:pPr>
              <w:widowControl w:val="0"/>
              <w:spacing w:before="0" w:after="0"/>
              <w:jc w:val="left"/>
              <w:rPr>
                <w:rFonts w:asciiTheme="minorHAnsi" w:eastAsia="Times New Roman" w:hAnsiTheme="minorHAnsi"/>
                <w:color w:val="000000"/>
                <w:sz w:val="18"/>
                <w:szCs w:val="18"/>
                <w:lang w:eastAsia="cs-CZ"/>
              </w:rPr>
            </w:pPr>
          </w:p>
        </w:tc>
        <w:tc>
          <w:tcPr>
            <w:tcW w:w="2435" w:type="dxa"/>
            <w:vAlign w:val="center"/>
            <w:hideMark/>
          </w:tcPr>
          <w:p w:rsidR="005F5CD4" w:rsidRDefault="005F5CD4"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 xml:space="preserve">Horní </w:t>
            </w:r>
            <w:proofErr w:type="spellStart"/>
            <w:r>
              <w:rPr>
                <w:rFonts w:asciiTheme="minorHAnsi" w:eastAsia="Times New Roman" w:hAnsiTheme="minorHAnsi"/>
                <w:color w:val="000000"/>
                <w:sz w:val="18"/>
                <w:szCs w:val="18"/>
                <w:lang w:eastAsia="cs-CZ"/>
              </w:rPr>
              <w:t>kvartil</w:t>
            </w:r>
            <w:proofErr w:type="spellEnd"/>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9,00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9,00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10,00</w:t>
            </w:r>
          </w:p>
        </w:tc>
        <w:tc>
          <w:tcPr>
            <w:tcW w:w="907"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eastAsia="cs-CZ"/>
              </w:rPr>
            </w:pPr>
            <w:r>
              <w:rPr>
                <w:rFonts w:asciiTheme="minorHAnsi" w:eastAsia="Times New Roman" w:hAnsiTheme="minorHAnsi"/>
                <w:color w:val="000000"/>
                <w:sz w:val="18"/>
                <w:szCs w:val="18"/>
                <w:lang w:eastAsia="cs-CZ"/>
              </w:rPr>
              <w:t>10,00</w:t>
            </w:r>
          </w:p>
        </w:tc>
      </w:tr>
    </w:tbl>
    <w:p w:rsidR="006359D9" w:rsidRPr="006359D9" w:rsidRDefault="006359D9" w:rsidP="003E4A5D">
      <w:pPr>
        <w:pStyle w:val="Zdroj"/>
        <w:widowControl w:val="0"/>
        <w:spacing w:after="0" w:line="240" w:lineRule="auto"/>
        <w:rPr>
          <w:rFonts w:ascii="Garamond" w:hAnsi="Garamond"/>
          <w:i/>
          <w:iCs/>
          <w:color w:val="000000"/>
          <w:sz w:val="22"/>
          <w:szCs w:val="20"/>
        </w:rPr>
      </w:pPr>
      <w:bookmarkStart w:id="52" w:name="_Toc532367183"/>
      <w:r w:rsidRPr="006359D9">
        <w:rPr>
          <w:rFonts w:ascii="Garamond" w:hAnsi="Garamond"/>
          <w:i/>
          <w:iCs/>
          <w:color w:val="000000"/>
          <w:sz w:val="22"/>
          <w:szCs w:val="20"/>
        </w:rPr>
        <w:t>Zdroj: Analýza (2018)</w:t>
      </w:r>
    </w:p>
    <w:bookmarkEnd w:id="52"/>
    <w:p w:rsidR="004A716B" w:rsidRDefault="004A716B" w:rsidP="003E4A5D">
      <w:pPr>
        <w:pStyle w:val="Titulek"/>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22</w:t>
      </w:r>
      <w:r w:rsidR="00AB65E9">
        <w:rPr>
          <w:noProof/>
        </w:rPr>
        <w:fldChar w:fldCharType="end"/>
      </w:r>
      <w:r>
        <w:t xml:space="preserve">: Podíl spojů podle počtu přestupů </w:t>
      </w:r>
    </w:p>
    <w:tbl>
      <w:tblPr>
        <w:tblStyle w:val="Tabulkaseznamu21"/>
        <w:tblW w:w="9072" w:type="dxa"/>
        <w:tblInd w:w="108" w:type="dxa"/>
        <w:tblLayout w:type="fixed"/>
        <w:tblLook w:val="04A0" w:firstRow="1" w:lastRow="0" w:firstColumn="1" w:lastColumn="0" w:noHBand="0" w:noVBand="1"/>
      </w:tblPr>
      <w:tblGrid>
        <w:gridCol w:w="4145"/>
        <w:gridCol w:w="1205"/>
        <w:gridCol w:w="1205"/>
        <w:gridCol w:w="1205"/>
        <w:gridCol w:w="1312"/>
      </w:tblGrid>
      <w:tr w:rsidR="005F5CD4" w:rsidTr="00215D4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45" w:type="dxa"/>
            <w:vAlign w:val="center"/>
            <w:hideMark/>
          </w:tcPr>
          <w:p w:rsidR="005F5CD4" w:rsidRDefault="005F5CD4" w:rsidP="003E4A5D">
            <w:pPr>
              <w:widowControl w:val="0"/>
              <w:spacing w:before="0" w:after="0"/>
              <w:jc w:val="center"/>
              <w:rPr>
                <w:rFonts w:ascii="Calibri" w:eastAsia="Times New Roman" w:hAnsi="Calibri"/>
                <w:b w:val="0"/>
                <w:bCs w:val="0"/>
                <w:color w:val="FFFFFF" w:themeColor="background1"/>
                <w:sz w:val="18"/>
                <w:szCs w:val="18"/>
                <w:lang w:eastAsia="cs-CZ"/>
              </w:rPr>
            </w:pPr>
            <w:r>
              <w:rPr>
                <w:rFonts w:ascii="Calibri" w:eastAsia="Times New Roman" w:hAnsi="Calibri"/>
                <w:b w:val="0"/>
                <w:bCs w:val="0"/>
                <w:color w:val="FFFFFF" w:themeColor="background1"/>
                <w:sz w:val="18"/>
                <w:szCs w:val="18"/>
                <w:lang w:eastAsia="cs-CZ"/>
              </w:rPr>
              <w:t>Počet přestupů při spojení na 8:00</w:t>
            </w:r>
          </w:p>
        </w:tc>
        <w:tc>
          <w:tcPr>
            <w:tcW w:w="4927" w:type="dxa"/>
            <w:gridSpan w:val="4"/>
            <w:noWrap/>
            <w:vAlign w:val="center"/>
            <w:hideMark/>
          </w:tcPr>
          <w:p w:rsidR="005F5CD4" w:rsidRDefault="005F5CD4"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FFFFFF" w:themeColor="background1"/>
                <w:sz w:val="18"/>
                <w:szCs w:val="18"/>
                <w:lang w:eastAsia="cs-CZ"/>
              </w:rPr>
            </w:pPr>
            <w:r>
              <w:rPr>
                <w:rFonts w:ascii="Calibri" w:eastAsia="Times New Roman" w:hAnsi="Calibri"/>
                <w:b w:val="0"/>
                <w:bCs w:val="0"/>
                <w:color w:val="FFFFFF" w:themeColor="background1"/>
                <w:sz w:val="18"/>
                <w:szCs w:val="18"/>
                <w:lang w:eastAsia="cs-CZ"/>
              </w:rPr>
              <w:t>Podíl spojů na 8 hod.</w:t>
            </w:r>
          </w:p>
        </w:tc>
      </w:tr>
      <w:tr w:rsidR="005F5CD4" w:rsidTr="00215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45" w:type="dxa"/>
            <w:shd w:val="clear" w:color="auto" w:fill="D9D9D9" w:themeFill="background1" w:themeFillShade="D9"/>
            <w:vAlign w:val="center"/>
            <w:hideMark/>
          </w:tcPr>
          <w:p w:rsidR="005F5CD4" w:rsidRPr="000E31E3" w:rsidRDefault="005F5CD4" w:rsidP="003E4A5D">
            <w:pPr>
              <w:widowControl w:val="0"/>
              <w:spacing w:before="0" w:after="0"/>
              <w:jc w:val="left"/>
              <w:rPr>
                <w:rFonts w:ascii="Calibri" w:eastAsia="Times New Roman" w:hAnsi="Calibri"/>
                <w:b w:val="0"/>
                <w:bCs w:val="0"/>
                <w:sz w:val="18"/>
                <w:szCs w:val="18"/>
                <w:lang w:eastAsia="cs-CZ"/>
              </w:rPr>
            </w:pPr>
          </w:p>
        </w:tc>
        <w:tc>
          <w:tcPr>
            <w:tcW w:w="1205" w:type="dxa"/>
            <w:shd w:val="clear" w:color="auto" w:fill="D9D9D9" w:themeFill="background1" w:themeFillShade="D9"/>
            <w:vAlign w:val="center"/>
            <w:hideMark/>
          </w:tcPr>
          <w:p w:rsidR="005F5CD4" w:rsidRPr="000E31E3"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18"/>
                <w:szCs w:val="18"/>
                <w:lang w:eastAsia="cs-CZ"/>
              </w:rPr>
            </w:pPr>
            <w:r w:rsidRPr="000E31E3">
              <w:rPr>
                <w:rFonts w:ascii="Calibri" w:eastAsia="Times New Roman" w:hAnsi="Calibri"/>
                <w:b/>
                <w:bCs/>
                <w:sz w:val="18"/>
                <w:szCs w:val="18"/>
                <w:lang w:eastAsia="cs-CZ"/>
              </w:rPr>
              <w:t>POÚ</w:t>
            </w:r>
          </w:p>
        </w:tc>
        <w:tc>
          <w:tcPr>
            <w:tcW w:w="1205" w:type="dxa"/>
            <w:shd w:val="clear" w:color="auto" w:fill="D9D9D9" w:themeFill="background1" w:themeFillShade="D9"/>
            <w:vAlign w:val="center"/>
            <w:hideMark/>
          </w:tcPr>
          <w:p w:rsidR="005F5CD4" w:rsidRPr="000E31E3"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18"/>
                <w:szCs w:val="18"/>
                <w:lang w:eastAsia="cs-CZ"/>
              </w:rPr>
            </w:pPr>
            <w:r w:rsidRPr="000E31E3">
              <w:rPr>
                <w:rFonts w:ascii="Calibri" w:eastAsia="Times New Roman" w:hAnsi="Calibri"/>
                <w:b/>
                <w:bCs/>
                <w:sz w:val="18"/>
                <w:szCs w:val="18"/>
                <w:lang w:eastAsia="cs-CZ"/>
              </w:rPr>
              <w:t>ORP</w:t>
            </w:r>
          </w:p>
        </w:tc>
        <w:tc>
          <w:tcPr>
            <w:tcW w:w="1205" w:type="dxa"/>
            <w:shd w:val="clear" w:color="auto" w:fill="D9D9D9" w:themeFill="background1" w:themeFillShade="D9"/>
            <w:vAlign w:val="center"/>
            <w:hideMark/>
          </w:tcPr>
          <w:p w:rsidR="005F5CD4" w:rsidRPr="000E31E3"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18"/>
                <w:szCs w:val="18"/>
                <w:lang w:eastAsia="cs-CZ"/>
              </w:rPr>
            </w:pPr>
            <w:r w:rsidRPr="000E31E3">
              <w:rPr>
                <w:rFonts w:ascii="Calibri" w:eastAsia="Times New Roman" w:hAnsi="Calibri"/>
                <w:b/>
                <w:bCs/>
                <w:sz w:val="18"/>
                <w:szCs w:val="18"/>
                <w:lang w:eastAsia="cs-CZ"/>
              </w:rPr>
              <w:t>Okres</w:t>
            </w:r>
          </w:p>
        </w:tc>
        <w:tc>
          <w:tcPr>
            <w:tcW w:w="1312" w:type="dxa"/>
            <w:shd w:val="clear" w:color="auto" w:fill="D9D9D9" w:themeFill="background1" w:themeFillShade="D9"/>
            <w:vAlign w:val="center"/>
            <w:hideMark/>
          </w:tcPr>
          <w:p w:rsidR="005F5CD4" w:rsidRPr="000E31E3" w:rsidRDefault="005F5CD4"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18"/>
                <w:szCs w:val="18"/>
                <w:lang w:eastAsia="cs-CZ"/>
              </w:rPr>
            </w:pPr>
            <w:r w:rsidRPr="000E31E3">
              <w:rPr>
                <w:rFonts w:ascii="Calibri" w:eastAsia="Times New Roman" w:hAnsi="Calibri"/>
                <w:b/>
                <w:bCs/>
                <w:sz w:val="18"/>
                <w:szCs w:val="18"/>
                <w:lang w:eastAsia="cs-CZ"/>
              </w:rPr>
              <w:t>Kraj</w:t>
            </w:r>
          </w:p>
        </w:tc>
      </w:tr>
      <w:tr w:rsidR="005F5CD4" w:rsidTr="00215D45">
        <w:trPr>
          <w:trHeight w:val="340"/>
        </w:trPr>
        <w:tc>
          <w:tcPr>
            <w:cnfStyle w:val="001000000000" w:firstRow="0" w:lastRow="0" w:firstColumn="1" w:lastColumn="0" w:oddVBand="0" w:evenVBand="0" w:oddHBand="0" w:evenHBand="0" w:firstRowFirstColumn="0" w:firstRowLastColumn="0" w:lastRowFirstColumn="0" w:lastRowLastColumn="0"/>
            <w:tcW w:w="4145" w:type="dxa"/>
            <w:noWrap/>
            <w:vAlign w:val="center"/>
            <w:hideMark/>
          </w:tcPr>
          <w:p w:rsidR="005F5CD4" w:rsidRDefault="005F5CD4" w:rsidP="003E4A5D">
            <w:pPr>
              <w:widowControl w:val="0"/>
              <w:spacing w:before="0" w:after="0"/>
              <w:jc w:val="left"/>
              <w:rPr>
                <w:rFonts w:ascii="Calibri" w:eastAsia="Times New Roman" w:hAnsi="Calibri"/>
                <w:sz w:val="18"/>
                <w:szCs w:val="18"/>
                <w:lang w:eastAsia="cs-CZ"/>
              </w:rPr>
            </w:pPr>
            <w:r>
              <w:rPr>
                <w:rFonts w:ascii="Calibri" w:eastAsia="Times New Roman" w:hAnsi="Calibri"/>
                <w:sz w:val="18"/>
                <w:szCs w:val="18"/>
                <w:lang w:eastAsia="cs-CZ"/>
              </w:rPr>
              <w:t>Bez přestupu</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91,67</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85,37</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66,57</w:t>
            </w:r>
            <w:r w:rsidR="000E31E3">
              <w:rPr>
                <w:rFonts w:ascii="Calibri" w:hAnsi="Calibri"/>
                <w:color w:val="000000"/>
                <w:sz w:val="18"/>
                <w:szCs w:val="18"/>
              </w:rPr>
              <w:t xml:space="preserve"> </w:t>
            </w:r>
            <w:r>
              <w:rPr>
                <w:rFonts w:ascii="Calibri" w:hAnsi="Calibri"/>
                <w:color w:val="000000"/>
                <w:sz w:val="18"/>
                <w:szCs w:val="18"/>
              </w:rPr>
              <w:t>%</w:t>
            </w:r>
          </w:p>
        </w:tc>
        <w:tc>
          <w:tcPr>
            <w:tcW w:w="1312"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34,14</w:t>
            </w:r>
            <w:r w:rsidR="000E31E3">
              <w:rPr>
                <w:rFonts w:ascii="Calibri" w:hAnsi="Calibri"/>
                <w:color w:val="000000"/>
                <w:sz w:val="18"/>
                <w:szCs w:val="18"/>
              </w:rPr>
              <w:t xml:space="preserve"> </w:t>
            </w:r>
            <w:r>
              <w:rPr>
                <w:rFonts w:ascii="Calibri" w:hAnsi="Calibri"/>
                <w:color w:val="000000"/>
                <w:sz w:val="18"/>
                <w:szCs w:val="18"/>
              </w:rPr>
              <w:t>%</w:t>
            </w:r>
          </w:p>
        </w:tc>
      </w:tr>
      <w:tr w:rsidR="005F5CD4" w:rsidTr="00215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45" w:type="dxa"/>
            <w:noWrap/>
            <w:vAlign w:val="center"/>
            <w:hideMark/>
          </w:tcPr>
          <w:p w:rsidR="005F5CD4" w:rsidRDefault="005F5CD4" w:rsidP="003E4A5D">
            <w:pPr>
              <w:widowControl w:val="0"/>
              <w:spacing w:before="0" w:after="0"/>
              <w:jc w:val="left"/>
              <w:rPr>
                <w:rFonts w:ascii="Calibri" w:eastAsia="Times New Roman" w:hAnsi="Calibri"/>
                <w:sz w:val="18"/>
                <w:szCs w:val="18"/>
                <w:lang w:eastAsia="cs-CZ"/>
              </w:rPr>
            </w:pPr>
            <w:r>
              <w:rPr>
                <w:rFonts w:ascii="Calibri" w:hAnsi="Calibri"/>
                <w:sz w:val="18"/>
                <w:szCs w:val="18"/>
              </w:rPr>
              <w:t>1 přestup</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7,59</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12,95</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30,00</w:t>
            </w:r>
            <w:r w:rsidR="000E31E3">
              <w:rPr>
                <w:rFonts w:ascii="Calibri" w:hAnsi="Calibri"/>
                <w:color w:val="000000"/>
                <w:sz w:val="18"/>
                <w:szCs w:val="18"/>
              </w:rPr>
              <w:t xml:space="preserve"> </w:t>
            </w:r>
            <w:r>
              <w:rPr>
                <w:rFonts w:ascii="Calibri" w:hAnsi="Calibri"/>
                <w:color w:val="000000"/>
                <w:sz w:val="18"/>
                <w:szCs w:val="18"/>
              </w:rPr>
              <w:t>%</w:t>
            </w:r>
          </w:p>
        </w:tc>
        <w:tc>
          <w:tcPr>
            <w:tcW w:w="1312"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54,55</w:t>
            </w:r>
            <w:r w:rsidR="000E31E3">
              <w:rPr>
                <w:rFonts w:ascii="Calibri" w:hAnsi="Calibri"/>
                <w:color w:val="000000"/>
                <w:sz w:val="18"/>
                <w:szCs w:val="18"/>
              </w:rPr>
              <w:t xml:space="preserve"> </w:t>
            </w:r>
            <w:r>
              <w:rPr>
                <w:rFonts w:ascii="Calibri" w:hAnsi="Calibri"/>
                <w:color w:val="000000"/>
                <w:sz w:val="18"/>
                <w:szCs w:val="18"/>
              </w:rPr>
              <w:t>%</w:t>
            </w:r>
          </w:p>
        </w:tc>
      </w:tr>
      <w:tr w:rsidR="005F5CD4" w:rsidTr="00215D45">
        <w:trPr>
          <w:trHeight w:val="340"/>
        </w:trPr>
        <w:tc>
          <w:tcPr>
            <w:cnfStyle w:val="001000000000" w:firstRow="0" w:lastRow="0" w:firstColumn="1" w:lastColumn="0" w:oddVBand="0" w:evenVBand="0" w:oddHBand="0" w:evenHBand="0" w:firstRowFirstColumn="0" w:firstRowLastColumn="0" w:lastRowFirstColumn="0" w:lastRowLastColumn="0"/>
            <w:tcW w:w="4145" w:type="dxa"/>
            <w:noWrap/>
            <w:vAlign w:val="center"/>
            <w:hideMark/>
          </w:tcPr>
          <w:p w:rsidR="005F5CD4" w:rsidRDefault="005F5CD4" w:rsidP="003E4A5D">
            <w:pPr>
              <w:widowControl w:val="0"/>
              <w:spacing w:before="0" w:after="0"/>
              <w:jc w:val="left"/>
              <w:rPr>
                <w:rFonts w:ascii="Calibri" w:eastAsia="Times New Roman" w:hAnsi="Calibri"/>
                <w:sz w:val="18"/>
                <w:szCs w:val="18"/>
                <w:lang w:eastAsia="cs-CZ"/>
              </w:rPr>
            </w:pPr>
            <w:r>
              <w:rPr>
                <w:rFonts w:ascii="Calibri" w:hAnsi="Calibri"/>
                <w:sz w:val="18"/>
                <w:szCs w:val="18"/>
              </w:rPr>
              <w:t>2 přestupy</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0,71</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1,50</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3,03</w:t>
            </w:r>
            <w:r w:rsidR="000E31E3">
              <w:rPr>
                <w:rFonts w:ascii="Calibri" w:hAnsi="Calibri"/>
                <w:color w:val="000000"/>
                <w:sz w:val="18"/>
                <w:szCs w:val="18"/>
              </w:rPr>
              <w:t xml:space="preserve"> </w:t>
            </w:r>
            <w:r>
              <w:rPr>
                <w:rFonts w:ascii="Calibri" w:hAnsi="Calibri"/>
                <w:color w:val="000000"/>
                <w:sz w:val="18"/>
                <w:szCs w:val="18"/>
              </w:rPr>
              <w:t>%</w:t>
            </w:r>
          </w:p>
        </w:tc>
        <w:tc>
          <w:tcPr>
            <w:tcW w:w="1312"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10,27</w:t>
            </w:r>
            <w:r w:rsidR="000E31E3">
              <w:rPr>
                <w:rFonts w:ascii="Calibri" w:hAnsi="Calibri"/>
                <w:color w:val="000000"/>
                <w:sz w:val="18"/>
                <w:szCs w:val="18"/>
              </w:rPr>
              <w:t xml:space="preserve"> </w:t>
            </w:r>
            <w:r>
              <w:rPr>
                <w:rFonts w:ascii="Calibri" w:hAnsi="Calibri"/>
                <w:color w:val="000000"/>
                <w:sz w:val="18"/>
                <w:szCs w:val="18"/>
              </w:rPr>
              <w:t>%</w:t>
            </w:r>
          </w:p>
        </w:tc>
      </w:tr>
      <w:tr w:rsidR="005F5CD4" w:rsidTr="00215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45" w:type="dxa"/>
            <w:noWrap/>
            <w:vAlign w:val="center"/>
            <w:hideMark/>
          </w:tcPr>
          <w:p w:rsidR="005F5CD4" w:rsidRDefault="005F5CD4" w:rsidP="003E4A5D">
            <w:pPr>
              <w:widowControl w:val="0"/>
              <w:spacing w:before="0" w:after="0"/>
              <w:jc w:val="left"/>
              <w:rPr>
                <w:rFonts w:ascii="Calibri" w:eastAsia="Times New Roman" w:hAnsi="Calibri"/>
                <w:sz w:val="18"/>
                <w:szCs w:val="18"/>
                <w:lang w:eastAsia="cs-CZ"/>
              </w:rPr>
            </w:pPr>
            <w:r>
              <w:rPr>
                <w:rFonts w:ascii="Calibri" w:hAnsi="Calibri"/>
                <w:sz w:val="18"/>
                <w:szCs w:val="18"/>
              </w:rPr>
              <w:t>3 přestupy</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0,03</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0,18</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0,41</w:t>
            </w:r>
            <w:r w:rsidR="000E31E3">
              <w:rPr>
                <w:rFonts w:ascii="Calibri" w:hAnsi="Calibri"/>
                <w:color w:val="000000"/>
                <w:sz w:val="18"/>
                <w:szCs w:val="18"/>
              </w:rPr>
              <w:t xml:space="preserve"> </w:t>
            </w:r>
            <w:r>
              <w:rPr>
                <w:rFonts w:ascii="Calibri" w:hAnsi="Calibri"/>
                <w:color w:val="000000"/>
                <w:sz w:val="18"/>
                <w:szCs w:val="18"/>
              </w:rPr>
              <w:t>%</w:t>
            </w:r>
          </w:p>
        </w:tc>
        <w:tc>
          <w:tcPr>
            <w:tcW w:w="1312"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0,90</w:t>
            </w:r>
            <w:r w:rsidR="000E31E3">
              <w:rPr>
                <w:rFonts w:ascii="Calibri" w:hAnsi="Calibri"/>
                <w:color w:val="000000"/>
                <w:sz w:val="18"/>
                <w:szCs w:val="18"/>
              </w:rPr>
              <w:t xml:space="preserve"> </w:t>
            </w:r>
            <w:r>
              <w:rPr>
                <w:rFonts w:ascii="Calibri" w:hAnsi="Calibri"/>
                <w:color w:val="000000"/>
                <w:sz w:val="18"/>
                <w:szCs w:val="18"/>
              </w:rPr>
              <w:t>%</w:t>
            </w:r>
          </w:p>
        </w:tc>
      </w:tr>
      <w:tr w:rsidR="005F5CD4" w:rsidTr="00215D45">
        <w:trPr>
          <w:trHeight w:val="340"/>
        </w:trPr>
        <w:tc>
          <w:tcPr>
            <w:cnfStyle w:val="001000000000" w:firstRow="0" w:lastRow="0" w:firstColumn="1" w:lastColumn="0" w:oddVBand="0" w:evenVBand="0" w:oddHBand="0" w:evenHBand="0" w:firstRowFirstColumn="0" w:firstRowLastColumn="0" w:lastRowFirstColumn="0" w:lastRowLastColumn="0"/>
            <w:tcW w:w="4145" w:type="dxa"/>
            <w:noWrap/>
            <w:vAlign w:val="center"/>
            <w:hideMark/>
          </w:tcPr>
          <w:p w:rsidR="005F5CD4" w:rsidRDefault="005F5CD4" w:rsidP="003E4A5D">
            <w:pPr>
              <w:widowControl w:val="0"/>
              <w:spacing w:before="0" w:after="0"/>
              <w:jc w:val="left"/>
              <w:rPr>
                <w:rFonts w:ascii="Calibri" w:eastAsia="Times New Roman" w:hAnsi="Calibri"/>
                <w:sz w:val="18"/>
                <w:szCs w:val="18"/>
                <w:lang w:eastAsia="cs-CZ"/>
              </w:rPr>
            </w:pPr>
            <w:r>
              <w:rPr>
                <w:rFonts w:ascii="Calibri" w:hAnsi="Calibri"/>
                <w:sz w:val="18"/>
                <w:szCs w:val="18"/>
              </w:rPr>
              <w:t>4 přestupy</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0,00</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0,00</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0,00</w:t>
            </w:r>
            <w:r w:rsidR="000E31E3">
              <w:rPr>
                <w:rFonts w:ascii="Calibri" w:hAnsi="Calibri"/>
                <w:color w:val="000000"/>
                <w:sz w:val="18"/>
                <w:szCs w:val="18"/>
              </w:rPr>
              <w:t xml:space="preserve"> </w:t>
            </w:r>
            <w:r>
              <w:rPr>
                <w:rFonts w:ascii="Calibri" w:hAnsi="Calibri"/>
                <w:color w:val="000000"/>
                <w:sz w:val="18"/>
                <w:szCs w:val="18"/>
              </w:rPr>
              <w:t>%</w:t>
            </w:r>
          </w:p>
        </w:tc>
        <w:tc>
          <w:tcPr>
            <w:tcW w:w="1312" w:type="dxa"/>
            <w:noWrap/>
            <w:vAlign w:val="center"/>
            <w:hideMark/>
          </w:tcPr>
          <w:p w:rsidR="005F5CD4" w:rsidRDefault="005F5CD4"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0,15</w:t>
            </w:r>
            <w:r w:rsidR="000E31E3">
              <w:rPr>
                <w:rFonts w:ascii="Calibri" w:hAnsi="Calibri"/>
                <w:color w:val="000000"/>
                <w:sz w:val="18"/>
                <w:szCs w:val="18"/>
              </w:rPr>
              <w:t xml:space="preserve"> </w:t>
            </w:r>
            <w:r>
              <w:rPr>
                <w:rFonts w:ascii="Calibri" w:hAnsi="Calibri"/>
                <w:color w:val="000000"/>
                <w:sz w:val="18"/>
                <w:szCs w:val="18"/>
              </w:rPr>
              <w:t>%</w:t>
            </w:r>
          </w:p>
        </w:tc>
      </w:tr>
      <w:tr w:rsidR="005F5CD4" w:rsidTr="00215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45" w:type="dxa"/>
            <w:noWrap/>
            <w:vAlign w:val="center"/>
            <w:hideMark/>
          </w:tcPr>
          <w:p w:rsidR="005F5CD4" w:rsidRDefault="005F5CD4" w:rsidP="003E4A5D">
            <w:pPr>
              <w:widowControl w:val="0"/>
              <w:spacing w:before="0" w:after="0"/>
              <w:jc w:val="left"/>
              <w:rPr>
                <w:rFonts w:ascii="Calibri" w:eastAsia="Times New Roman" w:hAnsi="Calibri"/>
                <w:sz w:val="18"/>
                <w:szCs w:val="18"/>
                <w:lang w:eastAsia="cs-CZ"/>
              </w:rPr>
            </w:pPr>
            <w:r>
              <w:rPr>
                <w:rFonts w:ascii="Calibri" w:eastAsia="Times New Roman" w:hAnsi="Calibri"/>
                <w:sz w:val="18"/>
                <w:szCs w:val="18"/>
                <w:lang w:eastAsia="cs-CZ"/>
              </w:rPr>
              <w:t>Celkem</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100,00</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100,00</w:t>
            </w:r>
            <w:r w:rsidR="000E31E3">
              <w:rPr>
                <w:rFonts w:ascii="Calibri" w:hAnsi="Calibri"/>
                <w:color w:val="000000"/>
                <w:sz w:val="18"/>
                <w:szCs w:val="18"/>
              </w:rPr>
              <w:t xml:space="preserve"> </w:t>
            </w:r>
            <w:r>
              <w:rPr>
                <w:rFonts w:ascii="Calibri" w:hAnsi="Calibri"/>
                <w:color w:val="000000"/>
                <w:sz w:val="18"/>
                <w:szCs w:val="18"/>
              </w:rPr>
              <w:t>%</w:t>
            </w:r>
          </w:p>
        </w:tc>
        <w:tc>
          <w:tcPr>
            <w:tcW w:w="1205"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100,00</w:t>
            </w:r>
            <w:r w:rsidR="000E31E3">
              <w:rPr>
                <w:rFonts w:ascii="Calibri" w:hAnsi="Calibri"/>
                <w:color w:val="000000"/>
                <w:sz w:val="18"/>
                <w:szCs w:val="18"/>
              </w:rPr>
              <w:t xml:space="preserve"> </w:t>
            </w:r>
            <w:r>
              <w:rPr>
                <w:rFonts w:ascii="Calibri" w:hAnsi="Calibri"/>
                <w:color w:val="000000"/>
                <w:sz w:val="18"/>
                <w:szCs w:val="18"/>
              </w:rPr>
              <w:t>%</w:t>
            </w:r>
          </w:p>
        </w:tc>
        <w:tc>
          <w:tcPr>
            <w:tcW w:w="1312" w:type="dxa"/>
            <w:noWrap/>
            <w:vAlign w:val="center"/>
            <w:hideMark/>
          </w:tcPr>
          <w:p w:rsidR="005F5CD4" w:rsidRDefault="005F5CD4"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cs-CZ"/>
              </w:rPr>
            </w:pPr>
            <w:r>
              <w:rPr>
                <w:rFonts w:ascii="Calibri" w:hAnsi="Calibri"/>
                <w:color w:val="000000"/>
                <w:sz w:val="18"/>
                <w:szCs w:val="18"/>
              </w:rPr>
              <w:t>100,00</w:t>
            </w:r>
            <w:r w:rsidR="000E31E3">
              <w:rPr>
                <w:rFonts w:ascii="Calibri" w:hAnsi="Calibri"/>
                <w:color w:val="000000"/>
                <w:sz w:val="18"/>
                <w:szCs w:val="18"/>
              </w:rPr>
              <w:t xml:space="preserve"> </w:t>
            </w:r>
            <w:r>
              <w:rPr>
                <w:rFonts w:ascii="Calibri" w:hAnsi="Calibri"/>
                <w:color w:val="000000"/>
                <w:sz w:val="18"/>
                <w:szCs w:val="18"/>
              </w:rPr>
              <w:t>%</w:t>
            </w:r>
          </w:p>
        </w:tc>
      </w:tr>
    </w:tbl>
    <w:p w:rsidR="000E31E3" w:rsidRPr="006359D9" w:rsidRDefault="000E31E3" w:rsidP="003E4A5D">
      <w:pPr>
        <w:pStyle w:val="Zdroj"/>
        <w:widowControl w:val="0"/>
        <w:spacing w:after="0" w:line="240" w:lineRule="auto"/>
        <w:rPr>
          <w:rFonts w:ascii="Garamond" w:hAnsi="Garamond"/>
          <w:i/>
          <w:iCs/>
          <w:color w:val="000000"/>
          <w:sz w:val="22"/>
          <w:szCs w:val="20"/>
        </w:rPr>
      </w:pPr>
      <w:r w:rsidRPr="006359D9">
        <w:rPr>
          <w:rFonts w:ascii="Garamond" w:hAnsi="Garamond"/>
          <w:i/>
          <w:iCs/>
          <w:color w:val="000000"/>
          <w:sz w:val="22"/>
          <w:szCs w:val="20"/>
        </w:rPr>
        <w:t>Zdroj: Analýza (2018)</w:t>
      </w:r>
    </w:p>
    <w:p w:rsidR="005F5CD4" w:rsidRDefault="005F5CD4" w:rsidP="003E4A5D">
      <w:pPr>
        <w:widowControl w:val="0"/>
      </w:pPr>
      <w:r>
        <w:t>Rozložení časové dostupnosti VHD v obcích na území ČR dle jednotlivých prostorových úrovní je znázorněno na níže zobrazeném box plotu. Je zřetelný růst dostupnosti se zvyšující se prostorovou úrovní. Do obcí s POÚ má více než čtvrtina obcí dojezd kratší než 30 min</w:t>
      </w:r>
      <w:r w:rsidR="00C656C1">
        <w:t>.</w:t>
      </w:r>
      <w:r>
        <w:t>, u ORP 35 min</w:t>
      </w:r>
      <w:r w:rsidR="00C656C1">
        <w:t>.</w:t>
      </w:r>
      <w:r>
        <w:t>, v rámci okresních měst 54 min</w:t>
      </w:r>
      <w:r w:rsidR="00C656C1">
        <w:t>.</w:t>
      </w:r>
      <w:r>
        <w:t xml:space="preserve"> a u krajských měst 95 min</w:t>
      </w:r>
      <w:r w:rsidR="00C656C1">
        <w:t>.</w:t>
      </w:r>
      <w:r w:rsidR="000E31E3">
        <w:t>. (</w:t>
      </w:r>
      <w:r w:rsidR="000E31E3" w:rsidRPr="000E31E3">
        <w:rPr>
          <w:i/>
        </w:rPr>
        <w:t>Zdroj: Analýza (2018)</w:t>
      </w:r>
      <w:r w:rsidR="000E31E3">
        <w:t>)</w:t>
      </w:r>
    </w:p>
    <w:p w:rsidR="00D862A5" w:rsidRDefault="00D862A5" w:rsidP="003E4A5D">
      <w:pPr>
        <w:widowControl w:val="0"/>
        <w:spacing w:before="0" w:after="0"/>
        <w:jc w:val="left"/>
        <w:rPr>
          <w:rFonts w:eastAsia="Times New Roman"/>
          <w:b/>
          <w:bCs/>
          <w:color w:val="000000"/>
          <w:sz w:val="22"/>
          <w:szCs w:val="20"/>
          <w:lang w:eastAsia="cs-CZ"/>
        </w:rPr>
      </w:pPr>
      <w:bookmarkStart w:id="53" w:name="_Toc532367457"/>
      <w:r>
        <w:br w:type="page"/>
      </w:r>
    </w:p>
    <w:bookmarkEnd w:id="53"/>
    <w:p w:rsidR="004A716B" w:rsidRDefault="004A716B" w:rsidP="003E4A5D">
      <w:pPr>
        <w:pStyle w:val="Titulek"/>
      </w:pPr>
      <w:r>
        <w:lastRenderedPageBreak/>
        <w:t xml:space="preserve">Obrázek </w:t>
      </w:r>
      <w:r w:rsidR="00AB65E9">
        <w:rPr>
          <w:noProof/>
        </w:rPr>
        <w:fldChar w:fldCharType="begin"/>
      </w:r>
      <w:r w:rsidR="002F76C3">
        <w:rPr>
          <w:noProof/>
        </w:rPr>
        <w:instrText xml:space="preserve"> SEQ Obrázek \* ARABIC </w:instrText>
      </w:r>
      <w:r w:rsidR="00AB65E9">
        <w:rPr>
          <w:noProof/>
        </w:rPr>
        <w:fldChar w:fldCharType="separate"/>
      </w:r>
      <w:r w:rsidR="00263A1B">
        <w:rPr>
          <w:noProof/>
        </w:rPr>
        <w:t>18</w:t>
      </w:r>
      <w:r w:rsidR="00AB65E9">
        <w:rPr>
          <w:noProof/>
        </w:rPr>
        <w:fldChar w:fldCharType="end"/>
      </w:r>
      <w:r>
        <w:t>:</w:t>
      </w:r>
      <w:r w:rsidRPr="004A716B">
        <w:t xml:space="preserve"> </w:t>
      </w:r>
      <w:r w:rsidRPr="000E31E3">
        <w:t>Box – plot distribuce doby dojezdu VHD z obcí do správních center/ okresů (v min)</w:t>
      </w:r>
    </w:p>
    <w:p w:rsidR="005F5CD4" w:rsidRDefault="005F5CD4" w:rsidP="003E4A5D">
      <w:pPr>
        <w:widowControl w:val="0"/>
        <w:autoSpaceDE w:val="0"/>
        <w:autoSpaceDN w:val="0"/>
        <w:adjustRightInd w:val="0"/>
        <w:spacing w:after="0"/>
        <w:jc w:val="left"/>
        <w:rPr>
          <w:rFonts w:ascii="Times New Roman" w:eastAsiaTheme="minorHAnsi" w:hAnsi="Times New Roman"/>
          <w:szCs w:val="24"/>
        </w:rPr>
      </w:pPr>
      <w:r>
        <w:rPr>
          <w:rFonts w:ascii="Times New Roman" w:eastAsiaTheme="minorHAnsi" w:hAnsi="Times New Roman"/>
          <w:noProof/>
          <w:szCs w:val="24"/>
          <w:lang w:eastAsia="cs-CZ"/>
        </w:rPr>
        <w:drawing>
          <wp:inline distT="0" distB="0" distL="0" distR="0" wp14:anchorId="56DB6A15" wp14:editId="3A818451">
            <wp:extent cx="5755954" cy="4157932"/>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7"/>
                    <pic:cNvPicPr>
                      <a:picLocks noChangeAspect="1" noChangeArrowheads="1"/>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t="2" b="2548"/>
                    <a:stretch>
                      <a:fillRect/>
                    </a:stretch>
                  </pic:blipFill>
                  <pic:spPr bwMode="auto">
                    <a:xfrm>
                      <a:off x="0" y="0"/>
                      <a:ext cx="5760720" cy="4161375"/>
                    </a:xfrm>
                    <a:prstGeom prst="rect">
                      <a:avLst/>
                    </a:prstGeom>
                    <a:noFill/>
                    <a:ln>
                      <a:noFill/>
                    </a:ln>
                  </pic:spPr>
                </pic:pic>
              </a:graphicData>
            </a:graphic>
          </wp:inline>
        </w:drawing>
      </w:r>
    </w:p>
    <w:p w:rsidR="000E31E3" w:rsidRPr="006359D9" w:rsidRDefault="000E31E3" w:rsidP="003E4A5D">
      <w:pPr>
        <w:pStyle w:val="Zdroj"/>
        <w:widowControl w:val="0"/>
        <w:spacing w:after="0" w:line="240" w:lineRule="auto"/>
        <w:rPr>
          <w:rFonts w:ascii="Garamond" w:hAnsi="Garamond"/>
          <w:i/>
          <w:iCs/>
          <w:color w:val="000000"/>
          <w:sz w:val="22"/>
          <w:szCs w:val="20"/>
        </w:rPr>
      </w:pPr>
      <w:r w:rsidRPr="006359D9">
        <w:rPr>
          <w:rFonts w:ascii="Garamond" w:hAnsi="Garamond"/>
          <w:i/>
          <w:iCs/>
          <w:color w:val="000000"/>
          <w:sz w:val="22"/>
          <w:szCs w:val="20"/>
        </w:rPr>
        <w:t>Zdroj: Analýza (2018)</w:t>
      </w:r>
    </w:p>
    <w:p w:rsidR="005F5CD4" w:rsidRPr="000E31E3" w:rsidRDefault="005F5CD4" w:rsidP="003E4A5D">
      <w:pPr>
        <w:pStyle w:val="Zdroj"/>
        <w:widowControl w:val="0"/>
        <w:rPr>
          <w:rFonts w:ascii="Garamond" w:hAnsi="Garamond"/>
          <w:i/>
          <w:iCs/>
          <w:color w:val="000000"/>
          <w:sz w:val="22"/>
          <w:szCs w:val="20"/>
        </w:rPr>
      </w:pPr>
      <w:r w:rsidRPr="000E31E3">
        <w:rPr>
          <w:rFonts w:ascii="Garamond" w:hAnsi="Garamond"/>
          <w:i/>
          <w:iCs/>
          <w:color w:val="000000"/>
          <w:sz w:val="22"/>
          <w:szCs w:val="20"/>
        </w:rPr>
        <w:t>Pozn.: Přerušované čáry ukazuji vymezení doby dojezdu po 60 minutách.</w:t>
      </w:r>
    </w:p>
    <w:p w:rsidR="005F5CD4" w:rsidRDefault="000E31E3" w:rsidP="003E4A5D">
      <w:pPr>
        <w:pStyle w:val="Text-Normaln"/>
        <w:widowControl w:val="0"/>
      </w:pPr>
      <w:r w:rsidRPr="000E31E3">
        <w:t>Pokud</w:t>
      </w:r>
      <w:r>
        <w:t xml:space="preserve"> se podíváme na rozdíly </w:t>
      </w:r>
      <w:r w:rsidR="00852610">
        <w:t>dojezdu do obcí</w:t>
      </w:r>
      <w:r>
        <w:t xml:space="preserve"> s POÚ a ORP, není </w:t>
      </w:r>
      <w:r w:rsidR="00852610">
        <w:t xml:space="preserve">tento </w:t>
      </w:r>
      <w:r>
        <w:t xml:space="preserve">rozdíl dojezdu tak výrazný, aby </w:t>
      </w:r>
      <w:r w:rsidR="00852610">
        <w:t xml:space="preserve">náklady na něj </w:t>
      </w:r>
      <w:r>
        <w:t>mohl</w:t>
      </w:r>
      <w:r w:rsidR="00852610">
        <w:t>y</w:t>
      </w:r>
      <w:r>
        <w:t xml:space="preserve"> vykompenzovat </w:t>
      </w:r>
      <w:r w:rsidR="00852610">
        <w:t>přínosy ze změny</w:t>
      </w:r>
      <w:r>
        <w:t xml:space="preserve"> současné roztříštěné struktury stavebních úřadů. </w:t>
      </w:r>
    </w:p>
    <w:p w:rsidR="00AB589D" w:rsidRDefault="00D81FC7" w:rsidP="003E4A5D">
      <w:pPr>
        <w:pStyle w:val="Text-Normaln"/>
        <w:widowControl w:val="0"/>
      </w:pPr>
      <w:r>
        <w:t xml:space="preserve">Analýza (2018) uvádí, že v případě posunu stavebních úřadů </w:t>
      </w:r>
      <w:r w:rsidR="004A1B52">
        <w:t>z obcí se ZP na obce s POÚ (jejichž počet by se navýšil na 649) by se n</w:t>
      </w:r>
      <w:r w:rsidR="00AB589D">
        <w:t xml:space="preserve">áklady občanů na dojezd na úřad </w:t>
      </w:r>
      <w:r w:rsidR="004A1B52">
        <w:t xml:space="preserve">pohybovaly </w:t>
      </w:r>
      <w:r w:rsidR="00AB589D">
        <w:t xml:space="preserve">ve výši přibližně 44 mil. Kč, a to z toho titulu, že obce se ZP a POÚ provádí v porovnání s ORP velké množství úkonů. </w:t>
      </w:r>
      <w:r w:rsidR="004A1B52">
        <w:t>Ve variantě posunu z obcí se ZP a POÚ na ORP tak lze uvažovat o nákladech v řádu desítek miliónů Kč, neboť občané často spojují cestu na úřad s cestou s jiným účelem (do zaměstnání apod.).</w:t>
      </w:r>
    </w:p>
    <w:p w:rsidR="00595C46" w:rsidRDefault="00595C46" w:rsidP="003E4A5D">
      <w:pPr>
        <w:pStyle w:val="Text-Normaln"/>
        <w:widowControl w:val="0"/>
      </w:pPr>
      <w:r>
        <w:t>Na druhou stranu se n</w:t>
      </w:r>
      <w:r w:rsidRPr="00595C46">
        <w:t xml:space="preserve">áklady občanů na dopravu na </w:t>
      </w:r>
      <w:r w:rsidR="00F76ADF" w:rsidRPr="00595C46">
        <w:t>úřad sníží</w:t>
      </w:r>
      <w:r w:rsidRPr="00595C46">
        <w:t xml:space="preserve">, protože občan již nebude nucen před zahájením řízení samostatně zajišťovat veškerá vyjádření </w:t>
      </w:r>
      <w:r w:rsidR="004B298F">
        <w:t>DO</w:t>
      </w:r>
      <w:r w:rsidRPr="00595C46">
        <w:t xml:space="preserve"> a stát tak převezme odpovědnost za výkon státní správy, kterou svou činností dosud zajišťoval občan, resp. investor</w:t>
      </w:r>
      <w:r>
        <w:t>.</w:t>
      </w:r>
    </w:p>
    <w:p w:rsidR="00D862A5" w:rsidRDefault="00595C46" w:rsidP="003E4A5D">
      <w:pPr>
        <w:pStyle w:val="Text-Normaln"/>
        <w:widowControl w:val="0"/>
        <w:rPr>
          <w:b/>
        </w:rPr>
      </w:pPr>
      <w:r w:rsidRPr="00595C46">
        <w:t>V konečném důsledku tak očekáváme pozitivní dopad.</w:t>
      </w:r>
      <w:r w:rsidR="00D862A5">
        <w:rPr>
          <w:b/>
        </w:rPr>
        <w:br w:type="page"/>
      </w:r>
    </w:p>
    <w:p w:rsidR="005C1074" w:rsidRPr="008752B8" w:rsidRDefault="005C1074" w:rsidP="003E4A5D">
      <w:pPr>
        <w:pStyle w:val="Text-Normaln"/>
        <w:widowControl w:val="0"/>
      </w:pPr>
      <w:r>
        <w:lastRenderedPageBreak/>
        <w:t xml:space="preserve">Na tomto místě prozatím shrneme pouze náklady. </w:t>
      </w:r>
    </w:p>
    <w:p w:rsidR="004A716B" w:rsidRPr="004A716B" w:rsidRDefault="004A716B" w:rsidP="003E4A5D">
      <w:pPr>
        <w:pStyle w:val="Titulek"/>
      </w:pPr>
      <w:r w:rsidRPr="004A716B">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23</w:t>
      </w:r>
      <w:r w:rsidR="00AB65E9">
        <w:rPr>
          <w:noProof/>
        </w:rPr>
        <w:fldChar w:fldCharType="end"/>
      </w:r>
      <w:r w:rsidRPr="004A716B">
        <w:t>: Souhrn nákladů</w:t>
      </w:r>
    </w:p>
    <w:tbl>
      <w:tblPr>
        <w:tblStyle w:val="Svtlstnovn1"/>
        <w:tblW w:w="9072" w:type="dxa"/>
        <w:tblInd w:w="108" w:type="dxa"/>
        <w:tblLook w:val="04A0" w:firstRow="1" w:lastRow="0" w:firstColumn="1" w:lastColumn="0" w:noHBand="0" w:noVBand="1"/>
      </w:tblPr>
      <w:tblGrid>
        <w:gridCol w:w="9072"/>
      </w:tblGrid>
      <w:tr w:rsidR="0075491C" w:rsidRPr="0075491C" w:rsidTr="00215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sz w:val="20"/>
                <w:szCs w:val="20"/>
              </w:rPr>
            </w:pPr>
            <w:r w:rsidRPr="0075491C">
              <w:rPr>
                <w:rFonts w:asciiTheme="minorHAnsi" w:hAnsiTheme="minorHAnsi" w:cstheme="minorHAnsi"/>
                <w:sz w:val="20"/>
                <w:szCs w:val="20"/>
              </w:rPr>
              <w:t>Kategorie nákladů</w:t>
            </w:r>
          </w:p>
        </w:tc>
      </w:tr>
      <w:tr w:rsidR="0075491C" w:rsidRPr="0075491C" w:rsidTr="00215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smallCaps/>
                <w:sz w:val="20"/>
                <w:szCs w:val="20"/>
              </w:rPr>
            </w:pPr>
            <w:r w:rsidRPr="0075491C">
              <w:rPr>
                <w:rFonts w:asciiTheme="minorHAnsi" w:hAnsiTheme="minorHAnsi" w:cstheme="minorHAnsi"/>
                <w:smallCaps/>
                <w:sz w:val="20"/>
                <w:szCs w:val="20"/>
              </w:rPr>
              <w:t>Varianta 1</w:t>
            </w:r>
          </w:p>
        </w:tc>
      </w:tr>
      <w:tr w:rsidR="0075491C" w:rsidRPr="0075491C" w:rsidTr="00215D45">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b w:val="0"/>
                <w:sz w:val="20"/>
                <w:szCs w:val="20"/>
              </w:rPr>
            </w:pPr>
            <w:r w:rsidRPr="0075491C">
              <w:rPr>
                <w:rFonts w:asciiTheme="minorHAnsi" w:hAnsiTheme="minorHAnsi" w:cstheme="minorHAnsi"/>
                <w:b w:val="0"/>
                <w:sz w:val="20"/>
                <w:szCs w:val="20"/>
              </w:rPr>
              <w:t>Činnost generální inspekce – 7 mil. Kč ročně</w:t>
            </w:r>
            <w:r w:rsidR="008752B8">
              <w:rPr>
                <w:rFonts w:asciiTheme="minorHAnsi" w:hAnsiTheme="minorHAnsi" w:cstheme="minorHAnsi"/>
                <w:b w:val="0"/>
                <w:sz w:val="20"/>
                <w:szCs w:val="20"/>
              </w:rPr>
              <w:t xml:space="preserve"> </w:t>
            </w:r>
          </w:p>
        </w:tc>
      </w:tr>
      <w:tr w:rsidR="0075491C" w:rsidRPr="0075491C" w:rsidTr="00215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smallCaps/>
                <w:sz w:val="20"/>
                <w:szCs w:val="20"/>
              </w:rPr>
            </w:pPr>
            <w:r w:rsidRPr="0075491C">
              <w:rPr>
                <w:rFonts w:asciiTheme="minorHAnsi" w:hAnsiTheme="minorHAnsi" w:cstheme="minorHAnsi"/>
                <w:smallCaps/>
                <w:sz w:val="20"/>
                <w:szCs w:val="20"/>
              </w:rPr>
              <w:t>Varianta 2</w:t>
            </w:r>
          </w:p>
        </w:tc>
      </w:tr>
      <w:tr w:rsidR="0075491C" w:rsidRPr="0075491C" w:rsidTr="00215D45">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1D3B77">
            <w:pPr>
              <w:widowControl w:val="0"/>
              <w:rPr>
                <w:rFonts w:asciiTheme="minorHAnsi" w:hAnsiTheme="minorHAnsi" w:cstheme="minorHAnsi"/>
                <w:b w:val="0"/>
                <w:sz w:val="20"/>
                <w:szCs w:val="20"/>
              </w:rPr>
            </w:pPr>
            <w:r w:rsidRPr="0075491C">
              <w:rPr>
                <w:rFonts w:asciiTheme="minorHAnsi" w:hAnsiTheme="minorHAnsi" w:cstheme="minorHAnsi"/>
                <w:b w:val="0"/>
                <w:sz w:val="20"/>
                <w:szCs w:val="20"/>
              </w:rPr>
              <w:t xml:space="preserve">Vytvoření </w:t>
            </w:r>
            <w:r w:rsidR="000E45AE">
              <w:rPr>
                <w:rFonts w:asciiTheme="minorHAnsi" w:hAnsiTheme="minorHAnsi" w:cstheme="minorHAnsi"/>
                <w:b w:val="0"/>
                <w:sz w:val="20"/>
                <w:szCs w:val="20"/>
              </w:rPr>
              <w:t>NSÚ</w:t>
            </w:r>
            <w:r w:rsidRPr="0075491C">
              <w:rPr>
                <w:rFonts w:asciiTheme="minorHAnsi" w:hAnsiTheme="minorHAnsi" w:cstheme="minorHAnsi"/>
                <w:b w:val="0"/>
                <w:sz w:val="20"/>
                <w:szCs w:val="20"/>
              </w:rPr>
              <w:t xml:space="preserve"> – 1,4 mil. Kč </w:t>
            </w:r>
            <w:r w:rsidR="00B47025">
              <w:rPr>
                <w:rFonts w:asciiTheme="minorHAnsi" w:hAnsiTheme="minorHAnsi" w:cstheme="minorHAnsi"/>
                <w:b w:val="0"/>
                <w:sz w:val="20"/>
                <w:szCs w:val="20"/>
              </w:rPr>
              <w:t xml:space="preserve">ročně </w:t>
            </w:r>
            <w:r w:rsidRPr="0075491C">
              <w:rPr>
                <w:rFonts w:asciiTheme="minorHAnsi" w:hAnsiTheme="minorHAnsi" w:cstheme="minorHAnsi"/>
                <w:b w:val="0"/>
                <w:sz w:val="20"/>
                <w:szCs w:val="20"/>
              </w:rPr>
              <w:t>(odměna vedoucího pracovníka); u ostatních zaměstnanců se předpokládá přesun</w:t>
            </w:r>
            <w:r w:rsidR="00EE16B9">
              <w:rPr>
                <w:rFonts w:asciiTheme="minorHAnsi" w:hAnsiTheme="minorHAnsi" w:cstheme="minorHAnsi"/>
                <w:b w:val="0"/>
                <w:sz w:val="20"/>
                <w:szCs w:val="20"/>
              </w:rPr>
              <w:t>; p</w:t>
            </w:r>
            <w:r w:rsidR="00EE16B9" w:rsidRPr="00EE16B9">
              <w:rPr>
                <w:rFonts w:asciiTheme="minorHAnsi" w:hAnsiTheme="minorHAnsi" w:cstheme="minorHAnsi"/>
                <w:b w:val="0"/>
                <w:sz w:val="20"/>
                <w:szCs w:val="20"/>
              </w:rPr>
              <w:t xml:space="preserve">okud bychom navíc počítali s dalšími 5 </w:t>
            </w:r>
            <w:r w:rsidR="000E45AE">
              <w:rPr>
                <w:rFonts w:asciiTheme="minorHAnsi" w:hAnsiTheme="minorHAnsi" w:cstheme="minorHAnsi"/>
                <w:b w:val="0"/>
                <w:sz w:val="20"/>
                <w:szCs w:val="20"/>
              </w:rPr>
              <w:t>zástupci</w:t>
            </w:r>
            <w:r w:rsidR="00EE16B9" w:rsidRPr="00EE16B9">
              <w:rPr>
                <w:rFonts w:asciiTheme="minorHAnsi" w:hAnsiTheme="minorHAnsi" w:cstheme="minorHAnsi"/>
                <w:b w:val="0"/>
                <w:sz w:val="20"/>
                <w:szCs w:val="20"/>
              </w:rPr>
              <w:t xml:space="preserve">, kteří nebudou přesunuti, ale najati nad rámec stávajícího aparátu, museli bychom tuto částku zvýšit </w:t>
            </w:r>
            <w:r w:rsidR="00EE16B9">
              <w:rPr>
                <w:rFonts w:asciiTheme="minorHAnsi" w:hAnsiTheme="minorHAnsi" w:cstheme="minorHAnsi"/>
                <w:b w:val="0"/>
                <w:sz w:val="20"/>
                <w:szCs w:val="20"/>
              </w:rPr>
              <w:t>o dalších 7 mil. Kč</w:t>
            </w:r>
            <w:r w:rsidR="00B47025">
              <w:rPr>
                <w:rFonts w:asciiTheme="minorHAnsi" w:hAnsiTheme="minorHAnsi" w:cstheme="minorHAnsi"/>
                <w:b w:val="0"/>
                <w:sz w:val="20"/>
                <w:szCs w:val="20"/>
              </w:rPr>
              <w:t xml:space="preserve"> ročně </w:t>
            </w:r>
          </w:p>
        </w:tc>
      </w:tr>
      <w:tr w:rsidR="0075491C" w:rsidRPr="0075491C" w:rsidTr="00215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b w:val="0"/>
                <w:sz w:val="20"/>
                <w:szCs w:val="20"/>
              </w:rPr>
            </w:pPr>
            <w:r w:rsidRPr="0075491C">
              <w:rPr>
                <w:rFonts w:asciiTheme="minorHAnsi" w:hAnsiTheme="minorHAnsi" w:cstheme="minorHAnsi"/>
                <w:b w:val="0"/>
                <w:sz w:val="20"/>
                <w:szCs w:val="20"/>
              </w:rPr>
              <w:t>Pořízení IS pro ústřední monitoring - v řádech desítek mil. Kč</w:t>
            </w:r>
          </w:p>
        </w:tc>
      </w:tr>
      <w:tr w:rsidR="0075491C" w:rsidRPr="0075491C" w:rsidTr="00215D45">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b w:val="0"/>
                <w:bCs w:val="0"/>
                <w:sz w:val="20"/>
                <w:szCs w:val="20"/>
              </w:rPr>
            </w:pPr>
            <w:r w:rsidRPr="0075491C">
              <w:rPr>
                <w:rFonts w:asciiTheme="minorHAnsi" w:hAnsiTheme="minorHAnsi" w:cstheme="minorHAnsi"/>
                <w:b w:val="0"/>
                <w:sz w:val="20"/>
                <w:szCs w:val="20"/>
              </w:rPr>
              <w:t xml:space="preserve">Mzdové a režijní náklady </w:t>
            </w:r>
          </w:p>
          <w:p w:rsidR="0075491C" w:rsidRPr="0075491C" w:rsidRDefault="0075491C" w:rsidP="009D4B5F">
            <w:pPr>
              <w:pStyle w:val="Odstavecseseznamem"/>
              <w:widowControl w:val="0"/>
              <w:numPr>
                <w:ilvl w:val="0"/>
                <w:numId w:val="38"/>
              </w:numPr>
              <w:rPr>
                <w:rFonts w:asciiTheme="minorHAnsi" w:hAnsiTheme="minorHAnsi" w:cstheme="minorHAnsi"/>
                <w:b w:val="0"/>
                <w:sz w:val="20"/>
                <w:szCs w:val="20"/>
              </w:rPr>
            </w:pPr>
            <w:r w:rsidRPr="0075491C">
              <w:rPr>
                <w:rFonts w:asciiTheme="minorHAnsi" w:hAnsiTheme="minorHAnsi" w:cstheme="minorHAnsi"/>
                <w:b w:val="0"/>
                <w:sz w:val="20"/>
                <w:szCs w:val="20"/>
              </w:rPr>
              <w:t xml:space="preserve">vytvoření úřadu „na zelené louce“ – </w:t>
            </w:r>
            <w:r w:rsidR="00EE16B9">
              <w:rPr>
                <w:rFonts w:asciiTheme="minorHAnsi" w:hAnsiTheme="minorHAnsi" w:cstheme="minorHAnsi"/>
                <w:b w:val="0"/>
                <w:sz w:val="20"/>
                <w:szCs w:val="20"/>
              </w:rPr>
              <w:t>3</w:t>
            </w:r>
            <w:r w:rsidRPr="0075491C">
              <w:rPr>
                <w:rFonts w:asciiTheme="minorHAnsi" w:hAnsiTheme="minorHAnsi" w:cstheme="minorHAnsi"/>
                <w:b w:val="0"/>
                <w:sz w:val="20"/>
                <w:szCs w:val="20"/>
              </w:rPr>
              <w:t xml:space="preserve"> - </w:t>
            </w:r>
            <w:r w:rsidR="00EE16B9">
              <w:rPr>
                <w:rFonts w:asciiTheme="minorHAnsi" w:hAnsiTheme="minorHAnsi" w:cstheme="minorHAnsi"/>
                <w:b w:val="0"/>
                <w:sz w:val="20"/>
                <w:szCs w:val="20"/>
              </w:rPr>
              <w:t>4</w:t>
            </w:r>
            <w:r w:rsidRPr="0075491C">
              <w:rPr>
                <w:rFonts w:asciiTheme="minorHAnsi" w:hAnsiTheme="minorHAnsi" w:cstheme="minorHAnsi"/>
                <w:b w:val="0"/>
                <w:sz w:val="20"/>
                <w:szCs w:val="20"/>
              </w:rPr>
              <w:t xml:space="preserve"> mld. Kč ročně na provoz; 650 mil. Kč jednorázové náklady na zřízení pracovních míst, nebo</w:t>
            </w:r>
          </w:p>
          <w:p w:rsidR="0075491C" w:rsidRPr="0075491C" w:rsidRDefault="0075491C" w:rsidP="009D4B5F">
            <w:pPr>
              <w:pStyle w:val="Odstavecseseznamem"/>
              <w:widowControl w:val="0"/>
              <w:numPr>
                <w:ilvl w:val="0"/>
                <w:numId w:val="38"/>
              </w:numPr>
              <w:rPr>
                <w:rFonts w:asciiTheme="minorHAnsi" w:hAnsiTheme="minorHAnsi" w:cstheme="minorHAnsi"/>
                <w:b w:val="0"/>
                <w:sz w:val="20"/>
                <w:szCs w:val="20"/>
              </w:rPr>
            </w:pPr>
            <w:r w:rsidRPr="0075491C">
              <w:rPr>
                <w:rFonts w:asciiTheme="minorHAnsi" w:hAnsiTheme="minorHAnsi" w:cstheme="minorHAnsi"/>
                <w:b w:val="0"/>
                <w:sz w:val="20"/>
                <w:szCs w:val="20"/>
              </w:rPr>
              <w:t>přesun</w:t>
            </w:r>
            <w:r w:rsidR="00C656C1">
              <w:rPr>
                <w:rFonts w:asciiTheme="minorHAnsi" w:hAnsiTheme="minorHAnsi" w:cstheme="minorHAnsi"/>
                <w:b w:val="0"/>
                <w:sz w:val="20"/>
                <w:szCs w:val="20"/>
              </w:rPr>
              <w:t xml:space="preserve"> v průměru</w:t>
            </w:r>
            <w:r w:rsidRPr="0075491C">
              <w:rPr>
                <w:rFonts w:asciiTheme="minorHAnsi" w:hAnsiTheme="minorHAnsi" w:cstheme="minorHAnsi"/>
                <w:b w:val="0"/>
                <w:sz w:val="20"/>
                <w:szCs w:val="20"/>
              </w:rPr>
              <w:t xml:space="preserve"> 80 % zaměstnanců, tj. </w:t>
            </w:r>
            <w:r w:rsidR="00C656C1">
              <w:rPr>
                <w:rFonts w:asciiTheme="minorHAnsi" w:hAnsiTheme="minorHAnsi" w:cstheme="minorHAnsi"/>
                <w:b w:val="0"/>
                <w:sz w:val="20"/>
                <w:szCs w:val="20"/>
              </w:rPr>
              <w:t xml:space="preserve">v průměru </w:t>
            </w:r>
            <w:r w:rsidRPr="0075491C">
              <w:rPr>
                <w:rFonts w:asciiTheme="minorHAnsi" w:hAnsiTheme="minorHAnsi" w:cstheme="minorHAnsi"/>
                <w:b w:val="0"/>
                <w:sz w:val="20"/>
                <w:szCs w:val="20"/>
              </w:rPr>
              <w:t xml:space="preserve">20 % úředníků bude muset být zaměstnáno nově – </w:t>
            </w:r>
            <w:r w:rsidR="00EE16B9">
              <w:rPr>
                <w:rFonts w:asciiTheme="minorHAnsi" w:hAnsiTheme="minorHAnsi" w:cstheme="minorHAnsi"/>
                <w:b w:val="0"/>
                <w:sz w:val="20"/>
                <w:szCs w:val="20"/>
              </w:rPr>
              <w:t xml:space="preserve">0,5 - </w:t>
            </w:r>
            <w:r w:rsidRPr="0075491C">
              <w:rPr>
                <w:rFonts w:asciiTheme="minorHAnsi" w:hAnsiTheme="minorHAnsi" w:cstheme="minorHAnsi"/>
                <w:b w:val="0"/>
                <w:sz w:val="20"/>
                <w:szCs w:val="20"/>
              </w:rPr>
              <w:t>0,</w:t>
            </w:r>
            <w:r w:rsidR="00EE16B9">
              <w:rPr>
                <w:rFonts w:asciiTheme="minorHAnsi" w:hAnsiTheme="minorHAnsi" w:cstheme="minorHAnsi"/>
                <w:b w:val="0"/>
                <w:sz w:val="20"/>
                <w:szCs w:val="20"/>
              </w:rPr>
              <w:t>9</w:t>
            </w:r>
            <w:r w:rsidRPr="0075491C">
              <w:rPr>
                <w:rFonts w:asciiTheme="minorHAnsi" w:hAnsiTheme="minorHAnsi" w:cstheme="minorHAnsi"/>
                <w:b w:val="0"/>
                <w:sz w:val="20"/>
                <w:szCs w:val="20"/>
              </w:rPr>
              <w:t xml:space="preserve"> mld.</w:t>
            </w:r>
            <w:r w:rsidRPr="0075491C">
              <w:rPr>
                <w:rFonts w:asciiTheme="minorHAnsi" w:hAnsiTheme="minorHAnsi" w:cstheme="minorHAnsi"/>
                <w:b w:val="0"/>
                <w:bCs w:val="0"/>
                <w:sz w:val="20"/>
                <w:szCs w:val="20"/>
              </w:rPr>
              <w:t xml:space="preserve"> Kč ročně</w:t>
            </w:r>
            <w:r w:rsidRPr="0075491C">
              <w:rPr>
                <w:rFonts w:asciiTheme="minorHAnsi" w:hAnsiTheme="minorHAnsi" w:cstheme="minorHAnsi"/>
                <w:b w:val="0"/>
                <w:sz w:val="20"/>
                <w:szCs w:val="20"/>
              </w:rPr>
              <w:t>, 130 mil. Kč jednorázové náklady na zřízení pracovních míst</w:t>
            </w:r>
            <w:r w:rsidR="008752B8">
              <w:rPr>
                <w:rFonts w:asciiTheme="minorHAnsi" w:hAnsiTheme="minorHAnsi" w:cstheme="minorHAnsi"/>
                <w:b w:val="0"/>
                <w:sz w:val="20"/>
                <w:szCs w:val="20"/>
              </w:rPr>
              <w:t xml:space="preserve"> </w:t>
            </w:r>
          </w:p>
        </w:tc>
      </w:tr>
      <w:tr w:rsidR="0075491C" w:rsidRPr="0075491C" w:rsidTr="00215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sz w:val="20"/>
                <w:szCs w:val="20"/>
              </w:rPr>
            </w:pPr>
            <w:r w:rsidRPr="0075491C">
              <w:rPr>
                <w:rFonts w:asciiTheme="minorHAnsi" w:hAnsiTheme="minorHAnsi" w:cstheme="minorHAnsi"/>
                <w:b w:val="0"/>
                <w:sz w:val="20"/>
                <w:szCs w:val="20"/>
              </w:rPr>
              <w:t>Náklady na specializaci a zvyšování odbornosti úředníků</w:t>
            </w:r>
          </w:p>
        </w:tc>
      </w:tr>
      <w:tr w:rsidR="0075491C" w:rsidRPr="0075491C" w:rsidTr="00215D45">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sz w:val="20"/>
                <w:szCs w:val="20"/>
              </w:rPr>
            </w:pPr>
            <w:r w:rsidRPr="0075491C">
              <w:rPr>
                <w:rFonts w:asciiTheme="minorHAnsi" w:hAnsiTheme="minorHAnsi" w:cstheme="minorHAnsi"/>
                <w:b w:val="0"/>
                <w:bCs w:val="0"/>
                <w:sz w:val="20"/>
                <w:szCs w:val="20"/>
              </w:rPr>
              <w:t xml:space="preserve">Nárůst administrativních nákladů – </w:t>
            </w:r>
            <w:r w:rsidR="00EE16B9">
              <w:rPr>
                <w:rFonts w:asciiTheme="minorHAnsi" w:hAnsiTheme="minorHAnsi" w:cstheme="minorHAnsi"/>
                <w:b w:val="0"/>
                <w:bCs w:val="0"/>
                <w:sz w:val="20"/>
                <w:szCs w:val="20"/>
              </w:rPr>
              <w:t>96</w:t>
            </w:r>
            <w:r w:rsidRPr="0075491C">
              <w:rPr>
                <w:rFonts w:asciiTheme="minorHAnsi" w:hAnsiTheme="minorHAnsi" w:cstheme="minorHAnsi"/>
                <w:b w:val="0"/>
                <w:bCs w:val="0"/>
                <w:sz w:val="20"/>
                <w:szCs w:val="20"/>
              </w:rPr>
              <w:t xml:space="preserve"> mil. Kč ročně</w:t>
            </w:r>
          </w:p>
        </w:tc>
      </w:tr>
      <w:tr w:rsidR="0075491C" w:rsidRPr="0075491C" w:rsidTr="00215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b w:val="0"/>
                <w:sz w:val="20"/>
                <w:szCs w:val="20"/>
              </w:rPr>
            </w:pPr>
            <w:r w:rsidRPr="0075491C">
              <w:rPr>
                <w:rFonts w:asciiTheme="minorHAnsi" w:hAnsiTheme="minorHAnsi" w:cstheme="minorHAnsi"/>
                <w:b w:val="0"/>
                <w:bCs w:val="0"/>
                <w:sz w:val="20"/>
                <w:szCs w:val="20"/>
              </w:rPr>
              <w:t>Obslužné činnosti pro novou strukturu – 314 mil. Kč ročně</w:t>
            </w:r>
          </w:p>
        </w:tc>
      </w:tr>
      <w:tr w:rsidR="0075491C" w:rsidRPr="0075491C" w:rsidTr="00215D45">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pPr>
              <w:widowControl w:val="0"/>
              <w:rPr>
                <w:rFonts w:asciiTheme="minorHAnsi" w:hAnsiTheme="minorHAnsi" w:cstheme="minorHAnsi"/>
                <w:b w:val="0"/>
                <w:sz w:val="20"/>
                <w:szCs w:val="20"/>
              </w:rPr>
            </w:pPr>
            <w:r w:rsidRPr="0075491C">
              <w:rPr>
                <w:rFonts w:asciiTheme="minorHAnsi" w:hAnsiTheme="minorHAnsi" w:cstheme="minorHAnsi"/>
                <w:b w:val="0"/>
                <w:bCs w:val="0"/>
                <w:sz w:val="20"/>
                <w:szCs w:val="20"/>
              </w:rPr>
              <w:t>Pronájem nových kancelářských prostor a prostor pro ukládání spisové dokumentace –</w:t>
            </w:r>
            <w:r w:rsidR="004B298F">
              <w:rPr>
                <w:rFonts w:asciiTheme="minorHAnsi" w:hAnsiTheme="minorHAnsi" w:cstheme="minorHAnsi"/>
                <w:b w:val="0"/>
                <w:bCs w:val="0"/>
                <w:sz w:val="20"/>
                <w:szCs w:val="20"/>
              </w:rPr>
              <w:t xml:space="preserve"> </w:t>
            </w:r>
            <w:r w:rsidRPr="0075491C">
              <w:rPr>
                <w:rFonts w:asciiTheme="minorHAnsi" w:hAnsiTheme="minorHAnsi" w:cstheme="minorHAnsi"/>
                <w:b w:val="0"/>
                <w:bCs w:val="0"/>
                <w:sz w:val="20"/>
                <w:szCs w:val="20"/>
              </w:rPr>
              <w:t>by roční náklady na pronájem měly být již zahrnuty v multiplikátoru režijních nákladů; započítat tak lze pouze jednorázové náklady, pokud budou spojeny s nákupem či pronájmem nemovitostí</w:t>
            </w:r>
          </w:p>
        </w:tc>
      </w:tr>
      <w:tr w:rsidR="0075491C" w:rsidRPr="0075491C" w:rsidTr="00215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75491C" w:rsidRPr="0075491C" w:rsidRDefault="0075491C" w:rsidP="003E4A5D">
            <w:pPr>
              <w:widowControl w:val="0"/>
              <w:rPr>
                <w:rFonts w:asciiTheme="minorHAnsi" w:hAnsiTheme="minorHAnsi" w:cstheme="minorHAnsi"/>
                <w:b w:val="0"/>
                <w:sz w:val="20"/>
                <w:szCs w:val="20"/>
              </w:rPr>
            </w:pPr>
            <w:r w:rsidRPr="0075491C">
              <w:rPr>
                <w:rFonts w:asciiTheme="minorHAnsi" w:hAnsiTheme="minorHAnsi" w:cstheme="minorHAnsi"/>
                <w:b w:val="0"/>
                <w:bCs w:val="0"/>
                <w:sz w:val="20"/>
                <w:szCs w:val="20"/>
              </w:rPr>
              <w:t>Nákup automobilů – jednorázový náklad max. 780 mil. Kč</w:t>
            </w:r>
            <w:r w:rsidR="003D350C">
              <w:rPr>
                <w:rFonts w:asciiTheme="minorHAnsi" w:hAnsiTheme="minorHAnsi" w:cstheme="minorHAnsi"/>
                <w:b w:val="0"/>
                <w:bCs w:val="0"/>
                <w:sz w:val="20"/>
                <w:szCs w:val="20"/>
              </w:rPr>
              <w:t>; jedná se o maximální</w:t>
            </w:r>
            <w:r w:rsidR="00C656C1">
              <w:rPr>
                <w:rFonts w:asciiTheme="minorHAnsi" w:hAnsiTheme="minorHAnsi" w:cstheme="minorHAnsi"/>
                <w:b w:val="0"/>
                <w:bCs w:val="0"/>
                <w:sz w:val="20"/>
                <w:szCs w:val="20"/>
              </w:rPr>
              <w:t>, nikoliv</w:t>
            </w:r>
            <w:r w:rsidR="003D350C">
              <w:rPr>
                <w:rFonts w:asciiTheme="minorHAnsi" w:hAnsiTheme="minorHAnsi" w:cstheme="minorHAnsi"/>
                <w:b w:val="0"/>
                <w:bCs w:val="0"/>
                <w:sz w:val="20"/>
                <w:szCs w:val="20"/>
              </w:rPr>
              <w:t xml:space="preserve"> konzervativní odhad – automobily nemusí nutně zůstat ve vlastnictví samospráv, ale mohou být převedeny do vlastnictví státní správy spolu s přesunem úředníků</w:t>
            </w:r>
            <w:r w:rsidR="008752B8">
              <w:rPr>
                <w:rFonts w:asciiTheme="minorHAnsi" w:hAnsiTheme="minorHAnsi" w:cstheme="minorHAnsi"/>
                <w:b w:val="0"/>
                <w:bCs w:val="0"/>
                <w:sz w:val="20"/>
                <w:szCs w:val="20"/>
              </w:rPr>
              <w:t xml:space="preserve"> </w:t>
            </w:r>
          </w:p>
        </w:tc>
      </w:tr>
    </w:tbl>
    <w:p w:rsidR="0075491C" w:rsidRDefault="00B914FA" w:rsidP="003E4A5D">
      <w:pPr>
        <w:pStyle w:val="Text-Normaln"/>
        <w:widowControl w:val="0"/>
      </w:pPr>
      <w:r w:rsidRPr="00B914FA">
        <w:t>P</w:t>
      </w:r>
      <w:r>
        <w:t xml:space="preserve">řínosy budou celkově oceněny v závěru hodnotící kapitoly, neboť je </w:t>
      </w:r>
      <w:r w:rsidR="00FC39C3">
        <w:t>ne</w:t>
      </w:r>
      <w:r>
        <w:t xml:space="preserve">lze </w:t>
      </w:r>
      <w:proofErr w:type="spellStart"/>
      <w:r>
        <w:t>rozalokovat</w:t>
      </w:r>
      <w:proofErr w:type="spellEnd"/>
      <w:r>
        <w:t xml:space="preserve"> k jednotlivým systémovým změnám. </w:t>
      </w:r>
      <w:r w:rsidR="0075491C">
        <w:t>Kvalitativně je lze shrnout jako:</w:t>
      </w:r>
    </w:p>
    <w:p w:rsidR="0075491C" w:rsidRDefault="0075491C" w:rsidP="009D4B5F">
      <w:pPr>
        <w:pStyle w:val="Text-Normaln"/>
        <w:widowControl w:val="0"/>
        <w:numPr>
          <w:ilvl w:val="0"/>
          <w:numId w:val="57"/>
        </w:numPr>
        <w:ind w:left="426" w:hanging="426"/>
      </w:pPr>
      <w:r>
        <w:t>Zlepšení koordinace a komunikace mezi úředníky zastupujícími další veřejné zájmy navzájem a se stavebními úřady</w:t>
      </w:r>
      <w:r w:rsidR="004B298F">
        <w:t>.</w:t>
      </w:r>
    </w:p>
    <w:p w:rsidR="0075491C" w:rsidRDefault="0075491C" w:rsidP="009D4B5F">
      <w:pPr>
        <w:pStyle w:val="Text-Normaln"/>
        <w:widowControl w:val="0"/>
        <w:numPr>
          <w:ilvl w:val="0"/>
          <w:numId w:val="57"/>
        </w:numPr>
        <w:ind w:left="426" w:hanging="426"/>
      </w:pPr>
      <w:r>
        <w:t>Vyšší transparentnost systému pro žadatele a časové úspory při mapování, jak řešit životní situaci</w:t>
      </w:r>
      <w:r w:rsidR="004B298F">
        <w:t>.</w:t>
      </w:r>
    </w:p>
    <w:p w:rsidR="0075491C" w:rsidRDefault="0075491C" w:rsidP="009D4B5F">
      <w:pPr>
        <w:pStyle w:val="Text-Normaln"/>
        <w:widowControl w:val="0"/>
        <w:numPr>
          <w:ilvl w:val="0"/>
          <w:numId w:val="57"/>
        </w:numPr>
        <w:ind w:left="426" w:hanging="426"/>
      </w:pPr>
      <w:r>
        <w:t>Jednotné řízení a metodické vedení úřadů = zvýšení právní jistoty u všech dotčených stran</w:t>
      </w:r>
      <w:r w:rsidR="00A51334">
        <w:t>.</w:t>
      </w:r>
    </w:p>
    <w:p w:rsidR="0075491C" w:rsidRDefault="0075491C" w:rsidP="009D4B5F">
      <w:pPr>
        <w:pStyle w:val="Text-Normaln"/>
        <w:widowControl w:val="0"/>
        <w:numPr>
          <w:ilvl w:val="0"/>
          <w:numId w:val="57"/>
        </w:numPr>
        <w:ind w:left="426" w:hanging="426"/>
      </w:pPr>
      <w:r>
        <w:t>Vyšší kvalifikace úředníků = možné snížení počtu formálních/věcných pochybení</w:t>
      </w:r>
      <w:r w:rsidR="00A51334">
        <w:t>.</w:t>
      </w:r>
      <w:r>
        <w:t xml:space="preserve"> </w:t>
      </w:r>
    </w:p>
    <w:p w:rsidR="0075491C" w:rsidRDefault="0075491C" w:rsidP="009D4B5F">
      <w:pPr>
        <w:pStyle w:val="Text-Normaln"/>
        <w:widowControl w:val="0"/>
        <w:numPr>
          <w:ilvl w:val="0"/>
          <w:numId w:val="57"/>
        </w:numPr>
        <w:ind w:left="426" w:hanging="426"/>
      </w:pPr>
      <w:r>
        <w:t>Přínosy v podobě eliminace možné podjatosti</w:t>
      </w:r>
      <w:r w:rsidR="00A51334">
        <w:t>.</w:t>
      </w:r>
      <w:r>
        <w:t xml:space="preserve"> </w:t>
      </w:r>
    </w:p>
    <w:p w:rsidR="0075491C" w:rsidRDefault="0075491C" w:rsidP="009D4B5F">
      <w:pPr>
        <w:pStyle w:val="Text-Normaln"/>
        <w:widowControl w:val="0"/>
        <w:numPr>
          <w:ilvl w:val="0"/>
          <w:numId w:val="57"/>
        </w:numPr>
        <w:ind w:left="426" w:hanging="426"/>
      </w:pPr>
      <w:r>
        <w:t>Odstranění možného konfliktu zájmů</w:t>
      </w:r>
      <w:r w:rsidR="00A51334">
        <w:t>.</w:t>
      </w:r>
    </w:p>
    <w:p w:rsidR="00B914FA" w:rsidRDefault="0075491C" w:rsidP="009D4B5F">
      <w:pPr>
        <w:pStyle w:val="Text-Normaln"/>
        <w:widowControl w:val="0"/>
        <w:numPr>
          <w:ilvl w:val="0"/>
          <w:numId w:val="57"/>
        </w:numPr>
        <w:ind w:left="426" w:hanging="426"/>
      </w:pPr>
      <w:r>
        <w:t>Úspory z</w:t>
      </w:r>
      <w:r w:rsidR="00A51334">
        <w:t> </w:t>
      </w:r>
      <w:r>
        <w:t>rozsahu</w:t>
      </w:r>
      <w:r w:rsidR="00A51334">
        <w:t>.</w:t>
      </w:r>
      <w:r w:rsidR="008752B8">
        <w:t xml:space="preserve"> </w:t>
      </w:r>
    </w:p>
    <w:p w:rsidR="00F13C4C" w:rsidRDefault="00F13C4C" w:rsidP="00533FC0">
      <w:pPr>
        <w:pStyle w:val="Text-Normaln"/>
        <w:widowControl w:val="0"/>
        <w:ind w:left="426"/>
      </w:pPr>
    </w:p>
    <w:p w:rsidR="004F7359" w:rsidRPr="00F8483B" w:rsidRDefault="009F3ED9" w:rsidP="00F75BB5">
      <w:pPr>
        <w:pStyle w:val="Nadpis3a"/>
        <w:widowControl w:val="0"/>
        <w:ind w:left="567" w:hanging="567"/>
      </w:pPr>
      <w:bookmarkStart w:id="54" w:name="_Toc536553918"/>
      <w:r>
        <w:lastRenderedPageBreak/>
        <w:t>Dotčené orgány (</w:t>
      </w:r>
      <w:r w:rsidR="0078162F">
        <w:t>DO</w:t>
      </w:r>
      <w:r>
        <w:t>)</w:t>
      </w:r>
      <w:bookmarkEnd w:id="54"/>
    </w:p>
    <w:p w:rsidR="00913DA2" w:rsidRDefault="00F75BB5" w:rsidP="00F75BB5">
      <w:pPr>
        <w:pStyle w:val="Nadpis3a"/>
        <w:numPr>
          <w:ilvl w:val="0"/>
          <w:numId w:val="0"/>
        </w:numPr>
      </w:pPr>
      <w:bookmarkStart w:id="55" w:name="_Toc536553919"/>
      <w:r>
        <w:t xml:space="preserve">A.2.1. </w:t>
      </w:r>
      <w:r w:rsidR="00913DA2">
        <w:t>Popis současného stavu:</w:t>
      </w:r>
      <w:bookmarkEnd w:id="55"/>
    </w:p>
    <w:p w:rsidR="002769E7" w:rsidRDefault="002769E7" w:rsidP="003E4A5D">
      <w:pPr>
        <w:pStyle w:val="Text-Normaln"/>
        <w:widowControl w:val="0"/>
      </w:pPr>
      <w:r>
        <w:t>S</w:t>
      </w:r>
      <w:r w:rsidRPr="004478CC">
        <w:t xml:space="preserve">tavební úřady postupují ve vzájemné součinnosti s </w:t>
      </w:r>
      <w:r w:rsidR="00A51334">
        <w:t xml:space="preserve">DO </w:t>
      </w:r>
      <w:r w:rsidRPr="004478CC">
        <w:t xml:space="preserve">chránícími veřejné zájmy podle zvláštních právních předpisů. Problematika </w:t>
      </w:r>
      <w:r w:rsidR="00A51334">
        <w:t>DO</w:t>
      </w:r>
      <w:r w:rsidRPr="004478CC">
        <w:t xml:space="preserve"> představuje závažný letitý problém. </w:t>
      </w:r>
      <w:r w:rsidR="007B7978">
        <w:t>Na obrázcích</w:t>
      </w:r>
      <w:r w:rsidRPr="004478CC">
        <w:t xml:space="preserve"> </w:t>
      </w:r>
      <w:r w:rsidR="007B7978">
        <w:t xml:space="preserve">níže </w:t>
      </w:r>
      <w:r w:rsidRPr="004478CC">
        <w:t xml:space="preserve">jsou </w:t>
      </w:r>
      <w:r w:rsidR="00A51334">
        <w:t xml:space="preserve">demonstrativní </w:t>
      </w:r>
      <w:r w:rsidRPr="004478CC">
        <w:t xml:space="preserve">ukázky počtu zákonů a rezortů, v jejichž gesci tyto právní předpisy jsou, a ve kterých je založena působnost správního orgánu jako </w:t>
      </w:r>
      <w:r w:rsidR="00A51334">
        <w:t>DO</w:t>
      </w:r>
      <w:r w:rsidRPr="004478CC">
        <w:t xml:space="preserve"> pro postupy a řízení před stavebním úřadem a v oblasti územního plánování.</w:t>
      </w:r>
      <w:r w:rsidR="007B7978">
        <w:t xml:space="preserve"> </w:t>
      </w:r>
    </w:p>
    <w:p w:rsidR="004A716B" w:rsidRDefault="004A716B" w:rsidP="003E4A5D">
      <w:pPr>
        <w:pStyle w:val="Titulek"/>
      </w:pPr>
      <w:r>
        <w:t xml:space="preserve">Obrázek </w:t>
      </w:r>
      <w:r w:rsidR="00AB65E9">
        <w:rPr>
          <w:noProof/>
        </w:rPr>
        <w:fldChar w:fldCharType="begin"/>
      </w:r>
      <w:r w:rsidR="002F76C3">
        <w:rPr>
          <w:noProof/>
        </w:rPr>
        <w:instrText xml:space="preserve"> SEQ Obrázek \* ARABIC </w:instrText>
      </w:r>
      <w:r w:rsidR="00AB65E9">
        <w:rPr>
          <w:noProof/>
        </w:rPr>
        <w:fldChar w:fldCharType="separate"/>
      </w:r>
      <w:r w:rsidR="00263A1B">
        <w:rPr>
          <w:noProof/>
        </w:rPr>
        <w:t>19</w:t>
      </w:r>
      <w:r w:rsidR="00AB65E9">
        <w:rPr>
          <w:noProof/>
        </w:rPr>
        <w:fldChar w:fldCharType="end"/>
      </w:r>
      <w:r>
        <w:t xml:space="preserve">: </w:t>
      </w:r>
      <w:r w:rsidR="00A51334" w:rsidRPr="00533FC0">
        <w:t xml:space="preserve">Demonstrativní výčet DO, které vstupují do procesu </w:t>
      </w:r>
      <w:r w:rsidRPr="00533FC0">
        <w:t>územního plánování</w:t>
      </w:r>
    </w:p>
    <w:p w:rsidR="00913DA2" w:rsidRDefault="005215A7" w:rsidP="003E4A5D">
      <w:pPr>
        <w:widowControl w:val="0"/>
        <w:rPr>
          <w:noProof/>
          <w:lang w:eastAsia="cs-CZ"/>
        </w:rPr>
      </w:pPr>
      <w:r>
        <w:rPr>
          <w:noProof/>
          <w:lang w:eastAsia="cs-CZ"/>
        </w:rPr>
        <w:drawing>
          <wp:inline distT="0" distB="0" distL="0" distR="0" wp14:anchorId="15BDE55B" wp14:editId="311483F0">
            <wp:extent cx="5715000" cy="5606244"/>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5397" cy="5616443"/>
                    </a:xfrm>
                    <a:prstGeom prst="rect">
                      <a:avLst/>
                    </a:prstGeom>
                    <a:noFill/>
                    <a:ln>
                      <a:noFill/>
                    </a:ln>
                  </pic:spPr>
                </pic:pic>
              </a:graphicData>
            </a:graphic>
          </wp:inline>
        </w:drawing>
      </w:r>
    </w:p>
    <w:p w:rsidR="004A716B" w:rsidRPr="004A716B" w:rsidRDefault="004A716B" w:rsidP="003E4A5D">
      <w:pPr>
        <w:widowControl w:val="0"/>
        <w:rPr>
          <w:rFonts w:eastAsia="Times New Roman"/>
          <w:i/>
          <w:iCs/>
          <w:color w:val="000000"/>
          <w:sz w:val="22"/>
          <w:szCs w:val="20"/>
          <w:lang w:eastAsia="cs-CZ"/>
        </w:rPr>
      </w:pPr>
      <w:r w:rsidRPr="004A716B">
        <w:rPr>
          <w:rFonts w:eastAsia="Times New Roman"/>
          <w:i/>
          <w:iCs/>
          <w:color w:val="000000"/>
          <w:sz w:val="22"/>
          <w:szCs w:val="20"/>
          <w:lang w:eastAsia="cs-CZ"/>
        </w:rPr>
        <w:t>Zdroj: MMR</w:t>
      </w:r>
    </w:p>
    <w:p w:rsidR="008C2D12" w:rsidRDefault="008C2D12" w:rsidP="003E4A5D">
      <w:pPr>
        <w:widowControl w:val="0"/>
      </w:pPr>
    </w:p>
    <w:p w:rsidR="008C2D12" w:rsidRDefault="008C2D12" w:rsidP="003E4A5D">
      <w:pPr>
        <w:widowControl w:val="0"/>
      </w:pPr>
    </w:p>
    <w:p w:rsidR="00B50F2B" w:rsidRDefault="00B50F2B">
      <w:pPr>
        <w:spacing w:before="0" w:after="0"/>
        <w:jc w:val="left"/>
      </w:pPr>
      <w:r>
        <w:br w:type="page"/>
      </w:r>
    </w:p>
    <w:p w:rsidR="004A716B" w:rsidRDefault="004A716B" w:rsidP="00215D45">
      <w:pPr>
        <w:pStyle w:val="Titulek"/>
        <w:ind w:left="1304" w:hanging="1304"/>
      </w:pPr>
      <w:r>
        <w:lastRenderedPageBreak/>
        <w:t xml:space="preserve">Obrázek </w:t>
      </w:r>
      <w:r w:rsidR="00AB65E9">
        <w:rPr>
          <w:noProof/>
        </w:rPr>
        <w:fldChar w:fldCharType="begin"/>
      </w:r>
      <w:r w:rsidR="002F76C3">
        <w:rPr>
          <w:noProof/>
        </w:rPr>
        <w:instrText xml:space="preserve"> SEQ Obrázek \* ARABIC </w:instrText>
      </w:r>
      <w:r w:rsidR="00AB65E9">
        <w:rPr>
          <w:noProof/>
        </w:rPr>
        <w:fldChar w:fldCharType="separate"/>
      </w:r>
      <w:r w:rsidR="00263A1B">
        <w:rPr>
          <w:noProof/>
        </w:rPr>
        <w:t>20</w:t>
      </w:r>
      <w:r w:rsidR="00AB65E9">
        <w:rPr>
          <w:noProof/>
        </w:rPr>
        <w:fldChar w:fldCharType="end"/>
      </w:r>
      <w:r>
        <w:t xml:space="preserve">: </w:t>
      </w:r>
      <w:r w:rsidR="00A51334" w:rsidRPr="00A51334">
        <w:t xml:space="preserve">Demonstrativní výčet DO, které vstupují do procesu </w:t>
      </w:r>
      <w:r>
        <w:t xml:space="preserve">územního rozhodování </w:t>
      </w:r>
      <w:r w:rsidR="00386F70">
        <w:t>a </w:t>
      </w:r>
      <w:r>
        <w:t>stavebního řádu</w:t>
      </w:r>
    </w:p>
    <w:p w:rsidR="00913DA2" w:rsidRDefault="00913DA2" w:rsidP="003E4A5D">
      <w:pPr>
        <w:pStyle w:val="Text-Normaln"/>
        <w:widowControl w:val="0"/>
        <w:rPr>
          <w:b/>
        </w:rPr>
      </w:pPr>
      <w:r>
        <w:rPr>
          <w:noProof/>
          <w:lang w:eastAsia="cs-CZ"/>
        </w:rPr>
        <w:drawing>
          <wp:inline distT="0" distB="0" distL="0" distR="0" wp14:anchorId="7B166AA5" wp14:editId="260641B1">
            <wp:extent cx="5735782" cy="5651552"/>
            <wp:effectExtent l="0" t="0" r="0" b="635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739" cy="5669246"/>
                    </a:xfrm>
                    <a:prstGeom prst="rect">
                      <a:avLst/>
                    </a:prstGeom>
                    <a:noFill/>
                    <a:ln>
                      <a:noFill/>
                    </a:ln>
                  </pic:spPr>
                </pic:pic>
              </a:graphicData>
            </a:graphic>
          </wp:inline>
        </w:drawing>
      </w:r>
    </w:p>
    <w:p w:rsidR="004A716B" w:rsidRPr="004A716B" w:rsidRDefault="004A716B" w:rsidP="003E4A5D">
      <w:pPr>
        <w:widowControl w:val="0"/>
        <w:rPr>
          <w:rFonts w:eastAsia="Times New Roman"/>
          <w:i/>
          <w:iCs/>
          <w:color w:val="000000"/>
          <w:sz w:val="22"/>
          <w:szCs w:val="20"/>
          <w:lang w:eastAsia="cs-CZ"/>
        </w:rPr>
      </w:pPr>
      <w:r w:rsidRPr="004A716B">
        <w:rPr>
          <w:rFonts w:eastAsia="Times New Roman"/>
          <w:i/>
          <w:iCs/>
          <w:color w:val="000000"/>
          <w:sz w:val="22"/>
          <w:szCs w:val="20"/>
          <w:lang w:eastAsia="cs-CZ"/>
        </w:rPr>
        <w:t>Zdroj: MMR</w:t>
      </w:r>
    </w:p>
    <w:p w:rsidR="00F75BB5" w:rsidRDefault="007B7978" w:rsidP="003E4A5D">
      <w:pPr>
        <w:pStyle w:val="Text-Normaln"/>
        <w:widowControl w:val="0"/>
      </w:pPr>
      <w:r w:rsidRPr="007B7978">
        <w:t xml:space="preserve">Většina </w:t>
      </w:r>
      <w:r w:rsidR="0078162F">
        <w:t>DO</w:t>
      </w:r>
      <w:r w:rsidRPr="007B7978">
        <w:t xml:space="preserve"> je </w:t>
      </w:r>
      <w:r w:rsidRPr="001D3B77">
        <w:t xml:space="preserve">soustředěna na </w:t>
      </w:r>
      <w:r w:rsidR="001D3B77" w:rsidRPr="00696E9E">
        <w:t>O</w:t>
      </w:r>
      <w:r w:rsidR="001D3B77" w:rsidRPr="00533FC0">
        <w:t>Ú</w:t>
      </w:r>
      <w:r w:rsidRPr="00533FC0">
        <w:t xml:space="preserve"> </w:t>
      </w:r>
      <w:r w:rsidR="00386F70" w:rsidRPr="000E635F">
        <w:t>ORP</w:t>
      </w:r>
      <w:r w:rsidRPr="000E635F">
        <w:t xml:space="preserve"> a krajských</w:t>
      </w:r>
      <w:r w:rsidRPr="007B7978">
        <w:t xml:space="preserve"> úřadech, tedy </w:t>
      </w:r>
      <w:r w:rsidR="00386F70">
        <w:t xml:space="preserve">na </w:t>
      </w:r>
      <w:r w:rsidR="00386F70" w:rsidRPr="007B7978">
        <w:t>orgá</w:t>
      </w:r>
      <w:r w:rsidR="00386F70">
        <w:t>nech</w:t>
      </w:r>
      <w:r w:rsidR="00386F70" w:rsidRPr="007B7978">
        <w:t xml:space="preserve"> </w:t>
      </w:r>
      <w:r w:rsidRPr="007B7978">
        <w:t>územní</w:t>
      </w:r>
      <w:r w:rsidR="00386F70">
        <w:t>ch samosprávných celků</w:t>
      </w:r>
      <w:r w:rsidRPr="007B7978">
        <w:t>.</w:t>
      </w:r>
    </w:p>
    <w:p w:rsidR="00913DA2" w:rsidRDefault="00F75BB5" w:rsidP="00F75BB5">
      <w:pPr>
        <w:pStyle w:val="Nadpis3a"/>
        <w:numPr>
          <w:ilvl w:val="0"/>
          <w:numId w:val="0"/>
        </w:numPr>
        <w:ind w:left="720" w:hanging="720"/>
      </w:pPr>
      <w:bookmarkStart w:id="56" w:name="_Toc536553920"/>
      <w:r>
        <w:t xml:space="preserve">A.2.2 </w:t>
      </w:r>
      <w:r w:rsidR="006059A5" w:rsidRPr="00F17D93">
        <w:t>Definice problému</w:t>
      </w:r>
      <w:bookmarkEnd w:id="56"/>
    </w:p>
    <w:p w:rsidR="00454029" w:rsidRDefault="00454029" w:rsidP="003E4A5D">
      <w:pPr>
        <w:pStyle w:val="Text-Normaln"/>
        <w:widowControl w:val="0"/>
      </w:pPr>
      <w:r>
        <w:t xml:space="preserve">Nejzávažnější problémy související s postavením </w:t>
      </w:r>
      <w:r w:rsidR="00386F70">
        <w:t>DO</w:t>
      </w:r>
      <w:r>
        <w:t xml:space="preserve"> a jejich vyjadřováním</w:t>
      </w:r>
      <w:r w:rsidR="001D3B77">
        <w:t>,</w:t>
      </w:r>
      <w:r>
        <w:t xml:space="preserve"> nejčastěji formou závazného stanoviska</w:t>
      </w:r>
      <w:r w:rsidR="001D3B77">
        <w:t>,</w:t>
      </w:r>
      <w:r>
        <w:t xml:space="preserve"> jsou následující: </w:t>
      </w:r>
    </w:p>
    <w:p w:rsidR="00454029" w:rsidRDefault="00454029" w:rsidP="009D4B5F">
      <w:pPr>
        <w:pStyle w:val="Text-Normaln"/>
        <w:widowControl w:val="0"/>
        <w:numPr>
          <w:ilvl w:val="0"/>
          <w:numId w:val="39"/>
        </w:numPr>
      </w:pPr>
      <w:r>
        <w:t xml:space="preserve">Počet </w:t>
      </w:r>
      <w:r w:rsidR="00386F70">
        <w:t>DO</w:t>
      </w:r>
    </w:p>
    <w:p w:rsidR="00454029" w:rsidRDefault="00386F70" w:rsidP="003E4A5D">
      <w:pPr>
        <w:pStyle w:val="Text-Normaln"/>
        <w:widowControl w:val="0"/>
        <w:ind w:left="360"/>
      </w:pPr>
      <w:r>
        <w:t>DO</w:t>
      </w:r>
      <w:r w:rsidR="00454029">
        <w:t xml:space="preserve"> je velké množství, postavení </w:t>
      </w:r>
      <w:r>
        <w:t>DO</w:t>
      </w:r>
      <w:r w:rsidR="00454029">
        <w:t xml:space="preserve"> plyne řádově ze 40 zákonů. Jednotlivé zákony často obsahují celou řadu vazeb na stavební zákon, vymezují řadu </w:t>
      </w:r>
      <w:r>
        <w:t>DO</w:t>
      </w:r>
      <w:r w:rsidR="00454029">
        <w:t>, řadu závazných stanovisek</w:t>
      </w:r>
      <w:r w:rsidR="001574B2">
        <w:t>,</w:t>
      </w:r>
      <w:r w:rsidR="00454029">
        <w:t xml:space="preserve"> popř. vyjádření, často ke všem etapám povolování stavebního záměru (umisťování, provádění, užívání). </w:t>
      </w:r>
      <w:r>
        <w:t xml:space="preserve"> </w:t>
      </w:r>
    </w:p>
    <w:p w:rsidR="00454029" w:rsidRDefault="00454029" w:rsidP="009D4B5F">
      <w:pPr>
        <w:pStyle w:val="Text-Normaln"/>
        <w:widowControl w:val="0"/>
        <w:numPr>
          <w:ilvl w:val="0"/>
          <w:numId w:val="39"/>
        </w:numPr>
      </w:pPr>
      <w:r>
        <w:t xml:space="preserve">Vymezení </w:t>
      </w:r>
      <w:r w:rsidR="00386F70">
        <w:t>DO</w:t>
      </w:r>
      <w:r>
        <w:t xml:space="preserve">, jeho působnost a formy vyjadřování </w:t>
      </w:r>
      <w:r w:rsidR="00386F70">
        <w:t xml:space="preserve"> </w:t>
      </w:r>
    </w:p>
    <w:p w:rsidR="00454029" w:rsidRDefault="00454029" w:rsidP="003E4A5D">
      <w:pPr>
        <w:pStyle w:val="Text-Normaln"/>
        <w:widowControl w:val="0"/>
        <w:ind w:left="360"/>
      </w:pPr>
      <w:r>
        <w:t xml:space="preserve">Zákony velmi často nejednoznačně vymezují postavení </w:t>
      </w:r>
      <w:r w:rsidR="00386F70">
        <w:t>DO</w:t>
      </w:r>
      <w:r w:rsidR="00B90B56">
        <w:t>, jeho působnost a </w:t>
      </w:r>
      <w:r>
        <w:t xml:space="preserve">formu pro </w:t>
      </w:r>
      <w:r>
        <w:lastRenderedPageBreak/>
        <w:t>jeho vyjadřování.</w:t>
      </w:r>
      <w:r w:rsidR="003F4ADE">
        <w:t xml:space="preserve"> V jednotlivých zákonech tato forma není často jednoznačně zakotvena</w:t>
      </w:r>
      <w:r w:rsidR="003F4ADE" w:rsidRPr="003F4ADE">
        <w:t xml:space="preserve"> </w:t>
      </w:r>
      <w:r w:rsidR="003F4ADE">
        <w:t>(zda vyjádření nebo závazné stanovisko).</w:t>
      </w:r>
    </w:p>
    <w:p w:rsidR="00454029" w:rsidRDefault="00454029" w:rsidP="009D4B5F">
      <w:pPr>
        <w:pStyle w:val="Text-Normaln"/>
        <w:widowControl w:val="0"/>
        <w:numPr>
          <w:ilvl w:val="0"/>
          <w:numId w:val="39"/>
        </w:numPr>
      </w:pPr>
      <w:r>
        <w:t>Definice veřejného zájmu</w:t>
      </w:r>
    </w:p>
    <w:p w:rsidR="00913DA2" w:rsidRDefault="00454029" w:rsidP="003E4A5D">
      <w:pPr>
        <w:pStyle w:val="Text-Normaln"/>
        <w:widowControl w:val="0"/>
        <w:ind w:left="360"/>
      </w:pPr>
      <w:r>
        <w:t>Jednotlivé zákony často nemají jednoznačně vymezený veřejný zájem, který je dotčen řízeními a postupy podle stavebního zákona. V zákonech není jasně vymezeno</w:t>
      </w:r>
      <w:r w:rsidR="004D056E">
        <w:t>,</w:t>
      </w:r>
      <w:r>
        <w:t xml:space="preserve"> z jakého hlediska (důvodu) se má </w:t>
      </w:r>
      <w:r w:rsidR="00386F70">
        <w:t xml:space="preserve">DO </w:t>
      </w:r>
      <w:r>
        <w:t>k řízení nebo postupu podle stavebního zákona vyjadřovat, nejsou definovány meze jeho správního uvážení.</w:t>
      </w:r>
    </w:p>
    <w:p w:rsidR="00F75BB5" w:rsidRDefault="004D056E" w:rsidP="003E4A5D">
      <w:pPr>
        <w:pStyle w:val="Text-Normaln"/>
        <w:widowControl w:val="0"/>
        <w:numPr>
          <w:ilvl w:val="0"/>
          <w:numId w:val="39"/>
        </w:numPr>
      </w:pPr>
      <w:r>
        <w:t>Problém podjatosti</w:t>
      </w:r>
    </w:p>
    <w:p w:rsidR="007D31C3" w:rsidRPr="0089559F" w:rsidRDefault="007D31C3" w:rsidP="007D31C3">
      <w:pPr>
        <w:pStyle w:val="Text-Normaln"/>
        <w:widowControl w:val="0"/>
      </w:pPr>
    </w:p>
    <w:p w:rsidR="00F75BB5" w:rsidRDefault="007529B5" w:rsidP="007529B5">
      <w:pPr>
        <w:pStyle w:val="Nadpis3a"/>
        <w:numPr>
          <w:ilvl w:val="0"/>
          <w:numId w:val="0"/>
        </w:numPr>
        <w:ind w:left="720" w:hanging="720"/>
      </w:pPr>
      <w:bookmarkStart w:id="57" w:name="_Toc536553921"/>
      <w:r>
        <w:t xml:space="preserve">A.2.3 </w:t>
      </w:r>
      <w:r w:rsidRPr="007529B5">
        <w:t>Hodnocení řešeného věcného okruhu</w:t>
      </w:r>
      <w:bookmarkEnd w:id="57"/>
    </w:p>
    <w:p w:rsidR="006059A5" w:rsidRPr="00E414AC" w:rsidRDefault="006059A5" w:rsidP="003E4A5D">
      <w:pPr>
        <w:pStyle w:val="Text-Normaln"/>
        <w:widowControl w:val="0"/>
        <w:rPr>
          <w:b/>
        </w:rPr>
      </w:pPr>
      <w:r w:rsidRPr="00E414AC">
        <w:rPr>
          <w:b/>
        </w:rPr>
        <w:t>Cíl:</w:t>
      </w:r>
      <w:r w:rsidRPr="00E414AC">
        <w:t xml:space="preserve"> </w:t>
      </w:r>
      <w:r w:rsidR="00D11A60" w:rsidRPr="00D11A60">
        <w:t>Zefektivnit a zrychlit povolovací proces</w:t>
      </w:r>
      <w:r w:rsidR="00D11A60">
        <w:t xml:space="preserve"> bez neadekvátní újmy na míře ochrany jiných veřejných zájmů</w:t>
      </w:r>
    </w:p>
    <w:p w:rsidR="006059A5" w:rsidRPr="00ED4BCB" w:rsidRDefault="006059A5" w:rsidP="003E4A5D">
      <w:pPr>
        <w:pStyle w:val="Text-Normaln"/>
        <w:widowControl w:val="0"/>
        <w:rPr>
          <w:b/>
        </w:rPr>
      </w:pPr>
      <w:r w:rsidRPr="00ED4BCB">
        <w:rPr>
          <w:b/>
        </w:rPr>
        <w:t>Návrh variant řešení:</w:t>
      </w:r>
    </w:p>
    <w:p w:rsidR="006059A5" w:rsidRPr="00E34973" w:rsidRDefault="006059A5" w:rsidP="003E4A5D">
      <w:pPr>
        <w:pStyle w:val="Text-Normaln"/>
        <w:widowControl w:val="0"/>
        <w:rPr>
          <w:i/>
        </w:rPr>
      </w:pPr>
      <w:r w:rsidRPr="00E34973">
        <w:rPr>
          <w:b/>
          <w:i/>
        </w:rPr>
        <w:t>Varianta 0:</w:t>
      </w:r>
      <w:r w:rsidRPr="00E34973">
        <w:rPr>
          <w:i/>
        </w:rPr>
        <w:t xml:space="preserve"> </w:t>
      </w:r>
      <w:r w:rsidR="004A5E67" w:rsidRPr="00E34973">
        <w:rPr>
          <w:i/>
        </w:rPr>
        <w:t>Zachování současného stavu</w:t>
      </w:r>
    </w:p>
    <w:p w:rsidR="006059A5" w:rsidRPr="00E34973" w:rsidRDefault="004A5E67" w:rsidP="003E4A5D">
      <w:pPr>
        <w:pStyle w:val="Text-Normaln"/>
        <w:widowControl w:val="0"/>
        <w:rPr>
          <w:i/>
        </w:rPr>
      </w:pPr>
      <w:r w:rsidRPr="00E34973">
        <w:rPr>
          <w:b/>
          <w:i/>
        </w:rPr>
        <w:t>Varianta 1:</w:t>
      </w:r>
      <w:r w:rsidRPr="00E34973">
        <w:rPr>
          <w:i/>
        </w:rPr>
        <w:t xml:space="preserve"> </w:t>
      </w:r>
      <w:r w:rsidR="004D056E" w:rsidRPr="00E34973">
        <w:rPr>
          <w:i/>
        </w:rPr>
        <w:t xml:space="preserve">Zavedení konzultačních mechanismů </w:t>
      </w:r>
    </w:p>
    <w:p w:rsidR="00913DA2" w:rsidRDefault="004A5E67" w:rsidP="003E4A5D">
      <w:pPr>
        <w:pStyle w:val="Text-Normaln"/>
        <w:widowControl w:val="0"/>
        <w:rPr>
          <w:i/>
        </w:rPr>
      </w:pPr>
      <w:r w:rsidRPr="00E34973">
        <w:rPr>
          <w:b/>
          <w:i/>
        </w:rPr>
        <w:t>Varianta 2:</w:t>
      </w:r>
      <w:r w:rsidRPr="00E34973">
        <w:rPr>
          <w:i/>
        </w:rPr>
        <w:t xml:space="preserve"> </w:t>
      </w:r>
      <w:r w:rsidR="004D056E" w:rsidRPr="00E34973">
        <w:rPr>
          <w:i/>
        </w:rPr>
        <w:t>Zavedení/rozšíření fikce souhlasu (nevyjádř</w:t>
      </w:r>
      <w:r w:rsidR="004D056E">
        <w:rPr>
          <w:i/>
        </w:rPr>
        <w:t>ením se</w:t>
      </w:r>
      <w:r w:rsidR="004D056E" w:rsidRPr="00E34973">
        <w:rPr>
          <w:i/>
        </w:rPr>
        <w:t xml:space="preserve"> ve stanovené lhůtě </w:t>
      </w:r>
      <w:r w:rsidR="004D056E">
        <w:rPr>
          <w:i/>
        </w:rPr>
        <w:t xml:space="preserve">vyslovuje </w:t>
      </w:r>
      <w:r w:rsidR="004D056E" w:rsidRPr="00E34973">
        <w:rPr>
          <w:i/>
        </w:rPr>
        <w:t>příslušný orgán souhlas s navrhovaným záměrem</w:t>
      </w:r>
      <w:r w:rsidR="004D056E">
        <w:rPr>
          <w:i/>
        </w:rPr>
        <w:t>)</w:t>
      </w:r>
    </w:p>
    <w:p w:rsidR="004D056E" w:rsidRPr="00E34973" w:rsidRDefault="004D056E" w:rsidP="003E4A5D">
      <w:pPr>
        <w:pStyle w:val="Text-Normaln"/>
        <w:widowControl w:val="0"/>
        <w:rPr>
          <w:b/>
          <w:i/>
        </w:rPr>
      </w:pPr>
      <w:r w:rsidRPr="00E34973">
        <w:rPr>
          <w:b/>
          <w:i/>
        </w:rPr>
        <w:t xml:space="preserve">Varianta 3: </w:t>
      </w:r>
      <w:r w:rsidRPr="004D056E">
        <w:rPr>
          <w:i/>
        </w:rPr>
        <w:t>Změna závazných stanovisek na formu vyjádření</w:t>
      </w:r>
      <w:r>
        <w:rPr>
          <w:i/>
        </w:rPr>
        <w:t xml:space="preserve"> </w:t>
      </w:r>
    </w:p>
    <w:p w:rsidR="004A5E67" w:rsidRPr="00E34973" w:rsidRDefault="004A5E67" w:rsidP="003E4A5D">
      <w:pPr>
        <w:pStyle w:val="Text-Normaln"/>
        <w:widowControl w:val="0"/>
        <w:rPr>
          <w:b/>
          <w:i/>
        </w:rPr>
      </w:pPr>
      <w:r w:rsidRPr="00E34973">
        <w:rPr>
          <w:b/>
          <w:i/>
        </w:rPr>
        <w:t xml:space="preserve">Varianta </w:t>
      </w:r>
      <w:r w:rsidR="004D056E">
        <w:rPr>
          <w:b/>
          <w:i/>
        </w:rPr>
        <w:t>4</w:t>
      </w:r>
      <w:r w:rsidRPr="00E34973">
        <w:rPr>
          <w:b/>
          <w:i/>
        </w:rPr>
        <w:t xml:space="preserve">: </w:t>
      </w:r>
      <w:r w:rsidR="00E34973" w:rsidRPr="00E34973">
        <w:rPr>
          <w:i/>
        </w:rPr>
        <w:t>I</w:t>
      </w:r>
      <w:r w:rsidR="00346E7C" w:rsidRPr="00E34973">
        <w:rPr>
          <w:i/>
        </w:rPr>
        <w:t xml:space="preserve">ntegrace vybraných agend </w:t>
      </w:r>
      <w:r w:rsidR="0078162F">
        <w:rPr>
          <w:i/>
        </w:rPr>
        <w:t>DO</w:t>
      </w:r>
      <w:r w:rsidR="00346E7C" w:rsidRPr="00E34973">
        <w:rPr>
          <w:i/>
        </w:rPr>
        <w:t xml:space="preserve"> </w:t>
      </w:r>
      <w:proofErr w:type="spellStart"/>
      <w:r w:rsidR="00346E7C" w:rsidRPr="00E34973">
        <w:rPr>
          <w:i/>
        </w:rPr>
        <w:t>do</w:t>
      </w:r>
      <w:proofErr w:type="spellEnd"/>
      <w:r w:rsidR="00346E7C" w:rsidRPr="00E34973">
        <w:rPr>
          <w:i/>
        </w:rPr>
        <w:t xml:space="preserve"> rozhodování stavebního úřadu</w:t>
      </w:r>
    </w:p>
    <w:p w:rsidR="006059A5" w:rsidRPr="00F23969" w:rsidRDefault="006059A5" w:rsidP="003E4A5D">
      <w:pPr>
        <w:pStyle w:val="Text-Normaln"/>
        <w:widowControl w:val="0"/>
        <w:rPr>
          <w:b/>
        </w:rPr>
      </w:pPr>
      <w:r w:rsidRPr="00F23969">
        <w:rPr>
          <w:b/>
        </w:rPr>
        <w:t>Identifikace nákladů a přínosů:</w:t>
      </w:r>
      <w:r w:rsidR="008C2D12">
        <w:rPr>
          <w:b/>
        </w:rPr>
        <w:t xml:space="preserve"> </w:t>
      </w:r>
    </w:p>
    <w:p w:rsidR="004A716B" w:rsidRDefault="004A716B" w:rsidP="003E4A5D">
      <w:pPr>
        <w:pStyle w:val="Titulek"/>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24</w:t>
      </w:r>
      <w:r w:rsidR="00AB65E9">
        <w:rPr>
          <w:noProof/>
        </w:rPr>
        <w:fldChar w:fldCharType="end"/>
      </w:r>
      <w:r>
        <w:t xml:space="preserve">: </w:t>
      </w:r>
      <w:r w:rsidRPr="004A716B">
        <w:t>Identifikace nákladů a přínosů</w:t>
      </w:r>
    </w:p>
    <w:tbl>
      <w:tblPr>
        <w:tblW w:w="0" w:type="auto"/>
        <w:tblInd w:w="108" w:type="dxa"/>
        <w:shd w:val="clear" w:color="auto" w:fill="B6B002"/>
        <w:tblLook w:val="00A0" w:firstRow="1" w:lastRow="0" w:firstColumn="1" w:lastColumn="0" w:noHBand="0" w:noVBand="0"/>
      </w:tblPr>
      <w:tblGrid>
        <w:gridCol w:w="8962"/>
      </w:tblGrid>
      <w:tr w:rsidR="006059A5" w:rsidRPr="00D862A5" w:rsidTr="004A716B">
        <w:tc>
          <w:tcPr>
            <w:tcW w:w="8962" w:type="dxa"/>
            <w:tcBorders>
              <w:top w:val="single" w:sz="4" w:space="0" w:color="auto"/>
              <w:bottom w:val="single" w:sz="4" w:space="0" w:color="auto"/>
            </w:tcBorders>
            <w:shd w:val="clear" w:color="auto" w:fill="D9D9D9" w:themeFill="background1" w:themeFillShade="D9"/>
            <w:vAlign w:val="center"/>
          </w:tcPr>
          <w:p w:rsidR="006059A5" w:rsidRPr="00D862A5" w:rsidRDefault="006059A5" w:rsidP="003E4A5D">
            <w:pPr>
              <w:widowControl w:val="0"/>
              <w:spacing w:before="0" w:after="0"/>
              <w:jc w:val="left"/>
              <w:rPr>
                <w:rFonts w:asciiTheme="minorHAnsi" w:hAnsiTheme="minorHAnsi"/>
                <w:b/>
                <w:color w:val="000000"/>
                <w:sz w:val="20"/>
                <w:szCs w:val="20"/>
              </w:rPr>
            </w:pPr>
            <w:r w:rsidRPr="00D862A5">
              <w:rPr>
                <w:rFonts w:asciiTheme="minorHAnsi" w:hAnsiTheme="minorHAnsi"/>
                <w:b/>
                <w:color w:val="000000"/>
                <w:sz w:val="20"/>
                <w:szCs w:val="20"/>
              </w:rPr>
              <w:t>Náklady</w:t>
            </w:r>
          </w:p>
        </w:tc>
      </w:tr>
      <w:tr w:rsidR="00F23892" w:rsidRPr="00D862A5" w:rsidTr="004A716B">
        <w:tc>
          <w:tcPr>
            <w:tcW w:w="8962" w:type="dxa"/>
            <w:tcBorders>
              <w:top w:val="single" w:sz="4" w:space="0" w:color="auto"/>
              <w:bottom w:val="single" w:sz="4" w:space="0" w:color="auto"/>
            </w:tcBorders>
            <w:shd w:val="clear" w:color="auto" w:fill="auto"/>
            <w:vAlign w:val="center"/>
          </w:tcPr>
          <w:p w:rsidR="00F23892" w:rsidRPr="00D862A5" w:rsidRDefault="00F23892" w:rsidP="003E4A5D">
            <w:pPr>
              <w:pStyle w:val="Odstavecseseznamem"/>
              <w:widowControl w:val="0"/>
              <w:numPr>
                <w:ilvl w:val="0"/>
                <w:numId w:val="28"/>
              </w:numPr>
              <w:spacing w:before="0" w:after="0"/>
              <w:rPr>
                <w:rFonts w:asciiTheme="minorHAnsi" w:hAnsiTheme="minorHAnsi"/>
                <w:color w:val="000000"/>
                <w:sz w:val="20"/>
                <w:szCs w:val="20"/>
              </w:rPr>
            </w:pPr>
            <w:r w:rsidRPr="00D862A5">
              <w:rPr>
                <w:rFonts w:asciiTheme="minorHAnsi" w:hAnsiTheme="minorHAnsi"/>
                <w:sz w:val="20"/>
                <w:szCs w:val="20"/>
              </w:rPr>
              <w:t xml:space="preserve">V případě zavedení Varianty 1 žádné výrazné náklady </w:t>
            </w:r>
            <w:r w:rsidR="000A499D">
              <w:rPr>
                <w:rFonts w:asciiTheme="minorHAnsi" w:hAnsiTheme="minorHAnsi"/>
                <w:sz w:val="20"/>
                <w:szCs w:val="20"/>
              </w:rPr>
              <w:t>se neočekávají</w:t>
            </w:r>
          </w:p>
          <w:p w:rsidR="00E44F0F" w:rsidRPr="00D862A5" w:rsidRDefault="00F23892" w:rsidP="000A499D">
            <w:pPr>
              <w:pStyle w:val="Odstavecseseznamem"/>
              <w:widowControl w:val="0"/>
              <w:numPr>
                <w:ilvl w:val="0"/>
                <w:numId w:val="28"/>
              </w:numPr>
              <w:spacing w:before="0" w:after="0"/>
              <w:rPr>
                <w:rFonts w:asciiTheme="minorHAnsi" w:hAnsiTheme="minorHAnsi"/>
                <w:color w:val="000000"/>
                <w:sz w:val="20"/>
                <w:szCs w:val="20"/>
              </w:rPr>
            </w:pPr>
            <w:r w:rsidRPr="00D862A5">
              <w:rPr>
                <w:rFonts w:asciiTheme="minorHAnsi" w:hAnsiTheme="minorHAnsi"/>
                <w:sz w:val="20"/>
                <w:szCs w:val="20"/>
              </w:rPr>
              <w:t xml:space="preserve">V případě zavedení Varianty 2 </w:t>
            </w:r>
            <w:r w:rsidR="00F31AD3" w:rsidRPr="00D862A5">
              <w:rPr>
                <w:rFonts w:asciiTheme="minorHAnsi" w:hAnsiTheme="minorHAnsi"/>
                <w:sz w:val="20"/>
                <w:szCs w:val="20"/>
              </w:rPr>
              <w:t xml:space="preserve">může nastat případ, že se </w:t>
            </w:r>
            <w:r w:rsidR="0078162F">
              <w:rPr>
                <w:rFonts w:asciiTheme="minorHAnsi" w:hAnsiTheme="minorHAnsi"/>
                <w:sz w:val="20"/>
                <w:szCs w:val="20"/>
              </w:rPr>
              <w:t>DO</w:t>
            </w:r>
            <w:r w:rsidR="00F31AD3" w:rsidRPr="00D862A5">
              <w:rPr>
                <w:rFonts w:asciiTheme="minorHAnsi" w:hAnsiTheme="minorHAnsi"/>
                <w:sz w:val="20"/>
                <w:szCs w:val="20"/>
              </w:rPr>
              <w:t xml:space="preserve"> nestihne z důvodu velkého zatížení vyjádř</w:t>
            </w:r>
            <w:r w:rsidR="0043230B">
              <w:rPr>
                <w:rFonts w:asciiTheme="minorHAnsi" w:hAnsiTheme="minorHAnsi"/>
                <w:sz w:val="20"/>
                <w:szCs w:val="20"/>
              </w:rPr>
              <w:t>it</w:t>
            </w:r>
            <w:r w:rsidR="00F31AD3" w:rsidRPr="00D862A5">
              <w:rPr>
                <w:rFonts w:asciiTheme="minorHAnsi" w:hAnsiTheme="minorHAnsi"/>
                <w:sz w:val="20"/>
                <w:szCs w:val="20"/>
              </w:rPr>
              <w:t xml:space="preserve"> a tím de facto vysloví souhlas, i když by se jinak vyjádřil negativně. V důsledku fikce souhlasu pak může být realizován záměr, který neadekvátně poškodí určitý veřejný zájem. </w:t>
            </w:r>
            <w:r w:rsidR="000A499D">
              <w:rPr>
                <w:rFonts w:asciiTheme="minorHAnsi" w:hAnsiTheme="minorHAnsi"/>
                <w:sz w:val="20"/>
                <w:szCs w:val="20"/>
              </w:rPr>
              <w:t>Nelze předpokládat</w:t>
            </w:r>
            <w:r w:rsidR="00F31AD3" w:rsidRPr="00D862A5">
              <w:rPr>
                <w:rFonts w:asciiTheme="minorHAnsi" w:hAnsiTheme="minorHAnsi"/>
                <w:sz w:val="20"/>
                <w:szCs w:val="20"/>
              </w:rPr>
              <w:t xml:space="preserve">, že by tato situace byla častá, neboť i) </w:t>
            </w:r>
            <w:r w:rsidR="0078162F">
              <w:rPr>
                <w:rFonts w:asciiTheme="minorHAnsi" w:hAnsiTheme="minorHAnsi"/>
                <w:sz w:val="20"/>
                <w:szCs w:val="20"/>
              </w:rPr>
              <w:t>DO</w:t>
            </w:r>
            <w:r w:rsidR="00F31AD3" w:rsidRPr="00D862A5">
              <w:rPr>
                <w:rFonts w:asciiTheme="minorHAnsi" w:hAnsiTheme="minorHAnsi"/>
                <w:sz w:val="20"/>
                <w:szCs w:val="20"/>
              </w:rPr>
              <w:t xml:space="preserve"> na druhém konci ubyde práce, neboť nebudou muset vydávat souhlasná stanoviska, pokud nechají uplynout stanovenou lhůtu, </w:t>
            </w:r>
            <w:proofErr w:type="spellStart"/>
            <w:r w:rsidR="00F31AD3" w:rsidRPr="00D862A5">
              <w:rPr>
                <w:rFonts w:asciiTheme="minorHAnsi" w:hAnsiTheme="minorHAnsi"/>
                <w:sz w:val="20"/>
                <w:szCs w:val="20"/>
              </w:rPr>
              <w:t>ii</w:t>
            </w:r>
            <w:proofErr w:type="spellEnd"/>
            <w:r w:rsidR="00F31AD3" w:rsidRPr="00D862A5">
              <w:rPr>
                <w:rFonts w:asciiTheme="minorHAnsi" w:hAnsiTheme="minorHAnsi"/>
                <w:sz w:val="20"/>
                <w:szCs w:val="20"/>
              </w:rPr>
              <w:t xml:space="preserve">) nástroj bude působit motivačně a zvýší </w:t>
            </w:r>
            <w:r w:rsidR="00686D84">
              <w:rPr>
                <w:rFonts w:asciiTheme="minorHAnsi" w:hAnsiTheme="minorHAnsi"/>
                <w:sz w:val="20"/>
                <w:szCs w:val="20"/>
              </w:rPr>
              <w:t>například</w:t>
            </w:r>
            <w:r w:rsidR="00F31AD3" w:rsidRPr="00D862A5">
              <w:rPr>
                <w:rFonts w:asciiTheme="minorHAnsi" w:hAnsiTheme="minorHAnsi"/>
                <w:sz w:val="20"/>
                <w:szCs w:val="20"/>
              </w:rPr>
              <w:t xml:space="preserve"> kvalitu plánování a procesního řízení na úřadech </w:t>
            </w:r>
            <w:r w:rsidR="0078162F">
              <w:rPr>
                <w:rFonts w:asciiTheme="minorHAnsi" w:hAnsiTheme="minorHAnsi"/>
                <w:sz w:val="20"/>
                <w:szCs w:val="20"/>
              </w:rPr>
              <w:t>DO</w:t>
            </w:r>
            <w:r w:rsidR="00E44F0F" w:rsidRPr="00D862A5">
              <w:rPr>
                <w:rFonts w:asciiTheme="minorHAnsi" w:hAnsiTheme="minorHAnsi"/>
                <w:sz w:val="20"/>
                <w:szCs w:val="20"/>
              </w:rPr>
              <w:t xml:space="preserve">. </w:t>
            </w:r>
            <w:r w:rsidR="000A499D" w:rsidRPr="000A499D">
              <w:rPr>
                <w:rFonts w:asciiTheme="minorHAnsi" w:hAnsiTheme="minorHAnsi"/>
                <w:sz w:val="20"/>
                <w:szCs w:val="20"/>
              </w:rPr>
              <w:t>Nelze předpokládat</w:t>
            </w:r>
            <w:r w:rsidR="00E44F0F" w:rsidRPr="00D862A5">
              <w:rPr>
                <w:rFonts w:asciiTheme="minorHAnsi" w:hAnsiTheme="minorHAnsi"/>
                <w:sz w:val="20"/>
                <w:szCs w:val="20"/>
              </w:rPr>
              <w:t>, že by se z tohoto titulu zvýšil počet negativních vyjádření (tj. úřad raději řekne ne, než by promeškal lhůtu), protože nesouhlas musí být podložen řádnými zákonnými důvody</w:t>
            </w:r>
            <w:r w:rsidR="00E44F0F" w:rsidRPr="00D862A5">
              <w:rPr>
                <w:rFonts w:asciiTheme="minorHAnsi" w:hAnsiTheme="minorHAnsi"/>
                <w:color w:val="000000"/>
                <w:sz w:val="20"/>
                <w:szCs w:val="20"/>
              </w:rPr>
              <w:t>.</w:t>
            </w:r>
            <w:r w:rsidR="000A499D">
              <w:rPr>
                <w:rFonts w:asciiTheme="minorHAnsi" w:hAnsiTheme="minorHAnsi"/>
                <w:color w:val="000000"/>
                <w:sz w:val="20"/>
                <w:szCs w:val="20"/>
              </w:rPr>
              <w:t xml:space="preserve"> </w:t>
            </w:r>
          </w:p>
          <w:p w:rsidR="00F31AD3" w:rsidRPr="00D862A5" w:rsidRDefault="00F31AD3" w:rsidP="003E4A5D">
            <w:pPr>
              <w:pStyle w:val="Odstavecseseznamem"/>
              <w:widowControl w:val="0"/>
              <w:numPr>
                <w:ilvl w:val="0"/>
                <w:numId w:val="28"/>
              </w:numPr>
              <w:spacing w:before="0" w:after="0"/>
              <w:rPr>
                <w:rFonts w:asciiTheme="minorHAnsi" w:hAnsiTheme="minorHAnsi"/>
                <w:color w:val="000000"/>
                <w:sz w:val="20"/>
                <w:szCs w:val="20"/>
              </w:rPr>
            </w:pPr>
            <w:r w:rsidRPr="00D862A5">
              <w:rPr>
                <w:rFonts w:asciiTheme="minorHAnsi" w:hAnsiTheme="minorHAnsi"/>
                <w:color w:val="000000"/>
                <w:sz w:val="20"/>
                <w:szCs w:val="20"/>
              </w:rPr>
              <w:t xml:space="preserve">Varianta 3 – náklad ve formě případných škod, pokud stavební úřad nesprávně vyhodnotí </w:t>
            </w:r>
            <w:r w:rsidR="00686D84">
              <w:rPr>
                <w:rFonts w:asciiTheme="minorHAnsi" w:hAnsiTheme="minorHAnsi"/>
                <w:color w:val="000000"/>
                <w:sz w:val="20"/>
                <w:szCs w:val="20"/>
              </w:rPr>
              <w:t>například</w:t>
            </w:r>
            <w:r w:rsidRPr="00D862A5">
              <w:rPr>
                <w:rFonts w:asciiTheme="minorHAnsi" w:hAnsiTheme="minorHAnsi"/>
                <w:color w:val="000000"/>
                <w:sz w:val="20"/>
                <w:szCs w:val="20"/>
              </w:rPr>
              <w:t xml:space="preserve"> dvě protichůdná stanoviska, nepodaří se mu vyjednáváním najít společné řešení a rozhodne v neprospěch jednoho </w:t>
            </w:r>
            <w:r w:rsidR="0078162F">
              <w:rPr>
                <w:rFonts w:asciiTheme="minorHAnsi" w:hAnsiTheme="minorHAnsi"/>
                <w:color w:val="000000"/>
                <w:sz w:val="20"/>
                <w:szCs w:val="20"/>
              </w:rPr>
              <w:t>DO</w:t>
            </w:r>
            <w:r w:rsidR="00031AA3" w:rsidRPr="00D862A5">
              <w:rPr>
                <w:rFonts w:asciiTheme="minorHAnsi" w:hAnsiTheme="minorHAnsi"/>
                <w:color w:val="000000"/>
                <w:sz w:val="20"/>
                <w:szCs w:val="20"/>
              </w:rPr>
              <w:t>; rozhodující úředník bude cítit větší odpovědnost = bude třeba pozitivní motivace, aby na stavebních úřadech pracovali zkušení</w:t>
            </w:r>
            <w:r w:rsidR="00EC07EF">
              <w:rPr>
                <w:rFonts w:asciiTheme="minorHAnsi" w:hAnsiTheme="minorHAnsi"/>
                <w:color w:val="000000"/>
                <w:sz w:val="20"/>
                <w:szCs w:val="20"/>
              </w:rPr>
              <w:t>, kvalifikovaní</w:t>
            </w:r>
            <w:r w:rsidR="00031AA3" w:rsidRPr="00D862A5">
              <w:rPr>
                <w:rFonts w:asciiTheme="minorHAnsi" w:hAnsiTheme="minorHAnsi"/>
                <w:color w:val="000000"/>
                <w:sz w:val="20"/>
                <w:szCs w:val="20"/>
              </w:rPr>
              <w:t xml:space="preserve"> a věci znalí odborníci, kteří se nebudou bát rozhodnout. </w:t>
            </w:r>
          </w:p>
          <w:p w:rsidR="00F31AD3" w:rsidRPr="00D862A5" w:rsidRDefault="00F31AD3" w:rsidP="003E4A5D">
            <w:pPr>
              <w:pStyle w:val="Odstavecseseznamem"/>
              <w:widowControl w:val="0"/>
              <w:numPr>
                <w:ilvl w:val="0"/>
                <w:numId w:val="28"/>
              </w:numPr>
              <w:spacing w:before="0" w:after="0"/>
              <w:rPr>
                <w:rFonts w:asciiTheme="minorHAnsi" w:hAnsiTheme="minorHAnsi"/>
                <w:color w:val="000000"/>
                <w:sz w:val="20"/>
                <w:szCs w:val="20"/>
              </w:rPr>
            </w:pPr>
            <w:r w:rsidRPr="00D862A5">
              <w:rPr>
                <w:rFonts w:asciiTheme="minorHAnsi" w:hAnsiTheme="minorHAnsi"/>
                <w:color w:val="000000"/>
                <w:sz w:val="20"/>
                <w:szCs w:val="20"/>
              </w:rPr>
              <w:t xml:space="preserve">Varianta 4 – náklady na převedení příslušných zaměstnanců samospráv pod </w:t>
            </w:r>
            <w:r w:rsidR="007A7FB3" w:rsidRPr="00D862A5">
              <w:rPr>
                <w:rFonts w:asciiTheme="minorHAnsi" w:hAnsiTheme="minorHAnsi"/>
                <w:color w:val="000000"/>
                <w:sz w:val="20"/>
                <w:szCs w:val="20"/>
              </w:rPr>
              <w:t>rezort NSÚ</w:t>
            </w:r>
          </w:p>
        </w:tc>
      </w:tr>
      <w:tr w:rsidR="00F23892" w:rsidRPr="00D862A5" w:rsidTr="004A716B">
        <w:tc>
          <w:tcPr>
            <w:tcW w:w="8962" w:type="dxa"/>
            <w:tcBorders>
              <w:top w:val="single" w:sz="4" w:space="0" w:color="auto"/>
              <w:bottom w:val="single" w:sz="4" w:space="0" w:color="auto"/>
            </w:tcBorders>
            <w:shd w:val="clear" w:color="auto" w:fill="D9D9D9" w:themeFill="background1" w:themeFillShade="D9"/>
            <w:vAlign w:val="center"/>
          </w:tcPr>
          <w:p w:rsidR="00F23892" w:rsidRPr="00D862A5" w:rsidRDefault="00F23892" w:rsidP="003E4A5D">
            <w:pPr>
              <w:widowControl w:val="0"/>
              <w:spacing w:before="0" w:after="0"/>
              <w:rPr>
                <w:rFonts w:asciiTheme="minorHAnsi" w:hAnsiTheme="minorHAnsi"/>
                <w:b/>
                <w:color w:val="000000"/>
                <w:sz w:val="20"/>
                <w:szCs w:val="20"/>
              </w:rPr>
            </w:pPr>
            <w:r w:rsidRPr="00D862A5">
              <w:rPr>
                <w:rFonts w:asciiTheme="minorHAnsi" w:hAnsiTheme="minorHAnsi"/>
                <w:b/>
                <w:color w:val="000000"/>
                <w:sz w:val="20"/>
                <w:szCs w:val="20"/>
              </w:rPr>
              <w:t>Přínosy</w:t>
            </w:r>
          </w:p>
        </w:tc>
      </w:tr>
      <w:tr w:rsidR="00F23892" w:rsidRPr="00D862A5" w:rsidTr="004A716B">
        <w:tc>
          <w:tcPr>
            <w:tcW w:w="8962" w:type="dxa"/>
            <w:tcBorders>
              <w:top w:val="single" w:sz="4" w:space="0" w:color="auto"/>
              <w:bottom w:val="single" w:sz="4" w:space="0" w:color="auto"/>
            </w:tcBorders>
            <w:shd w:val="clear" w:color="auto" w:fill="FFFFFF" w:themeFill="background1"/>
            <w:vAlign w:val="center"/>
          </w:tcPr>
          <w:p w:rsidR="007A7FB3" w:rsidRPr="00D862A5" w:rsidRDefault="00F23892" w:rsidP="003E4A5D">
            <w:pPr>
              <w:pStyle w:val="Odstavecseseznamem"/>
              <w:widowControl w:val="0"/>
              <w:numPr>
                <w:ilvl w:val="0"/>
                <w:numId w:val="28"/>
              </w:numPr>
              <w:spacing w:before="0" w:after="0"/>
              <w:rPr>
                <w:rFonts w:asciiTheme="minorHAnsi" w:hAnsiTheme="minorHAnsi"/>
                <w:sz w:val="20"/>
                <w:szCs w:val="20"/>
              </w:rPr>
            </w:pPr>
            <w:r w:rsidRPr="00D862A5">
              <w:rPr>
                <w:rFonts w:asciiTheme="minorHAnsi" w:hAnsiTheme="minorHAnsi"/>
                <w:sz w:val="20"/>
                <w:szCs w:val="20"/>
              </w:rPr>
              <w:t xml:space="preserve">Varianta 1 - provedení konzultací nebo jejich povinnost pro vybrané nebo určené záměry by měla zkrátit dobu projednávání a zefektivnit a zkvalitnit přípravu na straně investora s ohledem na </w:t>
            </w:r>
            <w:r w:rsidR="007A7FB3" w:rsidRPr="00D862A5">
              <w:rPr>
                <w:rFonts w:asciiTheme="minorHAnsi" w:hAnsiTheme="minorHAnsi"/>
                <w:sz w:val="20"/>
                <w:szCs w:val="20"/>
              </w:rPr>
              <w:t>poznání</w:t>
            </w:r>
            <w:r w:rsidRPr="00D862A5">
              <w:rPr>
                <w:rFonts w:asciiTheme="minorHAnsi" w:hAnsiTheme="minorHAnsi"/>
                <w:sz w:val="20"/>
                <w:szCs w:val="20"/>
              </w:rPr>
              <w:t xml:space="preserve"> podmínek a požadavků </w:t>
            </w:r>
            <w:r w:rsidR="0078162F">
              <w:rPr>
                <w:rFonts w:asciiTheme="minorHAnsi" w:hAnsiTheme="minorHAnsi"/>
                <w:sz w:val="20"/>
                <w:szCs w:val="20"/>
              </w:rPr>
              <w:t>DO</w:t>
            </w:r>
            <w:r w:rsidRPr="00D862A5">
              <w:rPr>
                <w:rFonts w:asciiTheme="minorHAnsi" w:hAnsiTheme="minorHAnsi"/>
                <w:sz w:val="20"/>
                <w:szCs w:val="20"/>
              </w:rPr>
              <w:t xml:space="preserve"> i příslušného stavebního úřadu. </w:t>
            </w:r>
            <w:r w:rsidR="007A7FB3" w:rsidRPr="00D862A5">
              <w:rPr>
                <w:rFonts w:asciiTheme="minorHAnsi" w:hAnsiTheme="minorHAnsi"/>
                <w:sz w:val="20"/>
                <w:szCs w:val="20"/>
              </w:rPr>
              <w:t xml:space="preserve">Přínosy ze zavedení této varianty jsou však obtížně vyčíslitelné. I v současné době je možné konzultovat. Nedomníváme se proto, že by bylo nutné tuto povinnost výslovně stanovit do textu zákona, protože není zcela zřejmé, jak by tato povinnost mohla být implementována a její splnění posuzováno. </w:t>
            </w:r>
            <w:r w:rsidR="000A499D">
              <w:rPr>
                <w:rFonts w:asciiTheme="minorHAnsi" w:hAnsiTheme="minorHAnsi"/>
                <w:sz w:val="20"/>
                <w:szCs w:val="20"/>
              </w:rPr>
              <w:t xml:space="preserve">Je vhodné </w:t>
            </w:r>
            <w:proofErr w:type="spellStart"/>
            <w:r w:rsidR="000A499D">
              <w:rPr>
                <w:rFonts w:asciiTheme="minorHAnsi" w:hAnsiTheme="minorHAnsi"/>
                <w:sz w:val="20"/>
                <w:szCs w:val="20"/>
              </w:rPr>
              <w:t>ponecht</w:t>
            </w:r>
            <w:proofErr w:type="spellEnd"/>
            <w:r w:rsidR="007A7FB3" w:rsidRPr="00D862A5">
              <w:rPr>
                <w:rFonts w:asciiTheme="minorHAnsi" w:hAnsiTheme="minorHAnsi"/>
                <w:sz w:val="20"/>
                <w:szCs w:val="20"/>
              </w:rPr>
              <w:t xml:space="preserve"> využití konzultačních mechanismů na dobrovolné bázi s návrhem příkladné podpory této praxe ze strany MMR (školení, zviditelňování úspěšných případů a </w:t>
            </w:r>
            <w:proofErr w:type="spellStart"/>
            <w:r w:rsidR="007A7FB3" w:rsidRPr="00D862A5">
              <w:rPr>
                <w:rFonts w:asciiTheme="minorHAnsi" w:hAnsiTheme="minorHAnsi"/>
                <w:sz w:val="20"/>
                <w:szCs w:val="20"/>
              </w:rPr>
              <w:t>best</w:t>
            </w:r>
            <w:proofErr w:type="spellEnd"/>
            <w:r w:rsidR="007A7FB3" w:rsidRPr="00D862A5">
              <w:rPr>
                <w:rFonts w:asciiTheme="minorHAnsi" w:hAnsiTheme="minorHAnsi"/>
                <w:sz w:val="20"/>
                <w:szCs w:val="20"/>
              </w:rPr>
              <w:t xml:space="preserve"> </w:t>
            </w:r>
            <w:proofErr w:type="spellStart"/>
            <w:r w:rsidR="007A7FB3" w:rsidRPr="00D862A5">
              <w:rPr>
                <w:rFonts w:asciiTheme="minorHAnsi" w:hAnsiTheme="minorHAnsi"/>
                <w:sz w:val="20"/>
                <w:szCs w:val="20"/>
              </w:rPr>
              <w:t>practice</w:t>
            </w:r>
            <w:proofErr w:type="spellEnd"/>
            <w:r w:rsidR="007A7FB3" w:rsidRPr="00D862A5">
              <w:rPr>
                <w:rFonts w:asciiTheme="minorHAnsi" w:hAnsiTheme="minorHAnsi"/>
                <w:sz w:val="20"/>
                <w:szCs w:val="20"/>
              </w:rPr>
              <w:t xml:space="preserve"> apod.).</w:t>
            </w:r>
          </w:p>
          <w:p w:rsidR="00F23892" w:rsidRPr="00D862A5" w:rsidRDefault="000E76F8" w:rsidP="00854F38">
            <w:pPr>
              <w:pStyle w:val="Odstavecseseznamem"/>
              <w:widowControl w:val="0"/>
              <w:numPr>
                <w:ilvl w:val="0"/>
                <w:numId w:val="28"/>
              </w:numPr>
              <w:spacing w:before="0" w:after="0"/>
              <w:rPr>
                <w:rFonts w:asciiTheme="minorHAnsi" w:hAnsiTheme="minorHAnsi"/>
                <w:sz w:val="20"/>
                <w:szCs w:val="20"/>
              </w:rPr>
            </w:pPr>
            <w:r>
              <w:rPr>
                <w:rFonts w:asciiTheme="minorHAnsi" w:hAnsiTheme="minorHAnsi"/>
                <w:sz w:val="20"/>
                <w:szCs w:val="20"/>
              </w:rPr>
              <w:t>Varianta 2 - s</w:t>
            </w:r>
            <w:r w:rsidR="00F23892" w:rsidRPr="00D862A5">
              <w:rPr>
                <w:rFonts w:asciiTheme="minorHAnsi" w:hAnsiTheme="minorHAnsi"/>
                <w:sz w:val="20"/>
                <w:szCs w:val="20"/>
              </w:rPr>
              <w:t xml:space="preserve">tanovení fikce souhlasu by napomohlo zkrácení povolovacího procesu. Toto zkrácení </w:t>
            </w:r>
            <w:r w:rsidR="00031AA3" w:rsidRPr="00D862A5">
              <w:rPr>
                <w:rFonts w:asciiTheme="minorHAnsi" w:hAnsiTheme="minorHAnsi"/>
                <w:sz w:val="20"/>
                <w:szCs w:val="20"/>
              </w:rPr>
              <w:t xml:space="preserve">lze </w:t>
            </w:r>
            <w:r w:rsidR="00031AA3" w:rsidRPr="00D862A5">
              <w:rPr>
                <w:rFonts w:asciiTheme="minorHAnsi" w:hAnsiTheme="minorHAnsi"/>
                <w:sz w:val="20"/>
                <w:szCs w:val="20"/>
              </w:rPr>
              <w:lastRenderedPageBreak/>
              <w:t>odhadnout v řádech</w:t>
            </w:r>
            <w:r w:rsidR="00F23892" w:rsidRPr="00D862A5">
              <w:rPr>
                <w:rFonts w:asciiTheme="minorHAnsi" w:hAnsiTheme="minorHAnsi"/>
                <w:sz w:val="20"/>
                <w:szCs w:val="20"/>
              </w:rPr>
              <w:t xml:space="preserve"> měsíců u nejproblematičtějších záměrů. Zároveň by toto opatření snížilo administrativní náročnost procesu vydávání stanovisek. </w:t>
            </w:r>
            <w:r w:rsidR="00EC07EF">
              <w:rPr>
                <w:rFonts w:asciiTheme="minorHAnsi" w:hAnsiTheme="minorHAnsi"/>
                <w:sz w:val="20"/>
                <w:szCs w:val="20"/>
              </w:rPr>
              <w:t>Přínos v podobě p</w:t>
            </w:r>
            <w:r w:rsidR="00F23892" w:rsidRPr="00D862A5">
              <w:rPr>
                <w:rFonts w:asciiTheme="minorHAnsi" w:hAnsiTheme="minorHAnsi"/>
                <w:sz w:val="20"/>
                <w:szCs w:val="20"/>
              </w:rPr>
              <w:t>okles</w:t>
            </w:r>
            <w:r w:rsidR="00EC07EF">
              <w:rPr>
                <w:rFonts w:asciiTheme="minorHAnsi" w:hAnsiTheme="minorHAnsi"/>
                <w:sz w:val="20"/>
                <w:szCs w:val="20"/>
              </w:rPr>
              <w:t>u</w:t>
            </w:r>
            <w:r w:rsidR="00F23892" w:rsidRPr="00D862A5">
              <w:rPr>
                <w:rFonts w:asciiTheme="minorHAnsi" w:hAnsiTheme="minorHAnsi"/>
                <w:sz w:val="20"/>
                <w:szCs w:val="20"/>
              </w:rPr>
              <w:t xml:space="preserve"> těchto nákladů lze odhadnout jako počet vydaných stanovisek násobený administrat</w:t>
            </w:r>
            <w:r w:rsidR="00B90B56">
              <w:rPr>
                <w:rFonts w:asciiTheme="minorHAnsi" w:hAnsiTheme="minorHAnsi"/>
                <w:sz w:val="20"/>
                <w:szCs w:val="20"/>
              </w:rPr>
              <w:t>ivní náročností jejich vydání a </w:t>
            </w:r>
            <w:r w:rsidR="00F23892" w:rsidRPr="00D862A5">
              <w:rPr>
                <w:rFonts w:asciiTheme="minorHAnsi" w:hAnsiTheme="minorHAnsi"/>
                <w:sz w:val="20"/>
                <w:szCs w:val="20"/>
              </w:rPr>
              <w:t xml:space="preserve">procentem případů, ve kterých by </w:t>
            </w:r>
            <w:r w:rsidR="00854F38" w:rsidRPr="00854F38">
              <w:rPr>
                <w:rFonts w:asciiTheme="minorHAnsi" w:hAnsiTheme="minorHAnsi"/>
                <w:sz w:val="20"/>
                <w:szCs w:val="20"/>
              </w:rPr>
              <w:t>DO</w:t>
            </w:r>
            <w:r w:rsidR="00F23892" w:rsidRPr="00D862A5">
              <w:rPr>
                <w:rFonts w:asciiTheme="minorHAnsi" w:hAnsiTheme="minorHAnsi"/>
                <w:sz w:val="20"/>
                <w:szCs w:val="20"/>
              </w:rPr>
              <w:t xml:space="preserve"> souhlasil a stanovisko nemusel fyzicky </w:t>
            </w:r>
            <w:r w:rsidR="00031AA3" w:rsidRPr="00D862A5">
              <w:rPr>
                <w:rFonts w:asciiTheme="minorHAnsi" w:hAnsiTheme="minorHAnsi"/>
                <w:sz w:val="20"/>
                <w:szCs w:val="20"/>
              </w:rPr>
              <w:t>vyda</w:t>
            </w:r>
            <w:r w:rsidR="00F23892" w:rsidRPr="00D862A5">
              <w:rPr>
                <w:rFonts w:asciiTheme="minorHAnsi" w:hAnsiTheme="minorHAnsi"/>
                <w:sz w:val="20"/>
                <w:szCs w:val="20"/>
              </w:rPr>
              <w:t>t.</w:t>
            </w:r>
          </w:p>
          <w:p w:rsidR="00F23892" w:rsidRPr="00D862A5" w:rsidRDefault="00031AA3" w:rsidP="003E4A5D">
            <w:pPr>
              <w:pStyle w:val="Odstavecseseznamem"/>
              <w:widowControl w:val="0"/>
              <w:numPr>
                <w:ilvl w:val="0"/>
                <w:numId w:val="28"/>
              </w:numPr>
              <w:spacing w:before="0" w:after="0"/>
              <w:rPr>
                <w:rFonts w:asciiTheme="minorHAnsi" w:hAnsiTheme="minorHAnsi"/>
                <w:color w:val="000000"/>
                <w:sz w:val="20"/>
                <w:szCs w:val="20"/>
              </w:rPr>
            </w:pPr>
            <w:r w:rsidRPr="00D862A5">
              <w:rPr>
                <w:rFonts w:asciiTheme="minorHAnsi" w:hAnsiTheme="minorHAnsi"/>
                <w:color w:val="000000"/>
                <w:sz w:val="20"/>
                <w:szCs w:val="20"/>
              </w:rPr>
              <w:t xml:space="preserve">Varianta 3 </w:t>
            </w:r>
            <w:r w:rsidR="003F687D" w:rsidRPr="00D862A5">
              <w:rPr>
                <w:rFonts w:asciiTheme="minorHAnsi" w:hAnsiTheme="minorHAnsi"/>
                <w:color w:val="000000"/>
                <w:sz w:val="20"/>
                <w:szCs w:val="20"/>
              </w:rPr>
              <w:t>–</w:t>
            </w:r>
            <w:r w:rsidRPr="00D862A5">
              <w:rPr>
                <w:rFonts w:asciiTheme="minorHAnsi" w:hAnsiTheme="minorHAnsi"/>
                <w:color w:val="000000"/>
                <w:sz w:val="20"/>
                <w:szCs w:val="20"/>
              </w:rPr>
              <w:t xml:space="preserve"> </w:t>
            </w:r>
            <w:r w:rsidR="003F687D" w:rsidRPr="00D862A5">
              <w:rPr>
                <w:rFonts w:asciiTheme="minorHAnsi" w:hAnsiTheme="minorHAnsi"/>
                <w:color w:val="000000"/>
                <w:sz w:val="20"/>
                <w:szCs w:val="20"/>
              </w:rPr>
              <w:t>zefektivnění a zrychlení povolovacího procesu - dojde k odstranění problémů současné praxe, jako jsou dlouhé lhůty, ve kterých jsou závazná stanoviska vydávána, následné přezkumy závazných stanovisek i spory o to, kdo závazné stanovisko vydává a v jaké fázi řízení</w:t>
            </w:r>
            <w:r w:rsidR="0043230B">
              <w:rPr>
                <w:rFonts w:asciiTheme="minorHAnsi" w:hAnsiTheme="minorHAnsi"/>
                <w:color w:val="000000"/>
                <w:sz w:val="20"/>
                <w:szCs w:val="20"/>
              </w:rPr>
              <w:t>.</w:t>
            </w:r>
            <w:r w:rsidR="003F687D" w:rsidRPr="00D862A5">
              <w:rPr>
                <w:rFonts w:asciiTheme="minorHAnsi" w:hAnsiTheme="minorHAnsi"/>
                <w:color w:val="000000"/>
                <w:sz w:val="20"/>
                <w:szCs w:val="20"/>
              </w:rPr>
              <w:t xml:space="preserve"> </w:t>
            </w:r>
          </w:p>
          <w:p w:rsidR="003F687D" w:rsidRPr="00D862A5" w:rsidRDefault="003F687D" w:rsidP="003E4A5D">
            <w:pPr>
              <w:pStyle w:val="Odstavecseseznamem"/>
              <w:widowControl w:val="0"/>
              <w:numPr>
                <w:ilvl w:val="0"/>
                <w:numId w:val="28"/>
              </w:numPr>
              <w:spacing w:before="0" w:after="0"/>
              <w:rPr>
                <w:rFonts w:asciiTheme="minorHAnsi" w:hAnsiTheme="minorHAnsi"/>
                <w:color w:val="000000"/>
                <w:sz w:val="20"/>
                <w:szCs w:val="20"/>
              </w:rPr>
            </w:pPr>
            <w:r w:rsidRPr="00D862A5">
              <w:rPr>
                <w:rFonts w:asciiTheme="minorHAnsi" w:hAnsiTheme="minorHAnsi"/>
                <w:color w:val="000000"/>
                <w:sz w:val="20"/>
                <w:szCs w:val="20"/>
              </w:rPr>
              <w:t xml:space="preserve">Varianta 4 – řeší problém podjatosti, zvyšuje možnost koordinace mezi úředními osobami hájícími různé veřejné zájmy, snižuje administrativní náklady na komunikaci mezi </w:t>
            </w:r>
            <w:r w:rsidR="0078162F">
              <w:rPr>
                <w:rFonts w:asciiTheme="minorHAnsi" w:hAnsiTheme="minorHAnsi"/>
                <w:color w:val="000000"/>
                <w:sz w:val="20"/>
                <w:szCs w:val="20"/>
              </w:rPr>
              <w:t>DO</w:t>
            </w:r>
            <w:r w:rsidRPr="00D862A5">
              <w:rPr>
                <w:rFonts w:asciiTheme="minorHAnsi" w:hAnsiTheme="minorHAnsi"/>
                <w:color w:val="000000"/>
                <w:sz w:val="20"/>
                <w:szCs w:val="20"/>
              </w:rPr>
              <w:t xml:space="preserve"> a stavebními úřady</w:t>
            </w:r>
          </w:p>
        </w:tc>
      </w:tr>
    </w:tbl>
    <w:p w:rsidR="006059A5" w:rsidRPr="00CF6F45" w:rsidRDefault="006059A5" w:rsidP="003E4A5D">
      <w:pPr>
        <w:pStyle w:val="Text-Normaln"/>
        <w:widowControl w:val="0"/>
        <w:rPr>
          <w:b/>
        </w:rPr>
      </w:pPr>
      <w:r w:rsidRPr="00CF6F45">
        <w:rPr>
          <w:b/>
        </w:rPr>
        <w:lastRenderedPageBreak/>
        <w:t>Kvantifikace nákladů:</w:t>
      </w:r>
    </w:p>
    <w:p w:rsidR="003F687D" w:rsidRPr="00E34973" w:rsidRDefault="003F687D" w:rsidP="003E4A5D">
      <w:pPr>
        <w:pStyle w:val="Text-Normaln"/>
        <w:widowControl w:val="0"/>
        <w:rPr>
          <w:i/>
        </w:rPr>
      </w:pPr>
      <w:r w:rsidRPr="00E34973">
        <w:rPr>
          <w:b/>
          <w:i/>
        </w:rPr>
        <w:t>Varianta 1</w:t>
      </w:r>
      <w:r w:rsidRPr="00E34973">
        <w:rPr>
          <w:i/>
        </w:rPr>
        <w:t xml:space="preserve"> </w:t>
      </w:r>
    </w:p>
    <w:p w:rsidR="003F687D" w:rsidRPr="003F687D" w:rsidRDefault="003F687D" w:rsidP="003E4A5D">
      <w:pPr>
        <w:pStyle w:val="Text-Normaln"/>
        <w:widowControl w:val="0"/>
      </w:pPr>
      <w:r w:rsidRPr="003F687D">
        <w:t xml:space="preserve">Žádné výrazné náklady </w:t>
      </w:r>
      <w:r w:rsidR="002F34F0">
        <w:t>se nedají očekávat</w:t>
      </w:r>
      <w:r w:rsidRPr="003F687D">
        <w:t>.</w:t>
      </w:r>
    </w:p>
    <w:p w:rsidR="003F687D" w:rsidRDefault="003F687D" w:rsidP="003E4A5D">
      <w:pPr>
        <w:pStyle w:val="Text-Normaln"/>
        <w:widowControl w:val="0"/>
        <w:rPr>
          <w:i/>
        </w:rPr>
      </w:pPr>
      <w:r w:rsidRPr="00E34973">
        <w:rPr>
          <w:b/>
          <w:i/>
        </w:rPr>
        <w:t>Varianta 2</w:t>
      </w:r>
      <w:r w:rsidRPr="00E34973">
        <w:rPr>
          <w:i/>
        </w:rPr>
        <w:t xml:space="preserve"> </w:t>
      </w:r>
    </w:p>
    <w:p w:rsidR="003F687D" w:rsidRPr="003F687D" w:rsidRDefault="003F687D" w:rsidP="003E4A5D">
      <w:pPr>
        <w:pStyle w:val="Text-Normaln"/>
        <w:widowControl w:val="0"/>
      </w:pPr>
      <w:r w:rsidRPr="003F687D">
        <w:t xml:space="preserve">Žádné výrazné náklady </w:t>
      </w:r>
      <w:r w:rsidR="002F34F0" w:rsidRPr="002F34F0">
        <w:t>se nedají očekávat</w:t>
      </w:r>
      <w:r w:rsidRPr="003F687D">
        <w:t>.</w:t>
      </w:r>
    </w:p>
    <w:p w:rsidR="003F687D" w:rsidRDefault="003F687D" w:rsidP="003E4A5D">
      <w:pPr>
        <w:pStyle w:val="Text-Normaln"/>
        <w:widowControl w:val="0"/>
        <w:rPr>
          <w:b/>
          <w:i/>
        </w:rPr>
      </w:pPr>
      <w:r w:rsidRPr="00E34973">
        <w:rPr>
          <w:b/>
          <w:i/>
        </w:rPr>
        <w:t xml:space="preserve">Varianta 3 </w:t>
      </w:r>
    </w:p>
    <w:p w:rsidR="003F687D" w:rsidRPr="003F687D" w:rsidRDefault="003F687D" w:rsidP="003E4A5D">
      <w:pPr>
        <w:pStyle w:val="Text-Normaln"/>
        <w:widowControl w:val="0"/>
      </w:pPr>
      <w:r w:rsidRPr="003F687D">
        <w:t>Protože charakter případných škod může být velmi rozdílný, nelze v tomto bodě náklady při slušné míře spolehlivosti odhadnout.</w:t>
      </w:r>
    </w:p>
    <w:p w:rsidR="003F687D" w:rsidRPr="00E34973" w:rsidRDefault="003F687D" w:rsidP="003E4A5D">
      <w:pPr>
        <w:pStyle w:val="Text-Normaln"/>
        <w:widowControl w:val="0"/>
        <w:rPr>
          <w:b/>
          <w:i/>
        </w:rPr>
      </w:pPr>
      <w:r w:rsidRPr="00E34973">
        <w:rPr>
          <w:b/>
          <w:i/>
        </w:rPr>
        <w:t xml:space="preserve">Varianta </w:t>
      </w:r>
      <w:r>
        <w:rPr>
          <w:b/>
          <w:i/>
        </w:rPr>
        <w:t>4</w:t>
      </w:r>
    </w:p>
    <w:p w:rsidR="00F454AD" w:rsidRPr="00631DEC" w:rsidRDefault="00631DEC" w:rsidP="003E4A5D">
      <w:pPr>
        <w:pStyle w:val="Text-Normaln"/>
        <w:widowControl w:val="0"/>
      </w:pPr>
      <w:r>
        <w:t xml:space="preserve">Pokud by pod NSÚ přešly i další agendy uvedené v tabulce níže (započítány jsou pouze úvazky na výkon PP dle obsahu úkonů agendy), lze konstatovat, že náklady by se oproti nákladům uvedeným v předchozí kapitole přibližně zdvojnásobily. Pod NSÚ by mělo přejít dalších cca 4 800 úředníků, což činí </w:t>
      </w:r>
      <w:r w:rsidR="00E44F0F">
        <w:t>3,4</w:t>
      </w:r>
      <w:r w:rsidR="00110616">
        <w:t xml:space="preserve"> mld. Kč na ročním provozu</w:t>
      </w:r>
      <w:r w:rsidR="00E44F0F">
        <w:t>, pokud by všichni byli najati nově</w:t>
      </w:r>
      <w:r w:rsidR="00711CF5">
        <w:t>. Co se tý</w:t>
      </w:r>
      <w:r w:rsidR="00EC07EF">
        <w:t>ká</w:t>
      </w:r>
      <w:r w:rsidR="00711CF5">
        <w:t xml:space="preserve"> ostatních nákladů, lze </w:t>
      </w:r>
      <w:proofErr w:type="spellStart"/>
      <w:r w:rsidR="00711CF5">
        <w:t>zreplikovat</w:t>
      </w:r>
      <w:proofErr w:type="spellEnd"/>
      <w:r w:rsidR="00711CF5">
        <w:t xml:space="preserve"> odhady uve</w:t>
      </w:r>
      <w:r w:rsidR="00B90B56">
        <w:t>dené v předcházející kapitole a </w:t>
      </w:r>
      <w:r w:rsidR="00711CF5">
        <w:t xml:space="preserve">zvážit je příslušným </w:t>
      </w:r>
      <w:r w:rsidR="00AC4073">
        <w:t xml:space="preserve">průměrným </w:t>
      </w:r>
      <w:r w:rsidR="00711CF5">
        <w:t>poměrem dle předpokládaného převodu zaměstnanců. Celkový součet je uveden v souhrnné tabulce v závěru tohoto dokumentu.</w:t>
      </w:r>
      <w:r>
        <w:t xml:space="preserve">  </w:t>
      </w:r>
      <w:r w:rsidR="00F454AD" w:rsidRPr="00631DEC">
        <w:t xml:space="preserve"> </w:t>
      </w:r>
    </w:p>
    <w:p w:rsidR="00104783" w:rsidRDefault="00104783" w:rsidP="003E4A5D">
      <w:pPr>
        <w:pStyle w:val="Titulek"/>
      </w:pPr>
      <w:r>
        <w:t xml:space="preserve">Tabulka </w:t>
      </w:r>
      <w:r w:rsidR="00AB65E9">
        <w:rPr>
          <w:noProof/>
        </w:rPr>
        <w:fldChar w:fldCharType="begin"/>
      </w:r>
      <w:r w:rsidR="007B0D8A">
        <w:rPr>
          <w:noProof/>
        </w:rPr>
        <w:instrText xml:space="preserve"> SEQ Tabulka \* ARABIC </w:instrText>
      </w:r>
      <w:r w:rsidR="00AB65E9">
        <w:rPr>
          <w:noProof/>
        </w:rPr>
        <w:fldChar w:fldCharType="separate"/>
      </w:r>
      <w:r w:rsidR="00263A1B">
        <w:rPr>
          <w:noProof/>
        </w:rPr>
        <w:t>25</w:t>
      </w:r>
      <w:r w:rsidR="00AB65E9">
        <w:rPr>
          <w:noProof/>
        </w:rPr>
        <w:fldChar w:fldCharType="end"/>
      </w:r>
      <w:r>
        <w:t>: Podíly agend na výkonu státní správy</w:t>
      </w:r>
      <w:r w:rsidR="008C2D12">
        <w:t xml:space="preserve"> </w:t>
      </w:r>
    </w:p>
    <w:tbl>
      <w:tblPr>
        <w:tblStyle w:val="Svtlstnovn1"/>
        <w:tblW w:w="9072" w:type="dxa"/>
        <w:tblInd w:w="108" w:type="dxa"/>
        <w:tblLook w:val="04A0" w:firstRow="1" w:lastRow="0" w:firstColumn="1" w:lastColumn="0" w:noHBand="0" w:noVBand="1"/>
      </w:tblPr>
      <w:tblGrid>
        <w:gridCol w:w="4361"/>
        <w:gridCol w:w="4711"/>
      </w:tblGrid>
      <w:tr w:rsidR="00995478" w:rsidRPr="00C33737" w:rsidTr="001047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995478" w:rsidRPr="00995478" w:rsidRDefault="00995478" w:rsidP="003E4A5D">
            <w:pPr>
              <w:widowControl w:val="0"/>
              <w:spacing w:before="0" w:after="0"/>
              <w:jc w:val="left"/>
              <w:rPr>
                <w:rFonts w:asciiTheme="minorHAnsi" w:eastAsia="Times New Roman" w:hAnsiTheme="minorHAnsi" w:cstheme="minorHAnsi"/>
                <w:color w:val="000000" w:themeColor="text1"/>
                <w:sz w:val="20"/>
                <w:szCs w:val="20"/>
                <w:lang w:eastAsia="cs-CZ"/>
              </w:rPr>
            </w:pPr>
            <w:r w:rsidRPr="00995478">
              <w:rPr>
                <w:rFonts w:asciiTheme="minorHAnsi" w:eastAsia="Times New Roman" w:hAnsiTheme="minorHAnsi" w:cstheme="minorHAnsi"/>
                <w:color w:val="000000" w:themeColor="text1"/>
                <w:sz w:val="20"/>
                <w:szCs w:val="20"/>
                <w:lang w:eastAsia="cs-CZ"/>
              </w:rPr>
              <w:t xml:space="preserve">ORP </w:t>
            </w:r>
          </w:p>
        </w:tc>
        <w:tc>
          <w:tcPr>
            <w:tcW w:w="4711" w:type="dxa"/>
            <w:vAlign w:val="center"/>
            <w:hideMark/>
          </w:tcPr>
          <w:p w:rsidR="00995478" w:rsidRPr="00995478" w:rsidRDefault="00C33737"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0"/>
                <w:szCs w:val="20"/>
                <w:lang w:eastAsia="cs-CZ"/>
              </w:rPr>
            </w:pPr>
            <w:r w:rsidRPr="00104783">
              <w:rPr>
                <w:rFonts w:asciiTheme="minorHAnsi" w:eastAsia="Times New Roman" w:hAnsiTheme="minorHAnsi" w:cstheme="minorHAnsi"/>
                <w:color w:val="000000" w:themeColor="text1"/>
                <w:sz w:val="20"/>
                <w:szCs w:val="20"/>
                <w:lang w:eastAsia="cs-CZ"/>
              </w:rPr>
              <w:t>Přibližný podíl agend na výkonu státní správy</w:t>
            </w:r>
            <w:r w:rsidR="00104783" w:rsidRPr="00104783">
              <w:rPr>
                <w:rFonts w:asciiTheme="minorHAnsi" w:eastAsia="Times New Roman" w:hAnsiTheme="minorHAnsi" w:cstheme="minorHAnsi"/>
                <w:color w:val="000000" w:themeColor="text1"/>
                <w:sz w:val="20"/>
                <w:szCs w:val="20"/>
                <w:lang w:eastAsia="cs-CZ"/>
              </w:rPr>
              <w:t xml:space="preserve"> dle počtu pracovníku na příslušném odboru</w:t>
            </w:r>
          </w:p>
        </w:tc>
      </w:tr>
      <w:tr w:rsidR="002F307B" w:rsidRPr="00C33737" w:rsidTr="001047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shd w:val="clear" w:color="auto" w:fill="FEFCBE" w:themeFill="accent1" w:themeFillTint="33"/>
            <w:vAlign w:val="center"/>
          </w:tcPr>
          <w:p w:rsidR="002F307B" w:rsidRPr="00104783" w:rsidRDefault="002F307B" w:rsidP="003E4A5D">
            <w:pPr>
              <w:widowControl w:val="0"/>
              <w:spacing w:before="0" w:after="0"/>
              <w:rPr>
                <w:rFonts w:asciiTheme="minorHAnsi" w:hAnsiTheme="minorHAnsi" w:cstheme="minorHAnsi"/>
                <w:bCs w:val="0"/>
                <w:sz w:val="20"/>
                <w:szCs w:val="20"/>
              </w:rPr>
            </w:pPr>
            <w:r w:rsidRPr="00104783">
              <w:rPr>
                <w:rFonts w:asciiTheme="minorHAnsi" w:hAnsiTheme="minorHAnsi" w:cstheme="minorHAnsi"/>
                <w:bCs w:val="0"/>
                <w:sz w:val="20"/>
                <w:szCs w:val="20"/>
              </w:rPr>
              <w:t>Stavební úřady a ÚÚP</w:t>
            </w:r>
          </w:p>
        </w:tc>
        <w:tc>
          <w:tcPr>
            <w:tcW w:w="4711" w:type="dxa"/>
            <w:shd w:val="clear" w:color="auto" w:fill="FEFCBE" w:themeFill="accent1" w:themeFillTint="33"/>
            <w:noWrap/>
            <w:vAlign w:val="center"/>
          </w:tcPr>
          <w:p w:rsidR="002F307B" w:rsidRPr="00104783" w:rsidRDefault="002F307B"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04783">
              <w:rPr>
                <w:rFonts w:asciiTheme="minorHAnsi" w:hAnsiTheme="minorHAnsi" w:cstheme="minorHAnsi"/>
                <w:b/>
                <w:bCs/>
                <w:sz w:val="20"/>
                <w:szCs w:val="20"/>
              </w:rPr>
              <w:t>15</w:t>
            </w:r>
            <w:r w:rsidR="00C33737" w:rsidRPr="00104783">
              <w:rPr>
                <w:rFonts w:asciiTheme="minorHAnsi" w:hAnsiTheme="minorHAnsi" w:cstheme="minorHAnsi"/>
                <w:b/>
                <w:bCs/>
                <w:sz w:val="20"/>
                <w:szCs w:val="20"/>
              </w:rPr>
              <w:t xml:space="preserve"> </w:t>
            </w:r>
            <w:r w:rsidRPr="00104783">
              <w:rPr>
                <w:rFonts w:asciiTheme="minorHAnsi" w:hAnsiTheme="minorHAnsi" w:cstheme="minorHAnsi"/>
                <w:b/>
                <w:bCs/>
                <w:sz w:val="20"/>
                <w:szCs w:val="20"/>
              </w:rPr>
              <w:t>%</w:t>
            </w:r>
          </w:p>
        </w:tc>
      </w:tr>
      <w:tr w:rsidR="002F307B" w:rsidRPr="00C33737" w:rsidTr="00104783">
        <w:trPr>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 xml:space="preserve">Památková péče </w:t>
            </w:r>
          </w:p>
        </w:tc>
        <w:tc>
          <w:tcPr>
            <w:tcW w:w="4711" w:type="dxa"/>
            <w:noWrap/>
            <w:vAlign w:val="center"/>
          </w:tcPr>
          <w:p w:rsidR="002F307B" w:rsidRPr="00C33737" w:rsidRDefault="002F307B"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1</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r w:rsidR="002F307B" w:rsidRPr="00C33737" w:rsidTr="001047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Silniční správní úřad a dopravní úřad</w:t>
            </w:r>
          </w:p>
        </w:tc>
        <w:tc>
          <w:tcPr>
            <w:tcW w:w="4711" w:type="dxa"/>
            <w:noWrap/>
            <w:vAlign w:val="center"/>
          </w:tcPr>
          <w:p w:rsidR="002F307B" w:rsidRPr="00C33737" w:rsidRDefault="002F307B"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2</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r w:rsidR="002F307B" w:rsidRPr="00C33737" w:rsidTr="00104783">
        <w:trPr>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 xml:space="preserve">Vodoprávní řízení </w:t>
            </w:r>
          </w:p>
        </w:tc>
        <w:tc>
          <w:tcPr>
            <w:tcW w:w="4711" w:type="dxa"/>
            <w:noWrap/>
            <w:vAlign w:val="center"/>
          </w:tcPr>
          <w:p w:rsidR="002F307B" w:rsidRPr="00C33737" w:rsidRDefault="002F307B"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3</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r w:rsidR="002F307B" w:rsidRPr="00C33737" w:rsidTr="001047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Odpadové hospodářství</w:t>
            </w:r>
          </w:p>
        </w:tc>
        <w:tc>
          <w:tcPr>
            <w:tcW w:w="4711" w:type="dxa"/>
            <w:noWrap/>
            <w:vAlign w:val="center"/>
          </w:tcPr>
          <w:p w:rsidR="002F307B" w:rsidRPr="00C33737" w:rsidRDefault="002F307B"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1</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r w:rsidR="002F307B" w:rsidRPr="00C33737" w:rsidTr="00104783">
        <w:trPr>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Ochrana lesa a myslivost</w:t>
            </w:r>
          </w:p>
        </w:tc>
        <w:tc>
          <w:tcPr>
            <w:tcW w:w="4711" w:type="dxa"/>
            <w:noWrap/>
            <w:vAlign w:val="center"/>
          </w:tcPr>
          <w:p w:rsidR="002F307B" w:rsidRPr="00C33737" w:rsidRDefault="002F307B"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1</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r w:rsidR="002F307B" w:rsidRPr="00C33737" w:rsidTr="001047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Ochrana přírody a krajiny</w:t>
            </w:r>
          </w:p>
        </w:tc>
        <w:tc>
          <w:tcPr>
            <w:tcW w:w="4711" w:type="dxa"/>
            <w:noWrap/>
            <w:vAlign w:val="center"/>
          </w:tcPr>
          <w:p w:rsidR="002F307B" w:rsidRPr="00C33737" w:rsidRDefault="002F307B"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1</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r w:rsidR="002F307B" w:rsidRPr="00C33737" w:rsidTr="00104783">
        <w:trPr>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 xml:space="preserve">Ochrana zemědělského půdního fondu </w:t>
            </w:r>
          </w:p>
        </w:tc>
        <w:tc>
          <w:tcPr>
            <w:tcW w:w="4711" w:type="dxa"/>
            <w:noWrap/>
            <w:vAlign w:val="center"/>
            <w:hideMark/>
          </w:tcPr>
          <w:p w:rsidR="002F307B" w:rsidRPr="00C33737" w:rsidRDefault="002F307B"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1</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r w:rsidR="002F307B" w:rsidRPr="00C33737" w:rsidTr="001047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Ochrana ovzduší</w:t>
            </w:r>
          </w:p>
        </w:tc>
        <w:tc>
          <w:tcPr>
            <w:tcW w:w="4711" w:type="dxa"/>
            <w:noWrap/>
            <w:vAlign w:val="center"/>
            <w:hideMark/>
          </w:tcPr>
          <w:p w:rsidR="002F307B" w:rsidRPr="00C33737" w:rsidRDefault="002F307B"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1</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r w:rsidR="002F307B" w:rsidRPr="00C33737" w:rsidTr="00104783">
        <w:trPr>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Ochrana zvířat</w:t>
            </w:r>
          </w:p>
        </w:tc>
        <w:tc>
          <w:tcPr>
            <w:tcW w:w="4711" w:type="dxa"/>
            <w:noWrap/>
            <w:vAlign w:val="center"/>
            <w:hideMark/>
          </w:tcPr>
          <w:p w:rsidR="002F307B" w:rsidRPr="00C33737" w:rsidRDefault="00C33737" w:rsidP="003E4A5D">
            <w:pPr>
              <w:widowControl w:val="0"/>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w:t>
            </w:r>
            <w:r w:rsidR="002F307B" w:rsidRPr="00C33737">
              <w:rPr>
                <w:rFonts w:asciiTheme="minorHAnsi" w:hAnsiTheme="minorHAnsi" w:cstheme="minorHAnsi"/>
                <w:bCs/>
                <w:sz w:val="20"/>
                <w:szCs w:val="20"/>
              </w:rPr>
              <w:t>0</w:t>
            </w:r>
            <w:r w:rsidRPr="00C33737">
              <w:rPr>
                <w:rFonts w:asciiTheme="minorHAnsi" w:hAnsiTheme="minorHAnsi" w:cstheme="minorHAnsi"/>
                <w:bCs/>
                <w:sz w:val="20"/>
                <w:szCs w:val="20"/>
              </w:rPr>
              <w:t xml:space="preserve"> </w:t>
            </w:r>
            <w:r w:rsidR="002F307B" w:rsidRPr="00C33737">
              <w:rPr>
                <w:rFonts w:asciiTheme="minorHAnsi" w:hAnsiTheme="minorHAnsi" w:cstheme="minorHAnsi"/>
                <w:bCs/>
                <w:sz w:val="20"/>
                <w:szCs w:val="20"/>
              </w:rPr>
              <w:t>%</w:t>
            </w:r>
          </w:p>
        </w:tc>
      </w:tr>
      <w:tr w:rsidR="002F307B" w:rsidRPr="00C33737" w:rsidTr="001047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2F307B" w:rsidRPr="00C33737" w:rsidRDefault="002F307B" w:rsidP="003E4A5D">
            <w:pPr>
              <w:widowControl w:val="0"/>
              <w:spacing w:before="0" w:after="0"/>
              <w:jc w:val="left"/>
              <w:rPr>
                <w:rFonts w:asciiTheme="minorHAnsi" w:hAnsiTheme="minorHAnsi" w:cstheme="minorHAnsi"/>
                <w:b w:val="0"/>
                <w:sz w:val="20"/>
                <w:szCs w:val="20"/>
              </w:rPr>
            </w:pPr>
            <w:r w:rsidRPr="00C33737">
              <w:rPr>
                <w:rFonts w:asciiTheme="minorHAnsi" w:hAnsiTheme="minorHAnsi" w:cstheme="minorHAnsi"/>
                <w:b w:val="0"/>
                <w:sz w:val="20"/>
                <w:szCs w:val="20"/>
              </w:rPr>
              <w:t>Ostatní</w:t>
            </w:r>
          </w:p>
        </w:tc>
        <w:tc>
          <w:tcPr>
            <w:tcW w:w="4711" w:type="dxa"/>
            <w:noWrap/>
            <w:vAlign w:val="center"/>
            <w:hideMark/>
          </w:tcPr>
          <w:p w:rsidR="002F307B" w:rsidRPr="00C33737" w:rsidRDefault="002F307B" w:rsidP="003E4A5D">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C33737">
              <w:rPr>
                <w:rFonts w:asciiTheme="minorHAnsi" w:hAnsiTheme="minorHAnsi" w:cstheme="minorHAnsi"/>
                <w:bCs/>
                <w:sz w:val="20"/>
                <w:szCs w:val="20"/>
              </w:rPr>
              <w:t>74</w:t>
            </w:r>
            <w:r w:rsidR="00C33737" w:rsidRPr="00C33737">
              <w:rPr>
                <w:rFonts w:asciiTheme="minorHAnsi" w:hAnsiTheme="minorHAnsi" w:cstheme="minorHAnsi"/>
                <w:bCs/>
                <w:sz w:val="20"/>
                <w:szCs w:val="20"/>
              </w:rPr>
              <w:t xml:space="preserve"> </w:t>
            </w:r>
            <w:r w:rsidRPr="00C33737">
              <w:rPr>
                <w:rFonts w:asciiTheme="minorHAnsi" w:hAnsiTheme="minorHAnsi" w:cstheme="minorHAnsi"/>
                <w:bCs/>
                <w:sz w:val="20"/>
                <w:szCs w:val="20"/>
              </w:rPr>
              <w:t>%</w:t>
            </w:r>
          </w:p>
        </w:tc>
      </w:tr>
    </w:tbl>
    <w:p w:rsidR="00995478" w:rsidRDefault="00104783" w:rsidP="003E4A5D">
      <w:pPr>
        <w:pStyle w:val="Citt"/>
      </w:pPr>
      <w:r>
        <w:t>Zdroj: MF, webové stránky obcí, výpočty zpracovatele</w:t>
      </w:r>
      <w:r w:rsidR="001574B2">
        <w:t>; o</w:t>
      </w:r>
      <w:r>
        <w:t xml:space="preserve">dhad byl proveden na vzorku 28 náhodně vybraných ORP, které měly zveřejněnu organizační strukturu </w:t>
      </w:r>
    </w:p>
    <w:p w:rsidR="006059A5" w:rsidRPr="00E414AC" w:rsidRDefault="00EE6EA5" w:rsidP="003E4A5D">
      <w:pPr>
        <w:pStyle w:val="Text-Normaln"/>
        <w:widowControl w:val="0"/>
        <w:rPr>
          <w:b/>
        </w:rPr>
      </w:pPr>
      <w:r>
        <w:rPr>
          <w:b/>
        </w:rPr>
        <w:t>Souhrn nákladů</w:t>
      </w:r>
      <w:r w:rsidR="006059A5" w:rsidRPr="00E414AC">
        <w:rPr>
          <w:b/>
        </w:rPr>
        <w:t xml:space="preserve">: </w:t>
      </w:r>
    </w:p>
    <w:p w:rsidR="006059A5" w:rsidRDefault="00711CF5" w:rsidP="003E4A5D">
      <w:pPr>
        <w:pStyle w:val="Text-Normaln"/>
        <w:widowControl w:val="0"/>
      </w:pPr>
      <w:r w:rsidRPr="00711CF5">
        <w:t xml:space="preserve">U tohoto věcného okruhu </w:t>
      </w:r>
      <w:r>
        <w:t>se očekává vznik nákla</w:t>
      </w:r>
      <w:r w:rsidR="00BD2494">
        <w:t xml:space="preserve">dů především u varianty 4, a to především ve formě výdajů spojených s přesunem příslušných zaměstnanců úřadů </w:t>
      </w:r>
      <w:r w:rsidR="0078162F">
        <w:t>DO</w:t>
      </w:r>
      <w:r w:rsidR="00BD2494">
        <w:t xml:space="preserve">. Odhady lze provést obdobným způsobem jako v předchozí kapitole. Protože váha agendy stavebních úřadů (všech v součtu) je jen o něco málo vyšší než váha dalších převáděných agend, je možné říci, že </w:t>
      </w:r>
      <w:r w:rsidR="00BD2494">
        <w:lastRenderedPageBreak/>
        <w:t>v maximu by se jednalo o zdvojnásobení agregované částky uvedené v předchozí kapitole.</w:t>
      </w:r>
    </w:p>
    <w:p w:rsidR="006059A5" w:rsidRDefault="00BD2494" w:rsidP="000066CE">
      <w:pPr>
        <w:pStyle w:val="Text-Normaln"/>
        <w:widowControl w:val="0"/>
        <w:spacing w:before="100" w:after="100"/>
      </w:pPr>
      <w:r w:rsidRPr="00BD2494">
        <w:t xml:space="preserve">Přínosy budou celkově oceněny v závěru hodnotící kapitoly, neboť je lze jen obtížně správně </w:t>
      </w:r>
      <w:proofErr w:type="spellStart"/>
      <w:r w:rsidRPr="00BD2494">
        <w:t>rozalokovat</w:t>
      </w:r>
      <w:proofErr w:type="spellEnd"/>
      <w:r w:rsidRPr="00BD2494">
        <w:t xml:space="preserve"> k jednotlivým systémovým změnám.</w:t>
      </w:r>
    </w:p>
    <w:p w:rsidR="008B6F74" w:rsidRDefault="008B6F74" w:rsidP="000066CE">
      <w:pPr>
        <w:pStyle w:val="Text-Normaln"/>
        <w:widowControl w:val="0"/>
        <w:spacing w:before="100" w:after="100"/>
      </w:pPr>
      <w:r w:rsidRPr="00BA3C82">
        <w:t xml:space="preserve">V rámci implementace bude třeba, individuálně v rámci jednotlivých agend, vyřešit specifické problémy. </w:t>
      </w:r>
      <w:proofErr w:type="spellStart"/>
      <w:r w:rsidRPr="00BA3C82">
        <w:t>Příkladmo</w:t>
      </w:r>
      <w:proofErr w:type="spellEnd"/>
      <w:r w:rsidRPr="00BA3C82">
        <w:t xml:space="preserve"> uveďme:</w:t>
      </w:r>
    </w:p>
    <w:p w:rsidR="008B6F74" w:rsidRPr="00BA3C82" w:rsidRDefault="00BA3C82" w:rsidP="000066CE">
      <w:pPr>
        <w:pStyle w:val="Text-Normaln"/>
        <w:widowControl w:val="0"/>
        <w:spacing w:before="100" w:after="100"/>
        <w:rPr>
          <w:u w:val="single"/>
        </w:rPr>
      </w:pPr>
      <w:r w:rsidRPr="00BA3C82">
        <w:rPr>
          <w:u w:val="single"/>
        </w:rPr>
        <w:t>Agenda památkové péče</w:t>
      </w:r>
    </w:p>
    <w:p w:rsidR="00BA3C82" w:rsidRDefault="00BA3C82" w:rsidP="000066CE">
      <w:pPr>
        <w:pStyle w:val="Text-Normaln"/>
        <w:widowControl w:val="0"/>
        <w:numPr>
          <w:ilvl w:val="0"/>
          <w:numId w:val="74"/>
        </w:numPr>
        <w:spacing w:before="100" w:after="100"/>
        <w:ind w:left="284" w:hanging="284"/>
      </w:pPr>
      <w:r>
        <w:t>Bude ekonomicky racionální rozdělit agendu památkové péče mezi dva orgány památkové péče</w:t>
      </w:r>
      <w:r w:rsidR="002066E3">
        <w:t xml:space="preserve"> a bude to pro stavebníka transparentní</w:t>
      </w:r>
      <w:r>
        <w:t>?</w:t>
      </w:r>
    </w:p>
    <w:p w:rsidR="00BA3C82" w:rsidRDefault="00BA3C82" w:rsidP="000066CE">
      <w:pPr>
        <w:pStyle w:val="Odstavecseseznamem"/>
        <w:numPr>
          <w:ilvl w:val="0"/>
          <w:numId w:val="74"/>
        </w:numPr>
        <w:spacing w:before="100" w:after="100"/>
        <w:contextualSpacing w:val="0"/>
      </w:pPr>
      <w:r>
        <w:t>Nemusí být racionální</w:t>
      </w:r>
      <w:r w:rsidRPr="00BA3C82">
        <w:t xml:space="preserve"> </w:t>
      </w:r>
      <w:r>
        <w:t>agendu</w:t>
      </w:r>
      <w:r w:rsidR="00F64874">
        <w:t xml:space="preserve"> památkové péče</w:t>
      </w:r>
      <w:r>
        <w:t xml:space="preserve"> </w:t>
      </w:r>
      <w:r w:rsidRPr="00BA3C82">
        <w:t>rozdělit</w:t>
      </w:r>
      <w:r>
        <w:t xml:space="preserve"> mezi NSÚ a </w:t>
      </w:r>
      <w:r w:rsidR="002C4662">
        <w:t xml:space="preserve">výkon přenesené působnosti na ORP tak, aby </w:t>
      </w:r>
      <w:r w:rsidRPr="00BA3C82">
        <w:t>rozdělen</w:t>
      </w:r>
      <w:r w:rsidR="002C4662">
        <w:t>í</w:t>
      </w:r>
      <w:r w:rsidRPr="00BA3C82">
        <w:t xml:space="preserve"> nevyvolávalo spory</w:t>
      </w:r>
      <w:r w:rsidR="002C4662">
        <w:t>, bylo přijatelné z hlediska</w:t>
      </w:r>
      <w:r w:rsidRPr="00BA3C82">
        <w:t xml:space="preserve"> kapacitních mo</w:t>
      </w:r>
      <w:r w:rsidR="002C4662">
        <w:t>ž</w:t>
      </w:r>
      <w:r w:rsidRPr="00BA3C82">
        <w:t>nost</w:t>
      </w:r>
      <w:r w:rsidR="002C4662">
        <w:t>í (dle informací PI je na 70 % úřadů pouze jeden pracovník)</w:t>
      </w:r>
      <w:r w:rsidR="00F64874">
        <w:t xml:space="preserve"> i</w:t>
      </w:r>
      <w:r w:rsidR="00B90B56">
        <w:t> z </w:t>
      </w:r>
      <w:r w:rsidRPr="00BA3C82">
        <w:t>hlediska záruky</w:t>
      </w:r>
      <w:r w:rsidR="002C4662">
        <w:t xml:space="preserve"> ochrany veřejného zájmu</w:t>
      </w:r>
      <w:r w:rsidR="008C08C2">
        <w:t>.</w:t>
      </w:r>
      <w:r w:rsidR="002C4662">
        <w:t xml:space="preserve"> </w:t>
      </w:r>
    </w:p>
    <w:p w:rsidR="008B6F74" w:rsidRDefault="002C4662" w:rsidP="000066CE">
      <w:pPr>
        <w:pStyle w:val="Odstavecseseznamem"/>
        <w:numPr>
          <w:ilvl w:val="0"/>
          <w:numId w:val="74"/>
        </w:numPr>
        <w:spacing w:before="100" w:after="100"/>
        <w:contextualSpacing w:val="0"/>
      </w:pPr>
      <w:r>
        <w:t xml:space="preserve">Vedle </w:t>
      </w:r>
      <w:r w:rsidR="008B6F74" w:rsidRPr="00BA3C82">
        <w:t xml:space="preserve">řízení </w:t>
      </w:r>
      <w:r>
        <w:t>na</w:t>
      </w:r>
      <w:r w:rsidR="008B6F74" w:rsidRPr="00BA3C82">
        <w:t xml:space="preserve"> žádost</w:t>
      </w:r>
      <w:r>
        <w:t xml:space="preserve"> vedou orgány památkové péče i </w:t>
      </w:r>
      <w:r w:rsidR="008B6F74" w:rsidRPr="00BA3C82">
        <w:t>řízení z moci úřední</w:t>
      </w:r>
      <w:r>
        <w:t>, d</w:t>
      </w:r>
      <w:r w:rsidR="008B6F74" w:rsidRPr="00BA3C82">
        <w:t xml:space="preserve">alší </w:t>
      </w:r>
      <w:r>
        <w:t>řízení</w:t>
      </w:r>
      <w:r w:rsidR="008B6F74" w:rsidRPr="00BA3C82">
        <w:t>, kter</w:t>
      </w:r>
      <w:r>
        <w:t>á</w:t>
      </w:r>
      <w:r w:rsidR="008B6F74" w:rsidRPr="00BA3C82">
        <w:t xml:space="preserve"> nejsou správními řízeními </w:t>
      </w:r>
      <w:r>
        <w:t>(</w:t>
      </w:r>
      <w:r w:rsidR="008B6F74" w:rsidRPr="00BA3C82">
        <w:t>vydávání nařízení kraje v</w:t>
      </w:r>
      <w:r>
        <w:t> přenesené působnosti</w:t>
      </w:r>
      <w:r w:rsidR="008B6F74" w:rsidRPr="00BA3C82">
        <w:t xml:space="preserve"> ohledně plánu území s archeologickými nálezy, vydávání OOP v podobě plánu ochrany PR nebo PZ, ochranná pásma, jejich vymezování, změna – vymezují se kolem nemovitostí </w:t>
      </w:r>
      <w:r>
        <w:t>PZ)</w:t>
      </w:r>
      <w:r w:rsidR="008B6F74" w:rsidRPr="00BA3C82">
        <w:t xml:space="preserve">, </w:t>
      </w:r>
      <w:r>
        <w:t>vedou vyvlastňovací řízení</w:t>
      </w:r>
      <w:r w:rsidR="008B6F74" w:rsidRPr="00BA3C82">
        <w:t xml:space="preserve"> týkají</w:t>
      </w:r>
      <w:r>
        <w:t>cí se též</w:t>
      </w:r>
      <w:r w:rsidR="008B6F74" w:rsidRPr="00BA3C82">
        <w:t xml:space="preserve"> nemovitostí</w:t>
      </w:r>
      <w:r w:rsidR="00F64874">
        <w:t xml:space="preserve"> – otázkou je, kde stanovit dělicí linii pro rozdělení agendy</w:t>
      </w:r>
      <w:r w:rsidR="008C08C2">
        <w:t>.</w:t>
      </w:r>
    </w:p>
    <w:p w:rsidR="002C4662" w:rsidRDefault="002C4662" w:rsidP="000066CE">
      <w:pPr>
        <w:pStyle w:val="Odstavecseseznamem"/>
        <w:numPr>
          <w:ilvl w:val="0"/>
          <w:numId w:val="74"/>
        </w:numPr>
        <w:spacing w:before="100" w:after="100"/>
        <w:contextualSpacing w:val="0"/>
      </w:pPr>
      <w:r>
        <w:t xml:space="preserve">Dalším příkladem může být situace, kdy </w:t>
      </w:r>
      <w:r w:rsidR="00686D84">
        <w:t>například</w:t>
      </w:r>
      <w:r>
        <w:t xml:space="preserve"> k</w:t>
      </w:r>
      <w:r w:rsidRPr="00BA3C82">
        <w:t xml:space="preserve">romě </w:t>
      </w:r>
      <w:proofErr w:type="spellStart"/>
      <w:r w:rsidRPr="00BA3C82">
        <w:t>přižehl</w:t>
      </w:r>
      <w:r>
        <w:t>ování</w:t>
      </w:r>
      <w:proofErr w:type="spellEnd"/>
      <w:r w:rsidRPr="00BA3C82">
        <w:t xml:space="preserve"> a přilep</w:t>
      </w:r>
      <w:r>
        <w:t>ování</w:t>
      </w:r>
      <w:r w:rsidRPr="00BA3C82">
        <w:t xml:space="preserve"> fresk</w:t>
      </w:r>
      <w:r>
        <w:t>y</w:t>
      </w:r>
      <w:r w:rsidRPr="00BA3C82">
        <w:t xml:space="preserve"> k podkladu </w:t>
      </w:r>
      <w:r>
        <w:t xml:space="preserve">dochází </w:t>
      </w:r>
      <w:r w:rsidRPr="00BA3C82">
        <w:t xml:space="preserve">zároveň </w:t>
      </w:r>
      <w:r>
        <w:t xml:space="preserve">v objektu </w:t>
      </w:r>
      <w:r w:rsidRPr="00BA3C82">
        <w:t>o patro níž</w:t>
      </w:r>
      <w:r>
        <w:t>e</w:t>
      </w:r>
      <w:r w:rsidRPr="00BA3C82">
        <w:t xml:space="preserve"> </w:t>
      </w:r>
      <w:r>
        <w:t xml:space="preserve">k </w:t>
      </w:r>
      <w:r w:rsidRPr="00BA3C82">
        <w:t>bour</w:t>
      </w:r>
      <w:r>
        <w:t>ání</w:t>
      </w:r>
      <w:r w:rsidRPr="00BA3C82">
        <w:t xml:space="preserve"> příč</w:t>
      </w:r>
      <w:r>
        <w:t>e</w:t>
      </w:r>
      <w:r w:rsidRPr="00BA3C82">
        <w:t>k</w:t>
      </w:r>
      <w:r w:rsidR="00B90B56">
        <w:t>, oproti situaci, kdy ke </w:t>
      </w:r>
      <w:r>
        <w:t xml:space="preserve">stavebním zásahům nedochází – není příliš logické, aby o těchto dvou z pohledu památkové péče stejných případech rozhodovaly </w:t>
      </w:r>
      <w:r w:rsidRPr="00BA3C82">
        <w:t xml:space="preserve">dva </w:t>
      </w:r>
      <w:r>
        <w:t>odlišné orgány památkové péče</w:t>
      </w:r>
      <w:r w:rsidR="008C08C2">
        <w:t>.</w:t>
      </w:r>
    </w:p>
    <w:p w:rsidR="002C4662" w:rsidRDefault="002C4662" w:rsidP="000066CE">
      <w:pPr>
        <w:pStyle w:val="Odstavecseseznamem"/>
        <w:numPr>
          <w:ilvl w:val="0"/>
          <w:numId w:val="74"/>
        </w:numPr>
        <w:spacing w:before="100" w:after="100"/>
        <w:contextualSpacing w:val="0"/>
      </w:pPr>
      <w:r>
        <w:t>Zároveň je třeba ošetřit</w:t>
      </w:r>
      <w:r w:rsidR="00F64874">
        <w:t xml:space="preserve"> situace</w:t>
      </w:r>
      <w:r>
        <w:t xml:space="preserve">, </w:t>
      </w:r>
      <w:r w:rsidR="00F64874">
        <w:t xml:space="preserve">kdy </w:t>
      </w:r>
      <w:r>
        <w:t xml:space="preserve">by </w:t>
      </w:r>
      <w:r w:rsidR="00F64874">
        <w:t xml:space="preserve">při </w:t>
      </w:r>
      <w:r>
        <w:t xml:space="preserve">velké stavbě nadbytečně </w:t>
      </w:r>
      <w:r w:rsidR="00686D84">
        <w:t>například</w:t>
      </w:r>
      <w:r w:rsidR="00F64874">
        <w:t xml:space="preserve"> dozorovaly dva orgány památkové péče (jeden pod NSÚ, druhý vykonávající </w:t>
      </w:r>
      <w:r w:rsidR="000E44AB">
        <w:t xml:space="preserve">PP </w:t>
      </w:r>
      <w:r w:rsidR="00F64874">
        <w:t>v rámci ORP)</w:t>
      </w:r>
      <w:r w:rsidR="00DC2496">
        <w:t>.</w:t>
      </w:r>
    </w:p>
    <w:p w:rsidR="002066E3" w:rsidRDefault="002066E3" w:rsidP="000066CE">
      <w:pPr>
        <w:pStyle w:val="Odstavecseseznamem"/>
        <w:numPr>
          <w:ilvl w:val="0"/>
          <w:numId w:val="74"/>
        </w:numPr>
        <w:spacing w:before="100" w:after="100"/>
        <w:contextualSpacing w:val="0"/>
      </w:pPr>
      <w:r>
        <w:t>Řešením může být převod celé agendy památkové péče pod NSÚ, pokud by (a data NIPOS to potvrzují) na ORP zůstala marginální část agendy</w:t>
      </w:r>
      <w:r w:rsidR="00DC2496">
        <w:t>.</w:t>
      </w:r>
    </w:p>
    <w:p w:rsidR="00F64874" w:rsidRDefault="00F64874" w:rsidP="000066CE">
      <w:pPr>
        <w:pStyle w:val="Text-Normaln"/>
        <w:widowControl w:val="0"/>
        <w:numPr>
          <w:ilvl w:val="0"/>
          <w:numId w:val="74"/>
        </w:numPr>
        <w:spacing w:before="100" w:after="100"/>
        <w:ind w:left="284" w:hanging="284"/>
      </w:pPr>
      <w:r>
        <w:t>Míra detailu projektové dokumentace</w:t>
      </w:r>
    </w:p>
    <w:p w:rsidR="008B6F74" w:rsidRDefault="008B6F74" w:rsidP="000066CE">
      <w:pPr>
        <w:pStyle w:val="Odstavecseseznamem"/>
        <w:numPr>
          <w:ilvl w:val="0"/>
          <w:numId w:val="74"/>
        </w:numPr>
        <w:spacing w:before="100" w:after="100"/>
        <w:contextualSpacing w:val="0"/>
      </w:pPr>
      <w:r w:rsidRPr="00BA3C82">
        <w:t xml:space="preserve">Památková péče u </w:t>
      </w:r>
      <w:r w:rsidR="00F64874">
        <w:t>kulturních památek</w:t>
      </w:r>
      <w:r w:rsidRPr="00BA3C82">
        <w:t>, ale mnohdy i u nemovitostí v</w:t>
      </w:r>
      <w:r w:rsidR="00F64874">
        <w:t> </w:t>
      </w:r>
      <w:r w:rsidR="000E44AB">
        <w:t>PZ</w:t>
      </w:r>
      <w:r w:rsidR="00F64874">
        <w:t xml:space="preserve"> nebo </w:t>
      </w:r>
      <w:r w:rsidR="000E44AB">
        <w:t xml:space="preserve">PR </w:t>
      </w:r>
      <w:r w:rsidR="00F64874">
        <w:t>p</w:t>
      </w:r>
      <w:r w:rsidRPr="00BA3C82">
        <w:t xml:space="preserve">otřebuje jít </w:t>
      </w:r>
      <w:r w:rsidR="00F64874">
        <w:t xml:space="preserve">v projektové dokumentaci </w:t>
      </w:r>
      <w:r w:rsidRPr="00BA3C82">
        <w:t xml:space="preserve">do jiného detailu než stavební právo – </w:t>
      </w:r>
      <w:r w:rsidR="00F64874">
        <w:t xml:space="preserve">předpokládaný detail </w:t>
      </w:r>
      <w:r w:rsidRPr="00BA3C82">
        <w:t>na úrovni D</w:t>
      </w:r>
      <w:r w:rsidR="00F64874">
        <w:t>Ú</w:t>
      </w:r>
      <w:r w:rsidRPr="00BA3C82">
        <w:t xml:space="preserve">R </w:t>
      </w:r>
      <w:r w:rsidR="00F64874">
        <w:t>nemůže postihovat skutečnosti typu,</w:t>
      </w:r>
      <w:r w:rsidRPr="00BA3C82">
        <w:t xml:space="preserve"> co se bude dělat se štukovým zrcadlem v místnosti, ja</w:t>
      </w:r>
      <w:r w:rsidR="00B90B56">
        <w:t>k se budou skládat parkety, jak </w:t>
      </w:r>
      <w:r w:rsidRPr="00BA3C82">
        <w:t xml:space="preserve">se bude obnovovat renesanční nebo secesní fasáda </w:t>
      </w:r>
      <w:r w:rsidR="00F64874">
        <w:t>atp.</w:t>
      </w:r>
    </w:p>
    <w:p w:rsidR="00BD66FE" w:rsidRPr="00BA3C82" w:rsidRDefault="00F64874" w:rsidP="000066CE">
      <w:pPr>
        <w:pStyle w:val="Odstavecseseznamem"/>
        <w:numPr>
          <w:ilvl w:val="0"/>
          <w:numId w:val="74"/>
        </w:numPr>
        <w:spacing w:before="100" w:after="100"/>
        <w:contextualSpacing w:val="0"/>
      </w:pPr>
      <w:r>
        <w:t xml:space="preserve">Na druhou stranu v některých případech může být potřebná míra detailu potřebná pro orgány památkové péče </w:t>
      </w:r>
      <w:r w:rsidR="002066E3">
        <w:t xml:space="preserve">nově </w:t>
      </w:r>
      <w:r>
        <w:t xml:space="preserve">pro </w:t>
      </w:r>
      <w:r w:rsidR="002066E3">
        <w:t>jedno</w:t>
      </w:r>
      <w:r>
        <w:t xml:space="preserve"> řízení zbytečně zatěžující – jako příklad lze uvést obnovu k</w:t>
      </w:r>
      <w:r w:rsidRPr="00F64874">
        <w:t>aple sv. Isidora v</w:t>
      </w:r>
      <w:r w:rsidR="00BD66FE">
        <w:t> </w:t>
      </w:r>
      <w:r w:rsidRPr="00F64874">
        <w:t>Křenově</w:t>
      </w:r>
      <w:r w:rsidR="00BD66FE">
        <w:t xml:space="preserve"> spolufinancované z IROP – součástí projektu byla</w:t>
      </w:r>
      <w:r w:rsidR="00BD66FE" w:rsidRPr="00BA3C82">
        <w:t xml:space="preserve"> obnova systému vedení vzduchu pro varhany</w:t>
      </w:r>
      <w:r w:rsidR="00BD66FE">
        <w:t>,</w:t>
      </w:r>
      <w:r w:rsidR="00BD66FE" w:rsidRPr="00BA3C82">
        <w:t xml:space="preserve"> </w:t>
      </w:r>
      <w:r w:rsidR="00BD66FE">
        <w:t xml:space="preserve">kdy bylo rozhodnuto, že </w:t>
      </w:r>
      <w:r w:rsidR="00BD66FE" w:rsidRPr="00BA3C82">
        <w:t xml:space="preserve">v rámci stavebního zásahu se bude </w:t>
      </w:r>
      <w:r w:rsidR="00BD66FE">
        <w:t>řešit</w:t>
      </w:r>
      <w:r w:rsidR="00BD66FE" w:rsidRPr="00BA3C82">
        <w:t xml:space="preserve"> i veden</w:t>
      </w:r>
      <w:r w:rsidR="00BD66FE">
        <w:t>í</w:t>
      </w:r>
      <w:r w:rsidR="00BD66FE" w:rsidRPr="00BA3C82">
        <w:t xml:space="preserve"> vzduchu</w:t>
      </w:r>
      <w:r w:rsidR="00BD66FE">
        <w:t>;</w:t>
      </w:r>
      <w:r w:rsidR="00BD66FE" w:rsidRPr="00BA3C82">
        <w:t xml:space="preserve"> odborník na varhany musel </w:t>
      </w:r>
      <w:r w:rsidR="00BD66FE">
        <w:t>stanovit</w:t>
      </w:r>
      <w:r w:rsidR="00BD66FE" w:rsidRPr="00BA3C82">
        <w:t xml:space="preserve">, jak má být </w:t>
      </w:r>
      <w:r w:rsidR="00BD66FE">
        <w:t xml:space="preserve">vedení </w:t>
      </w:r>
      <w:r w:rsidR="00BD66FE" w:rsidRPr="00BA3C82">
        <w:t xml:space="preserve">dimenzované – řešit tento detail v rámci </w:t>
      </w:r>
      <w:r w:rsidR="00BD66FE">
        <w:t>jednoho</w:t>
      </w:r>
      <w:r w:rsidR="00BD66FE" w:rsidRPr="00BA3C82">
        <w:t xml:space="preserve"> řízení </w:t>
      </w:r>
      <w:r w:rsidR="002066E3">
        <w:t xml:space="preserve">může být </w:t>
      </w:r>
      <w:r w:rsidR="00BD66FE" w:rsidRPr="00BA3C82">
        <w:t xml:space="preserve">zbytečné, </w:t>
      </w:r>
      <w:r w:rsidR="002066E3">
        <w:t>je však třeba stanovit, kdo v jiném případě toto řízení povede</w:t>
      </w:r>
      <w:r w:rsidR="00DC2496">
        <w:t>.</w:t>
      </w:r>
    </w:p>
    <w:p w:rsidR="00F64874" w:rsidRDefault="002066E3" w:rsidP="000066CE">
      <w:pPr>
        <w:pStyle w:val="Text-Normaln"/>
        <w:widowControl w:val="0"/>
        <w:numPr>
          <w:ilvl w:val="0"/>
          <w:numId w:val="74"/>
        </w:numPr>
        <w:spacing w:before="100" w:after="100"/>
      </w:pPr>
      <w:r>
        <w:t xml:space="preserve">Je třeba zajistit, aby </w:t>
      </w:r>
      <w:r w:rsidRPr="00BA3C82">
        <w:t>posouzen</w:t>
      </w:r>
      <w:r>
        <w:t>í z pohledu památkové péče bylo možné</w:t>
      </w:r>
      <w:r w:rsidRPr="00BA3C82">
        <w:t xml:space="preserve"> </w:t>
      </w:r>
      <w:r>
        <w:t xml:space="preserve">provést v rámci </w:t>
      </w:r>
      <w:r w:rsidR="008F0600">
        <w:t xml:space="preserve">nově </w:t>
      </w:r>
      <w:r>
        <w:t xml:space="preserve">stanovených lhůt </w:t>
      </w:r>
      <w:r w:rsidR="008F0600">
        <w:t xml:space="preserve">a reagovat na to v rámci rekodifikace </w:t>
      </w:r>
      <w:r>
        <w:t>–</w:t>
      </w:r>
      <w:r w:rsidR="002934E0">
        <w:t xml:space="preserve"> </w:t>
      </w:r>
      <w:r>
        <w:t xml:space="preserve">je </w:t>
      </w:r>
      <w:r w:rsidRPr="00BA3C82">
        <w:t>třeba zaji</w:t>
      </w:r>
      <w:r>
        <w:t>šťovat</w:t>
      </w:r>
      <w:r w:rsidRPr="00BA3C82">
        <w:t xml:space="preserve"> externí posudky </w:t>
      </w:r>
      <w:r>
        <w:t>apod.</w:t>
      </w:r>
    </w:p>
    <w:p w:rsidR="008B6F74" w:rsidRPr="00BA3C82" w:rsidRDefault="008F0600" w:rsidP="000066CE">
      <w:pPr>
        <w:pStyle w:val="Text-Normaln"/>
        <w:widowControl w:val="0"/>
        <w:numPr>
          <w:ilvl w:val="0"/>
          <w:numId w:val="74"/>
        </w:numPr>
        <w:spacing w:before="100" w:after="100"/>
        <w:ind w:left="284" w:hanging="284"/>
      </w:pPr>
      <w:r>
        <w:t>K</w:t>
      </w:r>
      <w:r w:rsidR="008B6F74" w:rsidRPr="00BA3C82">
        <w:t xml:space="preserve">aždý veřejný zájem </w:t>
      </w:r>
      <w:r w:rsidR="00BA3C82" w:rsidRPr="00BA3C82">
        <w:t>inkorporovaný</w:t>
      </w:r>
      <w:r w:rsidR="008B6F74" w:rsidRPr="00BA3C82">
        <w:t xml:space="preserve"> do NS</w:t>
      </w:r>
      <w:r>
        <w:t>Ú</w:t>
      </w:r>
      <w:r w:rsidR="008B6F74" w:rsidRPr="00BA3C82">
        <w:t xml:space="preserve"> musí proj</w:t>
      </w:r>
      <w:r>
        <w:t>í</w:t>
      </w:r>
      <w:r w:rsidR="008B6F74" w:rsidRPr="00BA3C82">
        <w:t xml:space="preserve">t </w:t>
      </w:r>
      <w:r w:rsidR="00BA3C82" w:rsidRPr="00BA3C82">
        <w:t>posouzením</w:t>
      </w:r>
      <w:r w:rsidR="008B6F74" w:rsidRPr="00BA3C82">
        <w:t xml:space="preserve">, o </w:t>
      </w:r>
      <w:r>
        <w:t>němž musí existovat</w:t>
      </w:r>
      <w:r w:rsidR="008B6F74" w:rsidRPr="00BA3C82">
        <w:t xml:space="preserve"> doklad</w:t>
      </w:r>
      <w:r>
        <w:t xml:space="preserve"> (v jakékoli formě)</w:t>
      </w:r>
      <w:r w:rsidR="008B6F74" w:rsidRPr="00BA3C82">
        <w:t xml:space="preserve">, </w:t>
      </w:r>
      <w:r>
        <w:t xml:space="preserve">ten </w:t>
      </w:r>
      <w:r w:rsidR="008B6F74" w:rsidRPr="00BA3C82">
        <w:t>musí b</w:t>
      </w:r>
      <w:r>
        <w:t>ý</w:t>
      </w:r>
      <w:r w:rsidR="008B6F74" w:rsidRPr="00BA3C82">
        <w:t xml:space="preserve">t </w:t>
      </w:r>
      <w:r w:rsidR="00BA3C82" w:rsidRPr="00BA3C82">
        <w:t>zpětn</w:t>
      </w:r>
      <w:r>
        <w:t>ě</w:t>
      </w:r>
      <w:r w:rsidR="008B6F74" w:rsidRPr="00BA3C82">
        <w:t xml:space="preserve"> </w:t>
      </w:r>
      <w:r w:rsidR="00BA3C82" w:rsidRPr="00BA3C82">
        <w:t>kontrolovatelný</w:t>
      </w:r>
      <w:r w:rsidR="008B6F74" w:rsidRPr="00BA3C82">
        <w:t xml:space="preserve"> (</w:t>
      </w:r>
      <w:r>
        <w:t xml:space="preserve">tj. musí být </w:t>
      </w:r>
      <w:r w:rsidR="00BA3C82" w:rsidRPr="00BA3C82">
        <w:t>součást</w:t>
      </w:r>
      <w:r>
        <w:t>í</w:t>
      </w:r>
      <w:r w:rsidR="008B6F74" w:rsidRPr="00BA3C82">
        <w:t xml:space="preserve"> spisu</w:t>
      </w:r>
      <w:r w:rsidRPr="008F0600">
        <w:t xml:space="preserve"> </w:t>
      </w:r>
      <w:r w:rsidR="00B90B56">
        <w:t>v </w:t>
      </w:r>
      <w:r>
        <w:t>jakékoli formě</w:t>
      </w:r>
      <w:r w:rsidR="008B6F74" w:rsidRPr="00BA3C82">
        <w:t>)</w:t>
      </w:r>
      <w:r>
        <w:t>, výsledek posouzení musí najít</w:t>
      </w:r>
      <w:r w:rsidR="008B6F74" w:rsidRPr="00BA3C82">
        <w:t xml:space="preserve"> svůj odraz v </w:t>
      </w:r>
      <w:r w:rsidR="00BA3C82" w:rsidRPr="00BA3C82">
        <w:t>konečn</w:t>
      </w:r>
      <w:r>
        <w:t>é</w:t>
      </w:r>
      <w:r w:rsidR="00BA3C82" w:rsidRPr="00BA3C82">
        <w:t>m</w:t>
      </w:r>
      <w:r w:rsidR="008B6F74" w:rsidRPr="00BA3C82">
        <w:t xml:space="preserve"> povolen</w:t>
      </w:r>
      <w:r>
        <w:t>í</w:t>
      </w:r>
      <w:r w:rsidR="008B6F74" w:rsidRPr="00BA3C82">
        <w:t xml:space="preserve"> stavby</w:t>
      </w:r>
      <w:r w:rsidR="00DC2496">
        <w:t>.</w:t>
      </w:r>
    </w:p>
    <w:p w:rsidR="008F0600" w:rsidRPr="008F0600" w:rsidRDefault="008F0600" w:rsidP="00BA3C82">
      <w:pPr>
        <w:pStyle w:val="Text-Normaln"/>
        <w:widowControl w:val="0"/>
        <w:rPr>
          <w:u w:val="single"/>
        </w:rPr>
      </w:pPr>
      <w:r w:rsidRPr="008F0600">
        <w:rPr>
          <w:u w:val="single"/>
        </w:rPr>
        <w:lastRenderedPageBreak/>
        <w:t>Agenda vodoprávních úřadů</w:t>
      </w:r>
      <w:r>
        <w:rPr>
          <w:u w:val="single"/>
        </w:rPr>
        <w:t xml:space="preserve"> (VÚ)</w:t>
      </w:r>
    </w:p>
    <w:p w:rsidR="008B6F74" w:rsidRPr="00BA3C82" w:rsidRDefault="008F0600" w:rsidP="00C873B4">
      <w:pPr>
        <w:pStyle w:val="Text-Normaln"/>
        <w:widowControl w:val="0"/>
        <w:numPr>
          <w:ilvl w:val="0"/>
          <w:numId w:val="74"/>
        </w:numPr>
        <w:ind w:left="284" w:hanging="284"/>
      </w:pPr>
      <w:r>
        <w:t>VÚ v rámci n</w:t>
      </w:r>
      <w:r w:rsidR="00BA3C82" w:rsidRPr="00BA3C82">
        <w:t>aklád</w:t>
      </w:r>
      <w:r>
        <w:t>á</w:t>
      </w:r>
      <w:r w:rsidR="00BA3C82" w:rsidRPr="00BA3C82">
        <w:t>ní</w:t>
      </w:r>
      <w:r w:rsidR="008B6F74" w:rsidRPr="00BA3C82">
        <w:t xml:space="preserve"> s vodami </w:t>
      </w:r>
      <w:r w:rsidR="00BA3C82" w:rsidRPr="00BA3C82">
        <w:t>neřeší</w:t>
      </w:r>
      <w:r w:rsidR="008B6F74" w:rsidRPr="00BA3C82">
        <w:t xml:space="preserve"> jen </w:t>
      </w:r>
      <w:r w:rsidR="00BA3C82" w:rsidRPr="00BA3C82">
        <w:t>stavb</w:t>
      </w:r>
      <w:r>
        <w:t>y,</w:t>
      </w:r>
      <w:r w:rsidR="008B6F74" w:rsidRPr="00BA3C82">
        <w:t xml:space="preserve"> ale i </w:t>
      </w:r>
      <w:r w:rsidR="00BA3C82" w:rsidRPr="00BA3C82">
        <w:t>související</w:t>
      </w:r>
      <w:r w:rsidR="008B6F74" w:rsidRPr="00BA3C82">
        <w:t xml:space="preserve"> věci – </w:t>
      </w:r>
      <w:r w:rsidR="00686D84">
        <w:t>například</w:t>
      </w:r>
      <w:r>
        <w:t xml:space="preserve"> při </w:t>
      </w:r>
      <w:r w:rsidR="008B6F74" w:rsidRPr="00BA3C82">
        <w:t>stavb</w:t>
      </w:r>
      <w:r>
        <w:t>ě</w:t>
      </w:r>
      <w:r w:rsidR="008B6F74" w:rsidRPr="00BA3C82">
        <w:t xml:space="preserve"> </w:t>
      </w:r>
      <w:r w:rsidR="00BA3C82" w:rsidRPr="00BA3C82">
        <w:t>rybníka</w:t>
      </w:r>
      <w:r w:rsidR="008B6F74" w:rsidRPr="00BA3C82">
        <w:t xml:space="preserve"> </w:t>
      </w:r>
      <w:r w:rsidR="00BA3C82" w:rsidRPr="00BA3C82">
        <w:t>řeší</w:t>
      </w:r>
      <w:r w:rsidR="008B6F74" w:rsidRPr="00BA3C82">
        <w:t xml:space="preserve"> </w:t>
      </w:r>
      <w:r w:rsidR="00BA3C82" w:rsidRPr="00BA3C82">
        <w:t>nakládání</w:t>
      </w:r>
      <w:r>
        <w:t xml:space="preserve"> </w:t>
      </w:r>
      <w:r w:rsidRPr="00BA3C82">
        <w:t>s vodami</w:t>
      </w:r>
      <w:r w:rsidR="008B6F74" w:rsidRPr="00BA3C82">
        <w:t xml:space="preserve"> v rozsahu </w:t>
      </w:r>
      <w:r w:rsidR="00BA3C82" w:rsidRPr="00BA3C82">
        <w:t>vzdouvání</w:t>
      </w:r>
      <w:r>
        <w:t>,</w:t>
      </w:r>
      <w:r w:rsidR="008B6F74" w:rsidRPr="00BA3C82">
        <w:t xml:space="preserve"> akumulace, v </w:t>
      </w:r>
      <w:r w:rsidR="00BA3C82" w:rsidRPr="00BA3C82">
        <w:t>rámci</w:t>
      </w:r>
      <w:r w:rsidR="008B6F74" w:rsidRPr="00BA3C82">
        <w:t xml:space="preserve"> </w:t>
      </w:r>
      <w:r w:rsidR="00BA3C82" w:rsidRPr="00BA3C82">
        <w:t>manipulace</w:t>
      </w:r>
      <w:r w:rsidR="008B6F74" w:rsidRPr="00BA3C82">
        <w:t xml:space="preserve"> s </w:t>
      </w:r>
      <w:r w:rsidR="00BA3C82" w:rsidRPr="00BA3C82">
        <w:t>vodou</w:t>
      </w:r>
      <w:r w:rsidR="008B6F74" w:rsidRPr="00BA3C82">
        <w:t xml:space="preserve"> na </w:t>
      </w:r>
      <w:r>
        <w:t>řešeném</w:t>
      </w:r>
      <w:r w:rsidR="008B6F74" w:rsidRPr="00BA3C82">
        <w:t xml:space="preserve"> </w:t>
      </w:r>
      <w:r w:rsidR="00BA3C82" w:rsidRPr="00BA3C82">
        <w:t>rybníce</w:t>
      </w:r>
      <w:r w:rsidR="008B6F74" w:rsidRPr="00BA3C82">
        <w:t xml:space="preserve"> – teoreticky by </w:t>
      </w:r>
      <w:r>
        <w:t>tato část agendy též šla</w:t>
      </w:r>
      <w:r w:rsidR="008B6F74" w:rsidRPr="00BA3C82">
        <w:t xml:space="preserve"> </w:t>
      </w:r>
      <w:r w:rsidR="00BA3C82" w:rsidRPr="00BA3C82">
        <w:t>převést</w:t>
      </w:r>
      <w:r w:rsidR="003263EE">
        <w:t>.</w:t>
      </w:r>
    </w:p>
    <w:p w:rsidR="008B6F74" w:rsidRPr="00BA3C82" w:rsidRDefault="008F0600" w:rsidP="00C873B4">
      <w:pPr>
        <w:pStyle w:val="Text-Normaln"/>
        <w:widowControl w:val="0"/>
        <w:numPr>
          <w:ilvl w:val="0"/>
          <w:numId w:val="74"/>
        </w:numPr>
        <w:ind w:left="284" w:hanging="284"/>
      </w:pPr>
      <w:r>
        <w:t>Množství úkonů VÚ však není</w:t>
      </w:r>
      <w:r w:rsidR="008B6F74" w:rsidRPr="00BA3C82">
        <w:t xml:space="preserve"> </w:t>
      </w:r>
      <w:r w:rsidR="00BA3C82" w:rsidRPr="00BA3C82">
        <w:t>svázan</w:t>
      </w:r>
      <w:r>
        <w:t>é</w:t>
      </w:r>
      <w:r w:rsidR="008B6F74" w:rsidRPr="00BA3C82">
        <w:t xml:space="preserve"> se stavbou, povoluj</w:t>
      </w:r>
      <w:r>
        <w:t>í</w:t>
      </w:r>
      <w:r w:rsidR="008B6F74" w:rsidRPr="00BA3C82">
        <w:t xml:space="preserve"> se </w:t>
      </w:r>
      <w:r w:rsidR="00BA3C82" w:rsidRPr="00BA3C82">
        <w:t>nezávisle</w:t>
      </w:r>
      <w:r w:rsidR="008B6F74" w:rsidRPr="00BA3C82">
        <w:t xml:space="preserve"> na </w:t>
      </w:r>
      <w:r w:rsidR="00BA3C82" w:rsidRPr="00BA3C82">
        <w:t>stavbě</w:t>
      </w:r>
      <w:r w:rsidR="008B6F74" w:rsidRPr="00BA3C82">
        <w:t xml:space="preserve">, </w:t>
      </w:r>
      <w:r w:rsidR="00BA3C82" w:rsidRPr="00BA3C82">
        <w:t>žádná</w:t>
      </w:r>
      <w:r w:rsidR="008B6F74" w:rsidRPr="00BA3C82">
        <w:t xml:space="preserve"> stavba </w:t>
      </w:r>
      <w:r>
        <w:t xml:space="preserve">součástí </w:t>
      </w:r>
      <w:r w:rsidR="008B6F74" w:rsidRPr="00BA3C82">
        <w:t xml:space="preserve">není – </w:t>
      </w:r>
      <w:r w:rsidR="00686D84">
        <w:t>například</w:t>
      </w:r>
      <w:r w:rsidR="008B6F74" w:rsidRPr="00BA3C82">
        <w:t xml:space="preserve"> </w:t>
      </w:r>
      <w:r w:rsidR="00BA3C82" w:rsidRPr="00BA3C82">
        <w:t>odběry</w:t>
      </w:r>
      <w:r w:rsidR="008B6F74" w:rsidRPr="00BA3C82">
        <w:t xml:space="preserve"> </w:t>
      </w:r>
      <w:r w:rsidR="00BA3C82" w:rsidRPr="00BA3C82">
        <w:t>povrchových</w:t>
      </w:r>
      <w:r w:rsidR="008B6F74" w:rsidRPr="00BA3C82">
        <w:t xml:space="preserve"> vod </w:t>
      </w:r>
      <w:r w:rsidR="00BA3C82" w:rsidRPr="00BA3C82">
        <w:t>zahrádkář</w:t>
      </w:r>
      <w:r>
        <w:t>i,</w:t>
      </w:r>
      <w:r w:rsidR="008B6F74" w:rsidRPr="00BA3C82">
        <w:t xml:space="preserve"> </w:t>
      </w:r>
      <w:proofErr w:type="spellStart"/>
      <w:r w:rsidR="008B6F74" w:rsidRPr="00BA3C82">
        <w:t>z</w:t>
      </w:r>
      <w:r>
        <w:t>á</w:t>
      </w:r>
      <w:r w:rsidR="008B6F74" w:rsidRPr="00BA3C82">
        <w:t>vlah</w:t>
      </w:r>
      <w:r>
        <w:t>áři</w:t>
      </w:r>
      <w:proofErr w:type="spellEnd"/>
      <w:r w:rsidR="008B6F74" w:rsidRPr="00BA3C82">
        <w:t xml:space="preserve"> – </w:t>
      </w:r>
      <w:r w:rsidR="00B90B56">
        <w:t>což znamená, že </w:t>
      </w:r>
      <w:r>
        <w:t xml:space="preserve">oproti agendě památkové péče by </w:t>
      </w:r>
      <w:r w:rsidR="00177EA9">
        <w:t xml:space="preserve">významná </w:t>
      </w:r>
      <w:r w:rsidR="008B6F74" w:rsidRPr="00BA3C82">
        <w:t xml:space="preserve">část agendy </w:t>
      </w:r>
      <w:r w:rsidR="00177EA9">
        <w:t>zůstala na ORP</w:t>
      </w:r>
      <w:r w:rsidR="008B6F74" w:rsidRPr="00BA3C82">
        <w:t xml:space="preserve"> – </w:t>
      </w:r>
      <w:r w:rsidR="00177EA9">
        <w:t xml:space="preserve">po stanovení dělicí linie pro rozdělení agendy by pak bylo třeba </w:t>
      </w:r>
      <w:r w:rsidR="008B6F74" w:rsidRPr="00BA3C82">
        <w:t xml:space="preserve">zrevidovat </w:t>
      </w:r>
      <w:r w:rsidR="00177EA9">
        <w:t xml:space="preserve">výše použitý poměr při výpočtu </w:t>
      </w:r>
      <w:r w:rsidR="008B6F74" w:rsidRPr="00BA3C82">
        <w:t>20/80</w:t>
      </w:r>
      <w:r w:rsidR="003263EE">
        <w:t>.</w:t>
      </w:r>
    </w:p>
    <w:p w:rsidR="00177EA9" w:rsidRDefault="00177EA9" w:rsidP="00C873B4">
      <w:pPr>
        <w:pStyle w:val="Text-Normaln"/>
        <w:widowControl w:val="0"/>
        <w:numPr>
          <w:ilvl w:val="0"/>
          <w:numId w:val="74"/>
        </w:numPr>
        <w:ind w:left="284" w:hanging="284"/>
      </w:pPr>
      <w:r>
        <w:t>Specifikum rozhodování o</w:t>
      </w:r>
      <w:r w:rsidR="008B6F74" w:rsidRPr="00BA3C82">
        <w:t xml:space="preserve"> </w:t>
      </w:r>
      <w:r w:rsidR="00BA3C82" w:rsidRPr="00BA3C82">
        <w:t>nakládání</w:t>
      </w:r>
      <w:r w:rsidR="008B6F74" w:rsidRPr="00BA3C82">
        <w:t xml:space="preserve"> s vodami </w:t>
      </w:r>
      <w:r>
        <w:t>–</w:t>
      </w:r>
      <w:r w:rsidR="008B6F74" w:rsidRPr="00BA3C82">
        <w:t xml:space="preserve"> </w:t>
      </w:r>
      <w:r>
        <w:t xml:space="preserve">při povolování staveb je stavba povolena, postavena, </w:t>
      </w:r>
      <w:r w:rsidR="008B6F74" w:rsidRPr="00BA3C82">
        <w:t>zkolaud</w:t>
      </w:r>
      <w:r>
        <w:t xml:space="preserve">ována, pokud to zákon vyžaduje, </w:t>
      </w:r>
      <w:r w:rsidR="008B6F74" w:rsidRPr="00BA3C82">
        <w:t xml:space="preserve">pak </w:t>
      </w:r>
      <w:r>
        <w:t xml:space="preserve">již dále není řešeno; </w:t>
      </w:r>
      <w:r w:rsidR="00BA3C82" w:rsidRPr="00BA3C82">
        <w:t>nakládání</w:t>
      </w:r>
      <w:r w:rsidR="008B6F74" w:rsidRPr="00BA3C82">
        <w:t xml:space="preserve"> </w:t>
      </w:r>
      <w:r>
        <w:t xml:space="preserve">s vodami </w:t>
      </w:r>
      <w:r w:rsidR="008B6F74" w:rsidRPr="00BA3C82">
        <w:t xml:space="preserve">je </w:t>
      </w:r>
      <w:r>
        <w:t xml:space="preserve">oproti tomu </w:t>
      </w:r>
      <w:r w:rsidR="008B6F74" w:rsidRPr="00BA3C82">
        <w:t xml:space="preserve">stále </w:t>
      </w:r>
      <w:r w:rsidR="00BA3C82" w:rsidRPr="00BA3C82">
        <w:t>živé</w:t>
      </w:r>
      <w:r w:rsidR="008B6F74" w:rsidRPr="00BA3C82">
        <w:t xml:space="preserve"> v </w:t>
      </w:r>
      <w:r>
        <w:t>č</w:t>
      </w:r>
      <w:r w:rsidR="008B6F74" w:rsidRPr="00BA3C82">
        <w:t xml:space="preserve">ase, </w:t>
      </w:r>
      <w:r w:rsidR="00BA3C82" w:rsidRPr="00BA3C82">
        <w:t>vydává</w:t>
      </w:r>
      <w:r w:rsidR="008B6F74" w:rsidRPr="00BA3C82">
        <w:t xml:space="preserve"> se na </w:t>
      </w:r>
      <w:r w:rsidR="00BA3C82" w:rsidRPr="00BA3C82">
        <w:t>časov</w:t>
      </w:r>
      <w:r>
        <w:t>ě</w:t>
      </w:r>
      <w:r w:rsidR="008B6F74" w:rsidRPr="00BA3C82">
        <w:t xml:space="preserve"> omezenou dobu, často se </w:t>
      </w:r>
      <w:r w:rsidR="00BA3C82" w:rsidRPr="00BA3C82">
        <w:t>mění</w:t>
      </w:r>
      <w:r w:rsidR="008B6F74" w:rsidRPr="00BA3C82">
        <w:t>,</w:t>
      </w:r>
      <w:r>
        <w:t xml:space="preserve"> (v případě sucha se </w:t>
      </w:r>
      <w:r w:rsidR="00686D84">
        <w:t>například</w:t>
      </w:r>
      <w:r>
        <w:t xml:space="preserve"> </w:t>
      </w:r>
      <w:r w:rsidR="00BA3C82" w:rsidRPr="00BA3C82">
        <w:t>vydan</w:t>
      </w:r>
      <w:r>
        <w:t>á</w:t>
      </w:r>
      <w:r w:rsidR="008B6F74" w:rsidRPr="00BA3C82">
        <w:t xml:space="preserve"> povolen</w:t>
      </w:r>
      <w:r>
        <w:t>í</w:t>
      </w:r>
      <w:r w:rsidR="008B6F74" w:rsidRPr="00BA3C82">
        <w:t xml:space="preserve"> omezuj</w:t>
      </w:r>
      <w:r>
        <w:t>í) – je třeba zvážit, jakým způsobem začlenit výrok o nakládání s vodami tak, aby se při potřebě jeho modi</w:t>
      </w:r>
      <w:r w:rsidR="00B90B56">
        <w:t>fikace nemusel otevírat výrok o </w:t>
      </w:r>
      <w:r>
        <w:t>realizaci stavby.</w:t>
      </w:r>
    </w:p>
    <w:p w:rsidR="008B6F74" w:rsidRPr="00177EA9" w:rsidRDefault="00177EA9" w:rsidP="003E4A5D">
      <w:pPr>
        <w:pStyle w:val="Text-Normaln"/>
        <w:widowControl w:val="0"/>
        <w:rPr>
          <w:u w:val="single"/>
        </w:rPr>
      </w:pPr>
      <w:r w:rsidRPr="00177EA9">
        <w:rPr>
          <w:u w:val="single"/>
        </w:rPr>
        <w:t xml:space="preserve">Agenda požárních </w:t>
      </w:r>
      <w:proofErr w:type="spellStart"/>
      <w:r w:rsidRPr="00177EA9">
        <w:rPr>
          <w:u w:val="single"/>
        </w:rPr>
        <w:t>preventistů</w:t>
      </w:r>
      <w:proofErr w:type="spellEnd"/>
    </w:p>
    <w:p w:rsidR="008B6F74" w:rsidRPr="00BA3C82" w:rsidRDefault="008B6F74" w:rsidP="00C873B4">
      <w:pPr>
        <w:pStyle w:val="Text-Normaln"/>
        <w:widowControl w:val="0"/>
        <w:numPr>
          <w:ilvl w:val="0"/>
          <w:numId w:val="74"/>
        </w:numPr>
        <w:ind w:left="284" w:hanging="284"/>
      </w:pPr>
      <w:r w:rsidRPr="00BA3C82">
        <w:t xml:space="preserve">Věcně </w:t>
      </w:r>
      <w:r w:rsidR="00177EA9">
        <w:t xml:space="preserve">se zařazením této agendy pod NSÚ </w:t>
      </w:r>
      <w:r w:rsidRPr="00BA3C82">
        <w:t xml:space="preserve">není </w:t>
      </w:r>
      <w:r w:rsidR="00177EA9">
        <w:t xml:space="preserve">výrazný </w:t>
      </w:r>
      <w:r w:rsidRPr="00BA3C82">
        <w:t xml:space="preserve">problém </w:t>
      </w:r>
      <w:r w:rsidR="00177EA9">
        <w:t xml:space="preserve">(v minulosti již agenda byla na obcích) </w:t>
      </w:r>
      <w:r w:rsidRPr="00BA3C82">
        <w:t xml:space="preserve">– kromě souhlasů </w:t>
      </w:r>
      <w:proofErr w:type="spellStart"/>
      <w:r w:rsidR="00177EA9">
        <w:t>preventisté</w:t>
      </w:r>
      <w:proofErr w:type="spellEnd"/>
      <w:r w:rsidR="00177EA9">
        <w:t xml:space="preserve"> </w:t>
      </w:r>
      <w:r w:rsidRPr="00BA3C82">
        <w:t xml:space="preserve">vypracovávají </w:t>
      </w:r>
      <w:r w:rsidR="00686D84">
        <w:t>například</w:t>
      </w:r>
      <w:r w:rsidR="00177EA9">
        <w:t xml:space="preserve"> </w:t>
      </w:r>
      <w:r w:rsidRPr="00BA3C82">
        <w:t>posudky</w:t>
      </w:r>
      <w:r w:rsidR="00177EA9">
        <w:t>,</w:t>
      </w:r>
      <w:r w:rsidRPr="00BA3C82">
        <w:t xml:space="preserve"> kde je třeba změnit situaci, aby </w:t>
      </w:r>
      <w:r w:rsidR="00177EA9">
        <w:t>projela hasičská technika</w:t>
      </w:r>
      <w:r w:rsidRPr="00BA3C82">
        <w:t xml:space="preserve"> apod., pravidelně </w:t>
      </w:r>
      <w:r w:rsidR="00177EA9">
        <w:t xml:space="preserve">spolu však výjezdní </w:t>
      </w:r>
      <w:r w:rsidR="00F76ADF">
        <w:t xml:space="preserve">hasiči a </w:t>
      </w:r>
      <w:proofErr w:type="spellStart"/>
      <w:r w:rsidR="00F76ADF">
        <w:t>preventisté</w:t>
      </w:r>
      <w:proofErr w:type="spellEnd"/>
      <w:r w:rsidR="00177EA9">
        <w:t xml:space="preserve"> </w:t>
      </w:r>
      <w:r w:rsidRPr="00BA3C82">
        <w:t xml:space="preserve">nekomunikují, tj. lze je bez </w:t>
      </w:r>
      <w:r w:rsidR="00177EA9">
        <w:t xml:space="preserve">výrazných </w:t>
      </w:r>
      <w:r w:rsidRPr="00BA3C82">
        <w:t xml:space="preserve">dopadů z tohoto titulu vydělit, </w:t>
      </w:r>
    </w:p>
    <w:p w:rsidR="008B6F74" w:rsidRPr="00BA3C82" w:rsidRDefault="00177EA9" w:rsidP="00177EA9">
      <w:pPr>
        <w:pStyle w:val="Text-Normaln"/>
        <w:widowControl w:val="0"/>
        <w:ind w:left="284"/>
      </w:pPr>
      <w:r>
        <w:t>avšak</w:t>
      </w:r>
    </w:p>
    <w:p w:rsidR="008B6F74" w:rsidRPr="00BA3C82" w:rsidRDefault="008B6F74" w:rsidP="00C873B4">
      <w:pPr>
        <w:pStyle w:val="Text-Normaln"/>
        <w:widowControl w:val="0"/>
        <w:numPr>
          <w:ilvl w:val="0"/>
          <w:numId w:val="74"/>
        </w:numPr>
        <w:ind w:left="284" w:hanging="284"/>
      </w:pPr>
      <w:proofErr w:type="spellStart"/>
      <w:r w:rsidRPr="00BA3C82">
        <w:t>Preventisté</w:t>
      </w:r>
      <w:proofErr w:type="spellEnd"/>
      <w:r w:rsidRPr="00BA3C82">
        <w:t xml:space="preserve"> nyní </w:t>
      </w:r>
      <w:r w:rsidR="00177EA9">
        <w:t xml:space="preserve">těží z </w:t>
      </w:r>
      <w:r w:rsidRPr="00BA3C82">
        <w:t>vešker</w:t>
      </w:r>
      <w:r w:rsidR="00177EA9">
        <w:t>ých</w:t>
      </w:r>
      <w:r w:rsidRPr="00BA3C82">
        <w:t xml:space="preserve"> výhod služebního zákona, tj. nejen výsluh, ale i rizikov</w:t>
      </w:r>
      <w:r w:rsidR="00177EA9">
        <w:t>ého</w:t>
      </w:r>
      <w:r w:rsidRPr="00BA3C82">
        <w:t xml:space="preserve"> příplat</w:t>
      </w:r>
      <w:r w:rsidR="00177EA9">
        <w:t>ku</w:t>
      </w:r>
      <w:r w:rsidRPr="00BA3C82">
        <w:t xml:space="preserve"> atp.</w:t>
      </w:r>
      <w:r w:rsidR="00177EA9">
        <w:t xml:space="preserve"> (při </w:t>
      </w:r>
      <w:r w:rsidRPr="00BA3C82">
        <w:t>7.</w:t>
      </w:r>
      <w:r w:rsidR="00177EA9">
        <w:t xml:space="preserve"> </w:t>
      </w:r>
      <w:r w:rsidRPr="00BA3C82">
        <w:t>-</w:t>
      </w:r>
      <w:r w:rsidR="00177EA9">
        <w:t xml:space="preserve"> </w:t>
      </w:r>
      <w:r w:rsidRPr="00BA3C82">
        <w:t xml:space="preserve">8. PT </w:t>
      </w:r>
      <w:r w:rsidR="00177EA9">
        <w:t xml:space="preserve">a </w:t>
      </w:r>
      <w:r w:rsidRPr="00BA3C82">
        <w:t>základ</w:t>
      </w:r>
      <w:r w:rsidR="00177EA9">
        <w:t>u</w:t>
      </w:r>
      <w:r w:rsidRPr="00BA3C82">
        <w:t xml:space="preserve"> 30</w:t>
      </w:r>
      <w:r w:rsidR="00177EA9">
        <w:t> 000 Kč m</w:t>
      </w:r>
      <w:r w:rsidR="00674C26">
        <w:t>ůže být rizikový příplatek 4 000 Kč, osobní ohodnocení pak do 1 000 Kč)</w:t>
      </w:r>
      <w:r w:rsidRPr="00BA3C82">
        <w:t xml:space="preserve"> </w:t>
      </w:r>
      <w:r w:rsidR="00674C26">
        <w:t xml:space="preserve">– dá se předpokládat, že tito zaměstnanci se </w:t>
      </w:r>
      <w:r w:rsidRPr="00BA3C82">
        <w:t xml:space="preserve">i po rekodifikaci </w:t>
      </w:r>
      <w:r w:rsidR="00674C26">
        <w:t xml:space="preserve">budou </w:t>
      </w:r>
      <w:r w:rsidRPr="00BA3C82">
        <w:t xml:space="preserve">snažit zůstat </w:t>
      </w:r>
      <w:r w:rsidR="00674C26">
        <w:t>v režimu</w:t>
      </w:r>
      <w:r w:rsidRPr="00BA3C82">
        <w:t xml:space="preserve"> služební</w:t>
      </w:r>
      <w:r w:rsidR="00674C26">
        <w:t>ho</w:t>
      </w:r>
      <w:r w:rsidRPr="00BA3C82">
        <w:t xml:space="preserve"> zákon</w:t>
      </w:r>
      <w:r w:rsidR="00674C26">
        <w:t>a</w:t>
      </w:r>
      <w:r w:rsidRPr="00BA3C82">
        <w:t xml:space="preserve"> </w:t>
      </w:r>
      <w:r w:rsidR="00674C26">
        <w:t>a hledat si místo i v rámci jiných bezpečnostních složek státu – po provedeném personálním auditu před implementací rekodifikace by bylo třeba ověřit, zda by v tomto případě nebylo třeba najmout v porovnání s jinými agendami proporcionálně vyšší počet pracovníků (celkem jich je nyní v ČR okolo 350)</w:t>
      </w:r>
    </w:p>
    <w:p w:rsidR="008B6F74" w:rsidRDefault="00C67F79" w:rsidP="003E4A5D">
      <w:pPr>
        <w:pStyle w:val="Text-Normaln"/>
        <w:widowControl w:val="0"/>
      </w:pPr>
      <w:r>
        <w:t xml:space="preserve">Výše uvedené agendy byly vybrány pro ilustraci možných rizik spojených s přesunem DO pod NSÚ pouze </w:t>
      </w:r>
      <w:proofErr w:type="spellStart"/>
      <w:r>
        <w:t>příkladmo</w:t>
      </w:r>
      <w:proofErr w:type="spellEnd"/>
      <w:r>
        <w:t>. Do většího detailů konkrétních agend by mělo jít až paragrafové znění zákona. Nicméně je třeba zohlednit, že každá agenda má svá specifika a ta bude třeba v rámci implementace zohlednit.</w:t>
      </w:r>
    </w:p>
    <w:p w:rsidR="009C1FA6" w:rsidRPr="006059A5" w:rsidRDefault="009C1FA6" w:rsidP="00BD4BAE">
      <w:pPr>
        <w:pStyle w:val="Nadpis3a"/>
        <w:widowControl w:val="0"/>
        <w:ind w:left="567" w:hanging="567"/>
      </w:pPr>
      <w:bookmarkStart w:id="58" w:name="_Toc536431001"/>
      <w:bookmarkStart w:id="59" w:name="_Toc536431002"/>
      <w:bookmarkStart w:id="60" w:name="_Toc536431003"/>
      <w:bookmarkStart w:id="61" w:name="_Toc536553922"/>
      <w:bookmarkEnd w:id="58"/>
      <w:bookmarkEnd w:id="59"/>
      <w:bookmarkEnd w:id="60"/>
      <w:r>
        <w:t>Elektronizace</w:t>
      </w:r>
      <w:r w:rsidR="0042443D">
        <w:t xml:space="preserve"> agendy </w:t>
      </w:r>
      <w:r w:rsidR="004E1668">
        <w:t>stavebních úřadů</w:t>
      </w:r>
      <w:bookmarkEnd w:id="61"/>
    </w:p>
    <w:p w:rsidR="00424780" w:rsidRPr="009A4F71" w:rsidRDefault="00BD4BAE" w:rsidP="00BD4BAE">
      <w:pPr>
        <w:pStyle w:val="Nadpis3a"/>
        <w:numPr>
          <w:ilvl w:val="0"/>
          <w:numId w:val="0"/>
        </w:numPr>
      </w:pPr>
      <w:bookmarkStart w:id="62" w:name="_Toc536553923"/>
      <w:r>
        <w:t xml:space="preserve">A.3.1 </w:t>
      </w:r>
      <w:r w:rsidR="00424780" w:rsidRPr="009A4F71">
        <w:t>Popis současného stavu</w:t>
      </w:r>
      <w:r w:rsidR="00D21F04" w:rsidRPr="009A4F71">
        <w:t xml:space="preserve"> a definice problému</w:t>
      </w:r>
      <w:r w:rsidR="00424780" w:rsidRPr="009A4F71">
        <w:t>:</w:t>
      </w:r>
      <w:bookmarkEnd w:id="62"/>
    </w:p>
    <w:p w:rsidR="00F46E1D" w:rsidRDefault="001574B2" w:rsidP="003E4A5D">
      <w:pPr>
        <w:widowControl w:val="0"/>
      </w:pPr>
      <w:r>
        <w:t xml:space="preserve">Elektronizace agendy stavebních úřadů je součástí řešení aktuálně navrhovaného ICTU v rámci RIA </w:t>
      </w:r>
      <w:r w:rsidR="00F46E1D">
        <w:t>k</w:t>
      </w:r>
      <w:r>
        <w:t xml:space="preserve"> návrhu zákona </w:t>
      </w:r>
      <w:r w:rsidR="00F46E1D" w:rsidRPr="00F46E1D">
        <w:t>o právu na poskytnutí digitální služby</w:t>
      </w:r>
      <w:r w:rsidR="00F46E1D">
        <w:t>. Protože tato RIA již byla zpracována, není třeba tuto oblast řešit znov</w:t>
      </w:r>
      <w:r w:rsidR="00AC4073">
        <w:t>u</w:t>
      </w:r>
      <w:r w:rsidR="00F46E1D">
        <w:t>. Zmiňme zde proto klíčové závěry tohoto dokumentu, které jsou validní pro případ stavebních úřadů.</w:t>
      </w:r>
    </w:p>
    <w:p w:rsidR="00424780" w:rsidRPr="00F46E1D" w:rsidRDefault="00F46E1D" w:rsidP="003E4A5D">
      <w:pPr>
        <w:widowControl w:val="0"/>
        <w:rPr>
          <w:i/>
        </w:rPr>
      </w:pPr>
      <w:r>
        <w:t xml:space="preserve">Dle výše uvedené RIA </w:t>
      </w:r>
      <w:r w:rsidRPr="009A4F71">
        <w:t>disponuje</w:t>
      </w:r>
      <w:r>
        <w:t xml:space="preserve"> </w:t>
      </w:r>
      <w:r w:rsidR="00424780" w:rsidRPr="009A4F71">
        <w:t xml:space="preserve">Česká republika </w:t>
      </w:r>
      <w:r>
        <w:t>v</w:t>
      </w:r>
      <w:r w:rsidRPr="009A4F71">
        <w:t xml:space="preserve"> rámci EU </w:t>
      </w:r>
      <w:r w:rsidRPr="00F46E1D">
        <w:rPr>
          <w:i/>
        </w:rPr>
        <w:t>„</w:t>
      </w:r>
      <w:r w:rsidR="00B90B56">
        <w:rPr>
          <w:i/>
        </w:rPr>
        <w:t>jedním z nejkvalitnějších a </w:t>
      </w:r>
      <w:r w:rsidR="00424780" w:rsidRPr="00F46E1D">
        <w:rPr>
          <w:i/>
        </w:rPr>
        <w:t xml:space="preserve">nejkomplexnějších technologických řešení na úrovni tzv. </w:t>
      </w:r>
      <w:proofErr w:type="spellStart"/>
      <w:r w:rsidR="00424780" w:rsidRPr="00F46E1D">
        <w:rPr>
          <w:i/>
        </w:rPr>
        <w:t>back</w:t>
      </w:r>
      <w:proofErr w:type="spellEnd"/>
      <w:r w:rsidR="00424780" w:rsidRPr="00F46E1D">
        <w:rPr>
          <w:i/>
        </w:rPr>
        <w:t xml:space="preserve"> </w:t>
      </w:r>
      <w:proofErr w:type="spellStart"/>
      <w:r w:rsidR="00424780" w:rsidRPr="00F46E1D">
        <w:rPr>
          <w:i/>
        </w:rPr>
        <w:t>office</w:t>
      </w:r>
      <w:proofErr w:type="spellEnd"/>
      <w:r w:rsidR="00424780" w:rsidRPr="00F46E1D">
        <w:rPr>
          <w:i/>
        </w:rPr>
        <w:t xml:space="preserve">, tedy na straně veřejné správy. V letech 2008 až 2013 se podařilo úspěšně vybudovat a uvést do ostrého provozu ucelený a komplexní systém, jenž vytvořil základ pro Propojený datový fond orgánů veřejné moci obsahující referenční a autoritativní údaje o každém občanovi ve všech jeho možných životních situacích, a to tak, jak jsou mu definována jeho práva a povinnosti dle právního řádu </w:t>
      </w:r>
      <w:r w:rsidR="00C85BD6" w:rsidRPr="00C85BD6">
        <w:rPr>
          <w:i/>
        </w:rPr>
        <w:t>ČR</w:t>
      </w:r>
      <w:r w:rsidR="00424780" w:rsidRPr="00F46E1D">
        <w:rPr>
          <w:i/>
        </w:rPr>
        <w:t xml:space="preserve">. </w:t>
      </w:r>
    </w:p>
    <w:p w:rsidR="00424780" w:rsidRPr="00F46E1D" w:rsidRDefault="00424780" w:rsidP="003E4A5D">
      <w:pPr>
        <w:widowControl w:val="0"/>
        <w:rPr>
          <w:i/>
        </w:rPr>
      </w:pPr>
      <w:r w:rsidRPr="00F46E1D">
        <w:rPr>
          <w:i/>
        </w:rPr>
        <w:t xml:space="preserve">Česká veřejná správa disponuje uceleným systémem, jehož základem jsou základní registry veřejné správy a k nim </w:t>
      </w:r>
      <w:r w:rsidRPr="00F46E1D">
        <w:rPr>
          <w:i/>
        </w:rPr>
        <w:lastRenderedPageBreak/>
        <w:t xml:space="preserve">bezpečně připojených více než pět tisíc </w:t>
      </w:r>
      <w:proofErr w:type="spellStart"/>
      <w:r w:rsidRPr="00F46E1D">
        <w:rPr>
          <w:i/>
        </w:rPr>
        <w:t>agendových</w:t>
      </w:r>
      <w:proofErr w:type="spellEnd"/>
      <w:r w:rsidRPr="00F46E1D">
        <w:rPr>
          <w:i/>
        </w:rPr>
        <w:t xml:space="preserve"> informačních systémů veřejné správy. Na jednom místě tak každý úřad a úředník, který je k tomu oprávněn zvláštními zákony, získá veškeré potřebné údaje nezbytné pro výkon konkrétní agendy, tedy naplňování práv a povinností občanů, a to samozřejmě souběžně s ochranou zájmů státu, definovanou zákony a podzákonnými předpisy. Úředníci tak mohou nově vykonávat svoji veřejnou službu efektivně a bez nadbytečné administrativní zátěže občanů. Navíc veřejná správa disponuje dalšími nástroji, které umožňují nezbytnou komunikaci mezi veřejnou správou a občanem provádět bezpečně, garantovaně a opět efektivně. Pro bezpečnou a garantovanou komunikaci je vybudovaný Informační systém datových schránek, který jako jediný může právně garantovat průkaznost uskutečněné obousměrné či jednosměrné komunikace mezi orgánem veřejné moci a občanem. Veškeré nezbytné informace o řešení jednotlivých životních situací, včetně open dat, je pak možné občanům nabízet přívětivou a návodnou formou prostřednictvím Portálu veřejné správy. Na druhou stranu pro občany, kteří o využívání moderních technologií zájem nejeví, disponuje Česká republika širokou škálou digitálních služeb, které jim mohou být poskytovány asistovanou formou na kontaktních místech veřejné správy. </w:t>
      </w:r>
    </w:p>
    <w:p w:rsidR="00424780" w:rsidRPr="00F46E1D" w:rsidRDefault="00424780" w:rsidP="003E4A5D">
      <w:pPr>
        <w:pStyle w:val="Text-Normaln"/>
        <w:widowControl w:val="0"/>
        <w:rPr>
          <w:i/>
        </w:rPr>
      </w:pPr>
      <w:r w:rsidRPr="00F46E1D">
        <w:rPr>
          <w:i/>
        </w:rPr>
        <w:t>Řada povinností v digitálním světě je navíc již legislativně ukotvena, avšak bez jakékoliv možnosti se těchto povinností domáhat a sankcionovat ty, kteří je odmítají plnit.</w:t>
      </w:r>
    </w:p>
    <w:p w:rsidR="00954A65" w:rsidRPr="00F46E1D" w:rsidRDefault="00954A65" w:rsidP="003E4A5D">
      <w:pPr>
        <w:pStyle w:val="Text-Normaln"/>
        <w:widowControl w:val="0"/>
        <w:rPr>
          <w:i/>
        </w:rPr>
      </w:pPr>
      <w:r w:rsidRPr="00F46E1D">
        <w:rPr>
          <w:i/>
        </w:rPr>
        <w:t xml:space="preserve">Základem pro fungující </w:t>
      </w:r>
      <w:proofErr w:type="spellStart"/>
      <w:r w:rsidRPr="00F46E1D">
        <w:rPr>
          <w:i/>
        </w:rPr>
        <w:t>eGovernment</w:t>
      </w:r>
      <w:proofErr w:type="spellEnd"/>
      <w:r w:rsidRPr="00F46E1D">
        <w:rPr>
          <w:i/>
        </w:rPr>
        <w:t xml:space="preserve"> je kromě digitalizace procesů a vhodné konektivity také </w:t>
      </w:r>
      <w:r w:rsidRPr="00F46E1D">
        <w:rPr>
          <w:i/>
          <w:u w:val="single"/>
        </w:rPr>
        <w:t>dostatek digitálních služeb</w:t>
      </w:r>
      <w:r w:rsidRPr="00F46E1D">
        <w:rPr>
          <w:i/>
        </w:rPr>
        <w:t xml:space="preserve"> veřejné správy a zajištění jejich přístupnosti pro občany při naplňování jejich práv a povinností vyplývajících z právního řádu </w:t>
      </w:r>
      <w:r w:rsidR="00C85BD6" w:rsidRPr="00C85BD6">
        <w:rPr>
          <w:i/>
        </w:rPr>
        <w:t>ČR</w:t>
      </w:r>
      <w:r w:rsidRPr="00F46E1D">
        <w:rPr>
          <w:i/>
        </w:rPr>
        <w:t xml:space="preserve">. Při respektování veřejnoprávního charakteru veřejné správy je základem jakékoliv působnosti každého orgánu veřejné správy konkrétní zákon nebo podzákonný právní předpis, který ukládá konkrétnímu orgánu veřejné moci práva či povinnosti. V případě práv a povinností občanů musí být základem pouze a výhradně konkrétní zákon. </w:t>
      </w:r>
    </w:p>
    <w:p w:rsidR="00954A65" w:rsidRPr="00F46E1D" w:rsidRDefault="00954A65" w:rsidP="003E4A5D">
      <w:pPr>
        <w:pStyle w:val="Text-Normaln"/>
        <w:widowControl w:val="0"/>
        <w:rPr>
          <w:i/>
        </w:rPr>
      </w:pPr>
      <w:r w:rsidRPr="00F46E1D">
        <w:rPr>
          <w:i/>
        </w:rPr>
        <w:t>Této premise odpovídá i konstrukce Systému základních registrů, resp. matice rol</w:t>
      </w:r>
      <w:r w:rsidR="00B90B56">
        <w:rPr>
          <w:i/>
        </w:rPr>
        <w:t>í a oprávnění v Registru práv a </w:t>
      </w:r>
      <w:r w:rsidRPr="00F46E1D">
        <w:rPr>
          <w:i/>
        </w:rPr>
        <w:t>povinností. Právě registrace, tj. aktuálně 428 agend (= zákonů), je základem pro</w:t>
      </w:r>
      <w:r w:rsidR="00B90B56">
        <w:rPr>
          <w:i/>
        </w:rPr>
        <w:t xml:space="preserve"> proces digitalizace procesů ve </w:t>
      </w:r>
      <w:r w:rsidRPr="00F46E1D">
        <w:rPr>
          <w:i/>
        </w:rPr>
        <w:t>veřejné správě. Digitalizace veřejné správy, tedy vytvoření podmínek pro digitální vl</w:t>
      </w:r>
      <w:r w:rsidR="00B90B56">
        <w:rPr>
          <w:i/>
        </w:rPr>
        <w:t xml:space="preserve">ádnutí, tzv. </w:t>
      </w:r>
      <w:proofErr w:type="spellStart"/>
      <w:r w:rsidR="00B90B56">
        <w:rPr>
          <w:i/>
        </w:rPr>
        <w:t>eGovernment</w:t>
      </w:r>
      <w:proofErr w:type="spellEnd"/>
      <w:r w:rsidR="00B90B56">
        <w:rPr>
          <w:i/>
        </w:rPr>
        <w:t>, se </w:t>
      </w:r>
      <w:r w:rsidRPr="00F46E1D">
        <w:rPr>
          <w:i/>
        </w:rPr>
        <w:t>může týkat:</w:t>
      </w:r>
    </w:p>
    <w:p w:rsidR="00954A65" w:rsidRPr="00F46E1D" w:rsidRDefault="00954A65" w:rsidP="009D4B5F">
      <w:pPr>
        <w:pStyle w:val="Text-Normaln"/>
        <w:widowControl w:val="0"/>
        <w:numPr>
          <w:ilvl w:val="0"/>
          <w:numId w:val="40"/>
        </w:numPr>
        <w:rPr>
          <w:i/>
        </w:rPr>
      </w:pPr>
      <w:r w:rsidRPr="00F46E1D">
        <w:rPr>
          <w:i/>
        </w:rPr>
        <w:t xml:space="preserve">komplexní agendy – do digitální podoby jsou digitalizovány veškeré procesy a činnostní role tvořící danou agendu; </w:t>
      </w:r>
    </w:p>
    <w:p w:rsidR="00954A65" w:rsidRPr="00F46E1D" w:rsidRDefault="00954A65" w:rsidP="009D4B5F">
      <w:pPr>
        <w:pStyle w:val="Text-Normaln"/>
        <w:widowControl w:val="0"/>
        <w:numPr>
          <w:ilvl w:val="0"/>
          <w:numId w:val="40"/>
        </w:numPr>
        <w:rPr>
          <w:i/>
        </w:rPr>
      </w:pPr>
      <w:r w:rsidRPr="00F46E1D">
        <w:rPr>
          <w:i/>
        </w:rPr>
        <w:t>části agendy, a to na úrovni:</w:t>
      </w:r>
    </w:p>
    <w:p w:rsidR="00954A65" w:rsidRPr="00F46E1D" w:rsidRDefault="00954A65" w:rsidP="009D4B5F">
      <w:pPr>
        <w:pStyle w:val="Text-Normaln"/>
        <w:widowControl w:val="0"/>
        <w:numPr>
          <w:ilvl w:val="1"/>
          <w:numId w:val="40"/>
        </w:numPr>
        <w:rPr>
          <w:i/>
        </w:rPr>
      </w:pPr>
      <w:proofErr w:type="spellStart"/>
      <w:r w:rsidRPr="00F46E1D">
        <w:rPr>
          <w:i/>
        </w:rPr>
        <w:t>back</w:t>
      </w:r>
      <w:proofErr w:type="spellEnd"/>
      <w:r w:rsidRPr="00F46E1D">
        <w:rPr>
          <w:i/>
        </w:rPr>
        <w:t xml:space="preserve"> </w:t>
      </w:r>
      <w:proofErr w:type="spellStart"/>
      <w:r w:rsidRPr="00F46E1D">
        <w:rPr>
          <w:i/>
        </w:rPr>
        <w:t>office</w:t>
      </w:r>
      <w:proofErr w:type="spellEnd"/>
      <w:r w:rsidRPr="00F46E1D">
        <w:rPr>
          <w:i/>
        </w:rPr>
        <w:t xml:space="preserve"> – některé procesy vykonávané na straně veřejné správy (sdílení jednou pořízených dat, Propojený datový fond orgánů veřejné moci, atd.); nebo </w:t>
      </w:r>
    </w:p>
    <w:p w:rsidR="00954A65" w:rsidRPr="00F46E1D" w:rsidRDefault="00954A65" w:rsidP="009D4B5F">
      <w:pPr>
        <w:pStyle w:val="Text-Normaln"/>
        <w:widowControl w:val="0"/>
        <w:numPr>
          <w:ilvl w:val="1"/>
          <w:numId w:val="40"/>
        </w:numPr>
        <w:rPr>
          <w:i/>
        </w:rPr>
      </w:pPr>
      <w:r w:rsidRPr="00F46E1D">
        <w:rPr>
          <w:i/>
        </w:rPr>
        <w:t xml:space="preserve">front </w:t>
      </w:r>
      <w:proofErr w:type="spellStart"/>
      <w:r w:rsidRPr="00F46E1D">
        <w:rPr>
          <w:i/>
        </w:rPr>
        <w:t>office</w:t>
      </w:r>
      <w:proofErr w:type="spellEnd"/>
      <w:r w:rsidRPr="00F46E1D">
        <w:rPr>
          <w:i/>
        </w:rPr>
        <w:t xml:space="preserve"> – digitální podání formou interaktivních formulářů, publikace open dat apod. </w:t>
      </w:r>
    </w:p>
    <w:p w:rsidR="00954A65" w:rsidRPr="00F46E1D" w:rsidRDefault="00954A65" w:rsidP="003E4A5D">
      <w:pPr>
        <w:pStyle w:val="Text-Normaln"/>
        <w:widowControl w:val="0"/>
        <w:rPr>
          <w:i/>
        </w:rPr>
      </w:pPr>
      <w:r w:rsidRPr="00F46E1D">
        <w:rPr>
          <w:i/>
        </w:rPr>
        <w:t>Agendy, činnostní role a zejména v nich vykonávané procesy, jsou také základem pro vytváření digitálních služeb veřejné správy a veřejných služeb, které jsou právě produktem konkrétních procesů v rámci dané agendy.</w:t>
      </w:r>
      <w:r w:rsidR="00F46E1D">
        <w:rPr>
          <w:i/>
        </w:rPr>
        <w:t>“</w:t>
      </w:r>
      <w:r w:rsidRPr="00F46E1D">
        <w:rPr>
          <w:i/>
        </w:rPr>
        <w:t xml:space="preserve">  </w:t>
      </w:r>
    </w:p>
    <w:p w:rsidR="00740701" w:rsidRPr="00F46E1D" w:rsidRDefault="00740701" w:rsidP="003E4A5D">
      <w:pPr>
        <w:widowControl w:val="0"/>
        <w:rPr>
          <w:i/>
        </w:rPr>
      </w:pPr>
      <w:r w:rsidRPr="00F46E1D">
        <w:t xml:space="preserve">Veřejně dostupné </w:t>
      </w:r>
      <w:r w:rsidR="00A476D5">
        <w:t>zdroje uvád</w:t>
      </w:r>
      <w:r w:rsidR="001F2819">
        <w:t>í</w:t>
      </w:r>
      <w:r w:rsidRPr="00F46E1D">
        <w:t>, že Česká republika v digitalizaci veřejné správy</w:t>
      </w:r>
      <w:r w:rsidRPr="00F46E1D">
        <w:rPr>
          <w:i/>
        </w:rPr>
        <w:t xml:space="preserve"> </w:t>
      </w:r>
      <w:r w:rsidR="00F46E1D">
        <w:rPr>
          <w:i/>
        </w:rPr>
        <w:t>„</w:t>
      </w:r>
      <w:r w:rsidRPr="00F46E1D">
        <w:rPr>
          <w:i/>
        </w:rPr>
        <w:t xml:space="preserve">výrazně zaostává za čelem Evropské unie a zejména pak za severskými lídry v digitalizaci. V některých aspektech, jako je například rozšíření služeb </w:t>
      </w:r>
      <w:proofErr w:type="spellStart"/>
      <w:r w:rsidRPr="00F46E1D">
        <w:rPr>
          <w:i/>
        </w:rPr>
        <w:t>eGovernmentu</w:t>
      </w:r>
      <w:proofErr w:type="spellEnd"/>
      <w:r w:rsidRPr="00F46E1D">
        <w:rPr>
          <w:i/>
        </w:rPr>
        <w:t>, zaostává Česká republika dokonce i v</w:t>
      </w:r>
      <w:r w:rsidR="00B90B56">
        <w:rPr>
          <w:i/>
        </w:rPr>
        <w:t>e srovnání se zeměmi východní a </w:t>
      </w:r>
      <w:r w:rsidRPr="00F46E1D">
        <w:rPr>
          <w:i/>
        </w:rPr>
        <w:t>jihovýchodní Evropy a dalšími nově přistoupivšími členy Evropské unie. Klesající</w:t>
      </w:r>
      <w:r w:rsidR="00B90B56">
        <w:rPr>
          <w:i/>
        </w:rPr>
        <w:t xml:space="preserve"> trend, který můžeme sledovat v </w:t>
      </w:r>
      <w:r w:rsidRPr="00F46E1D">
        <w:rPr>
          <w:i/>
        </w:rPr>
        <w:t>posledních pěti letech, nelze přisuzovat pouze nízké podpoře ze strany tuzemských odpovědných institucí, nýbrž také výrazně vyšší aktivitě ostatních evropských států. Jako vzor jsou často uváděny Estonsko, Ve</w:t>
      </w:r>
      <w:r w:rsidR="00B90B56">
        <w:rPr>
          <w:i/>
        </w:rPr>
        <w:t>lká Británie a </w:t>
      </w:r>
      <w:r w:rsidRPr="00F46E1D">
        <w:rPr>
          <w:i/>
        </w:rPr>
        <w:t>skandinávské země.</w:t>
      </w:r>
      <w:r w:rsidR="00F46E1D">
        <w:rPr>
          <w:i/>
        </w:rPr>
        <w:t>“</w:t>
      </w:r>
    </w:p>
    <w:p w:rsidR="0036218C" w:rsidRPr="00F46E1D" w:rsidRDefault="00F46E1D" w:rsidP="003E4A5D">
      <w:pPr>
        <w:pStyle w:val="Text-Normaln"/>
        <w:widowControl w:val="0"/>
        <w:rPr>
          <w:i/>
        </w:rPr>
      </w:pPr>
      <w:r w:rsidRPr="00F46E1D">
        <w:t>Jak však RIA upozorňuje,</w:t>
      </w:r>
      <w:r>
        <w:rPr>
          <w:i/>
        </w:rPr>
        <w:t xml:space="preserve"> „</w:t>
      </w:r>
      <w:r w:rsidR="00740701" w:rsidRPr="00F46E1D">
        <w:rPr>
          <w:i/>
        </w:rPr>
        <w:t xml:space="preserve">žádná z těchto zemí – i přes nesporné úspěchy na poli rozvoje </w:t>
      </w:r>
      <w:proofErr w:type="spellStart"/>
      <w:r w:rsidR="00740701" w:rsidRPr="00F46E1D">
        <w:rPr>
          <w:i/>
        </w:rPr>
        <w:t>eGovernmentu</w:t>
      </w:r>
      <w:proofErr w:type="spellEnd"/>
      <w:r w:rsidR="00740701" w:rsidRPr="00F46E1D">
        <w:rPr>
          <w:i/>
        </w:rPr>
        <w:t xml:space="preserve"> – nedisponuje tak kvalitním a komplexním propojeným datovým fondem orgánů veřejné moci a nemá vybudovány tak kvalitní a moderní publikační a komunikační </w:t>
      </w:r>
      <w:proofErr w:type="spellStart"/>
      <w:r w:rsidR="00740701" w:rsidRPr="00F46E1D">
        <w:rPr>
          <w:i/>
        </w:rPr>
        <w:t>agendové</w:t>
      </w:r>
      <w:proofErr w:type="spellEnd"/>
      <w:r w:rsidR="00740701" w:rsidRPr="00F46E1D">
        <w:rPr>
          <w:i/>
        </w:rPr>
        <w:t xml:space="preserve"> informační systémy veřejné správy jako Česká republika. Tím, co nás od uvedených zemí odlišuje a co je příčinou propad</w:t>
      </w:r>
      <w:r w:rsidR="00B90B56">
        <w:rPr>
          <w:i/>
        </w:rPr>
        <w:t xml:space="preserve">u </w:t>
      </w:r>
      <w:r w:rsidR="00C85BD6" w:rsidRPr="00C85BD6">
        <w:rPr>
          <w:i/>
        </w:rPr>
        <w:t>ČR</w:t>
      </w:r>
      <w:r w:rsidR="00C85BD6">
        <w:rPr>
          <w:i/>
        </w:rPr>
        <w:t xml:space="preserve"> </w:t>
      </w:r>
      <w:r w:rsidR="00B90B56">
        <w:rPr>
          <w:i/>
        </w:rPr>
        <w:t>ve srovnání s </w:t>
      </w:r>
      <w:r w:rsidR="00740701" w:rsidRPr="00F46E1D">
        <w:rPr>
          <w:i/>
        </w:rPr>
        <w:t>digitálními lídry EU, je tak primárně neochota využívat ICT nástroje, které jsou již vybudovány a fungují, neochota modernizovat zastaralou legislativu, přetrvávající resortismus</w:t>
      </w:r>
      <w:r w:rsidR="007051FE" w:rsidRPr="00F46E1D">
        <w:rPr>
          <w:i/>
        </w:rPr>
        <w:t>.</w:t>
      </w:r>
      <w:r>
        <w:rPr>
          <w:i/>
        </w:rPr>
        <w:t>“</w:t>
      </w:r>
    </w:p>
    <w:p w:rsidR="00BD4BAE" w:rsidRDefault="00BD4BAE" w:rsidP="00BD4BAE">
      <w:pPr>
        <w:pStyle w:val="Nadpis3a"/>
        <w:numPr>
          <w:ilvl w:val="0"/>
          <w:numId w:val="0"/>
        </w:numPr>
        <w:ind w:left="720" w:hanging="720"/>
      </w:pPr>
      <w:bookmarkStart w:id="63" w:name="_Toc536553924"/>
      <w:r>
        <w:lastRenderedPageBreak/>
        <w:t xml:space="preserve">A.3.2 </w:t>
      </w:r>
      <w:r w:rsidRPr="00BD4BAE">
        <w:t>Hodnocení řešeného věcného okruhu</w:t>
      </w:r>
      <w:bookmarkEnd w:id="63"/>
    </w:p>
    <w:p w:rsidR="009C1FA6" w:rsidRPr="009A4F71" w:rsidRDefault="009C1FA6" w:rsidP="003E4A5D">
      <w:pPr>
        <w:pStyle w:val="Text-Normaln"/>
        <w:widowControl w:val="0"/>
        <w:rPr>
          <w:b/>
        </w:rPr>
      </w:pPr>
      <w:r w:rsidRPr="009A4F71">
        <w:rPr>
          <w:b/>
        </w:rPr>
        <w:t>Cíl:</w:t>
      </w:r>
      <w:r w:rsidRPr="009A4F71">
        <w:t xml:space="preserve"> </w:t>
      </w:r>
      <w:r w:rsidR="00A3356C" w:rsidRPr="009A4F71">
        <w:t>Zefektivnění a zrychlení povolovacího procesu, snížení administrativních nákladů u všech dotčených stran</w:t>
      </w:r>
    </w:p>
    <w:p w:rsidR="009C1FA6" w:rsidRPr="009A4F71" w:rsidRDefault="009C1FA6" w:rsidP="003E4A5D">
      <w:pPr>
        <w:pStyle w:val="Text-Normaln"/>
        <w:widowControl w:val="0"/>
        <w:rPr>
          <w:b/>
        </w:rPr>
      </w:pPr>
      <w:r w:rsidRPr="009A4F71">
        <w:rPr>
          <w:b/>
        </w:rPr>
        <w:t>Návrh variant řešení:</w:t>
      </w:r>
    </w:p>
    <w:p w:rsidR="009C1FA6" w:rsidRPr="009A4F71" w:rsidRDefault="009C1FA6" w:rsidP="003E4A5D">
      <w:pPr>
        <w:pStyle w:val="Text-Normaln"/>
        <w:widowControl w:val="0"/>
      </w:pPr>
      <w:r w:rsidRPr="009A4F71">
        <w:rPr>
          <w:b/>
          <w:i/>
        </w:rPr>
        <w:t>Varianta 0:</w:t>
      </w:r>
      <w:r w:rsidRPr="009A4F71">
        <w:t xml:space="preserve"> </w:t>
      </w:r>
      <w:r w:rsidR="007C6101" w:rsidRPr="009A4F71">
        <w:t>Zachování současného stavu</w:t>
      </w:r>
    </w:p>
    <w:p w:rsidR="009C1FA6" w:rsidRPr="00F23969" w:rsidRDefault="009C1FA6" w:rsidP="003E4A5D">
      <w:pPr>
        <w:pStyle w:val="Text-Normaln"/>
        <w:widowControl w:val="0"/>
      </w:pPr>
      <w:r w:rsidRPr="009A4F71">
        <w:rPr>
          <w:b/>
          <w:i/>
        </w:rPr>
        <w:t>Varianta 1:</w:t>
      </w:r>
      <w:r w:rsidRPr="009A4F71">
        <w:t xml:space="preserve"> </w:t>
      </w:r>
      <w:r w:rsidR="007C6101" w:rsidRPr="009A4F71">
        <w:t>Elektronizace agendy stavebních úřadů</w:t>
      </w:r>
    </w:p>
    <w:p w:rsidR="009C1FA6" w:rsidRPr="00F23969" w:rsidRDefault="009C1FA6" w:rsidP="003E4A5D">
      <w:pPr>
        <w:pStyle w:val="Text-Normaln"/>
        <w:widowControl w:val="0"/>
        <w:rPr>
          <w:b/>
        </w:rPr>
      </w:pPr>
      <w:r w:rsidRPr="00F23969">
        <w:rPr>
          <w:b/>
        </w:rPr>
        <w:t>Identifikace nákladů a přínosů:</w:t>
      </w:r>
      <w:r w:rsidR="008C2D12">
        <w:rPr>
          <w:b/>
        </w:rPr>
        <w:t xml:space="preserve"> </w:t>
      </w:r>
    </w:p>
    <w:p w:rsidR="00A20A6D" w:rsidRDefault="00A20A6D" w:rsidP="003E4A5D">
      <w:pPr>
        <w:pStyle w:val="Titulek"/>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26</w:t>
      </w:r>
      <w:r w:rsidR="00AB65E9">
        <w:rPr>
          <w:noProof/>
        </w:rPr>
        <w:fldChar w:fldCharType="end"/>
      </w:r>
      <w:r>
        <w:t>: Identifikace nákladů a přínosů</w:t>
      </w:r>
    </w:p>
    <w:tbl>
      <w:tblPr>
        <w:tblW w:w="0" w:type="auto"/>
        <w:tblInd w:w="108" w:type="dxa"/>
        <w:tblBorders>
          <w:top w:val="single" w:sz="4" w:space="0" w:color="auto"/>
          <w:bottom w:val="single" w:sz="4" w:space="0" w:color="auto"/>
        </w:tblBorders>
        <w:tblLook w:val="00A0" w:firstRow="1" w:lastRow="0" w:firstColumn="1" w:lastColumn="0" w:noHBand="0" w:noVBand="0"/>
      </w:tblPr>
      <w:tblGrid>
        <w:gridCol w:w="8962"/>
      </w:tblGrid>
      <w:tr w:rsidR="009C1FA6" w:rsidRPr="00D862A5" w:rsidTr="00A20A6D">
        <w:tc>
          <w:tcPr>
            <w:tcW w:w="8962" w:type="dxa"/>
            <w:tcBorders>
              <w:top w:val="single" w:sz="4" w:space="0" w:color="auto"/>
              <w:bottom w:val="single" w:sz="4" w:space="0" w:color="auto"/>
            </w:tcBorders>
            <w:shd w:val="clear" w:color="auto" w:fill="D9D9D9" w:themeFill="background1" w:themeFillShade="D9"/>
            <w:vAlign w:val="center"/>
          </w:tcPr>
          <w:p w:rsidR="009C1FA6" w:rsidRPr="00D862A5" w:rsidRDefault="009C1FA6" w:rsidP="003E4A5D">
            <w:pPr>
              <w:widowControl w:val="0"/>
              <w:spacing w:before="0" w:after="0"/>
              <w:jc w:val="left"/>
              <w:rPr>
                <w:rFonts w:asciiTheme="minorHAnsi" w:hAnsiTheme="minorHAnsi"/>
                <w:b/>
                <w:color w:val="000000"/>
                <w:sz w:val="20"/>
                <w:szCs w:val="20"/>
              </w:rPr>
            </w:pPr>
            <w:r w:rsidRPr="00D862A5">
              <w:rPr>
                <w:rFonts w:asciiTheme="minorHAnsi" w:hAnsiTheme="minorHAnsi"/>
                <w:b/>
                <w:color w:val="000000"/>
                <w:sz w:val="20"/>
                <w:szCs w:val="20"/>
              </w:rPr>
              <w:t>Náklady</w:t>
            </w:r>
          </w:p>
        </w:tc>
      </w:tr>
      <w:tr w:rsidR="009C1FA6" w:rsidRPr="00D862A5" w:rsidTr="00A20A6D">
        <w:tc>
          <w:tcPr>
            <w:tcW w:w="8962" w:type="dxa"/>
            <w:tcBorders>
              <w:top w:val="single" w:sz="4" w:space="0" w:color="auto"/>
              <w:bottom w:val="single" w:sz="4" w:space="0" w:color="auto"/>
            </w:tcBorders>
            <w:shd w:val="clear" w:color="auto" w:fill="auto"/>
            <w:vAlign w:val="center"/>
          </w:tcPr>
          <w:p w:rsidR="00AA0213" w:rsidRPr="001F2819" w:rsidRDefault="00AA0213" w:rsidP="003E4A5D">
            <w:pPr>
              <w:widowControl w:val="0"/>
              <w:spacing w:before="0" w:after="0"/>
              <w:rPr>
                <w:rFonts w:asciiTheme="minorHAnsi" w:hAnsiTheme="minorHAnsi"/>
                <w:b/>
                <w:i/>
                <w:color w:val="000000"/>
                <w:sz w:val="20"/>
                <w:szCs w:val="20"/>
                <w:u w:val="single"/>
              </w:rPr>
            </w:pPr>
            <w:r w:rsidRPr="001F2819">
              <w:rPr>
                <w:rFonts w:asciiTheme="minorHAnsi" w:hAnsiTheme="minorHAnsi"/>
                <w:b/>
                <w:i/>
                <w:color w:val="000000"/>
                <w:sz w:val="20"/>
                <w:szCs w:val="20"/>
                <w:u w:val="single"/>
              </w:rPr>
              <w:t xml:space="preserve">Náklady nevyvolané </w:t>
            </w:r>
            <w:r w:rsidR="008B0435">
              <w:rPr>
                <w:rFonts w:asciiTheme="minorHAnsi" w:hAnsiTheme="minorHAnsi"/>
                <w:b/>
                <w:i/>
                <w:color w:val="000000"/>
                <w:sz w:val="20"/>
                <w:szCs w:val="20"/>
                <w:u w:val="single"/>
              </w:rPr>
              <w:t>věcným záměrem</w:t>
            </w:r>
          </w:p>
          <w:p w:rsidR="00AA0213" w:rsidRPr="00D862A5" w:rsidRDefault="00990EDE" w:rsidP="009D4B5F">
            <w:pPr>
              <w:pStyle w:val="Odstavecseseznamem"/>
              <w:widowControl w:val="0"/>
              <w:numPr>
                <w:ilvl w:val="0"/>
                <w:numId w:val="48"/>
              </w:numPr>
              <w:spacing w:before="0" w:after="0"/>
              <w:rPr>
                <w:rFonts w:asciiTheme="minorHAnsi" w:hAnsiTheme="minorHAnsi"/>
                <w:color w:val="000000"/>
                <w:sz w:val="20"/>
                <w:szCs w:val="20"/>
              </w:rPr>
            </w:pPr>
            <w:r w:rsidRPr="00D862A5">
              <w:rPr>
                <w:rFonts w:asciiTheme="minorHAnsi" w:hAnsiTheme="minorHAnsi"/>
                <w:color w:val="000000"/>
                <w:sz w:val="20"/>
                <w:szCs w:val="20"/>
              </w:rPr>
              <w:t>N</w:t>
            </w:r>
            <w:r w:rsidR="00AA0213" w:rsidRPr="00D862A5">
              <w:rPr>
                <w:rFonts w:asciiTheme="minorHAnsi" w:hAnsiTheme="minorHAnsi"/>
                <w:color w:val="000000"/>
                <w:sz w:val="20"/>
                <w:szCs w:val="20"/>
              </w:rPr>
              <w:t xml:space="preserve">áklady na dobudování Propojeného datového fondu orgánů veřejné moci. Tyto náklady nejsou vyvolány </w:t>
            </w:r>
            <w:r w:rsidR="008B0435">
              <w:rPr>
                <w:rFonts w:asciiTheme="minorHAnsi" w:hAnsiTheme="minorHAnsi"/>
                <w:color w:val="000000"/>
                <w:sz w:val="20"/>
                <w:szCs w:val="20"/>
              </w:rPr>
              <w:t>věcným záměrem</w:t>
            </w:r>
            <w:r w:rsidR="00AA0213" w:rsidRPr="00D862A5">
              <w:rPr>
                <w:rFonts w:asciiTheme="minorHAnsi" w:hAnsiTheme="minorHAnsi"/>
                <w:color w:val="000000"/>
                <w:sz w:val="20"/>
                <w:szCs w:val="20"/>
              </w:rPr>
              <w:t xml:space="preserve">, nicméně jsou nezbytným předpokladem pro dokončení plné funkčnosti </w:t>
            </w:r>
            <w:proofErr w:type="spellStart"/>
            <w:r w:rsidR="00AA0213" w:rsidRPr="00D862A5">
              <w:rPr>
                <w:rFonts w:asciiTheme="minorHAnsi" w:hAnsiTheme="minorHAnsi"/>
                <w:color w:val="000000"/>
                <w:sz w:val="20"/>
                <w:szCs w:val="20"/>
              </w:rPr>
              <w:t>back</w:t>
            </w:r>
            <w:proofErr w:type="spellEnd"/>
            <w:r w:rsidR="00AA0213" w:rsidRPr="00D862A5">
              <w:rPr>
                <w:rFonts w:asciiTheme="minorHAnsi" w:hAnsiTheme="minorHAnsi"/>
                <w:color w:val="000000"/>
                <w:sz w:val="20"/>
                <w:szCs w:val="20"/>
              </w:rPr>
              <w:t xml:space="preserve"> </w:t>
            </w:r>
            <w:proofErr w:type="spellStart"/>
            <w:r w:rsidR="00AA0213" w:rsidRPr="00D862A5">
              <w:rPr>
                <w:rFonts w:asciiTheme="minorHAnsi" w:hAnsiTheme="minorHAnsi"/>
                <w:color w:val="000000"/>
                <w:sz w:val="20"/>
                <w:szCs w:val="20"/>
              </w:rPr>
              <w:t>office</w:t>
            </w:r>
            <w:proofErr w:type="spellEnd"/>
            <w:r w:rsidR="00AA0213" w:rsidRPr="00D862A5">
              <w:rPr>
                <w:rFonts w:asciiTheme="minorHAnsi" w:hAnsiTheme="minorHAnsi"/>
                <w:color w:val="000000"/>
                <w:sz w:val="20"/>
                <w:szCs w:val="20"/>
              </w:rPr>
              <w:t xml:space="preserve"> </w:t>
            </w:r>
            <w:proofErr w:type="spellStart"/>
            <w:r w:rsidR="00AA0213" w:rsidRPr="00D862A5">
              <w:rPr>
                <w:rFonts w:asciiTheme="minorHAnsi" w:hAnsiTheme="minorHAnsi"/>
                <w:color w:val="000000"/>
                <w:sz w:val="20"/>
                <w:szCs w:val="20"/>
              </w:rPr>
              <w:t>eGovernmentu</w:t>
            </w:r>
            <w:proofErr w:type="spellEnd"/>
            <w:r w:rsidR="00AA0213" w:rsidRPr="00D862A5">
              <w:rPr>
                <w:rFonts w:asciiTheme="minorHAnsi" w:hAnsiTheme="minorHAnsi"/>
                <w:color w:val="000000"/>
                <w:sz w:val="20"/>
                <w:szCs w:val="20"/>
              </w:rPr>
              <w:t>, tedy Propojeného datového fondu orgánů veřejné moci</w:t>
            </w:r>
            <w:r w:rsidR="00F46E1D" w:rsidRPr="00D862A5">
              <w:rPr>
                <w:rFonts w:asciiTheme="minorHAnsi" w:hAnsiTheme="minorHAnsi"/>
                <w:color w:val="000000"/>
                <w:sz w:val="20"/>
                <w:szCs w:val="20"/>
              </w:rPr>
              <w:t>, který budou stavební úřady v případě elektronizace jejich agendy potřebovat</w:t>
            </w:r>
            <w:r w:rsidR="00AA0213" w:rsidRPr="00D862A5">
              <w:rPr>
                <w:rFonts w:asciiTheme="minorHAnsi" w:hAnsiTheme="minorHAnsi"/>
                <w:color w:val="000000"/>
                <w:sz w:val="20"/>
                <w:szCs w:val="20"/>
              </w:rPr>
              <w:t>.</w:t>
            </w:r>
          </w:p>
          <w:p w:rsidR="009C1FA6" w:rsidRPr="00D862A5" w:rsidRDefault="00990EDE" w:rsidP="009D4B5F">
            <w:pPr>
              <w:pStyle w:val="Odstavecseseznamem"/>
              <w:widowControl w:val="0"/>
              <w:numPr>
                <w:ilvl w:val="0"/>
                <w:numId w:val="48"/>
              </w:numPr>
              <w:spacing w:before="0" w:after="0"/>
              <w:rPr>
                <w:rFonts w:asciiTheme="minorHAnsi" w:hAnsiTheme="minorHAnsi"/>
                <w:color w:val="000000"/>
                <w:sz w:val="20"/>
                <w:szCs w:val="20"/>
              </w:rPr>
            </w:pPr>
            <w:r w:rsidRPr="00D862A5">
              <w:rPr>
                <w:rFonts w:asciiTheme="minorHAnsi" w:hAnsiTheme="minorHAnsi"/>
                <w:color w:val="000000"/>
                <w:sz w:val="20"/>
                <w:szCs w:val="20"/>
              </w:rPr>
              <w:t>N</w:t>
            </w:r>
            <w:r w:rsidR="00AA0213" w:rsidRPr="00D862A5">
              <w:rPr>
                <w:rFonts w:asciiTheme="minorHAnsi" w:hAnsiTheme="minorHAnsi"/>
                <w:color w:val="000000"/>
                <w:sz w:val="20"/>
                <w:szCs w:val="20"/>
              </w:rPr>
              <w:t>áklady na zajištění práv a jim odpovídajících služeb a funkcionalit.</w:t>
            </w:r>
          </w:p>
        </w:tc>
      </w:tr>
      <w:tr w:rsidR="009C1FA6" w:rsidRPr="00D862A5" w:rsidTr="00A20A6D">
        <w:tc>
          <w:tcPr>
            <w:tcW w:w="8962" w:type="dxa"/>
            <w:tcBorders>
              <w:top w:val="single" w:sz="4" w:space="0" w:color="auto"/>
              <w:bottom w:val="single" w:sz="4" w:space="0" w:color="auto"/>
            </w:tcBorders>
            <w:shd w:val="clear" w:color="auto" w:fill="D9D9D9" w:themeFill="background1" w:themeFillShade="D9"/>
            <w:vAlign w:val="center"/>
          </w:tcPr>
          <w:p w:rsidR="009C1FA6" w:rsidRPr="00D862A5" w:rsidRDefault="009C1FA6" w:rsidP="003E4A5D">
            <w:pPr>
              <w:widowControl w:val="0"/>
              <w:spacing w:before="0" w:after="0"/>
              <w:rPr>
                <w:rFonts w:asciiTheme="minorHAnsi" w:hAnsiTheme="minorHAnsi"/>
                <w:b/>
                <w:color w:val="000000"/>
                <w:sz w:val="20"/>
                <w:szCs w:val="20"/>
              </w:rPr>
            </w:pPr>
            <w:r w:rsidRPr="00D862A5">
              <w:rPr>
                <w:rFonts w:asciiTheme="minorHAnsi" w:hAnsiTheme="minorHAnsi"/>
                <w:b/>
                <w:color w:val="000000"/>
                <w:sz w:val="20"/>
                <w:szCs w:val="20"/>
              </w:rPr>
              <w:t>Přínosy</w:t>
            </w:r>
          </w:p>
        </w:tc>
      </w:tr>
      <w:tr w:rsidR="009C1FA6" w:rsidRPr="00D862A5" w:rsidTr="00A20A6D">
        <w:tc>
          <w:tcPr>
            <w:tcW w:w="8962" w:type="dxa"/>
            <w:tcBorders>
              <w:top w:val="single" w:sz="4" w:space="0" w:color="auto"/>
            </w:tcBorders>
            <w:shd w:val="clear" w:color="auto" w:fill="auto"/>
            <w:vAlign w:val="center"/>
          </w:tcPr>
          <w:p w:rsidR="009C1FA6" w:rsidRPr="001F2819" w:rsidRDefault="006E49BE" w:rsidP="001F2819">
            <w:pPr>
              <w:pStyle w:val="Odstavecseseznamem"/>
              <w:widowControl w:val="0"/>
              <w:numPr>
                <w:ilvl w:val="0"/>
                <w:numId w:val="48"/>
              </w:numPr>
              <w:spacing w:before="0" w:after="0"/>
              <w:rPr>
                <w:rFonts w:asciiTheme="minorHAnsi" w:hAnsiTheme="minorHAnsi"/>
                <w:color w:val="000000"/>
                <w:sz w:val="20"/>
                <w:szCs w:val="20"/>
              </w:rPr>
            </w:pPr>
            <w:r w:rsidRPr="001F2819">
              <w:rPr>
                <w:rFonts w:asciiTheme="minorHAnsi" w:hAnsiTheme="minorHAnsi"/>
                <w:color w:val="000000"/>
                <w:sz w:val="20"/>
                <w:szCs w:val="20"/>
              </w:rPr>
              <w:t>Časové úspory, snížení administrativní zátěže, zefektivnění především povolovacích procesů</w:t>
            </w:r>
            <w:r w:rsidR="000E76F8" w:rsidRPr="001F2819">
              <w:rPr>
                <w:rFonts w:asciiTheme="minorHAnsi" w:hAnsiTheme="minorHAnsi"/>
                <w:color w:val="000000"/>
                <w:sz w:val="20"/>
                <w:szCs w:val="20"/>
              </w:rPr>
              <w:t>, jednotný formát, dostupnost, archivace</w:t>
            </w:r>
          </w:p>
        </w:tc>
      </w:tr>
    </w:tbl>
    <w:p w:rsidR="00D014FD" w:rsidRDefault="00D014FD" w:rsidP="000066CE">
      <w:pPr>
        <w:widowControl w:val="0"/>
        <w:spacing w:before="100" w:after="100"/>
      </w:pPr>
      <w:r>
        <w:t xml:space="preserve">S implementací </w:t>
      </w:r>
      <w:r w:rsidR="00DB2F0E">
        <w:t>opatření</w:t>
      </w:r>
      <w:r>
        <w:t xml:space="preserve"> jsou spojeny jak náklady jednorázové investiční, tak náklady provozní. Administrativní náklady nejsou, respektive jsou záporné a </w:t>
      </w:r>
      <w:r w:rsidR="00DB2F0E">
        <w:t>budo</w:t>
      </w:r>
      <w:r>
        <w:t xml:space="preserve">u proto uvedeny v kategorii přínosů. </w:t>
      </w:r>
    </w:p>
    <w:p w:rsidR="00D014FD" w:rsidRDefault="00D014FD" w:rsidP="000066CE">
      <w:pPr>
        <w:widowControl w:val="0"/>
        <w:spacing w:before="100" w:after="100"/>
      </w:pPr>
      <w:r>
        <w:t xml:space="preserve">Je zcela nezbytné na tomto místě zdůraznit, </w:t>
      </w:r>
      <w:r w:rsidR="00F46E1D">
        <w:t>že tyto náklady nevzniknou v důsledku případného přijetí nového zákona upravujícího vztahy v oblasti územního plánování a výsta</w:t>
      </w:r>
      <w:r w:rsidR="0043469D">
        <w:t>v</w:t>
      </w:r>
      <w:r w:rsidR="00F46E1D">
        <w:t>by</w:t>
      </w:r>
      <w:r w:rsidR="00A476D5">
        <w:t>,</w:t>
      </w:r>
      <w:r w:rsidR="0043469D">
        <w:t xml:space="preserve"> a </w:t>
      </w:r>
      <w:r>
        <w:t>že podstatn</w:t>
      </w:r>
      <w:r w:rsidR="00DB2F0E">
        <w:t>á</w:t>
      </w:r>
      <w:r>
        <w:t xml:space="preserve"> část investičních nákladů, o nichž se tato kapitola zmiňuje, již měla být v souladu s platnou legislativou vynaložena v minulých letech. K tomu však z různých důvodů nedošlo, čímž došlo mimo jiné k nenaplnění zákonných povinností na straně odpovědných orgánů veřejné správy. Pro splnění </w:t>
      </w:r>
      <w:r w:rsidR="0043469D">
        <w:t xml:space="preserve">výše stanovených </w:t>
      </w:r>
      <w:r>
        <w:t>cílů je nicméně nutné tyto investice</w:t>
      </w:r>
      <w:r w:rsidR="0043469D">
        <w:t xml:space="preserve"> </w:t>
      </w:r>
      <w:r>
        <w:t xml:space="preserve">vynaložit. </w:t>
      </w:r>
      <w:r w:rsidR="0043469D">
        <w:t xml:space="preserve">Nelze je však </w:t>
      </w:r>
      <w:r>
        <w:t xml:space="preserve">považovat za náklady </w:t>
      </w:r>
      <w:r w:rsidR="00DB2F0E">
        <w:t>plynoucí z</w:t>
      </w:r>
      <w:r w:rsidR="008B0435">
        <w:t> věcného záměru</w:t>
      </w:r>
      <w:r>
        <w:t>.</w:t>
      </w:r>
    </w:p>
    <w:p w:rsidR="00D014FD" w:rsidRDefault="0043469D" w:rsidP="000066CE">
      <w:pPr>
        <w:widowControl w:val="0"/>
        <w:spacing w:before="100" w:after="100"/>
      </w:pPr>
      <w:r>
        <w:t>Implementace</w:t>
      </w:r>
      <w:r w:rsidR="00D014FD">
        <w:t xml:space="preserve"> je na druhé straně spojen</w:t>
      </w:r>
      <w:r>
        <w:t>a</w:t>
      </w:r>
      <w:r w:rsidR="00D014FD">
        <w:t xml:space="preserve"> s významnými přínosy</w:t>
      </w:r>
      <w:r>
        <w:t xml:space="preserve"> a logicky doplňuje jiná opatření hodnocená v této zprávě</w:t>
      </w:r>
      <w:r w:rsidR="00D014FD">
        <w:t xml:space="preserve">. Hlavní část přínosů plyne </w:t>
      </w:r>
      <w:r>
        <w:t>z</w:t>
      </w:r>
      <w:r w:rsidR="00D014FD">
        <w:t xml:space="preserve"> časových úspor na straně uživatelů služeb veřejné správy, díky nimž budou tito uživatelé moci věnovat více času produktivní činnosti, což má kromě jejich vlastního benefitu také nesporné pozitivní dopady do veřejných rozpočtů. </w:t>
      </w:r>
    </w:p>
    <w:p w:rsidR="00864780" w:rsidRPr="00CF6F45" w:rsidRDefault="00864780" w:rsidP="000066CE">
      <w:pPr>
        <w:pStyle w:val="Text-Normaln"/>
        <w:widowControl w:val="0"/>
        <w:spacing w:before="100" w:after="100"/>
        <w:rPr>
          <w:b/>
        </w:rPr>
      </w:pPr>
      <w:r w:rsidRPr="00CF6F45">
        <w:rPr>
          <w:b/>
        </w:rPr>
        <w:t>Kvantifikace nákladů a přínosů:</w:t>
      </w:r>
    </w:p>
    <w:p w:rsidR="0050396A" w:rsidRPr="00F22B8C" w:rsidRDefault="0050396A" w:rsidP="000066CE">
      <w:pPr>
        <w:pStyle w:val="Normln-tun"/>
        <w:widowControl w:val="0"/>
        <w:spacing w:before="100" w:after="100"/>
      </w:pPr>
      <w:r w:rsidRPr="00864780">
        <w:t xml:space="preserve">Jedná se primárně o náklady spojené s úpravou </w:t>
      </w:r>
      <w:proofErr w:type="spellStart"/>
      <w:r w:rsidRPr="00864780">
        <w:t>agendov</w:t>
      </w:r>
      <w:r w:rsidR="0043469D">
        <w:t>ého</w:t>
      </w:r>
      <w:proofErr w:type="spellEnd"/>
      <w:r w:rsidRPr="00864780">
        <w:t xml:space="preserve"> informační</w:t>
      </w:r>
      <w:r w:rsidR="0043469D">
        <w:t>ho</w:t>
      </w:r>
      <w:r w:rsidRPr="00864780">
        <w:t xml:space="preserve"> systém</w:t>
      </w:r>
      <w:r w:rsidR="0043469D">
        <w:t>u</w:t>
      </w:r>
      <w:r w:rsidRPr="00864780">
        <w:t xml:space="preserve"> </w:t>
      </w:r>
      <w:r w:rsidR="00856684">
        <w:t>stavebních úřadů</w:t>
      </w:r>
      <w:r w:rsidRPr="00864780">
        <w:t xml:space="preserve"> umožňující integraci k vnějšímu rozhraní Informačního systému základních registrů. Jak bylo již dříve uvedeno, tento proces </w:t>
      </w:r>
      <w:r w:rsidR="0043469D">
        <w:t>již měl být</w:t>
      </w:r>
      <w:r w:rsidRPr="00864780">
        <w:t xml:space="preserve"> řádně zabezpečen. V případě, že u některé agendy dosud nedošlo k připojení </w:t>
      </w:r>
      <w:proofErr w:type="spellStart"/>
      <w:r w:rsidRPr="00864780">
        <w:t>agendového</w:t>
      </w:r>
      <w:proofErr w:type="spellEnd"/>
      <w:r w:rsidRPr="00864780">
        <w:t xml:space="preserve"> informačního systému veřejné správy a jeho připojení </w:t>
      </w:r>
      <w:r w:rsidR="00A3096A" w:rsidRPr="00864780">
        <w:t>k</w:t>
      </w:r>
      <w:r w:rsidR="00A3096A">
        <w:t> </w:t>
      </w:r>
      <w:r w:rsidRPr="00864780">
        <w:t>systému základních registrů, jedná se o nedodržení zá</w:t>
      </w:r>
      <w:r w:rsidR="00B2597D">
        <w:t>kona ze strany správce agendy a </w:t>
      </w:r>
      <w:proofErr w:type="spellStart"/>
      <w:r w:rsidRPr="00864780">
        <w:t>agendového</w:t>
      </w:r>
      <w:proofErr w:type="spellEnd"/>
      <w:r w:rsidRPr="00864780">
        <w:t xml:space="preserve"> informačního systému, a nemělo by se tudíž jednat o nový a hlavně oprávněný požadavek vůči veřejným rozpočtům.</w:t>
      </w:r>
    </w:p>
    <w:p w:rsidR="0050396A" w:rsidRPr="00990EDE" w:rsidRDefault="0050396A" w:rsidP="000066CE">
      <w:pPr>
        <w:widowControl w:val="0"/>
        <w:spacing w:before="100" w:after="100"/>
      </w:pPr>
      <w:r w:rsidRPr="007B0D8A">
        <w:t xml:space="preserve">Nově se objevuje </w:t>
      </w:r>
      <w:r w:rsidRPr="00990EDE">
        <w:t xml:space="preserve">požadavek na připojení k Propojenému datovému fondu orgánů veřejné moci prostřednictvím služeb </w:t>
      </w:r>
      <w:proofErr w:type="spellStart"/>
      <w:r w:rsidRPr="00990EDE">
        <w:t>eGON</w:t>
      </w:r>
      <w:proofErr w:type="spellEnd"/>
      <w:r w:rsidRPr="00990EDE">
        <w:t xml:space="preserve"> </w:t>
      </w:r>
      <w:proofErr w:type="spellStart"/>
      <w:r w:rsidRPr="00990EDE">
        <w:t>Service</w:t>
      </w:r>
      <w:proofErr w:type="spellEnd"/>
      <w:r w:rsidRPr="00990EDE">
        <w:t xml:space="preserve"> Bus.</w:t>
      </w:r>
      <w:r w:rsidR="0043469D">
        <w:t xml:space="preserve"> </w:t>
      </w:r>
    </w:p>
    <w:p w:rsidR="0050396A" w:rsidRPr="009A4F71" w:rsidRDefault="0043469D" w:rsidP="000066CE">
      <w:pPr>
        <w:pStyle w:val="Text-Normaln"/>
        <w:widowControl w:val="0"/>
        <w:spacing w:before="100" w:after="100"/>
      </w:pPr>
      <w:r>
        <w:t>Následující část popisuje</w:t>
      </w:r>
      <w:r w:rsidR="0050396A" w:rsidRPr="009A4F71">
        <w:t xml:space="preserve"> náklad</w:t>
      </w:r>
      <w:r>
        <w:t>y</w:t>
      </w:r>
      <w:r w:rsidR="0050396A" w:rsidRPr="009A4F71">
        <w:t xml:space="preserve"> na </w:t>
      </w:r>
      <w:r>
        <w:t xml:space="preserve">případnou </w:t>
      </w:r>
      <w:r w:rsidR="0050396A" w:rsidRPr="009A4F71">
        <w:t>úpravu AIS</w:t>
      </w:r>
      <w:r>
        <w:t xml:space="preserve"> stavebních úřadů. Tento</w:t>
      </w:r>
      <w:r w:rsidR="0050396A" w:rsidRPr="009A4F71">
        <w:t xml:space="preserve"> </w:t>
      </w:r>
      <w:proofErr w:type="spellStart"/>
      <w:r w:rsidR="0050396A" w:rsidRPr="009A4F71">
        <w:t>agendov</w:t>
      </w:r>
      <w:r>
        <w:t>ý</w:t>
      </w:r>
      <w:proofErr w:type="spellEnd"/>
      <w:r w:rsidR="0050396A" w:rsidRPr="009A4F71">
        <w:t xml:space="preserve"> systém</w:t>
      </w:r>
      <w:r w:rsidR="007B0D8A" w:rsidRPr="009A4F71">
        <w:t xml:space="preserve"> </w:t>
      </w:r>
      <w:r w:rsidR="0050396A" w:rsidRPr="009A4F71">
        <w:t>bud</w:t>
      </w:r>
      <w:r>
        <w:t>e</w:t>
      </w:r>
      <w:r w:rsidR="0050396A" w:rsidRPr="009A4F71">
        <w:t xml:space="preserve"> muse</w:t>
      </w:r>
      <w:r>
        <w:t>t</w:t>
      </w:r>
      <w:r w:rsidR="0050396A" w:rsidRPr="009A4F71">
        <w:t xml:space="preserve"> být upraven tak, aby dokázal komunikovat prostřednictvím rozhraní </w:t>
      </w:r>
      <w:proofErr w:type="spellStart"/>
      <w:r w:rsidR="0050396A" w:rsidRPr="009A4F71">
        <w:t>eGON</w:t>
      </w:r>
      <w:proofErr w:type="spellEnd"/>
      <w:r w:rsidR="0050396A" w:rsidRPr="009A4F71">
        <w:t xml:space="preserve"> </w:t>
      </w:r>
      <w:proofErr w:type="spellStart"/>
      <w:r w:rsidR="0050396A" w:rsidRPr="009A4F71">
        <w:t>Service</w:t>
      </w:r>
      <w:proofErr w:type="spellEnd"/>
      <w:r w:rsidR="0050396A" w:rsidRPr="009A4F71">
        <w:t xml:space="preserve"> Bus. Náklady na takové úpravy </w:t>
      </w:r>
      <w:r w:rsidR="00BB1714">
        <w:t xml:space="preserve">se dle </w:t>
      </w:r>
      <w:r w:rsidR="00BB1714" w:rsidRPr="00BB1714">
        <w:t>Z</w:t>
      </w:r>
      <w:r w:rsidR="00BB1714">
        <w:t>ávěrečné</w:t>
      </w:r>
      <w:r w:rsidR="00BB1714" w:rsidRPr="00BB1714">
        <w:t xml:space="preserve"> </w:t>
      </w:r>
      <w:r w:rsidR="00BB1714">
        <w:t>zprávy z hodnocení dopadů regulace k návrhu zákona o právu na digitální služby pohybují v řádech mil. Kč (za předpokladu</w:t>
      </w:r>
      <w:r w:rsidR="00B2597D">
        <w:t>, že </w:t>
      </w:r>
      <w:r w:rsidR="00BB1714">
        <w:t>jednotlivé stavební úřady již informační systém mají).</w:t>
      </w:r>
    </w:p>
    <w:p w:rsidR="004540F4" w:rsidRPr="004540F4" w:rsidRDefault="004540F4" w:rsidP="003E4A5D">
      <w:pPr>
        <w:pStyle w:val="Nadpis2a"/>
        <w:widowControl w:val="0"/>
      </w:pPr>
      <w:bookmarkStart w:id="64" w:name="_Toc536553925"/>
      <w:r w:rsidRPr="004540F4">
        <w:lastRenderedPageBreak/>
        <w:t xml:space="preserve">ZMĚNY </w:t>
      </w:r>
      <w:r w:rsidR="0011793A">
        <w:t>V OBLASTI</w:t>
      </w:r>
      <w:r w:rsidRPr="004540F4">
        <w:t xml:space="preserve"> ÚZEMNÍ</w:t>
      </w:r>
      <w:r w:rsidR="0011793A">
        <w:t>HO</w:t>
      </w:r>
      <w:r w:rsidRPr="004540F4">
        <w:t xml:space="preserve"> PLÁNOVÁNÍ</w:t>
      </w:r>
      <w:bookmarkEnd w:id="64"/>
    </w:p>
    <w:p w:rsidR="00486BB0" w:rsidRPr="00BD4BAE" w:rsidRDefault="00486BB0" w:rsidP="003E4A5D">
      <w:pPr>
        <w:pStyle w:val="Text-Normaln"/>
        <w:widowControl w:val="0"/>
      </w:pPr>
      <w:r w:rsidRPr="00BD4BAE">
        <w:t xml:space="preserve">Definice problému: </w:t>
      </w:r>
    </w:p>
    <w:p w:rsidR="00490E43" w:rsidRPr="00490E43" w:rsidRDefault="00490E43" w:rsidP="009D4B5F">
      <w:pPr>
        <w:pStyle w:val="Odstavecseseznamem"/>
        <w:widowControl w:val="0"/>
        <w:numPr>
          <w:ilvl w:val="0"/>
          <w:numId w:val="49"/>
        </w:numPr>
        <w:ind w:hanging="357"/>
        <w:contextualSpacing w:val="0"/>
        <w:rPr>
          <w:rFonts w:cs="Arial"/>
          <w:szCs w:val="24"/>
        </w:rPr>
      </w:pPr>
      <w:r w:rsidRPr="00490E43">
        <w:rPr>
          <w:rFonts w:cs="Arial"/>
          <w:szCs w:val="24"/>
        </w:rPr>
        <w:t>absence dokumentace v dostatečné podrobnosti, na jejímž základě by bylo možné rychle umisťovat celostátně významné záměry, včetně záměrů společného zájmu, zejména tedy staveb veřejné dopravní a veřejné technické infrastruktury,</w:t>
      </w:r>
    </w:p>
    <w:p w:rsidR="00490E43" w:rsidRPr="00490E43" w:rsidRDefault="007C1713" w:rsidP="007C1713">
      <w:pPr>
        <w:pStyle w:val="Odstavecseseznamem"/>
        <w:widowControl w:val="0"/>
        <w:numPr>
          <w:ilvl w:val="0"/>
          <w:numId w:val="49"/>
        </w:numPr>
        <w:contextualSpacing w:val="0"/>
        <w:rPr>
          <w:rFonts w:cs="Arial"/>
          <w:szCs w:val="24"/>
        </w:rPr>
      </w:pPr>
      <w:r w:rsidRPr="007C1713">
        <w:rPr>
          <w:rFonts w:cs="Arial"/>
          <w:szCs w:val="24"/>
        </w:rPr>
        <w:t xml:space="preserve">není dostatečně využívána možnost </w:t>
      </w:r>
      <w:r w:rsidRPr="00696E9E">
        <w:rPr>
          <w:rFonts w:cs="Arial"/>
          <w:szCs w:val="24"/>
        </w:rPr>
        <w:t xml:space="preserve">koordinovat </w:t>
      </w:r>
      <w:r w:rsidR="00490E43" w:rsidRPr="00533FC0">
        <w:rPr>
          <w:rFonts w:cs="Arial"/>
          <w:szCs w:val="24"/>
        </w:rPr>
        <w:t>územní plánování na úr</w:t>
      </w:r>
      <w:r w:rsidR="00B2597D" w:rsidRPr="00FB6639">
        <w:rPr>
          <w:rFonts w:cs="Arial"/>
          <w:szCs w:val="24"/>
        </w:rPr>
        <w:t>ovni krajů, zejména ve vztahu k </w:t>
      </w:r>
      <w:r w:rsidR="00490E43" w:rsidRPr="00B00F3A">
        <w:rPr>
          <w:rFonts w:cs="Arial"/>
          <w:szCs w:val="24"/>
        </w:rPr>
        <w:t>otázkám, které přesahují zájmy jednotlivých obcí (tzv. otázky nadmístního vý</w:t>
      </w:r>
      <w:r w:rsidR="00490E43" w:rsidRPr="005258F7">
        <w:rPr>
          <w:rFonts w:cs="Arial"/>
          <w:szCs w:val="24"/>
        </w:rPr>
        <w:t xml:space="preserve">znamu), jako jsou typicky otázky související se vznikem a rozvojem aglomerací </w:t>
      </w:r>
      <w:r w:rsidRPr="00D00936">
        <w:rPr>
          <w:rFonts w:cs="Arial"/>
          <w:szCs w:val="24"/>
        </w:rPr>
        <w:t>a</w:t>
      </w:r>
      <w:r>
        <w:rPr>
          <w:rFonts w:cs="Arial"/>
          <w:szCs w:val="24"/>
        </w:rPr>
        <w:t> </w:t>
      </w:r>
      <w:r w:rsidR="00490E43" w:rsidRPr="00696E9E">
        <w:rPr>
          <w:rFonts w:cs="Arial"/>
          <w:szCs w:val="24"/>
        </w:rPr>
        <w:t xml:space="preserve">metropolitních oblastí, </w:t>
      </w:r>
      <w:proofErr w:type="spellStart"/>
      <w:r w:rsidR="00490E43" w:rsidRPr="00696E9E">
        <w:rPr>
          <w:rFonts w:cs="Arial"/>
          <w:szCs w:val="24"/>
        </w:rPr>
        <w:t>prioritizace</w:t>
      </w:r>
      <w:proofErr w:type="spellEnd"/>
      <w:r w:rsidR="00490E43" w:rsidRPr="00696E9E">
        <w:rPr>
          <w:rFonts w:cs="Arial"/>
          <w:szCs w:val="24"/>
        </w:rPr>
        <w:t xml:space="preserve"> rozvoje některých činností</w:t>
      </w:r>
      <w:r w:rsidR="00490E43" w:rsidRPr="00533FC0">
        <w:rPr>
          <w:rFonts w:cs="Arial"/>
          <w:szCs w:val="24"/>
        </w:rPr>
        <w:t xml:space="preserve"> na</w:t>
      </w:r>
      <w:r w:rsidR="00490E43" w:rsidRPr="00490E43">
        <w:rPr>
          <w:rFonts w:cs="Arial"/>
          <w:szCs w:val="24"/>
        </w:rPr>
        <w:t xml:space="preserve"> vymezeném území kraje, kde je rozvoj těchto činností žádoucí z hlediska existující infrastruktury či jiných ekonomických a sociálních důvodů,</w:t>
      </w:r>
    </w:p>
    <w:p w:rsidR="00490E43" w:rsidRPr="00490E43" w:rsidRDefault="00490E43" w:rsidP="009D4B5F">
      <w:pPr>
        <w:pStyle w:val="Odstavecseseznamem"/>
        <w:widowControl w:val="0"/>
        <w:numPr>
          <w:ilvl w:val="0"/>
          <w:numId w:val="49"/>
        </w:numPr>
        <w:ind w:hanging="357"/>
        <w:contextualSpacing w:val="0"/>
        <w:rPr>
          <w:rFonts w:cs="Arial"/>
          <w:szCs w:val="24"/>
        </w:rPr>
      </w:pPr>
      <w:r w:rsidRPr="00490E43">
        <w:rPr>
          <w:rFonts w:cs="Arial"/>
          <w:szCs w:val="24"/>
        </w:rPr>
        <w:t xml:space="preserve">v praxi jen zcela zřídkavé pořizování </w:t>
      </w:r>
      <w:r w:rsidR="007C1713">
        <w:rPr>
          <w:rFonts w:cs="Arial"/>
          <w:szCs w:val="24"/>
        </w:rPr>
        <w:t>RP</w:t>
      </w:r>
      <w:r w:rsidRPr="00490E43">
        <w:rPr>
          <w:rFonts w:cs="Arial"/>
          <w:szCs w:val="24"/>
        </w:rPr>
        <w:t xml:space="preserve"> v rámci systému </w:t>
      </w:r>
      <w:r w:rsidR="007C1713">
        <w:rPr>
          <w:rFonts w:cs="Arial"/>
          <w:szCs w:val="24"/>
        </w:rPr>
        <w:t>ÚPD</w:t>
      </w:r>
      <w:r w:rsidRPr="00490E43">
        <w:rPr>
          <w:rFonts w:cs="Arial"/>
          <w:szCs w:val="24"/>
        </w:rPr>
        <w:t xml:space="preserve"> a následn</w:t>
      </w:r>
      <w:r w:rsidR="000E76F8">
        <w:rPr>
          <w:rFonts w:cs="Arial"/>
          <w:szCs w:val="24"/>
        </w:rPr>
        <w:t>á</w:t>
      </w:r>
      <w:r w:rsidRPr="00490E43">
        <w:rPr>
          <w:rFonts w:cs="Arial"/>
          <w:szCs w:val="24"/>
        </w:rPr>
        <w:t xml:space="preserve"> absenc</w:t>
      </w:r>
      <w:r w:rsidR="000E76F8">
        <w:rPr>
          <w:rFonts w:cs="Arial"/>
          <w:szCs w:val="24"/>
        </w:rPr>
        <w:t>e</w:t>
      </w:r>
      <w:r w:rsidRPr="00490E43">
        <w:rPr>
          <w:rFonts w:cs="Arial"/>
          <w:szCs w:val="24"/>
        </w:rPr>
        <w:t xml:space="preserve"> dostatečně podrobné </w:t>
      </w:r>
      <w:r w:rsidR="007C1713">
        <w:rPr>
          <w:rFonts w:cs="Arial"/>
          <w:szCs w:val="24"/>
        </w:rPr>
        <w:t>ÚPD</w:t>
      </w:r>
      <w:r w:rsidRPr="00490E43">
        <w:rPr>
          <w:rFonts w:cs="Arial"/>
          <w:szCs w:val="24"/>
        </w:rPr>
        <w:t>, která by umožnila vyřešit otázky v určitém území koncepčně a na úrovni územního plánování, nikoli teprve při povolání jednotlivého záměru ve správním řízení,</w:t>
      </w:r>
    </w:p>
    <w:p w:rsidR="00490E43" w:rsidRPr="00490E43" w:rsidRDefault="009543D0" w:rsidP="009543D0">
      <w:pPr>
        <w:pStyle w:val="Odstavecseseznamem"/>
        <w:widowControl w:val="0"/>
        <w:numPr>
          <w:ilvl w:val="0"/>
          <w:numId w:val="49"/>
        </w:numPr>
        <w:contextualSpacing w:val="0"/>
        <w:rPr>
          <w:rFonts w:cs="Arial"/>
          <w:szCs w:val="24"/>
        </w:rPr>
      </w:pPr>
      <w:r w:rsidRPr="009543D0">
        <w:rPr>
          <w:rFonts w:cs="Arial"/>
          <w:szCs w:val="24"/>
        </w:rPr>
        <w:t>nízká míra digitalizace ÚPD vydané zastupitelstvem obcí před 1. 1. 2018 a obtížné zobrazování a čerpání dat v ní obsažených</w:t>
      </w:r>
      <w:r w:rsidRPr="009543D0" w:rsidDel="009543D0">
        <w:rPr>
          <w:rFonts w:cs="Arial"/>
          <w:szCs w:val="24"/>
        </w:rPr>
        <w:t xml:space="preserve"> </w:t>
      </w:r>
      <w:r w:rsidR="00490E43" w:rsidRPr="00490E43">
        <w:rPr>
          <w:rFonts w:cs="Arial"/>
          <w:szCs w:val="24"/>
        </w:rPr>
        <w:t>,</w:t>
      </w:r>
    </w:p>
    <w:p w:rsidR="00C152D7" w:rsidRPr="004926F8" w:rsidRDefault="00490E43">
      <w:pPr>
        <w:pStyle w:val="Odstavecseseznamem"/>
        <w:widowControl w:val="0"/>
        <w:numPr>
          <w:ilvl w:val="0"/>
          <w:numId w:val="49"/>
        </w:numPr>
        <w:ind w:hanging="357"/>
        <w:contextualSpacing w:val="0"/>
        <w:rPr>
          <w:rFonts w:cs="Arial"/>
          <w:szCs w:val="24"/>
        </w:rPr>
      </w:pPr>
      <w:r w:rsidRPr="004926F8">
        <w:rPr>
          <w:rFonts w:cs="Arial"/>
          <w:szCs w:val="24"/>
        </w:rPr>
        <w:t>roztříštěnost informací veřejné správy o území – existence velkého množství datových skladů a registrů, častá duplicita dat, jejich nepřesnost; neexistující registry veřejné správy, které by poskytovaly garantované informace o území</w:t>
      </w:r>
      <w:r w:rsidR="009D7D17" w:rsidRPr="004926F8">
        <w:rPr>
          <w:rFonts w:cs="Arial"/>
          <w:szCs w:val="24"/>
        </w:rPr>
        <w:t>,</w:t>
      </w:r>
    </w:p>
    <w:p w:rsidR="00C152D7" w:rsidRPr="00C152D7" w:rsidRDefault="00C152D7" w:rsidP="009D4B5F">
      <w:pPr>
        <w:pStyle w:val="Odstavecseseznamem"/>
        <w:widowControl w:val="0"/>
        <w:numPr>
          <w:ilvl w:val="0"/>
          <w:numId w:val="49"/>
        </w:numPr>
        <w:ind w:hanging="357"/>
        <w:contextualSpacing w:val="0"/>
        <w:rPr>
          <w:rFonts w:cs="Arial"/>
          <w:szCs w:val="24"/>
        </w:rPr>
      </w:pPr>
      <w:r w:rsidRPr="00C152D7">
        <w:rPr>
          <w:rFonts w:cs="Arial"/>
          <w:szCs w:val="24"/>
        </w:rPr>
        <w:t xml:space="preserve">tzv. incidenční přezkum opatření obecné povahy, který umožňuje správnímu soudu na základě žaloby proti rozhodnutí, jež vychází z </w:t>
      </w:r>
      <w:r w:rsidR="009543D0">
        <w:rPr>
          <w:rFonts w:cs="Arial"/>
          <w:szCs w:val="24"/>
        </w:rPr>
        <w:t>OOP</w:t>
      </w:r>
      <w:r w:rsidRPr="00C152D7">
        <w:rPr>
          <w:rFonts w:cs="Arial"/>
          <w:szCs w:val="24"/>
        </w:rPr>
        <w:t xml:space="preserve">, na návrh v rozsahu aktivní legitimace žalobce přezkoumat a případně v odpovídající části zrušit toto </w:t>
      </w:r>
      <w:r w:rsidR="009543D0">
        <w:rPr>
          <w:rFonts w:cs="Arial"/>
          <w:szCs w:val="24"/>
        </w:rPr>
        <w:t>OOP</w:t>
      </w:r>
      <w:r w:rsidRPr="00C152D7">
        <w:rPr>
          <w:rFonts w:cs="Arial"/>
          <w:szCs w:val="24"/>
        </w:rPr>
        <w:t>,</w:t>
      </w:r>
    </w:p>
    <w:p w:rsidR="00C152D7" w:rsidRPr="00C152D7" w:rsidRDefault="00C152D7" w:rsidP="009D4B5F">
      <w:pPr>
        <w:pStyle w:val="Odstavecseseznamem"/>
        <w:widowControl w:val="0"/>
        <w:numPr>
          <w:ilvl w:val="0"/>
          <w:numId w:val="49"/>
        </w:numPr>
        <w:ind w:hanging="357"/>
        <w:contextualSpacing w:val="0"/>
        <w:rPr>
          <w:rFonts w:cs="Arial"/>
          <w:szCs w:val="24"/>
        </w:rPr>
      </w:pPr>
      <w:r w:rsidRPr="00C152D7">
        <w:rPr>
          <w:rFonts w:cs="Arial"/>
          <w:szCs w:val="24"/>
        </w:rPr>
        <w:t xml:space="preserve">možnost zpětných zásahů do existujícího právního stavu, judikaturou dovozená možnost zrušit </w:t>
      </w:r>
      <w:r w:rsidR="009543D0">
        <w:rPr>
          <w:rFonts w:cs="Arial"/>
          <w:szCs w:val="24"/>
        </w:rPr>
        <w:t>OOP</w:t>
      </w:r>
      <w:r w:rsidRPr="00C152D7">
        <w:rPr>
          <w:rFonts w:cs="Arial"/>
          <w:szCs w:val="24"/>
        </w:rPr>
        <w:t xml:space="preserve"> „do minulosti“</w:t>
      </w:r>
      <w:r>
        <w:rPr>
          <w:rFonts w:cs="Arial"/>
          <w:szCs w:val="24"/>
        </w:rPr>
        <w:t>.</w:t>
      </w:r>
    </w:p>
    <w:p w:rsidR="00486BB0" w:rsidRDefault="00486BB0" w:rsidP="003E4A5D">
      <w:pPr>
        <w:pStyle w:val="Text-Normaln"/>
        <w:widowControl w:val="0"/>
        <w:rPr>
          <w:rFonts w:cs="Arial"/>
          <w:szCs w:val="24"/>
        </w:rPr>
      </w:pPr>
      <w:r w:rsidRPr="00E414AC">
        <w:rPr>
          <w:b/>
        </w:rPr>
        <w:t>Cíl:</w:t>
      </w:r>
      <w:r w:rsidRPr="00E414AC">
        <w:t xml:space="preserve"> </w:t>
      </w:r>
      <w:r w:rsidR="00973BEC" w:rsidRPr="00973BEC">
        <w:rPr>
          <w:rFonts w:cs="Arial"/>
          <w:szCs w:val="24"/>
        </w:rPr>
        <w:t>Zefektivnění a zrychlení povolovacího procesu</w:t>
      </w:r>
      <w:r w:rsidR="00973BEC">
        <w:rPr>
          <w:rFonts w:cs="Arial"/>
          <w:szCs w:val="24"/>
        </w:rPr>
        <w:t>, zajištění kvality procesu územního plánování</w:t>
      </w:r>
      <w:r w:rsidR="00864E0C">
        <w:rPr>
          <w:rFonts w:cs="Arial"/>
          <w:szCs w:val="24"/>
        </w:rPr>
        <w:t xml:space="preserve"> pomocí</w:t>
      </w:r>
      <w:r w:rsidR="009D7D17">
        <w:rPr>
          <w:rFonts w:cs="Arial"/>
          <w:szCs w:val="24"/>
        </w:rPr>
        <w:t>:</w:t>
      </w:r>
    </w:p>
    <w:p w:rsidR="00864E0C" w:rsidRPr="00864E0C" w:rsidRDefault="00864E0C" w:rsidP="009D4B5F">
      <w:pPr>
        <w:pStyle w:val="Text-Normaln"/>
        <w:widowControl w:val="0"/>
        <w:numPr>
          <w:ilvl w:val="0"/>
          <w:numId w:val="40"/>
        </w:numPr>
      </w:pPr>
      <w:r w:rsidRPr="00864E0C">
        <w:t xml:space="preserve">zvýšení stability </w:t>
      </w:r>
      <w:r w:rsidR="007C1713">
        <w:t>ÚPD</w:t>
      </w:r>
      <w:r w:rsidRPr="00864E0C">
        <w:t xml:space="preserve"> a zvýšení míry právní</w:t>
      </w:r>
      <w:r>
        <w:t xml:space="preserve"> </w:t>
      </w:r>
      <w:r w:rsidRPr="00864E0C">
        <w:t>jistoty v území;</w:t>
      </w:r>
    </w:p>
    <w:p w:rsidR="00864E0C" w:rsidRPr="00864E0C" w:rsidRDefault="00864E0C" w:rsidP="009D4B5F">
      <w:pPr>
        <w:pStyle w:val="Text-Normaln"/>
        <w:widowControl w:val="0"/>
        <w:numPr>
          <w:ilvl w:val="0"/>
          <w:numId w:val="40"/>
        </w:numPr>
      </w:pPr>
      <w:r w:rsidRPr="00864E0C">
        <w:t>zvýšení míry koordinace;</w:t>
      </w:r>
    </w:p>
    <w:p w:rsidR="00864E0C" w:rsidRPr="00864E0C" w:rsidRDefault="00864E0C" w:rsidP="009D4B5F">
      <w:pPr>
        <w:pStyle w:val="Text-Normaln"/>
        <w:widowControl w:val="0"/>
        <w:numPr>
          <w:ilvl w:val="0"/>
          <w:numId w:val="40"/>
        </w:numPr>
      </w:pPr>
      <w:r w:rsidRPr="00864E0C">
        <w:t>zvýšení míry digitalizace územního plánování;</w:t>
      </w:r>
    </w:p>
    <w:p w:rsidR="00864E0C" w:rsidRPr="00864E0C" w:rsidRDefault="00864E0C" w:rsidP="009D4B5F">
      <w:pPr>
        <w:pStyle w:val="Text-Normaln"/>
        <w:widowControl w:val="0"/>
        <w:numPr>
          <w:ilvl w:val="0"/>
          <w:numId w:val="40"/>
        </w:numPr>
      </w:pPr>
      <w:r w:rsidRPr="00864E0C">
        <w:t>sjednocení informací shromažďovaných v rámci územního plánování.</w:t>
      </w:r>
    </w:p>
    <w:p w:rsidR="00486BB0" w:rsidRPr="00ED4BCB" w:rsidRDefault="00486BB0" w:rsidP="003E4A5D">
      <w:pPr>
        <w:pStyle w:val="Text-Normaln"/>
        <w:widowControl w:val="0"/>
        <w:rPr>
          <w:b/>
        </w:rPr>
      </w:pPr>
      <w:r w:rsidRPr="00ED4BCB">
        <w:rPr>
          <w:b/>
        </w:rPr>
        <w:t>Návrh variant řešení:</w:t>
      </w:r>
    </w:p>
    <w:p w:rsidR="00486BB0" w:rsidRPr="00992A63" w:rsidRDefault="00486BB0" w:rsidP="003E4A5D">
      <w:pPr>
        <w:pStyle w:val="Text-Normaln"/>
        <w:widowControl w:val="0"/>
        <w:rPr>
          <w:i/>
        </w:rPr>
      </w:pPr>
      <w:r w:rsidRPr="00813344">
        <w:rPr>
          <w:b/>
          <w:i/>
        </w:rPr>
        <w:t>Varianta 0:</w:t>
      </w:r>
      <w:r w:rsidRPr="00813344">
        <w:rPr>
          <w:i/>
        </w:rPr>
        <w:t xml:space="preserve"> </w:t>
      </w:r>
      <w:r w:rsidR="00813344" w:rsidRPr="00992A63">
        <w:rPr>
          <w:i/>
        </w:rPr>
        <w:t>Zachování současného stavu</w:t>
      </w:r>
    </w:p>
    <w:p w:rsidR="00486BB0" w:rsidRPr="00992A63" w:rsidRDefault="00486BB0" w:rsidP="003E4A5D">
      <w:pPr>
        <w:pStyle w:val="Text-Normaln"/>
        <w:widowControl w:val="0"/>
        <w:rPr>
          <w:i/>
        </w:rPr>
      </w:pPr>
      <w:r w:rsidRPr="00992A63">
        <w:rPr>
          <w:b/>
          <w:i/>
        </w:rPr>
        <w:t>Varianta 1:</w:t>
      </w:r>
      <w:r w:rsidRPr="00992A63">
        <w:rPr>
          <w:i/>
        </w:rPr>
        <w:t xml:space="preserve"> </w:t>
      </w:r>
      <w:r w:rsidR="00813344" w:rsidRPr="00992A63">
        <w:rPr>
          <w:i/>
        </w:rPr>
        <w:t xml:space="preserve">Nové nastavení hierarchie a obsahu </w:t>
      </w:r>
      <w:r w:rsidR="007C1713">
        <w:rPr>
          <w:i/>
        </w:rPr>
        <w:t>ÚPD</w:t>
      </w:r>
      <w:r w:rsidR="00591FCA" w:rsidRPr="00992A63">
        <w:rPr>
          <w:i/>
        </w:rPr>
        <w:t>, přičemž</w:t>
      </w:r>
    </w:p>
    <w:p w:rsidR="00591FCA" w:rsidRDefault="00591FCA" w:rsidP="003E4A5D">
      <w:pPr>
        <w:pStyle w:val="Text-Normaln"/>
        <w:widowControl w:val="0"/>
        <w:ind w:left="708"/>
        <w:rPr>
          <w:i/>
        </w:rPr>
      </w:pPr>
      <w:r w:rsidRPr="00992A63">
        <w:rPr>
          <w:i/>
        </w:rPr>
        <w:t>Varianta</w:t>
      </w:r>
      <w:r>
        <w:rPr>
          <w:i/>
        </w:rPr>
        <w:t xml:space="preserve"> 1a</w:t>
      </w:r>
      <w:r w:rsidR="000D45A9">
        <w:rPr>
          <w:i/>
        </w:rPr>
        <w:t>i</w:t>
      </w:r>
      <w:r>
        <w:rPr>
          <w:i/>
        </w:rPr>
        <w:t xml:space="preserve">: </w:t>
      </w:r>
      <w:r w:rsidR="006B5FFB" w:rsidRPr="00DB76A8">
        <w:rPr>
          <w:i/>
        </w:rPr>
        <w:t>Celostátní územně plánovací dokumentace (územní plán státu)</w:t>
      </w:r>
      <w:r w:rsidR="006B5FFB">
        <w:rPr>
          <w:i/>
        </w:rPr>
        <w:t xml:space="preserve"> - j</w:t>
      </w:r>
      <w:r w:rsidRPr="00591FCA">
        <w:rPr>
          <w:i/>
        </w:rPr>
        <w:t>eden dokument se dvěma částmi s různou mírou právní</w:t>
      </w:r>
      <w:r>
        <w:rPr>
          <w:i/>
        </w:rPr>
        <w:t xml:space="preserve"> </w:t>
      </w:r>
      <w:r w:rsidRPr="00591FCA">
        <w:rPr>
          <w:i/>
        </w:rPr>
        <w:t>závaznosti</w:t>
      </w:r>
      <w:r w:rsidR="006B5FFB">
        <w:rPr>
          <w:i/>
        </w:rPr>
        <w:t>;</w:t>
      </w:r>
      <w:r w:rsidR="00E860A1" w:rsidRPr="00E860A1">
        <w:t xml:space="preserve"> </w:t>
      </w:r>
      <w:r w:rsidR="00E860A1" w:rsidRPr="00E860A1">
        <w:rPr>
          <w:i/>
        </w:rPr>
        <w:t>Územní plán kraje - j</w:t>
      </w:r>
      <w:r w:rsidR="00B2597D">
        <w:rPr>
          <w:i/>
        </w:rPr>
        <w:t>eden dokument se dvěma částmi s </w:t>
      </w:r>
      <w:r w:rsidR="00E860A1" w:rsidRPr="00E860A1">
        <w:rPr>
          <w:i/>
        </w:rPr>
        <w:t>různou mírou právní</w:t>
      </w:r>
      <w:r w:rsidR="00E860A1">
        <w:rPr>
          <w:i/>
        </w:rPr>
        <w:t xml:space="preserve"> </w:t>
      </w:r>
      <w:r w:rsidR="00E860A1" w:rsidRPr="00E860A1">
        <w:rPr>
          <w:i/>
        </w:rPr>
        <w:t>závaznosti</w:t>
      </w:r>
    </w:p>
    <w:p w:rsidR="00591FCA" w:rsidRDefault="00591FCA" w:rsidP="003E4A5D">
      <w:pPr>
        <w:pStyle w:val="Text-Normaln"/>
        <w:widowControl w:val="0"/>
        <w:ind w:left="708"/>
        <w:rPr>
          <w:i/>
        </w:rPr>
      </w:pPr>
      <w:r>
        <w:rPr>
          <w:i/>
        </w:rPr>
        <w:t>Varianta 1</w:t>
      </w:r>
      <w:r w:rsidR="000D45A9">
        <w:rPr>
          <w:i/>
        </w:rPr>
        <w:t>aii</w:t>
      </w:r>
      <w:r>
        <w:rPr>
          <w:i/>
        </w:rPr>
        <w:t>:</w:t>
      </w:r>
      <w:r w:rsidRPr="00591FCA">
        <w:rPr>
          <w:i/>
        </w:rPr>
        <w:t xml:space="preserve"> </w:t>
      </w:r>
      <w:r w:rsidR="006B5FFB" w:rsidRPr="00DB76A8">
        <w:rPr>
          <w:i/>
        </w:rPr>
        <w:t>Celostátní územně plánovací dokumentace (územní plán státu)</w:t>
      </w:r>
      <w:r w:rsidR="006B5FFB">
        <w:rPr>
          <w:i/>
        </w:rPr>
        <w:t xml:space="preserve"> - d</w:t>
      </w:r>
      <w:r w:rsidR="006B5FFB" w:rsidRPr="006B5FFB">
        <w:rPr>
          <w:i/>
        </w:rPr>
        <w:t>va dokumenty, jeden ve formě nařízení vlády, druhý ve</w:t>
      </w:r>
      <w:r w:rsidR="006B5FFB">
        <w:rPr>
          <w:i/>
        </w:rPr>
        <w:t xml:space="preserve"> </w:t>
      </w:r>
      <w:r w:rsidR="006B5FFB" w:rsidRPr="006B5FFB">
        <w:rPr>
          <w:i/>
        </w:rPr>
        <w:t>formě usnesení vlády</w:t>
      </w:r>
      <w:r w:rsidR="006B5FFB">
        <w:rPr>
          <w:i/>
        </w:rPr>
        <w:t>;</w:t>
      </w:r>
      <w:r w:rsidR="00E860A1" w:rsidRPr="00E860A1">
        <w:t xml:space="preserve"> </w:t>
      </w:r>
      <w:r w:rsidR="00E860A1" w:rsidRPr="00E860A1">
        <w:rPr>
          <w:i/>
        </w:rPr>
        <w:t>Územní plán kraje</w:t>
      </w:r>
      <w:r w:rsidR="00E860A1">
        <w:rPr>
          <w:i/>
        </w:rPr>
        <w:t xml:space="preserve"> - d</w:t>
      </w:r>
      <w:r w:rsidR="00E860A1" w:rsidRPr="00E860A1">
        <w:rPr>
          <w:i/>
        </w:rPr>
        <w:t>va dokumenty, jeden ve formě právního předpisu nebo</w:t>
      </w:r>
      <w:r w:rsidR="00E860A1">
        <w:rPr>
          <w:i/>
        </w:rPr>
        <w:t xml:space="preserve"> </w:t>
      </w:r>
      <w:r w:rsidR="00E860A1" w:rsidRPr="00E860A1">
        <w:rPr>
          <w:i/>
        </w:rPr>
        <w:t>opatření obecné povahy, druhý ve formě usnesení zastupitelstva kraje</w:t>
      </w:r>
    </w:p>
    <w:p w:rsidR="00471BB4" w:rsidRDefault="00471BB4" w:rsidP="003E4A5D">
      <w:pPr>
        <w:pStyle w:val="Text-Normaln"/>
        <w:widowControl w:val="0"/>
        <w:ind w:left="708"/>
        <w:rPr>
          <w:i/>
        </w:rPr>
      </w:pPr>
      <w:r>
        <w:rPr>
          <w:i/>
        </w:rPr>
        <w:t>Varianta 1</w:t>
      </w:r>
      <w:r w:rsidR="000D45A9">
        <w:rPr>
          <w:i/>
        </w:rPr>
        <w:t>bi</w:t>
      </w:r>
      <w:r>
        <w:rPr>
          <w:i/>
        </w:rPr>
        <w:t>:</w:t>
      </w:r>
      <w:r w:rsidRPr="00471BB4">
        <w:t xml:space="preserve"> </w:t>
      </w:r>
      <w:r w:rsidR="00C01D89">
        <w:rPr>
          <w:i/>
        </w:rPr>
        <w:t>Ú</w:t>
      </w:r>
      <w:r w:rsidR="00387222">
        <w:rPr>
          <w:i/>
        </w:rPr>
        <w:t xml:space="preserve">zemní plán obce </w:t>
      </w:r>
      <w:r w:rsidR="00C01D89" w:rsidRPr="00C01D89">
        <w:rPr>
          <w:i/>
        </w:rPr>
        <w:t>ve formě právního předpisu nebo opatření obecné povahy</w:t>
      </w:r>
    </w:p>
    <w:p w:rsidR="00813344" w:rsidRPr="007E3D10" w:rsidRDefault="00813344" w:rsidP="003E4A5D">
      <w:pPr>
        <w:pStyle w:val="Text-Normaln"/>
        <w:widowControl w:val="0"/>
        <w:rPr>
          <w:i/>
          <w:highlight w:val="yellow"/>
        </w:rPr>
      </w:pPr>
      <w:r w:rsidRPr="006A55DA">
        <w:rPr>
          <w:b/>
          <w:i/>
        </w:rPr>
        <w:t xml:space="preserve">Varianta </w:t>
      </w:r>
      <w:r w:rsidR="007E3D10" w:rsidRPr="006A55DA">
        <w:rPr>
          <w:b/>
          <w:i/>
        </w:rPr>
        <w:t>2</w:t>
      </w:r>
      <w:r w:rsidRPr="006A55DA">
        <w:rPr>
          <w:b/>
          <w:i/>
        </w:rPr>
        <w:t>:</w:t>
      </w:r>
      <w:r w:rsidR="006E3132" w:rsidRPr="006A55DA">
        <w:t xml:space="preserve"> </w:t>
      </w:r>
      <w:r w:rsidR="006A55DA" w:rsidRPr="006A55DA">
        <w:rPr>
          <w:i/>
        </w:rPr>
        <w:t xml:space="preserve">Národní </w:t>
      </w:r>
      <w:proofErr w:type="spellStart"/>
      <w:r w:rsidR="006A55DA" w:rsidRPr="006A55DA">
        <w:rPr>
          <w:i/>
        </w:rPr>
        <w:t>geoportál</w:t>
      </w:r>
      <w:proofErr w:type="spellEnd"/>
      <w:r w:rsidR="006A55DA" w:rsidRPr="006A55DA">
        <w:rPr>
          <w:i/>
        </w:rPr>
        <w:t xml:space="preserve"> územního plánování</w:t>
      </w:r>
    </w:p>
    <w:p w:rsidR="006E3132" w:rsidRPr="006E3132" w:rsidRDefault="00E54E26" w:rsidP="003E4A5D">
      <w:pPr>
        <w:pStyle w:val="Text-Normaln"/>
        <w:widowControl w:val="0"/>
        <w:rPr>
          <w:i/>
        </w:rPr>
      </w:pPr>
      <w:r w:rsidRPr="00E54E26">
        <w:rPr>
          <w:b/>
          <w:i/>
        </w:rPr>
        <w:lastRenderedPageBreak/>
        <w:t>Varianta 3:</w:t>
      </w:r>
      <w:r w:rsidRPr="00E54E26">
        <w:rPr>
          <w:i/>
        </w:rPr>
        <w:t xml:space="preserve"> </w:t>
      </w:r>
      <w:r>
        <w:rPr>
          <w:i/>
        </w:rPr>
        <w:t xml:space="preserve">alespoň </w:t>
      </w:r>
      <w:r w:rsidRPr="00E54E26">
        <w:rPr>
          <w:i/>
        </w:rPr>
        <w:t xml:space="preserve">informační systém představující registr fyzické infrastruktury </w:t>
      </w:r>
    </w:p>
    <w:p w:rsidR="00486BB0" w:rsidRPr="00F23969" w:rsidRDefault="00486BB0" w:rsidP="003E4A5D">
      <w:pPr>
        <w:pStyle w:val="Text-Normaln"/>
        <w:widowControl w:val="0"/>
        <w:rPr>
          <w:b/>
        </w:rPr>
      </w:pPr>
      <w:r w:rsidRPr="00F23969">
        <w:rPr>
          <w:b/>
        </w:rPr>
        <w:t>Identifikace nákladů a přínosů:</w:t>
      </w:r>
    </w:p>
    <w:p w:rsidR="009D7D17" w:rsidRDefault="00632A4A" w:rsidP="003E4A5D">
      <w:pPr>
        <w:pStyle w:val="Text-Normaln"/>
        <w:widowControl w:val="0"/>
        <w:rPr>
          <w:b/>
          <w:i/>
          <w:color w:val="000000" w:themeColor="text1"/>
        </w:rPr>
      </w:pPr>
      <w:bookmarkStart w:id="65" w:name="_Toc421607941"/>
      <w:bookmarkStart w:id="66" w:name="_Toc450768333"/>
      <w:r w:rsidRPr="00BD4BAE">
        <w:rPr>
          <w:b/>
          <w:i/>
          <w:color w:val="000000" w:themeColor="text1"/>
        </w:rPr>
        <w:t>Ekonomické dopady územně plánovací dokumentace a územně plánovacích podkladů na potenciál území</w:t>
      </w:r>
      <w:bookmarkEnd w:id="65"/>
    </w:p>
    <w:p w:rsidR="00632A4A" w:rsidRPr="00BD4BAE" w:rsidRDefault="00BD4BAE" w:rsidP="003E4A5D">
      <w:pPr>
        <w:pStyle w:val="Text-Normaln"/>
        <w:widowControl w:val="0"/>
        <w:rPr>
          <w:b/>
          <w:i/>
          <w:color w:val="000000" w:themeColor="text1"/>
        </w:rPr>
      </w:pPr>
      <w:r w:rsidRPr="00BD4BAE">
        <w:rPr>
          <w:b/>
          <w:i/>
          <w:color w:val="000000" w:themeColor="text1"/>
        </w:rPr>
        <w:t xml:space="preserve"> - </w:t>
      </w:r>
      <w:bookmarkStart w:id="67" w:name="_Toc421607942"/>
      <w:r w:rsidRPr="00BD4BAE">
        <w:rPr>
          <w:b/>
          <w:i/>
          <w:color w:val="000000" w:themeColor="text1"/>
        </w:rPr>
        <w:t>p</w:t>
      </w:r>
      <w:r w:rsidR="00632A4A" w:rsidRPr="00BD4BAE">
        <w:rPr>
          <w:b/>
          <w:i/>
          <w:color w:val="000000" w:themeColor="text1"/>
        </w:rPr>
        <w:t>římé dopady</w:t>
      </w:r>
      <w:bookmarkEnd w:id="67"/>
    </w:p>
    <w:p w:rsidR="00632A4A" w:rsidRDefault="00632A4A" w:rsidP="003E4A5D">
      <w:pPr>
        <w:pStyle w:val="Text-Normaln"/>
        <w:widowControl w:val="0"/>
      </w:pPr>
      <w:r>
        <w:t xml:space="preserve">Ekonomické dopady územního plánování obecně lze rozdělit na dopady přímé a nepřímé. Jak je uváděno ve studii </w:t>
      </w:r>
      <w:r>
        <w:rPr>
          <w:i/>
        </w:rPr>
        <w:t xml:space="preserve">Study on </w:t>
      </w:r>
      <w:proofErr w:type="spellStart"/>
      <w:r>
        <w:rPr>
          <w:i/>
        </w:rPr>
        <w:t>the</w:t>
      </w:r>
      <w:proofErr w:type="spellEnd"/>
      <w:r>
        <w:rPr>
          <w:i/>
        </w:rPr>
        <w:t xml:space="preserve"> </w:t>
      </w:r>
      <w:proofErr w:type="spellStart"/>
      <w:r>
        <w:rPr>
          <w:i/>
        </w:rPr>
        <w:t>economic</w:t>
      </w:r>
      <w:proofErr w:type="spellEnd"/>
      <w:r>
        <w:rPr>
          <w:i/>
        </w:rPr>
        <w:t xml:space="preserve"> </w:t>
      </w:r>
      <w:proofErr w:type="spellStart"/>
      <w:r>
        <w:rPr>
          <w:i/>
        </w:rPr>
        <w:t>effects</w:t>
      </w:r>
      <w:proofErr w:type="spellEnd"/>
      <w:r>
        <w:rPr>
          <w:i/>
        </w:rPr>
        <w:t xml:space="preserve"> </w:t>
      </w:r>
      <w:proofErr w:type="spellStart"/>
      <w:r>
        <w:rPr>
          <w:i/>
        </w:rPr>
        <w:t>of</w:t>
      </w:r>
      <w:proofErr w:type="spellEnd"/>
      <w:r>
        <w:rPr>
          <w:i/>
        </w:rPr>
        <w:t xml:space="preserve"> </w:t>
      </w:r>
      <w:proofErr w:type="spellStart"/>
      <w:r>
        <w:rPr>
          <w:i/>
        </w:rPr>
        <w:t>Maritime</w:t>
      </w:r>
      <w:proofErr w:type="spellEnd"/>
      <w:r>
        <w:rPr>
          <w:i/>
        </w:rPr>
        <w:t xml:space="preserve"> </w:t>
      </w:r>
      <w:proofErr w:type="spellStart"/>
      <w:r>
        <w:rPr>
          <w:i/>
        </w:rPr>
        <w:t>Spatial</w:t>
      </w:r>
      <w:proofErr w:type="spellEnd"/>
      <w:r>
        <w:rPr>
          <w:i/>
        </w:rPr>
        <w:t xml:space="preserve"> </w:t>
      </w:r>
      <w:proofErr w:type="spellStart"/>
      <w:r>
        <w:rPr>
          <w:i/>
        </w:rPr>
        <w:t>Planning</w:t>
      </w:r>
      <w:proofErr w:type="spellEnd"/>
      <w:r>
        <w:t xml:space="preserve"> vyhotovenou Evropskou komisí v roce 2011, přímé dopady souvisí především se zvýšenou právní jistotou dotčených subjektů a předvídatelností územní politiky regulátora. Přímé dopady jsou rozděleny do tří skupin:</w:t>
      </w:r>
    </w:p>
    <w:p w:rsidR="00632A4A" w:rsidRDefault="00632A4A" w:rsidP="009D4B5F">
      <w:pPr>
        <w:pStyle w:val="Text-Normaln"/>
        <w:widowControl w:val="0"/>
        <w:numPr>
          <w:ilvl w:val="0"/>
          <w:numId w:val="51"/>
        </w:numPr>
      </w:pPr>
      <w:r>
        <w:t xml:space="preserve">Efektivnější koordinace vládních </w:t>
      </w:r>
      <w:r w:rsidR="002156C3">
        <w:t>institucí</w:t>
      </w:r>
    </w:p>
    <w:p w:rsidR="00632A4A" w:rsidRDefault="00632A4A" w:rsidP="009D4B5F">
      <w:pPr>
        <w:pStyle w:val="Text-Normaln"/>
        <w:widowControl w:val="0"/>
        <w:numPr>
          <w:ilvl w:val="0"/>
          <w:numId w:val="51"/>
        </w:numPr>
      </w:pPr>
      <w:r>
        <w:t>Snižování transakčních nákladů</w:t>
      </w:r>
    </w:p>
    <w:p w:rsidR="00632A4A" w:rsidRDefault="00632A4A" w:rsidP="009D4B5F">
      <w:pPr>
        <w:pStyle w:val="Text-Normaln"/>
        <w:widowControl w:val="0"/>
        <w:numPr>
          <w:ilvl w:val="0"/>
          <w:numId w:val="51"/>
        </w:numPr>
      </w:pPr>
      <w:r>
        <w:t>Zlepšení investičního prostředí</w:t>
      </w:r>
    </w:p>
    <w:p w:rsidR="00632A4A" w:rsidRDefault="00632A4A" w:rsidP="003E4A5D">
      <w:pPr>
        <w:pStyle w:val="Text-Normaln"/>
        <w:widowControl w:val="0"/>
        <w:rPr>
          <w:i/>
        </w:rPr>
      </w:pPr>
      <w:r>
        <w:rPr>
          <w:i/>
        </w:rPr>
        <w:t>Efektivnější koordinace veřejných institucí</w:t>
      </w:r>
    </w:p>
    <w:p w:rsidR="00632A4A" w:rsidRDefault="00632A4A" w:rsidP="003E4A5D">
      <w:pPr>
        <w:pStyle w:val="Text-Normaln"/>
        <w:widowControl w:val="0"/>
      </w:pPr>
      <w:r>
        <w:t xml:space="preserve">Dochází především ke zkracování administrativních procedur a snižování nákladů jednotlivých úřadů. Bez územního plánování by bylo rozhodování dotčených institucí </w:t>
      </w:r>
      <w:r w:rsidR="00B2597D">
        <w:t>daleko složitější a </w:t>
      </w:r>
      <w:r>
        <w:t>zdlouhavější. Efektivnější fungování veřejné správy pak přináší zvýhodnění (nebo minimálně neznevýhodňování) ČR vůči ostatním státům a podporuje tak například zájem zahraničních investorů.</w:t>
      </w:r>
    </w:p>
    <w:p w:rsidR="00632A4A" w:rsidRDefault="00632A4A" w:rsidP="003E4A5D">
      <w:pPr>
        <w:pStyle w:val="Text-Normaln"/>
        <w:widowControl w:val="0"/>
        <w:rPr>
          <w:i/>
        </w:rPr>
      </w:pPr>
      <w:r>
        <w:rPr>
          <w:i/>
        </w:rPr>
        <w:t>Snižování transakčních nákladů</w:t>
      </w:r>
    </w:p>
    <w:p w:rsidR="00632A4A" w:rsidRDefault="00632A4A" w:rsidP="003E4A5D">
      <w:pPr>
        <w:pStyle w:val="Text-Normaln"/>
        <w:widowControl w:val="0"/>
      </w:pPr>
      <w:r>
        <w:t xml:space="preserve">Při efektivním a kvalitním územním plánování dochází ke snižování transakčních nákladů čtyř typů. Prvním jsou transakční náklady na vyhledávání informací. Územní analýza výrazně usnadňuje </w:t>
      </w:r>
      <w:r w:rsidR="00686D84">
        <w:t>například</w:t>
      </w:r>
      <w:r>
        <w:t xml:space="preserve"> investorům projekční činnost, a to vzhledem k počtu územních plánů vytváří nemalé celospolečenské úspory z rozsahu. </w:t>
      </w:r>
    </w:p>
    <w:p w:rsidR="00632A4A" w:rsidRDefault="00632A4A" w:rsidP="003E4A5D">
      <w:pPr>
        <w:pStyle w:val="Text-Normaln"/>
        <w:widowControl w:val="0"/>
      </w:pPr>
      <w:r>
        <w:t>Druhým typem transakčních nákladů jsou náklady právní. Tyto náklady souvisí především s legitimitou podnikání a vynucování kontraktů. Územní plánování jasně nastavuje pravidla pro tyto činnosti, a proto subjektům nevznikají další dodatečné náklady, které by je mohly odrazovat.</w:t>
      </w:r>
    </w:p>
    <w:p w:rsidR="00632A4A" w:rsidRDefault="00632A4A" w:rsidP="003E4A5D">
      <w:pPr>
        <w:pStyle w:val="Text-Normaln"/>
        <w:widowControl w:val="0"/>
      </w:pPr>
      <w:r>
        <w:t>Třetí typ transakčních nákladů jsou administrativní náklady – náklady na povolení, licence, certifikace. Sjednocení procesů jejich vydávání pak opět podporuje mezinárodní konkurenceschopnost a působí pozitivně na potencionální žadatele.</w:t>
      </w:r>
    </w:p>
    <w:p w:rsidR="00632A4A" w:rsidRDefault="00632A4A" w:rsidP="003E4A5D">
      <w:pPr>
        <w:pStyle w:val="Text-Normaln"/>
        <w:widowControl w:val="0"/>
      </w:pPr>
      <w:r>
        <w:t xml:space="preserve">Posledním typem jsou náklady plynoucí z menšího počtu konfliktů mezi subjekty. Vzhledem k tomu, že </w:t>
      </w:r>
      <w:r w:rsidR="00E973FC">
        <w:t>ÚPD</w:t>
      </w:r>
      <w:r>
        <w:t xml:space="preserve"> jasně definuje</w:t>
      </w:r>
      <w:r w:rsidR="00C01D89">
        <w:t xml:space="preserve"> předpokládané využití území</w:t>
      </w:r>
      <w:r>
        <w:t xml:space="preserve">, je pravděpodobnost konfliktu mezi jednotlivými stranami minimalizována. Všem subjektům se tedy snižují potencionální náklady </w:t>
      </w:r>
      <w:r w:rsidR="00E973FC">
        <w:t>a </w:t>
      </w:r>
      <w:r>
        <w:t>dochází ke zvýšení ochoty využívání území.</w:t>
      </w:r>
    </w:p>
    <w:p w:rsidR="00632A4A" w:rsidRDefault="00632A4A" w:rsidP="003E4A5D">
      <w:pPr>
        <w:pStyle w:val="Text-Normaln"/>
        <w:widowControl w:val="0"/>
        <w:rPr>
          <w:i/>
        </w:rPr>
      </w:pPr>
      <w:r>
        <w:rPr>
          <w:i/>
        </w:rPr>
        <w:t>Zlepšení investičního prostředí</w:t>
      </w:r>
    </w:p>
    <w:p w:rsidR="00632A4A" w:rsidRDefault="00632A4A" w:rsidP="003E4A5D">
      <w:pPr>
        <w:pStyle w:val="Text-Normaln"/>
        <w:widowControl w:val="0"/>
      </w:pPr>
      <w:r>
        <w:t>Zvýšení právních jistot v oblasti územního plánování rovněž přispívá k akceleraci ekonomické aktivity na daném území a ekonomickému růstu. Akcelerace ekonomické aktivity plyne ze zjednodušování procedur, snižování transakčních nákladů a zvyšování právních jistot. Investoři pak zaznamenávají příznivější ekonomické prostředí, což by se mělo pozitivně projevit na jejich ochotě investovat. Navýšení investic pak ovlivňuje i ostatní subjekty a dochází ke zvyšování výkonnosti celé ekonomiky. S tím souvisí i ekonomický růst dané země. Zjednodušení procesů získávání autorizací, zvyšování právních jistot a snižování transakčních nákladů navíc vede k optimální alokaci aktivit, čímž dochází k efektivnějšímu chování všech subjektů a dochází k růstu ekonomiky dané země.</w:t>
      </w:r>
    </w:p>
    <w:p w:rsidR="00632A4A" w:rsidRPr="00BD4BAE" w:rsidRDefault="009D7D17" w:rsidP="003E4A5D">
      <w:pPr>
        <w:pStyle w:val="Text-Normaln"/>
        <w:widowControl w:val="0"/>
        <w:rPr>
          <w:b/>
          <w:i/>
        </w:rPr>
      </w:pPr>
      <w:r>
        <w:rPr>
          <w:b/>
          <w:i/>
        </w:rPr>
        <w:lastRenderedPageBreak/>
        <w:t xml:space="preserve">- </w:t>
      </w:r>
      <w:bookmarkStart w:id="68" w:name="_Toc421607943"/>
      <w:r>
        <w:rPr>
          <w:b/>
          <w:i/>
        </w:rPr>
        <w:t>n</w:t>
      </w:r>
      <w:r w:rsidR="00632A4A" w:rsidRPr="00BD4BAE">
        <w:rPr>
          <w:b/>
          <w:i/>
        </w:rPr>
        <w:t>epřímé dopady</w:t>
      </w:r>
      <w:bookmarkEnd w:id="68"/>
    </w:p>
    <w:p w:rsidR="00632A4A" w:rsidRDefault="00632A4A" w:rsidP="003E4A5D">
      <w:pPr>
        <w:pStyle w:val="Text-Normaln"/>
        <w:widowControl w:val="0"/>
      </w:pPr>
      <w:r>
        <w:t>Nepřímé dopady jsou uskutečňovány především prostřednic</w:t>
      </w:r>
      <w:r w:rsidR="00B2597D">
        <w:t>tvím efektivní alokace statků a </w:t>
      </w:r>
      <w:r>
        <w:t>podpoře investic. Na investice jsou navázána jiná odvětví a stejně jako efektivní alokace aktivit vedou k pozitivním dopadům na celou ekonomiku.</w:t>
      </w:r>
    </w:p>
    <w:p w:rsidR="00632A4A" w:rsidRDefault="00632A4A" w:rsidP="003E4A5D">
      <w:pPr>
        <w:pStyle w:val="Text-Normaln"/>
        <w:widowControl w:val="0"/>
      </w:pPr>
      <w:r>
        <w:t xml:space="preserve">Ekonomické benefity mohou plynout i z jiných než ekonomických dopadů územního plánování. Jedním z nejdůležitějších nepřímých dopadů jsou dopady na životní prostředí. Ovlivnění životního prostředí může přinést jak značné ekonomické benefity, tak i dodatečné náklady a při zvažování investic by mělo dojít k jejich posouzení. Protože územní plánování v sobě zahrnuje proces vyhodnocování dopadů na životní prostředí, opět dochází k výrazným úsporám z rozsahu, a tedy pozitivnímu vlivu na celou ekonomiku daného státu. </w:t>
      </w:r>
    </w:p>
    <w:p w:rsidR="00632A4A" w:rsidRPr="00BD4BAE" w:rsidRDefault="00632A4A" w:rsidP="003E4A5D">
      <w:pPr>
        <w:pStyle w:val="Text-Normaln"/>
        <w:widowControl w:val="0"/>
        <w:rPr>
          <w:b/>
          <w:i/>
          <w:u w:val="single"/>
        </w:rPr>
      </w:pPr>
      <w:bookmarkStart w:id="69" w:name="_Toc421607944"/>
      <w:r w:rsidRPr="00BD4BAE">
        <w:rPr>
          <w:b/>
          <w:i/>
        </w:rPr>
        <w:t>Konkrétní aplikace</w:t>
      </w:r>
      <w:bookmarkEnd w:id="69"/>
      <w:r w:rsidRPr="00BD4BAE">
        <w:rPr>
          <w:b/>
          <w:i/>
          <w:u w:val="single"/>
        </w:rPr>
        <w:t xml:space="preserve"> </w:t>
      </w:r>
    </w:p>
    <w:p w:rsidR="00632A4A" w:rsidRDefault="00632A4A" w:rsidP="003E4A5D">
      <w:pPr>
        <w:pStyle w:val="Text-Normaln"/>
        <w:widowControl w:val="0"/>
      </w:pPr>
      <w:r>
        <w:t xml:space="preserve">Hodnocení správnosti či „špatnosti“ zpracování územně plánovací dokumentace je otázka, která se obtížně hodnotí, zejména v krátkodobém horizontu, tj. cca 5 let. První skutečností, která toto ovlivňuje je fakt, že v územním plánování se nejedná o přímý projekt, ale o koncepci a organizaci území se širšími vazbami. Tu však neuskutečňuje pouze jeden investor, ale vstupuje do jejího zrealizování mnoho investorů a dalších činitelů, kteří mají spoluutvářet výsledný celek. Jejich stanoviska a požadavky bývají nezřídka zcela opačné – konfliktní, proto není možné vyhovět v plném rozsahu všem, ale je nutné hledat optimální řešení. Toto řešení se dále může v průběhu času měnit, neboť i vstupní faktory se kontinuálně vyvíjejí. </w:t>
      </w:r>
    </w:p>
    <w:p w:rsidR="00632A4A" w:rsidRDefault="00632A4A" w:rsidP="003E4A5D">
      <w:pPr>
        <w:pStyle w:val="Text-Normaln"/>
        <w:widowControl w:val="0"/>
      </w:pPr>
      <w:r>
        <w:t>To plně navazuje na druhou skutečnost, že hodnotící horizont nelze stanovit v řádu několika let, ale</w:t>
      </w:r>
      <w:r w:rsidR="00F76ADF">
        <w:t xml:space="preserve"> minimálně s odstupem 10 – 15</w:t>
      </w:r>
      <w:r>
        <w:t xml:space="preserve"> let. Jako ukázkový pozitivní příklad územního plánování lze uvést město Hradec Králové. Jeho rozvoj dlouhodobě (již více než 100 let) sleduje koncepci stanovenou v územním plánu Josefa Gočára z počátku 20. let 20. století – systém centrického uspořádání dopravních okruhů, které jsou vzájemně propojeny radiálními komunikacemi. Mezi těmito okruhy se nacházejí plochy bydlení, zeleně, občanského vybavení i výroby ve vzájemném propojení a doplnění. Řešení dopravy tohoto města je i z dnešního hlediska výrazně lepší </w:t>
      </w:r>
      <w:r w:rsidR="00B2597D">
        <w:t>než u </w:t>
      </w:r>
      <w:r>
        <w:t>okolních sídel.</w:t>
      </w:r>
    </w:p>
    <w:p w:rsidR="006E3132" w:rsidRDefault="00632A4A" w:rsidP="003E4A5D">
      <w:pPr>
        <w:pStyle w:val="Text-Normaln"/>
        <w:widowControl w:val="0"/>
        <w:rPr>
          <w:bCs/>
        </w:rPr>
      </w:pPr>
      <w:r>
        <w:t>Jako rozhodně chybný nebo špatný přístup v územním plánování lze označit jednoznačně nesystematičnost nebo diskontinuitu návrhů i koncepcí v území. Tu lze popsat teoretickým modelem sídla X. Sídlo X v roce 0 má ve vedení sídla převahu mandátů strany GG. Zástupci sídla X pořídí a schválí územní plán. V tomto územním plánu jsou navrženy plochy pro výrobu na severní periferii a plochy pro bydlení v jihozápadní periferii. V roce 4 v komunálních volbách zvítězí strana TT a vyhodnotí momentálně platný územní plán jako špatný, rozhodne se jej přepracovat - změnit. V novém návrhu budou plochy výroby na severu zrušeny a nově navrženy na jižní periferii a plochy pro bydlení budou přesunuty na východ. Tato situace vykazuje prvky nestability území pro investice. Investoři nemají záruku, že s novým volebním obdobím nedojde k zásadním změnám a jejich záměry se nedostanou do kolize s novými záměry a koncepcemi, případně, že budou i nadále dodrženy vstupní podmínky pro jejich investice. Z těchto důvodů do území nebudou ochotni investovat a budou hledat území stabilnější. Subjektům, které již v území investovaly, mohou být způsobeny majetkové újmy, eventuálně nedojde k jimi plánovanému zhodnocení investic (například výstavba bytů na prodej).</w:t>
      </w:r>
      <w:r w:rsidR="00373898">
        <w:t xml:space="preserve"> (</w:t>
      </w:r>
      <w:r w:rsidR="00373898" w:rsidRPr="00373898">
        <w:rPr>
          <w:i/>
        </w:rPr>
        <w:t>Zdroj: DOPADY ARCHITEKTONICKÉ PRAXE NA EKONOMIKU ČR</w:t>
      </w:r>
      <w:r w:rsidR="00373898" w:rsidRPr="00373898">
        <w:rPr>
          <w:bCs/>
          <w:i/>
        </w:rPr>
        <w:t>, MMR (2015)</w:t>
      </w:r>
      <w:r w:rsidR="00373898">
        <w:rPr>
          <w:bCs/>
        </w:rPr>
        <w:t>)</w:t>
      </w:r>
    </w:p>
    <w:p w:rsidR="0059298E" w:rsidRDefault="0059298E">
      <w:pPr>
        <w:spacing w:before="0" w:after="0"/>
        <w:jc w:val="left"/>
        <w:rPr>
          <w:rFonts w:eastAsia="MS Mincho"/>
          <w:bCs/>
        </w:rPr>
      </w:pPr>
      <w:r>
        <w:rPr>
          <w:bCs/>
        </w:rPr>
        <w:br w:type="page"/>
      </w:r>
    </w:p>
    <w:p w:rsidR="00541817" w:rsidRPr="00E54E26" w:rsidRDefault="00F824CB" w:rsidP="003E4A5D">
      <w:pPr>
        <w:pStyle w:val="Normln-tun"/>
        <w:widowControl w:val="0"/>
        <w:rPr>
          <w:b/>
        </w:rPr>
      </w:pPr>
      <w:r>
        <w:rPr>
          <w:b/>
        </w:rPr>
        <w:lastRenderedPageBreak/>
        <w:t>Identifikace</w:t>
      </w:r>
      <w:r w:rsidR="005C436D" w:rsidRPr="00E54E26">
        <w:rPr>
          <w:b/>
        </w:rPr>
        <w:t xml:space="preserve"> nákladů a přínosů:</w:t>
      </w:r>
    </w:p>
    <w:p w:rsidR="000D45A9" w:rsidRPr="000D45A9" w:rsidRDefault="000D45A9" w:rsidP="003E4A5D">
      <w:pPr>
        <w:pStyle w:val="Normln-tun"/>
        <w:widowControl w:val="0"/>
        <w:rPr>
          <w:u w:val="single"/>
        </w:rPr>
      </w:pPr>
      <w:r w:rsidRPr="000D45A9">
        <w:rPr>
          <w:u w:val="single"/>
        </w:rPr>
        <w:t>Varianta 1</w:t>
      </w:r>
    </w:p>
    <w:p w:rsidR="005C436D" w:rsidRPr="00712125" w:rsidRDefault="005C436D" w:rsidP="003E4A5D">
      <w:pPr>
        <w:pStyle w:val="Normln-tun"/>
        <w:widowControl w:val="0"/>
        <w:rPr>
          <w:i/>
        </w:rPr>
      </w:pPr>
      <w:r w:rsidRPr="00732B55">
        <w:t xml:space="preserve">Závěrečná zpráva RIA k návrhu novely zákona č. 416/2009 Sb. o urychlení výstavby dopravní, vodní a energetické infrastruktury a infrastruktury elektronických komunikací (2018) předpokládá, že </w:t>
      </w:r>
      <w:r w:rsidR="00800D62" w:rsidRPr="00712125">
        <w:rPr>
          <w:i/>
        </w:rPr>
        <w:t>„</w:t>
      </w:r>
      <w:r w:rsidRPr="00712125">
        <w:rPr>
          <w:i/>
        </w:rPr>
        <w:t>návrh územního rozvojového plánu bude zpracová</w:t>
      </w:r>
      <w:r w:rsidR="00B2597D">
        <w:rPr>
          <w:i/>
        </w:rPr>
        <w:t>vat v Ústavu územního rozvoje 5 </w:t>
      </w:r>
      <w:r w:rsidRPr="00712125">
        <w:rPr>
          <w:i/>
        </w:rPr>
        <w:t xml:space="preserve">pracovníků vysokoškolsky vzdělaných ve složení architekt obor architektura nebo územní plánování - vedoucí týmu; specialista na dopravní stavby; specialita na stavby vodního hospodářství a krajinného inženýrství; specialista na pozemní stavby (technické sítě); specialista na městské inženýrství. Výpočet nákladů na tyto pracovníky vycházel z toho, že jeden pracovník bude zařazen do 14. platové třídy a ostatní do 13 platové třídy. Pro výpočet </w:t>
      </w:r>
      <w:r w:rsidR="00732B55" w:rsidRPr="00712125">
        <w:rPr>
          <w:i/>
        </w:rPr>
        <w:t>se</w:t>
      </w:r>
      <w:r w:rsidRPr="00712125">
        <w:rPr>
          <w:i/>
        </w:rPr>
        <w:t xml:space="preserve"> počítalo </w:t>
      </w:r>
      <w:r w:rsidR="00732B55" w:rsidRPr="00712125">
        <w:rPr>
          <w:i/>
        </w:rPr>
        <w:t>s</w:t>
      </w:r>
      <w:r w:rsidRPr="00712125">
        <w:rPr>
          <w:i/>
        </w:rPr>
        <w:t xml:space="preserve"> </w:t>
      </w:r>
      <w:r w:rsidR="00732B55" w:rsidRPr="00712125">
        <w:rPr>
          <w:i/>
        </w:rPr>
        <w:t>…</w:t>
      </w:r>
      <w:r w:rsidRPr="00712125">
        <w:rPr>
          <w:i/>
        </w:rPr>
        <w:t xml:space="preserve">9 platovým stupněm; 20% na osobní ohodnocení; 35% na odvody; 43% na režijní náklady. Celkové náklady budou činit cca 4,4 mil. Kč/rok.  </w:t>
      </w:r>
    </w:p>
    <w:p w:rsidR="00A6497F" w:rsidRPr="00712125" w:rsidRDefault="00A6497F" w:rsidP="003E4A5D">
      <w:pPr>
        <w:pStyle w:val="Normln-tun"/>
        <w:widowControl w:val="0"/>
        <w:rPr>
          <w:i/>
        </w:rPr>
      </w:pPr>
      <w:r w:rsidRPr="00712125">
        <w:rPr>
          <w:i/>
        </w:rPr>
        <w:t>Administrativní zátěž veřejné správy by se neměla zvýšit, protože vymezením plochy nebo koridoru pro vybrané záměry v územním rozvojovém plánu by mělo následně snížit administrativní zátěž při pojednávání ZÚR. Výhodou týmu zařazeného do organizační složky státu bude, že ihned po rozhodnutí vlády o aktualizaci územního rozvojového plánu může tento tým začít pracovat na této aktualizaci, aniž by muselo probíhat výběrové řízení na dodavatele a upřesňování a schvalování smlouvy s dodavatelem. Další výhodou tohoto řešení je, že bude možné průběžně konzultovat navrhované trasy záměrů s pracovníky, kteří budou kontinuálně na územním rozvojovém plánu pracovat.</w:t>
      </w:r>
    </w:p>
    <w:p w:rsidR="00A6497F" w:rsidRPr="00712125" w:rsidRDefault="00A6497F" w:rsidP="003E4A5D">
      <w:pPr>
        <w:pStyle w:val="Normln-tun"/>
        <w:widowControl w:val="0"/>
        <w:rPr>
          <w:i/>
          <w:color w:val="000000"/>
        </w:rPr>
      </w:pPr>
      <w:r w:rsidRPr="00712125">
        <w:rPr>
          <w:i/>
        </w:rPr>
        <w:t xml:space="preserve">Další náklady budou spojeny s 3 pořizovateli, kteří budou nově zařazeny do Ministerstva pro místní rozvoj ve 14 platové třídě. </w:t>
      </w:r>
      <w:r w:rsidR="00732B55" w:rsidRPr="00712125">
        <w:rPr>
          <w:i/>
        </w:rPr>
        <w:t>…</w:t>
      </w:r>
      <w:r w:rsidRPr="00712125">
        <w:rPr>
          <w:i/>
          <w:color w:val="000000"/>
        </w:rPr>
        <w:t>Pro výpočet se postupovalo podle metodiky Ministerstva vnitra a počítalo se s 9 platovým stupněm; 20% na osobní ohodnocení; 35% na odvody; 43% na režijní náklady. Celkové náklady budou činit cca 2,9 mil. Kč/rok.</w:t>
      </w:r>
    </w:p>
    <w:p w:rsidR="00A6497F" w:rsidRPr="00712125" w:rsidRDefault="00A6497F" w:rsidP="003E4A5D">
      <w:pPr>
        <w:pStyle w:val="Normln-tun"/>
        <w:widowControl w:val="0"/>
        <w:rPr>
          <w:i/>
        </w:rPr>
      </w:pPr>
      <w:r w:rsidRPr="00712125">
        <w:rPr>
          <w:i/>
        </w:rPr>
        <w:t xml:space="preserve">Náklady na pořizování a vydávání územního rozvojového plánu budou celkem činit cca </w:t>
      </w:r>
      <w:r w:rsidRPr="00712125">
        <w:rPr>
          <w:i/>
          <w:color w:val="000000"/>
        </w:rPr>
        <w:t>7,3 mil. Kč/rok.</w:t>
      </w:r>
    </w:p>
    <w:p w:rsidR="00A6497F" w:rsidRPr="00712125" w:rsidRDefault="00A6497F" w:rsidP="003E4A5D">
      <w:pPr>
        <w:pStyle w:val="Normln-tun"/>
        <w:widowControl w:val="0"/>
        <w:rPr>
          <w:i/>
        </w:rPr>
      </w:pPr>
      <w:r w:rsidRPr="00712125">
        <w:rPr>
          <w:i/>
        </w:rPr>
        <w:t>Náklady plynoucí z regulace pro podnikatele a občany navrhovanou právní úpravou nevzniknou.</w:t>
      </w:r>
    </w:p>
    <w:p w:rsidR="00A6497F" w:rsidRPr="00712125" w:rsidRDefault="00A6497F" w:rsidP="003E4A5D">
      <w:pPr>
        <w:pStyle w:val="Normln-tun"/>
        <w:widowControl w:val="0"/>
        <w:rPr>
          <w:rFonts w:cs="Arial"/>
          <w:i/>
        </w:rPr>
      </w:pPr>
      <w:r w:rsidRPr="00712125">
        <w:rPr>
          <w:rFonts w:cs="Arial"/>
          <w:i/>
        </w:rPr>
        <w:t>Dále lze očekávat náklady spojené s případným soudním přezkumem nebo náklady spojené s náhradou prokázané újmy spojené s vymezením plochy nebo koridoru pro stanovený záměr. Tyto náklady, které nelze objektivně vyčíslit, budou hrazeny též ze státního rozpočtu.</w:t>
      </w:r>
      <w:r w:rsidR="00732B55" w:rsidRPr="00712125">
        <w:rPr>
          <w:rFonts w:cs="Arial"/>
          <w:i/>
        </w:rPr>
        <w:t>“</w:t>
      </w:r>
      <w:r w:rsidRPr="00712125">
        <w:rPr>
          <w:rFonts w:cs="Arial"/>
          <w:i/>
        </w:rPr>
        <w:t xml:space="preserve"> </w:t>
      </w:r>
    </w:p>
    <w:p w:rsidR="003F68DA" w:rsidRDefault="00696E9E" w:rsidP="003E4A5D">
      <w:pPr>
        <w:pStyle w:val="Normln-tun"/>
        <w:widowControl w:val="0"/>
      </w:pPr>
      <w:r>
        <w:t>Obdobně</w:t>
      </w:r>
      <w:r w:rsidR="00C74D98">
        <w:t>, abychom byli konzistentní,</w:t>
      </w:r>
      <w:r w:rsidR="003F68DA">
        <w:t xml:space="preserve"> lze předpokládat </w:t>
      </w:r>
      <w:r w:rsidR="00FC3B4D">
        <w:t>pro</w:t>
      </w:r>
      <w:r w:rsidR="003F68DA">
        <w:t xml:space="preserve"> územní plány kraje, tj. částka se tak v tomto věcném okruhu zdvojnásobí. Bližší kvantifikaci pak bude možné udělat k paragrafovému znění návrhu zákona, kde bude již přesně vymezen postup pořizo</w:t>
      </w:r>
      <w:r w:rsidR="00B2597D">
        <w:t>vání, příp. aktualizace plánů a </w:t>
      </w:r>
      <w:r w:rsidR="003F68DA">
        <w:t>na jehož základě bude možné odhad zpřesnit.</w:t>
      </w:r>
    </w:p>
    <w:p w:rsidR="005C436D" w:rsidRPr="00A7605C" w:rsidRDefault="00A7605C" w:rsidP="003E4A5D">
      <w:pPr>
        <w:pStyle w:val="Normln-tun"/>
        <w:widowControl w:val="0"/>
      </w:pPr>
      <w:r w:rsidRPr="00A7605C">
        <w:t xml:space="preserve">Výše uvedené přínosy </w:t>
      </w:r>
      <w:r w:rsidR="00595C46">
        <w:t xml:space="preserve">(efektivnější koordinace vládních institucí, nižší transakční náklady, příznivější investiční prostředí) </w:t>
      </w:r>
      <w:r w:rsidRPr="00A7605C">
        <w:t xml:space="preserve">mohou být ve Variantě </w:t>
      </w:r>
      <w:r w:rsidR="000D45A9">
        <w:t>1</w:t>
      </w:r>
      <w:r w:rsidRPr="00A7605C">
        <w:t xml:space="preserve"> realizovány díky</w:t>
      </w:r>
      <w:r w:rsidR="00856188">
        <w:t>:</w:t>
      </w:r>
    </w:p>
    <w:p w:rsidR="00A7605C" w:rsidRDefault="00A7605C" w:rsidP="009D4B5F">
      <w:pPr>
        <w:pStyle w:val="Normln-tun"/>
        <w:widowControl w:val="0"/>
        <w:numPr>
          <w:ilvl w:val="0"/>
          <w:numId w:val="52"/>
        </w:numPr>
      </w:pPr>
      <w:r>
        <w:t>u</w:t>
      </w:r>
      <w:r w:rsidRPr="00A7605C">
        <w:t>možnění</w:t>
      </w:r>
      <w:r>
        <w:t>/usnadnění</w:t>
      </w:r>
      <w:r w:rsidRPr="00A7605C">
        <w:t xml:space="preserve"> jednotného povolování celostátně významných záměrů, včetně záměrů společného zájmu a záměry přesahující rámec jednotlivých krajů (dle konzultací </w:t>
      </w:r>
      <w:r w:rsidR="00517E06">
        <w:t>PÚR</w:t>
      </w:r>
      <w:r w:rsidRPr="00A7605C">
        <w:t xml:space="preserve"> podle </w:t>
      </w:r>
      <w:r w:rsidR="00517E06" w:rsidRPr="00A7605C">
        <w:t>§</w:t>
      </w:r>
      <w:r w:rsidR="00517E06">
        <w:t> </w:t>
      </w:r>
      <w:r w:rsidRPr="00A7605C">
        <w:t xml:space="preserve">31 a násl. </w:t>
      </w:r>
      <w:r w:rsidR="00696E9E">
        <w:t>SZ</w:t>
      </w:r>
      <w:r w:rsidRPr="00A7605C">
        <w:t xml:space="preserve"> tuto roli neplní) - </w:t>
      </w:r>
      <w:r w:rsidR="00686D84">
        <w:t>například</w:t>
      </w:r>
      <w:r w:rsidRPr="00A7605C">
        <w:t xml:space="preserve"> koridory na vysokorychlostní tratě (VRT) by byly zobrazeny v detailu stávajících </w:t>
      </w:r>
      <w:r w:rsidR="00517E06">
        <w:t>ZÚR</w:t>
      </w:r>
      <w:r>
        <w:t xml:space="preserve"> (viz obrázek PÚR v úvodu dokumentu);</w:t>
      </w:r>
    </w:p>
    <w:p w:rsidR="00A7605C" w:rsidRPr="00A7605C" w:rsidRDefault="00A7605C" w:rsidP="009D4B5F">
      <w:pPr>
        <w:pStyle w:val="Normln-tun"/>
        <w:widowControl w:val="0"/>
        <w:numPr>
          <w:ilvl w:val="0"/>
          <w:numId w:val="52"/>
        </w:numPr>
      </w:pPr>
      <w:r w:rsidRPr="00A7605C">
        <w:t>umožnění vyvlastnění nemovitostí pro účely realizace těchto</w:t>
      </w:r>
      <w:r>
        <w:t xml:space="preserve"> </w:t>
      </w:r>
      <w:r w:rsidRPr="00A7605C">
        <w:t>strategických záměrů</w:t>
      </w:r>
      <w:r w:rsidR="00811CC9">
        <w:t xml:space="preserve"> (pokud budou parametry nástroje správně nastaveny);</w:t>
      </w:r>
    </w:p>
    <w:p w:rsidR="00697062" w:rsidRPr="00BB3FAA" w:rsidRDefault="00697062" w:rsidP="009D4B5F">
      <w:pPr>
        <w:pStyle w:val="Normln-tun"/>
        <w:widowControl w:val="0"/>
        <w:numPr>
          <w:ilvl w:val="0"/>
          <w:numId w:val="52"/>
        </w:numPr>
      </w:pPr>
      <w:r w:rsidRPr="00BB3FAA">
        <w:t>zvýšení stability územně plánovací dokumentace a zvýšení míry právní</w:t>
      </w:r>
      <w:r w:rsidR="00BB3FAA" w:rsidRPr="00BB3FAA">
        <w:t xml:space="preserve"> </w:t>
      </w:r>
      <w:r w:rsidRPr="00BB3FAA">
        <w:t>jistoty v území;</w:t>
      </w:r>
    </w:p>
    <w:p w:rsidR="00AC4589" w:rsidRDefault="00697062" w:rsidP="009D4B5F">
      <w:pPr>
        <w:pStyle w:val="Normln-tun"/>
        <w:widowControl w:val="0"/>
        <w:numPr>
          <w:ilvl w:val="0"/>
          <w:numId w:val="52"/>
        </w:numPr>
      </w:pPr>
      <w:r w:rsidRPr="00BB3FAA">
        <w:t>zvýšení míry koordinace územního plánování na úrovni krajů a umožnění</w:t>
      </w:r>
      <w:r w:rsidR="00BB3FAA" w:rsidRPr="00BB3FAA">
        <w:t xml:space="preserve"> </w:t>
      </w:r>
      <w:r w:rsidRPr="00BB3FAA">
        <w:t xml:space="preserve">podrobnější některých </w:t>
      </w:r>
      <w:proofErr w:type="spellStart"/>
      <w:r w:rsidRPr="00BB3FAA">
        <w:t>celokrajsky</w:t>
      </w:r>
      <w:proofErr w:type="spellEnd"/>
      <w:r w:rsidRPr="00BB3FAA">
        <w:t xml:space="preserve"> významných záměrů v krajské ÚPD;</w:t>
      </w:r>
    </w:p>
    <w:p w:rsidR="00696E9E" w:rsidRDefault="00696E9E" w:rsidP="00533FC0">
      <w:pPr>
        <w:pStyle w:val="Normln-tun"/>
        <w:widowControl w:val="0"/>
      </w:pPr>
    </w:p>
    <w:p w:rsidR="00696E9E" w:rsidRPr="00BB3FAA" w:rsidRDefault="00696E9E" w:rsidP="00533FC0">
      <w:pPr>
        <w:pStyle w:val="Normln-tun"/>
        <w:widowControl w:val="0"/>
      </w:pPr>
    </w:p>
    <w:p w:rsidR="000D45A9" w:rsidRPr="000D45A9" w:rsidRDefault="000D45A9" w:rsidP="003E4A5D">
      <w:pPr>
        <w:pStyle w:val="Normln-tun"/>
        <w:widowControl w:val="0"/>
        <w:rPr>
          <w:i/>
        </w:rPr>
      </w:pPr>
      <w:r w:rsidRPr="000D45A9">
        <w:rPr>
          <w:i/>
        </w:rPr>
        <w:lastRenderedPageBreak/>
        <w:t xml:space="preserve">Porovnání variant 1ai a 1aii </w:t>
      </w:r>
    </w:p>
    <w:p w:rsidR="001E6FB6" w:rsidRDefault="001E6FB6" w:rsidP="001E6FB6">
      <w:pPr>
        <w:pStyle w:val="Titulek"/>
        <w:keepNext/>
      </w:pPr>
      <w:r>
        <w:t xml:space="preserve">Tabulka </w:t>
      </w:r>
      <w:r w:rsidR="00AB65E9">
        <w:rPr>
          <w:noProof/>
        </w:rPr>
        <w:fldChar w:fldCharType="begin"/>
      </w:r>
      <w:r w:rsidR="00530152">
        <w:rPr>
          <w:noProof/>
        </w:rPr>
        <w:instrText xml:space="preserve"> SEQ Tabulka \* ARABIC </w:instrText>
      </w:r>
      <w:r w:rsidR="00AB65E9">
        <w:rPr>
          <w:noProof/>
        </w:rPr>
        <w:fldChar w:fldCharType="separate"/>
      </w:r>
      <w:r w:rsidR="00263A1B">
        <w:rPr>
          <w:noProof/>
        </w:rPr>
        <w:t>27</w:t>
      </w:r>
      <w:r w:rsidR="00AB65E9">
        <w:rPr>
          <w:noProof/>
        </w:rPr>
        <w:fldChar w:fldCharType="end"/>
      </w:r>
      <w:r>
        <w:t xml:space="preserve">: </w:t>
      </w:r>
      <w:r w:rsidRPr="00F22FAC">
        <w:t>Porovnání variant 1ai a 1aii</w:t>
      </w:r>
    </w:p>
    <w:tbl>
      <w:tblPr>
        <w:tblStyle w:val="Svtlstnovn1"/>
        <w:tblW w:w="9072" w:type="dxa"/>
        <w:tblInd w:w="108" w:type="dxa"/>
        <w:tblLook w:val="04A0" w:firstRow="1" w:lastRow="0" w:firstColumn="1" w:lastColumn="0" w:noHBand="0" w:noVBand="1"/>
      </w:tblPr>
      <w:tblGrid>
        <w:gridCol w:w="4570"/>
        <w:gridCol w:w="4502"/>
      </w:tblGrid>
      <w:tr w:rsidR="002962AB" w:rsidRPr="0075491C" w:rsidTr="00A52B3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70" w:type="dxa"/>
            <w:vAlign w:val="center"/>
          </w:tcPr>
          <w:p w:rsidR="002962AB" w:rsidRPr="0075491C" w:rsidRDefault="002962AB" w:rsidP="003E4A5D">
            <w:pPr>
              <w:widowControl w:val="0"/>
              <w:spacing w:before="0" w:after="0"/>
              <w:rPr>
                <w:rFonts w:asciiTheme="minorHAnsi" w:hAnsiTheme="minorHAnsi" w:cstheme="minorHAnsi"/>
                <w:sz w:val="20"/>
                <w:szCs w:val="20"/>
              </w:rPr>
            </w:pPr>
            <w:r w:rsidRPr="0075491C">
              <w:rPr>
                <w:rFonts w:asciiTheme="minorHAnsi" w:hAnsiTheme="minorHAnsi" w:cstheme="minorHAnsi"/>
                <w:sz w:val="20"/>
                <w:szCs w:val="20"/>
              </w:rPr>
              <w:t>Kategorie nákladů</w:t>
            </w:r>
          </w:p>
        </w:tc>
        <w:tc>
          <w:tcPr>
            <w:tcW w:w="4502" w:type="dxa"/>
            <w:vAlign w:val="center"/>
          </w:tcPr>
          <w:p w:rsidR="002962AB" w:rsidRPr="0075491C" w:rsidRDefault="002962AB" w:rsidP="003E4A5D">
            <w:pPr>
              <w:widowControl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2962AB" w:rsidRPr="0075491C" w:rsidTr="00A52B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70" w:type="dxa"/>
            <w:vAlign w:val="center"/>
          </w:tcPr>
          <w:p w:rsidR="002962AB" w:rsidRPr="002962AB" w:rsidRDefault="002962AB" w:rsidP="003E4A5D">
            <w:pPr>
              <w:widowControl w:val="0"/>
              <w:spacing w:before="0" w:after="0"/>
              <w:rPr>
                <w:rFonts w:asciiTheme="minorHAnsi" w:hAnsiTheme="minorHAnsi" w:cstheme="minorHAnsi"/>
                <w:sz w:val="20"/>
                <w:szCs w:val="20"/>
              </w:rPr>
            </w:pPr>
            <w:r w:rsidRPr="002962AB">
              <w:rPr>
                <w:rFonts w:asciiTheme="minorHAnsi" w:hAnsiTheme="minorHAnsi" w:cstheme="minorHAnsi"/>
                <w:sz w:val="20"/>
                <w:szCs w:val="20"/>
              </w:rPr>
              <w:t>Varianta 1ai</w:t>
            </w:r>
          </w:p>
        </w:tc>
        <w:tc>
          <w:tcPr>
            <w:tcW w:w="4502" w:type="dxa"/>
            <w:vAlign w:val="center"/>
          </w:tcPr>
          <w:p w:rsidR="002962AB" w:rsidRDefault="002962AB"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Varianta 1aii</w:t>
            </w:r>
          </w:p>
        </w:tc>
      </w:tr>
      <w:tr w:rsidR="002962AB" w:rsidRPr="0075491C" w:rsidTr="00A52B35">
        <w:trPr>
          <w:trHeight w:val="397"/>
        </w:trPr>
        <w:tc>
          <w:tcPr>
            <w:cnfStyle w:val="001000000000" w:firstRow="0" w:lastRow="0" w:firstColumn="1" w:lastColumn="0" w:oddVBand="0" w:evenVBand="0" w:oddHBand="0" w:evenHBand="0" w:firstRowFirstColumn="0" w:firstRowLastColumn="0" w:lastRowFirstColumn="0" w:lastRowLastColumn="0"/>
            <w:tcW w:w="4570" w:type="dxa"/>
            <w:tcBorders>
              <w:bottom w:val="nil"/>
            </w:tcBorders>
            <w:vAlign w:val="center"/>
          </w:tcPr>
          <w:p w:rsidR="004C272D" w:rsidRPr="004C272D" w:rsidRDefault="003203F0" w:rsidP="009D4B5F">
            <w:pPr>
              <w:pStyle w:val="Odstavecseseznamem"/>
              <w:widowControl w:val="0"/>
              <w:numPr>
                <w:ilvl w:val="0"/>
                <w:numId w:val="58"/>
              </w:numPr>
              <w:spacing w:before="0" w:after="0"/>
              <w:ind w:left="318" w:hanging="284"/>
              <w:contextualSpacing w:val="0"/>
              <w:rPr>
                <w:rFonts w:asciiTheme="minorHAnsi" w:hAnsiTheme="minorHAnsi" w:cstheme="minorHAnsi"/>
                <w:sz w:val="20"/>
                <w:szCs w:val="20"/>
              </w:rPr>
            </w:pPr>
            <w:r w:rsidRPr="003203F0">
              <w:rPr>
                <w:rFonts w:asciiTheme="minorHAnsi" w:hAnsiTheme="minorHAnsi" w:cstheme="minorHAnsi"/>
                <w:b w:val="0"/>
                <w:sz w:val="20"/>
                <w:szCs w:val="20"/>
              </w:rPr>
              <w:t>obtížnější nastavení zjednodušeného procesu přijímání změn pouze pro strategickou část, jelikož budou obě části obsažené v dokumentu stejné právní formy</w:t>
            </w:r>
            <w:r w:rsidR="004C272D" w:rsidRPr="003203F0">
              <w:rPr>
                <w:rFonts w:asciiTheme="minorHAnsi" w:hAnsiTheme="minorHAnsi" w:cstheme="minorHAnsi"/>
                <w:sz w:val="20"/>
                <w:szCs w:val="20"/>
              </w:rPr>
              <w:t xml:space="preserve"> </w:t>
            </w:r>
          </w:p>
          <w:p w:rsidR="002962AB" w:rsidRPr="004C272D" w:rsidRDefault="004C272D" w:rsidP="009D4B5F">
            <w:pPr>
              <w:pStyle w:val="Odstavecseseznamem"/>
              <w:widowControl w:val="0"/>
              <w:numPr>
                <w:ilvl w:val="0"/>
                <w:numId w:val="58"/>
              </w:numPr>
              <w:spacing w:before="0" w:after="0"/>
              <w:ind w:left="318" w:hanging="284"/>
              <w:contextualSpacing w:val="0"/>
              <w:rPr>
                <w:rFonts w:asciiTheme="minorHAnsi" w:hAnsiTheme="minorHAnsi" w:cstheme="minorHAnsi"/>
                <w:b w:val="0"/>
                <w:sz w:val="20"/>
                <w:szCs w:val="20"/>
              </w:rPr>
            </w:pPr>
            <w:r>
              <w:rPr>
                <w:rFonts w:asciiTheme="minorHAnsi" w:hAnsiTheme="minorHAnsi" w:cstheme="minorHAnsi"/>
                <w:b w:val="0"/>
                <w:sz w:val="20"/>
                <w:szCs w:val="20"/>
              </w:rPr>
              <w:t>ne</w:t>
            </w:r>
            <w:r w:rsidRPr="004C272D">
              <w:rPr>
                <w:rFonts w:asciiTheme="minorHAnsi" w:hAnsiTheme="minorHAnsi" w:cstheme="minorHAnsi"/>
                <w:b w:val="0"/>
                <w:sz w:val="20"/>
                <w:szCs w:val="20"/>
              </w:rPr>
              <w:t xml:space="preserve">možnost použít pro různé účely </w:t>
            </w:r>
            <w:r>
              <w:rPr>
                <w:rFonts w:asciiTheme="minorHAnsi" w:hAnsiTheme="minorHAnsi" w:cstheme="minorHAnsi"/>
                <w:b w:val="0"/>
                <w:sz w:val="20"/>
                <w:szCs w:val="20"/>
              </w:rPr>
              <w:t xml:space="preserve">dvě </w:t>
            </w:r>
            <w:r w:rsidRPr="004C272D">
              <w:rPr>
                <w:rFonts w:asciiTheme="minorHAnsi" w:hAnsiTheme="minorHAnsi" w:cstheme="minorHAnsi"/>
                <w:b w:val="0"/>
                <w:sz w:val="20"/>
                <w:szCs w:val="20"/>
              </w:rPr>
              <w:t>odlišné právní formy a s nimi spojené odlišné právní účinky</w:t>
            </w:r>
          </w:p>
        </w:tc>
        <w:tc>
          <w:tcPr>
            <w:tcW w:w="4502" w:type="dxa"/>
            <w:tcBorders>
              <w:bottom w:val="nil"/>
            </w:tcBorders>
            <w:vAlign w:val="center"/>
          </w:tcPr>
          <w:p w:rsidR="002962AB" w:rsidRDefault="006A5341" w:rsidP="009D4B5F">
            <w:pPr>
              <w:pStyle w:val="Odstavecseseznamem"/>
              <w:widowControl w:val="0"/>
              <w:numPr>
                <w:ilvl w:val="0"/>
                <w:numId w:val="58"/>
              </w:numPr>
              <w:spacing w:before="0" w:after="0"/>
              <w:ind w:left="318" w:hanging="28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A5341">
              <w:rPr>
                <w:rFonts w:asciiTheme="minorHAnsi" w:hAnsiTheme="minorHAnsi" w:cstheme="minorHAnsi"/>
                <w:sz w:val="20"/>
                <w:szCs w:val="20"/>
              </w:rPr>
              <w:t>potřeb</w:t>
            </w:r>
            <w:r w:rsidR="003203F0">
              <w:rPr>
                <w:rFonts w:asciiTheme="minorHAnsi" w:hAnsiTheme="minorHAnsi" w:cstheme="minorHAnsi"/>
                <w:sz w:val="20"/>
                <w:szCs w:val="20"/>
              </w:rPr>
              <w:t>a</w:t>
            </w:r>
            <w:r w:rsidRPr="006A5341">
              <w:rPr>
                <w:rFonts w:asciiTheme="minorHAnsi" w:hAnsiTheme="minorHAnsi" w:cstheme="minorHAnsi"/>
                <w:sz w:val="20"/>
                <w:szCs w:val="20"/>
              </w:rPr>
              <w:t xml:space="preserve"> sta</w:t>
            </w:r>
            <w:r w:rsidR="004C272D">
              <w:rPr>
                <w:rFonts w:asciiTheme="minorHAnsi" w:hAnsiTheme="minorHAnsi" w:cstheme="minorHAnsi"/>
                <w:sz w:val="20"/>
                <w:szCs w:val="20"/>
              </w:rPr>
              <w:t>n</w:t>
            </w:r>
            <w:r w:rsidRPr="006A5341">
              <w:rPr>
                <w:rFonts w:asciiTheme="minorHAnsi" w:hAnsiTheme="minorHAnsi" w:cstheme="minorHAnsi"/>
                <w:sz w:val="20"/>
                <w:szCs w:val="20"/>
              </w:rPr>
              <w:t>ov</w:t>
            </w:r>
            <w:r w:rsidR="003203F0">
              <w:rPr>
                <w:rFonts w:asciiTheme="minorHAnsi" w:hAnsiTheme="minorHAnsi" w:cstheme="minorHAnsi"/>
                <w:sz w:val="20"/>
                <w:szCs w:val="20"/>
              </w:rPr>
              <w:t>it</w:t>
            </w:r>
            <w:r w:rsidRPr="006A5341">
              <w:rPr>
                <w:rFonts w:asciiTheme="minorHAnsi" w:hAnsiTheme="minorHAnsi" w:cstheme="minorHAnsi"/>
                <w:sz w:val="20"/>
                <w:szCs w:val="20"/>
              </w:rPr>
              <w:t xml:space="preserve"> a dodržov</w:t>
            </w:r>
            <w:r w:rsidR="003203F0">
              <w:rPr>
                <w:rFonts w:asciiTheme="minorHAnsi" w:hAnsiTheme="minorHAnsi" w:cstheme="minorHAnsi"/>
                <w:sz w:val="20"/>
                <w:szCs w:val="20"/>
              </w:rPr>
              <w:t>at</w:t>
            </w:r>
            <w:r w:rsidRPr="006A5341">
              <w:rPr>
                <w:rFonts w:asciiTheme="minorHAnsi" w:hAnsiTheme="minorHAnsi" w:cstheme="minorHAnsi"/>
                <w:sz w:val="20"/>
                <w:szCs w:val="20"/>
              </w:rPr>
              <w:t xml:space="preserve"> obsahov</w:t>
            </w:r>
            <w:r w:rsidR="003203F0">
              <w:rPr>
                <w:rFonts w:asciiTheme="minorHAnsi" w:hAnsiTheme="minorHAnsi" w:cstheme="minorHAnsi"/>
                <w:sz w:val="20"/>
                <w:szCs w:val="20"/>
              </w:rPr>
              <w:t>ý</w:t>
            </w:r>
            <w:r w:rsidRPr="006A5341">
              <w:rPr>
                <w:rFonts w:asciiTheme="minorHAnsi" w:hAnsiTheme="minorHAnsi" w:cstheme="minorHAnsi"/>
                <w:sz w:val="20"/>
                <w:szCs w:val="20"/>
              </w:rPr>
              <w:t xml:space="preserve"> soulad dvou dokumentů</w:t>
            </w:r>
          </w:p>
          <w:p w:rsidR="006465AE" w:rsidRPr="006465AE" w:rsidRDefault="004C272D" w:rsidP="009D4B5F">
            <w:pPr>
              <w:pStyle w:val="Odstavecseseznamem"/>
              <w:widowControl w:val="0"/>
              <w:numPr>
                <w:ilvl w:val="0"/>
                <w:numId w:val="58"/>
              </w:numPr>
              <w:spacing w:before="0" w:after="0"/>
              <w:ind w:left="318" w:hanging="28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sz w:val="20"/>
                <w:szCs w:val="20"/>
              </w:rPr>
              <w:t>celkově vyšší</w:t>
            </w:r>
            <w:r w:rsidR="006465AE" w:rsidRPr="006A5341">
              <w:rPr>
                <w:rFonts w:asciiTheme="minorHAnsi" w:hAnsiTheme="minorHAnsi" w:cstheme="minorHAnsi"/>
                <w:sz w:val="20"/>
                <w:szCs w:val="20"/>
              </w:rPr>
              <w:t xml:space="preserve"> procesní náročnost zpracování, projednání a schvalování </w:t>
            </w:r>
            <w:r>
              <w:rPr>
                <w:rFonts w:asciiTheme="minorHAnsi" w:hAnsiTheme="minorHAnsi" w:cstheme="minorHAnsi"/>
                <w:sz w:val="20"/>
                <w:szCs w:val="20"/>
              </w:rPr>
              <w:t>(nelze využít synergií)</w:t>
            </w:r>
          </w:p>
          <w:p w:rsidR="006465AE" w:rsidRPr="006465AE" w:rsidRDefault="006465AE" w:rsidP="009D4B5F">
            <w:pPr>
              <w:pStyle w:val="Odstavecseseznamem"/>
              <w:widowControl w:val="0"/>
              <w:numPr>
                <w:ilvl w:val="0"/>
                <w:numId w:val="58"/>
              </w:numPr>
              <w:spacing w:before="0" w:after="0"/>
              <w:ind w:left="318" w:hanging="28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6465AE">
              <w:rPr>
                <w:rFonts w:asciiTheme="minorHAnsi" w:hAnsiTheme="minorHAnsi" w:cstheme="minorHAnsi"/>
                <w:sz w:val="20"/>
                <w:szCs w:val="20"/>
              </w:rPr>
              <w:t>rizik</w:t>
            </w:r>
            <w:r w:rsidR="004C272D">
              <w:rPr>
                <w:rFonts w:asciiTheme="minorHAnsi" w:hAnsiTheme="minorHAnsi" w:cstheme="minorHAnsi"/>
                <w:sz w:val="20"/>
                <w:szCs w:val="20"/>
              </w:rPr>
              <w:t>o</w:t>
            </w:r>
            <w:r w:rsidRPr="006465AE">
              <w:rPr>
                <w:rFonts w:asciiTheme="minorHAnsi" w:hAnsiTheme="minorHAnsi" w:cstheme="minorHAnsi"/>
                <w:sz w:val="20"/>
                <w:szCs w:val="20"/>
              </w:rPr>
              <w:t xml:space="preserve"> vzájemných rozporů mezi dvěma dokumenty a potřeba úprav a aktualizací jednoho dokumentu v návaznosti na předtím provedené změny ve druhém dokumentu</w:t>
            </w:r>
          </w:p>
          <w:p w:rsidR="006465AE" w:rsidRPr="006A5341" w:rsidRDefault="004C272D" w:rsidP="00696E9E">
            <w:pPr>
              <w:pStyle w:val="Odstavecseseznamem"/>
              <w:widowControl w:val="0"/>
              <w:numPr>
                <w:ilvl w:val="0"/>
                <w:numId w:val="58"/>
              </w:numPr>
              <w:spacing w:before="0" w:after="0"/>
              <w:ind w:left="318" w:hanging="28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menší</w:t>
            </w:r>
            <w:r w:rsidR="006465AE" w:rsidRPr="006465AE">
              <w:rPr>
                <w:rFonts w:asciiTheme="minorHAnsi" w:hAnsiTheme="minorHAnsi" w:cstheme="minorHAnsi"/>
                <w:sz w:val="20"/>
                <w:szCs w:val="20"/>
              </w:rPr>
              <w:t xml:space="preserve"> prostor pro plynulé provázání obsahu části</w:t>
            </w:r>
            <w:r w:rsidR="006465AE" w:rsidRPr="006A5341">
              <w:rPr>
                <w:rFonts w:asciiTheme="minorHAnsi" w:hAnsiTheme="minorHAnsi" w:cstheme="minorHAnsi"/>
                <w:sz w:val="20"/>
                <w:szCs w:val="20"/>
              </w:rPr>
              <w:t xml:space="preserve"> vymezující záměry a strategické části </w:t>
            </w:r>
            <w:r w:rsidR="00696E9E" w:rsidRPr="006A5341">
              <w:rPr>
                <w:rFonts w:asciiTheme="minorHAnsi" w:hAnsiTheme="minorHAnsi" w:cstheme="minorHAnsi"/>
                <w:sz w:val="20"/>
                <w:szCs w:val="20"/>
              </w:rPr>
              <w:t>v</w:t>
            </w:r>
            <w:r w:rsidR="00696E9E">
              <w:rPr>
                <w:rFonts w:asciiTheme="minorHAnsi" w:hAnsiTheme="minorHAnsi" w:cstheme="minorHAnsi"/>
                <w:sz w:val="20"/>
                <w:szCs w:val="20"/>
              </w:rPr>
              <w:t> </w:t>
            </w:r>
            <w:r w:rsidR="006465AE" w:rsidRPr="006A5341">
              <w:rPr>
                <w:rFonts w:asciiTheme="minorHAnsi" w:hAnsiTheme="minorHAnsi" w:cstheme="minorHAnsi"/>
                <w:sz w:val="20"/>
                <w:szCs w:val="20"/>
              </w:rPr>
              <w:t>rámci jednoho dokumentu</w:t>
            </w:r>
          </w:p>
        </w:tc>
      </w:tr>
      <w:tr w:rsidR="006A5341" w:rsidRPr="0075491C" w:rsidTr="00A52B3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570" w:type="dxa"/>
            <w:tcBorders>
              <w:top w:val="nil"/>
              <w:bottom w:val="single" w:sz="4" w:space="0" w:color="auto"/>
            </w:tcBorders>
            <w:shd w:val="clear" w:color="auto" w:fill="auto"/>
            <w:vAlign w:val="center"/>
          </w:tcPr>
          <w:p w:rsidR="006A5341" w:rsidRPr="006A5341" w:rsidRDefault="006A5341" w:rsidP="003E4A5D">
            <w:pPr>
              <w:widowControl w:val="0"/>
              <w:spacing w:before="0" w:after="0"/>
              <w:rPr>
                <w:rFonts w:asciiTheme="minorHAnsi" w:hAnsiTheme="minorHAnsi" w:cstheme="minorHAnsi"/>
                <w:sz w:val="4"/>
                <w:szCs w:val="4"/>
              </w:rPr>
            </w:pPr>
          </w:p>
        </w:tc>
        <w:tc>
          <w:tcPr>
            <w:tcW w:w="4502" w:type="dxa"/>
            <w:tcBorders>
              <w:top w:val="nil"/>
              <w:bottom w:val="single" w:sz="4" w:space="0" w:color="auto"/>
            </w:tcBorders>
            <w:shd w:val="clear" w:color="auto" w:fill="auto"/>
            <w:vAlign w:val="center"/>
          </w:tcPr>
          <w:p w:rsidR="006A5341" w:rsidRPr="006A5341" w:rsidRDefault="006A5341"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
                <w:szCs w:val="4"/>
              </w:rPr>
            </w:pPr>
          </w:p>
        </w:tc>
      </w:tr>
    </w:tbl>
    <w:p w:rsidR="000D45A9" w:rsidRDefault="004C272D" w:rsidP="003E4A5D">
      <w:pPr>
        <w:pStyle w:val="Normln-tun"/>
        <w:widowControl w:val="0"/>
      </w:pPr>
      <w:r>
        <w:t>Pro</w:t>
      </w:r>
      <w:r w:rsidR="002962AB">
        <w:t xml:space="preserve"> obě varianty platí, že ve stavebním zákoně </w:t>
      </w:r>
      <w:r>
        <w:t xml:space="preserve">bude nutné </w:t>
      </w:r>
      <w:r w:rsidR="002962AB">
        <w:t xml:space="preserve">upravit celou řadu otázek souvisejících s procesem přijímání i s právními účinky </w:t>
      </w:r>
      <w:r>
        <w:t>územně plánovacích dokumentů</w:t>
      </w:r>
      <w:r w:rsidR="002962AB">
        <w:t xml:space="preserve">. Rovněž rozsah soudního přezkumu </w:t>
      </w:r>
      <w:r>
        <w:t xml:space="preserve">bude </w:t>
      </w:r>
      <w:r w:rsidR="002962AB">
        <w:t>souvis</w:t>
      </w:r>
      <w:r>
        <w:t>et</w:t>
      </w:r>
      <w:r w:rsidR="002962AB">
        <w:t xml:space="preserve"> spíše s nastavením právních účinků a dopadů na </w:t>
      </w:r>
      <w:r>
        <w:t>dotčené strany</w:t>
      </w:r>
      <w:r w:rsidR="002962AB">
        <w:t xml:space="preserve"> než s tím, zda </w:t>
      </w:r>
      <w:r>
        <w:t>pů</w:t>
      </w:r>
      <w:r w:rsidR="002962AB">
        <w:t>jde o samostatný dokument či o zvláštní část jednoho dokumentu.</w:t>
      </w:r>
      <w:r w:rsidR="006465AE">
        <w:t xml:space="preserve"> </w:t>
      </w:r>
      <w:r>
        <w:t xml:space="preserve">Pokud však zohledníme hlavní cíl nového zákona, jímž je jednoduchost a přehlednost </w:t>
      </w:r>
      <w:r w:rsidR="00621811">
        <w:t>a vezmeme v úvahu, že výše uvedené dopady nelze přesně kvantifikovat, nabízí se k doporučení spíše varianta 1ai.</w:t>
      </w:r>
    </w:p>
    <w:p w:rsidR="00322819" w:rsidRDefault="00F13FBD" w:rsidP="003E4A5D">
      <w:pPr>
        <w:pStyle w:val="Normln-tun"/>
        <w:widowControl w:val="0"/>
        <w:rPr>
          <w:i/>
        </w:rPr>
      </w:pPr>
      <w:r w:rsidRPr="00621811">
        <w:rPr>
          <w:i/>
        </w:rPr>
        <w:t>Porovnání variant</w:t>
      </w:r>
      <w:r w:rsidR="002962AB" w:rsidRPr="00621811">
        <w:rPr>
          <w:i/>
        </w:rPr>
        <w:t>y</w:t>
      </w:r>
      <w:r w:rsidRPr="00621811">
        <w:rPr>
          <w:i/>
        </w:rPr>
        <w:t xml:space="preserve"> </w:t>
      </w:r>
      <w:r w:rsidR="002962AB" w:rsidRPr="00621811">
        <w:rPr>
          <w:i/>
        </w:rPr>
        <w:t>1bi oproti současnému stavu</w:t>
      </w:r>
      <w:r w:rsidRPr="00621811">
        <w:rPr>
          <w:i/>
        </w:rPr>
        <w:t xml:space="preserve"> </w:t>
      </w:r>
      <w:r w:rsidR="00621811" w:rsidRPr="00621811">
        <w:rPr>
          <w:i/>
        </w:rPr>
        <w:t xml:space="preserve">- </w:t>
      </w:r>
      <w:r w:rsidR="00621811">
        <w:rPr>
          <w:i/>
        </w:rPr>
        <w:t>s</w:t>
      </w:r>
      <w:r w:rsidR="00322819" w:rsidRPr="00621811">
        <w:rPr>
          <w:i/>
        </w:rPr>
        <w:t xml:space="preserve">rovnání formy obecně závazné vyhlášky </w:t>
      </w:r>
      <w:r w:rsidR="00621811">
        <w:rPr>
          <w:i/>
        </w:rPr>
        <w:t xml:space="preserve">(OZV) </w:t>
      </w:r>
      <w:r w:rsidR="00322819" w:rsidRPr="00621811">
        <w:rPr>
          <w:i/>
        </w:rPr>
        <w:t>a opatření obecné povahy</w:t>
      </w:r>
      <w:r w:rsidR="00621811">
        <w:rPr>
          <w:i/>
        </w:rPr>
        <w:t xml:space="preserve"> (OOP)</w:t>
      </w:r>
      <w:r w:rsidR="00322819" w:rsidRPr="00621811">
        <w:rPr>
          <w:i/>
        </w:rPr>
        <w:t xml:space="preserve"> jako nosiče územních plánů</w:t>
      </w:r>
      <w:r w:rsidR="008C2D12">
        <w:rPr>
          <w:i/>
        </w:rPr>
        <w:t xml:space="preserve"> </w:t>
      </w:r>
    </w:p>
    <w:p w:rsidR="00C12DAE" w:rsidRDefault="00C12DAE" w:rsidP="00A52B35">
      <w:pPr>
        <w:pStyle w:val="Titulek"/>
        <w:spacing w:after="120"/>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28</w:t>
      </w:r>
      <w:r w:rsidR="00AB65E9">
        <w:rPr>
          <w:noProof/>
        </w:rPr>
        <w:fldChar w:fldCharType="end"/>
      </w:r>
      <w:r>
        <w:t xml:space="preserve">: </w:t>
      </w:r>
      <w:r w:rsidRPr="00C12DAE">
        <w:t>Porovnání varianty 1bi oproti současnému stavu - srovnání formy obecně závazné vyhlášky (OZV) a opatření obecné povahy (OOP) jako nosiče územních plánů</w:t>
      </w:r>
    </w:p>
    <w:tbl>
      <w:tblPr>
        <w:tblStyle w:val="Tabulkaseznamu21"/>
        <w:tblW w:w="4885" w:type="pct"/>
        <w:tblInd w:w="108" w:type="dxa"/>
        <w:tblLook w:val="04A0" w:firstRow="1" w:lastRow="0" w:firstColumn="1" w:lastColumn="0" w:noHBand="0" w:noVBand="1"/>
      </w:tblPr>
      <w:tblGrid>
        <w:gridCol w:w="1751"/>
        <w:gridCol w:w="3714"/>
        <w:gridCol w:w="3607"/>
      </w:tblGrid>
      <w:tr w:rsidR="00D67A38" w:rsidRPr="00630CFE" w:rsidTr="00A52B35">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5" w:type="pct"/>
          </w:tcPr>
          <w:p w:rsidR="00D67A38" w:rsidRPr="000E635F" w:rsidRDefault="00D67A38" w:rsidP="0053598E">
            <w:pPr>
              <w:pStyle w:val="Normln-tun"/>
              <w:widowControl w:val="0"/>
              <w:jc w:val="center"/>
              <w:rPr>
                <w:rFonts w:cstheme="minorHAnsi"/>
                <w:b w:val="0"/>
                <w:sz w:val="22"/>
              </w:rPr>
            </w:pPr>
          </w:p>
        </w:tc>
        <w:tc>
          <w:tcPr>
            <w:tcW w:w="2047" w:type="pct"/>
          </w:tcPr>
          <w:p w:rsidR="00D67A38" w:rsidRPr="000E635F" w:rsidRDefault="00D67A38" w:rsidP="0053598E">
            <w:pPr>
              <w:pStyle w:val="Normln-tun"/>
              <w:widowControl w:val="0"/>
              <w:jc w:val="center"/>
              <w:cnfStyle w:val="100000000000" w:firstRow="1" w:lastRow="0" w:firstColumn="0" w:lastColumn="0" w:oddVBand="0" w:evenVBand="0" w:oddHBand="0" w:evenHBand="0" w:firstRowFirstColumn="0" w:firstRowLastColumn="0" w:lastRowFirstColumn="0" w:lastRowLastColumn="0"/>
              <w:rPr>
                <w:rFonts w:cstheme="minorHAnsi"/>
                <w:smallCaps/>
                <w:sz w:val="22"/>
              </w:rPr>
            </w:pPr>
            <w:r w:rsidRPr="000E635F">
              <w:rPr>
                <w:rFonts w:cstheme="minorHAnsi"/>
                <w:smallCaps/>
                <w:sz w:val="22"/>
              </w:rPr>
              <w:t>Opatření obecné povahy</w:t>
            </w:r>
          </w:p>
        </w:tc>
        <w:tc>
          <w:tcPr>
            <w:tcW w:w="1989" w:type="pct"/>
          </w:tcPr>
          <w:p w:rsidR="00D67A38" w:rsidRPr="000E635F" w:rsidRDefault="00D67A38" w:rsidP="0053598E">
            <w:pPr>
              <w:pStyle w:val="Normln-tun"/>
              <w:widowControl w:val="0"/>
              <w:jc w:val="center"/>
              <w:cnfStyle w:val="100000000000" w:firstRow="1" w:lastRow="0" w:firstColumn="0" w:lastColumn="0" w:oddVBand="0" w:evenVBand="0" w:oddHBand="0" w:evenHBand="0" w:firstRowFirstColumn="0" w:firstRowLastColumn="0" w:lastRowFirstColumn="0" w:lastRowLastColumn="0"/>
              <w:rPr>
                <w:rFonts w:cstheme="minorHAnsi"/>
                <w:smallCaps/>
                <w:sz w:val="22"/>
              </w:rPr>
            </w:pPr>
            <w:r w:rsidRPr="000E635F">
              <w:rPr>
                <w:rFonts w:cstheme="minorHAnsi"/>
                <w:smallCaps/>
                <w:sz w:val="22"/>
              </w:rPr>
              <w:t>Obecně závazná vyhláška</w:t>
            </w:r>
          </w:p>
        </w:tc>
      </w:tr>
      <w:tr w:rsidR="00D67A38" w:rsidRPr="00630CFE" w:rsidTr="00A52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pct"/>
          </w:tcPr>
          <w:p w:rsidR="00D67A38" w:rsidRPr="000E635F" w:rsidRDefault="00D67A38" w:rsidP="00A52B35">
            <w:pPr>
              <w:pStyle w:val="Normln-tun"/>
              <w:widowControl w:val="0"/>
              <w:spacing w:after="0"/>
              <w:jc w:val="left"/>
              <w:rPr>
                <w:rFonts w:cstheme="minorHAnsi"/>
                <w:sz w:val="22"/>
              </w:rPr>
            </w:pPr>
            <w:r w:rsidRPr="000E635F">
              <w:rPr>
                <w:rFonts w:cstheme="minorHAnsi"/>
                <w:sz w:val="22"/>
              </w:rPr>
              <w:t xml:space="preserve">Abstraktní přezkum a jeho důsledky </w:t>
            </w:r>
          </w:p>
        </w:tc>
        <w:tc>
          <w:tcPr>
            <w:tcW w:w="2047" w:type="pct"/>
          </w:tcPr>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 xml:space="preserve">Aktivní legitimace: Kdokoliv, kdo byl na svých právech dotčen OOP; ve lhůtě 1 roku. </w:t>
            </w:r>
          </w:p>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 xml:space="preserve">Počet instancí: krajský soud (následný přezkum jeho rozhodnutí u NSS, možnost podat stížnost k ÚS). </w:t>
            </w:r>
          </w:p>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Důsledky zjištění nezákonnosti: zrušení územního plánu v rozsahu aktivní legitimace navrhovatele.</w:t>
            </w:r>
          </w:p>
        </w:tc>
        <w:tc>
          <w:tcPr>
            <w:tcW w:w="1989" w:type="pct"/>
          </w:tcPr>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Aktivní legitimace: Okruh subjektů s aktivní legitimací užší než v případě OOP – viz § 64 odst. 2 zákona č. 182/1993 Sb., o Ústavním soudu.</w:t>
            </w:r>
          </w:p>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Počet instancí: varianta 1 - jen jedna soudní instance, pokud tuto pravomoc bude mít jako dosud jen Ústavní soud; varianta 2 – dvě instance, pokud by pravomoc k přezkumu zákonnosti byla podle čl. 87 odst. 3 Ústavy přenesena na NSS; nositelé ústavně zaručených práv by měli k dispozici ještě ústavní stížnost proti rozhodnutí NSS; přezkum ústavnosti OZV by musel být ponechán ÚS.</w:t>
            </w:r>
          </w:p>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Důsledky zjištění nezákonnosti: zrušení části nebo celé OZV.</w:t>
            </w:r>
          </w:p>
        </w:tc>
      </w:tr>
      <w:tr w:rsidR="00D67A38" w:rsidRPr="00630CFE" w:rsidTr="00A52B35">
        <w:tc>
          <w:tcPr>
            <w:cnfStyle w:val="001000000000" w:firstRow="0" w:lastRow="0" w:firstColumn="1" w:lastColumn="0" w:oddVBand="0" w:evenVBand="0" w:oddHBand="0" w:evenHBand="0" w:firstRowFirstColumn="0" w:firstRowLastColumn="0" w:lastRowFirstColumn="0" w:lastRowLastColumn="0"/>
            <w:tcW w:w="965" w:type="pct"/>
          </w:tcPr>
          <w:p w:rsidR="00D67A38" w:rsidRPr="000E635F" w:rsidRDefault="00D67A38" w:rsidP="00A52B35">
            <w:pPr>
              <w:pStyle w:val="Normln-tun"/>
              <w:widowControl w:val="0"/>
              <w:spacing w:after="0"/>
              <w:jc w:val="left"/>
              <w:rPr>
                <w:rFonts w:cstheme="minorHAnsi"/>
                <w:sz w:val="22"/>
              </w:rPr>
            </w:pPr>
            <w:r w:rsidRPr="000E635F">
              <w:rPr>
                <w:rFonts w:cstheme="minorHAnsi"/>
                <w:sz w:val="22"/>
              </w:rPr>
              <w:t xml:space="preserve">Konkrétní kontrola zákonnosti </w:t>
            </w:r>
          </w:p>
        </w:tc>
        <w:tc>
          <w:tcPr>
            <w:tcW w:w="2047" w:type="pct"/>
          </w:tcPr>
          <w:p w:rsidR="00D67A38" w:rsidRPr="000E635F" w:rsidRDefault="00D67A38" w:rsidP="00A52B35">
            <w:pPr>
              <w:pStyle w:val="Normln-tun"/>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22"/>
              </w:rPr>
            </w:pPr>
            <w:r w:rsidRPr="000E635F">
              <w:rPr>
                <w:rFonts w:cstheme="minorHAnsi"/>
                <w:sz w:val="22"/>
              </w:rPr>
              <w:t xml:space="preserve">Konkrétní kontrola zákonnosti soudem v „ryzí“ podobě (bez návrhu a s možností si samostatně posoudit zákonnost územního plánu a případně </w:t>
            </w:r>
            <w:r w:rsidRPr="000E635F">
              <w:rPr>
                <w:rFonts w:cstheme="minorHAnsi"/>
                <w:sz w:val="22"/>
              </w:rPr>
              <w:lastRenderedPageBreak/>
              <w:t>ho neaplikovat) dnes u OOP neexistuje.</w:t>
            </w:r>
          </w:p>
        </w:tc>
        <w:tc>
          <w:tcPr>
            <w:tcW w:w="1989" w:type="pct"/>
          </w:tcPr>
          <w:p w:rsidR="00D67A38" w:rsidRPr="000E635F" w:rsidRDefault="00D67A38" w:rsidP="00A52B35">
            <w:pPr>
              <w:pStyle w:val="Normln-tun"/>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22"/>
              </w:rPr>
            </w:pPr>
            <w:r w:rsidRPr="000E635F">
              <w:rPr>
                <w:rFonts w:cstheme="minorHAnsi"/>
                <w:sz w:val="22"/>
              </w:rPr>
              <w:lastRenderedPageBreak/>
              <w:t>Probíhala by i bez návrhu v závislosti na diskreci soudce v souvislosti se žalobou proti rozhodnutí vycházejícího z územního plánu v OZV.</w:t>
            </w:r>
          </w:p>
          <w:p w:rsidR="00D67A38" w:rsidRPr="000E635F" w:rsidRDefault="00D67A38" w:rsidP="00A52B35">
            <w:pPr>
              <w:pStyle w:val="Normln-tun"/>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22"/>
              </w:rPr>
            </w:pPr>
            <w:r w:rsidRPr="000E635F">
              <w:rPr>
                <w:rFonts w:cstheme="minorHAnsi"/>
                <w:sz w:val="22"/>
              </w:rPr>
              <w:lastRenderedPageBreak/>
              <w:t xml:space="preserve">Počet instancí: krajský soud a NSS [u ÚS možné postoupení k abstraktnímu přezkumu - § 64 odst. 2 písm. c) </w:t>
            </w:r>
            <w:proofErr w:type="spellStart"/>
            <w:r w:rsidRPr="000E635F">
              <w:rPr>
                <w:rFonts w:cstheme="minorHAnsi"/>
                <w:sz w:val="22"/>
              </w:rPr>
              <w:t>ZoÚS</w:t>
            </w:r>
            <w:proofErr w:type="spellEnd"/>
            <w:r w:rsidRPr="000E635F">
              <w:rPr>
                <w:rFonts w:cstheme="minorHAnsi"/>
                <w:sz w:val="22"/>
              </w:rPr>
              <w:t>].</w:t>
            </w:r>
          </w:p>
          <w:p w:rsidR="00D67A38" w:rsidRPr="000E635F" w:rsidRDefault="00D67A38" w:rsidP="00A52B35">
            <w:pPr>
              <w:pStyle w:val="Normln-tun"/>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22"/>
              </w:rPr>
            </w:pPr>
            <w:r w:rsidRPr="000E635F">
              <w:rPr>
                <w:rFonts w:cstheme="minorHAnsi"/>
                <w:sz w:val="22"/>
              </w:rPr>
              <w:t xml:space="preserve">Důsledky zjištění nezákonnosti: </w:t>
            </w:r>
            <w:proofErr w:type="spellStart"/>
            <w:r w:rsidRPr="000E635F">
              <w:rPr>
                <w:rFonts w:cstheme="minorHAnsi"/>
                <w:sz w:val="22"/>
              </w:rPr>
              <w:t>neaplikace</w:t>
            </w:r>
            <w:proofErr w:type="spellEnd"/>
            <w:r w:rsidRPr="000E635F">
              <w:rPr>
                <w:rFonts w:cstheme="minorHAnsi"/>
                <w:sz w:val="22"/>
              </w:rPr>
              <w:t xml:space="preserve"> nezákonné části OZV. S ohledem na to, že dotčené osoby budou mít omezenější možnost napadat územní plán, lze předpokládat větší počet žalob proti rozhodnutí vycházejícího z územního plánu v OZV.</w:t>
            </w:r>
          </w:p>
        </w:tc>
      </w:tr>
      <w:tr w:rsidR="00D67A38" w:rsidRPr="00630CFE" w:rsidTr="00A52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pct"/>
          </w:tcPr>
          <w:p w:rsidR="00D67A38" w:rsidRPr="000E635F" w:rsidRDefault="00D67A38" w:rsidP="00A52B35">
            <w:pPr>
              <w:pStyle w:val="Normln-tun"/>
              <w:widowControl w:val="0"/>
              <w:spacing w:after="0"/>
              <w:jc w:val="left"/>
              <w:rPr>
                <w:rFonts w:cstheme="minorHAnsi"/>
                <w:sz w:val="22"/>
              </w:rPr>
            </w:pPr>
            <w:r w:rsidRPr="000E635F">
              <w:rPr>
                <w:rFonts w:cstheme="minorHAnsi"/>
                <w:sz w:val="22"/>
              </w:rPr>
              <w:lastRenderedPageBreak/>
              <w:t>Incidenční přezkum</w:t>
            </w:r>
          </w:p>
        </w:tc>
        <w:tc>
          <w:tcPr>
            <w:tcW w:w="2047" w:type="pct"/>
          </w:tcPr>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 xml:space="preserve">Aktivní legitimace: kdokoliv, kdo může napadnout rozhodnutí vycházející z OOP; ve lhůtě 1 roku </w:t>
            </w:r>
          </w:p>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Počet instancí: krajský soud (následný přezkum jeho rozhodnutí u NSS a ÚS).</w:t>
            </w:r>
          </w:p>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 xml:space="preserve">Důsledky zjištění nezákonnosti: zrušení v rozsahu aktivní legitimace navrhovatele, v krajních případech zjištěné nezákonnosti i zpětně. </w:t>
            </w:r>
          </w:p>
        </w:tc>
        <w:tc>
          <w:tcPr>
            <w:tcW w:w="1989" w:type="pct"/>
          </w:tcPr>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 xml:space="preserve">Probíhal by jen v souvislosti s ústavní stížností u ÚS [§ 74 a § 64 odst. 2 písm. c) </w:t>
            </w:r>
            <w:proofErr w:type="spellStart"/>
            <w:r w:rsidRPr="000E635F">
              <w:rPr>
                <w:rFonts w:cstheme="minorHAnsi"/>
                <w:sz w:val="22"/>
              </w:rPr>
              <w:t>ZoÚS</w:t>
            </w:r>
            <w:proofErr w:type="spellEnd"/>
            <w:r w:rsidRPr="000E635F">
              <w:rPr>
                <w:rFonts w:cstheme="minorHAnsi"/>
                <w:sz w:val="22"/>
              </w:rPr>
              <w:t xml:space="preserve">]. </w:t>
            </w:r>
          </w:p>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Pokud by byl k abstraktnímu přezkumu aktivován NSS, lze zvážit i přenos incidenčního přezkumu do řízení o kasační stížnosti, kde by ho mohl navrhnout stěžovatel nebo tříčlenný senát.</w:t>
            </w:r>
          </w:p>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Důsledky zjištění nezákonnosti: stejné jako u abstraktního přezkumu výše s případným dopadem na zákonnost napadeného rozhodnutí.</w:t>
            </w:r>
          </w:p>
        </w:tc>
      </w:tr>
      <w:tr w:rsidR="00D67A38" w:rsidRPr="00630CFE" w:rsidTr="00A52B35">
        <w:tc>
          <w:tcPr>
            <w:cnfStyle w:val="001000000000" w:firstRow="0" w:lastRow="0" w:firstColumn="1" w:lastColumn="0" w:oddVBand="0" w:evenVBand="0" w:oddHBand="0" w:evenHBand="0" w:firstRowFirstColumn="0" w:firstRowLastColumn="0" w:lastRowFirstColumn="0" w:lastRowLastColumn="0"/>
            <w:tcW w:w="965" w:type="pct"/>
          </w:tcPr>
          <w:p w:rsidR="00D67A38" w:rsidRPr="000E635F" w:rsidRDefault="00D67A38" w:rsidP="00A52B35">
            <w:pPr>
              <w:pStyle w:val="Normln-tun"/>
              <w:widowControl w:val="0"/>
              <w:spacing w:after="0"/>
              <w:jc w:val="left"/>
              <w:rPr>
                <w:rFonts w:cstheme="minorHAnsi"/>
                <w:sz w:val="22"/>
              </w:rPr>
            </w:pPr>
            <w:r w:rsidRPr="000E635F">
              <w:rPr>
                <w:rFonts w:cstheme="minorHAnsi"/>
                <w:sz w:val="22"/>
              </w:rPr>
              <w:t>Vyloučení zpětných účinků zrušení územního plánu</w:t>
            </w:r>
          </w:p>
        </w:tc>
        <w:tc>
          <w:tcPr>
            <w:tcW w:w="2047" w:type="pct"/>
          </w:tcPr>
          <w:p w:rsidR="00D67A38" w:rsidRPr="000E635F" w:rsidRDefault="00D67A38" w:rsidP="00A52B35">
            <w:pPr>
              <w:pStyle w:val="Normln-tun"/>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22"/>
              </w:rPr>
            </w:pPr>
            <w:r w:rsidRPr="000E635F">
              <w:rPr>
                <w:rFonts w:cstheme="minorHAnsi"/>
                <w:sz w:val="22"/>
              </w:rPr>
              <w:t>Je legislativně přípustné, opět lze identifikovat rozpor s judikaturou NSS, tentokrát ovšem v mnohem menší míře než u časového omezení, NSS se neopřel o ústavní důvody a omezil možnost zpětného rušení na krajní případy (viz rozsudek Nejvyššího správního soudu ze dne 21. 6. 2017, č. j. 3 As 157/2016-63).</w:t>
            </w:r>
          </w:p>
        </w:tc>
        <w:tc>
          <w:tcPr>
            <w:tcW w:w="1989" w:type="pct"/>
          </w:tcPr>
          <w:p w:rsidR="00D67A38" w:rsidRPr="000E635F" w:rsidRDefault="00D67A38" w:rsidP="00A52B35">
            <w:pPr>
              <w:pStyle w:val="Normln-tun"/>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22"/>
              </w:rPr>
            </w:pPr>
            <w:r w:rsidRPr="000E635F">
              <w:rPr>
                <w:rFonts w:cstheme="minorHAnsi"/>
                <w:sz w:val="22"/>
              </w:rPr>
              <w:t>Nepředstavuje problém, protože obecné soudy by jen v konkrétních věcech územní plán neaplikovaly a případné zrušení v abstraktním (či incidenčním přezkumu) by nemělo zpětné účinky na vydaná rozhodnutí a právní vztahy.</w:t>
            </w:r>
          </w:p>
        </w:tc>
      </w:tr>
      <w:tr w:rsidR="00D67A38" w:rsidRPr="00630CFE" w:rsidTr="00A52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pct"/>
          </w:tcPr>
          <w:p w:rsidR="00D67A38" w:rsidRPr="000E635F" w:rsidRDefault="00D67A38" w:rsidP="00A52B35">
            <w:pPr>
              <w:pStyle w:val="Normln-tun"/>
              <w:widowControl w:val="0"/>
              <w:spacing w:after="0"/>
              <w:jc w:val="left"/>
              <w:rPr>
                <w:rFonts w:cstheme="minorHAnsi"/>
                <w:sz w:val="22"/>
              </w:rPr>
            </w:pPr>
            <w:r w:rsidRPr="000E635F">
              <w:rPr>
                <w:rFonts w:cstheme="minorHAnsi"/>
                <w:sz w:val="22"/>
              </w:rPr>
              <w:t xml:space="preserve">Vypořádání připomínek veřejnosti </w:t>
            </w:r>
          </w:p>
        </w:tc>
        <w:tc>
          <w:tcPr>
            <w:tcW w:w="2047" w:type="pct"/>
          </w:tcPr>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 xml:space="preserve">Poměrně náročný proces, obzvláště v případě velkého počtu připomínek, na jejichž vypořádání klade judikatura správních soudů vysoké požadavky s hrozbou zrušení územního plánu v rozsahu aktivní legitimace navrhovatele v případě jejich nesplnění. </w:t>
            </w:r>
          </w:p>
        </w:tc>
        <w:tc>
          <w:tcPr>
            <w:tcW w:w="1989" w:type="pct"/>
          </w:tcPr>
          <w:p w:rsidR="00D67A38" w:rsidRPr="000E635F" w:rsidRDefault="00D67A38" w:rsidP="00A52B35">
            <w:pPr>
              <w:pStyle w:val="Normln-tun"/>
              <w:widowControl w:val="0"/>
              <w:spacing w:after="0"/>
              <w:cnfStyle w:val="000000100000" w:firstRow="0" w:lastRow="0" w:firstColumn="0" w:lastColumn="0" w:oddVBand="0" w:evenVBand="0" w:oddHBand="1" w:evenHBand="0" w:firstRowFirstColumn="0" w:firstRowLastColumn="0" w:lastRowFirstColumn="0" w:lastRowLastColumn="0"/>
              <w:rPr>
                <w:rFonts w:cstheme="minorHAnsi"/>
                <w:sz w:val="22"/>
              </w:rPr>
            </w:pPr>
            <w:r w:rsidRPr="000E635F">
              <w:rPr>
                <w:rFonts w:cstheme="minorHAnsi"/>
                <w:sz w:val="22"/>
              </w:rPr>
              <w:t>Politické rozhodnutí, které se činí při přijímání každého právního předpisu. Účast veřejnosti na přijímání OZV by byla s ohledem na zakotvení nové úpravy procesu jejich přijímání přesto rozšířena. Nová úprava by také musela nastavit proces projednání připomínek či námitek vlastníků nemovitostí.</w:t>
            </w:r>
          </w:p>
        </w:tc>
      </w:tr>
      <w:tr w:rsidR="00D67A38" w:rsidRPr="00630CFE" w:rsidTr="00A52B35">
        <w:tc>
          <w:tcPr>
            <w:cnfStyle w:val="001000000000" w:firstRow="0" w:lastRow="0" w:firstColumn="1" w:lastColumn="0" w:oddVBand="0" w:evenVBand="0" w:oddHBand="0" w:evenHBand="0" w:firstRowFirstColumn="0" w:firstRowLastColumn="0" w:lastRowFirstColumn="0" w:lastRowLastColumn="0"/>
            <w:tcW w:w="965" w:type="pct"/>
          </w:tcPr>
          <w:p w:rsidR="00D67A38" w:rsidRPr="000E635F" w:rsidRDefault="00D67A38" w:rsidP="00A52B35">
            <w:pPr>
              <w:pStyle w:val="Normln-tun"/>
              <w:widowControl w:val="0"/>
              <w:spacing w:after="0"/>
              <w:jc w:val="left"/>
              <w:rPr>
                <w:rFonts w:cstheme="minorHAnsi"/>
                <w:sz w:val="22"/>
              </w:rPr>
            </w:pPr>
            <w:r w:rsidRPr="000E635F">
              <w:rPr>
                <w:rFonts w:cstheme="minorHAnsi"/>
                <w:sz w:val="22"/>
              </w:rPr>
              <w:t>Ochrana vlastníků</w:t>
            </w:r>
          </w:p>
        </w:tc>
        <w:tc>
          <w:tcPr>
            <w:tcW w:w="2047" w:type="pct"/>
          </w:tcPr>
          <w:p w:rsidR="00D67A38" w:rsidRPr="000E635F" w:rsidRDefault="00D67A38" w:rsidP="00A52B35">
            <w:pPr>
              <w:pStyle w:val="Normln-tun"/>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22"/>
              </w:rPr>
            </w:pPr>
            <w:r w:rsidRPr="000E635F">
              <w:rPr>
                <w:rFonts w:cstheme="minorHAnsi"/>
                <w:sz w:val="22"/>
              </w:rPr>
              <w:t>Vlastníci mají potřebný procesní prostor k ochraně svých práv při přijímání OOP i v následném soudním přezkumu, poskytnutí ochrany jejich právům může vést ke zrušení územního plánu v rozsahu aktivní legitimace navrhovatele.</w:t>
            </w:r>
          </w:p>
        </w:tc>
        <w:tc>
          <w:tcPr>
            <w:tcW w:w="1989" w:type="pct"/>
          </w:tcPr>
          <w:p w:rsidR="00D67A38" w:rsidRPr="000E635F" w:rsidRDefault="00D67A38" w:rsidP="00A52B35">
            <w:pPr>
              <w:pStyle w:val="Normln-tun"/>
              <w:widowControl w:val="0"/>
              <w:spacing w:after="0"/>
              <w:cnfStyle w:val="000000000000" w:firstRow="0" w:lastRow="0" w:firstColumn="0" w:lastColumn="0" w:oddVBand="0" w:evenVBand="0" w:oddHBand="0" w:evenHBand="0" w:firstRowFirstColumn="0" w:firstRowLastColumn="0" w:lastRowFirstColumn="0" w:lastRowLastColumn="0"/>
              <w:rPr>
                <w:rFonts w:cstheme="minorHAnsi"/>
                <w:sz w:val="22"/>
              </w:rPr>
            </w:pPr>
            <w:r w:rsidRPr="000E635F">
              <w:rPr>
                <w:rFonts w:cstheme="minorHAnsi"/>
                <w:sz w:val="22"/>
              </w:rPr>
              <w:t>Právní předpis podle ÚS sám o sobě neznamená zásah do základních práv, případně lze zakotvit účinnou procesní ochranu při přijímání OZV v kombinaci s fungujícím systémem náhrad za změny v území (po vzoru okolních zemí, kde je tento způsob kompenzace běžný).</w:t>
            </w:r>
          </w:p>
        </w:tc>
      </w:tr>
    </w:tbl>
    <w:p w:rsidR="00D67A38" w:rsidRDefault="00D67A38" w:rsidP="00D67A38">
      <w:pPr>
        <w:pStyle w:val="Normln-tun"/>
        <w:widowControl w:val="0"/>
      </w:pPr>
      <w:r>
        <w:t>Rozdíl mezi OOP a OZV lze shrnout následovně</w:t>
      </w:r>
      <w:r w:rsidRPr="001E6FB6">
        <w:t xml:space="preserve">. </w:t>
      </w:r>
      <w:r>
        <w:t xml:space="preserve">OOP je již zavedený institut územního plánování, k jehož procesu vydávání a přezkumu existuje poměrně bohatá judikatura NSS a ÚS. </w:t>
      </w:r>
      <w:r>
        <w:lastRenderedPageBreak/>
        <w:t xml:space="preserve">Institut OOP a jeho přezkum v současné podobě obsahuje řadu nedostatků, které bude nutné v rámci rekodifikace odstranit. Jedná se </w:t>
      </w:r>
      <w:r w:rsidR="00686D84">
        <w:t>například</w:t>
      </w:r>
      <w:r>
        <w:t xml:space="preserve"> o možnost zpětného rušení OOP v krajních případech nebo značné nároky na vypořádání připomínek a námitek při projednávání </w:t>
      </w:r>
      <w:r w:rsidR="00BD106E">
        <w:t>ÚPD</w:t>
      </w:r>
      <w:r>
        <w:t xml:space="preserve">. Větší jistotu v území může zajistit i úprava </w:t>
      </w:r>
      <w:r w:rsidR="00BD106E">
        <w:t>soudního řádu správního</w:t>
      </w:r>
      <w:r>
        <w:t xml:space="preserve"> v důsledcích zrušení OOP nebo jeho části do již vydaných rozhodnutí, která byla vydána na základě zrušeného OOP, a to po vzoru důsledků zrušení právního předpisu.</w:t>
      </w:r>
    </w:p>
    <w:p w:rsidR="00D67A38" w:rsidRDefault="00D67A38" w:rsidP="003E4A5D">
      <w:pPr>
        <w:pStyle w:val="Normln-tun"/>
        <w:widowControl w:val="0"/>
      </w:pPr>
      <w:r>
        <w:t xml:space="preserve">Odhlédneme-li od dnes již historické úpravy přijímání ÚPD ve formě OZV, bude změna formy ÚPD na OZV představovat zcela nový institut v rámci územního plánování. Proces přijímání ÚPD ve formě OZV bude muset být nastaven nově s přihlédnutím k zájmům vlastníků a dotčené veřejnosti na podobě ÚPD a k možnostem jejich vyjádření se v rámci procesu přijímání ÚPD. OZV bude znamenat značné zjednodušení soudního přezkumu ÚPD a jeho koncentraci na úroveň NSS </w:t>
      </w:r>
      <w:r w:rsidRPr="00BD106E">
        <w:t>nebo ÚS. Zde je nutné připomenout, že původně byl k přezkumu OOP příslušný NSS, od roku 2012 je přezkum OOP svěřen krajským soudům. Zavedení této formy tak bude vyžadovat přenastavení procesu přijímání</w:t>
      </w:r>
      <w:r>
        <w:t xml:space="preserve"> ÚPD a bude znamenat i nároky pro soudní instance, které budou muset v průběhu doby vytvořit zcela novou ustálenou judikaturu, zároveň však představuje možnost zcela nového nastavení procesu přijímání ÚPD.</w:t>
      </w:r>
    </w:p>
    <w:p w:rsidR="00EA6D22" w:rsidRPr="004507C4" w:rsidRDefault="00EA6D22" w:rsidP="003E4A5D">
      <w:pPr>
        <w:pStyle w:val="Normln-tun"/>
        <w:widowControl w:val="0"/>
        <w:rPr>
          <w:u w:val="single"/>
        </w:rPr>
      </w:pPr>
      <w:r w:rsidRPr="004507C4">
        <w:rPr>
          <w:u w:val="single"/>
        </w:rPr>
        <w:t>Varianta 2</w:t>
      </w:r>
    </w:p>
    <w:p w:rsidR="00EA6D22" w:rsidRDefault="00EA6D22" w:rsidP="003E4A5D">
      <w:pPr>
        <w:widowControl w:val="0"/>
      </w:pPr>
      <w:r w:rsidRPr="006B6106">
        <w:t xml:space="preserve">Přímé náklady spojené se zřízením národního </w:t>
      </w:r>
      <w:proofErr w:type="spellStart"/>
      <w:r w:rsidRPr="006B6106">
        <w:t>geoportálu</w:t>
      </w:r>
      <w:proofErr w:type="spellEnd"/>
      <w:r w:rsidRPr="006B6106">
        <w:t xml:space="preserve"> územního plánování budou činit cca 20 mil. Kč. Náklady na provoz </w:t>
      </w:r>
      <w:proofErr w:type="spellStart"/>
      <w:r w:rsidRPr="006B6106">
        <w:t>geoportálu</w:t>
      </w:r>
      <w:proofErr w:type="spellEnd"/>
      <w:r w:rsidRPr="006B6106">
        <w:t xml:space="preserve"> včetně údržby se odhadují na cca 3,5 mil. Kč/rok. Předpokládá se, že tyto náklady budou hrazeny ze státního rozpočtu. </w:t>
      </w:r>
    </w:p>
    <w:p w:rsidR="004507C4" w:rsidRPr="006B6106" w:rsidRDefault="004507C4" w:rsidP="003E4A5D">
      <w:pPr>
        <w:widowControl w:val="0"/>
      </w:pPr>
      <w:r>
        <w:t>Přínosy spočívají opět v kvalitnějším a efektivnějším procesu územního plánování a jeho pozitivních dopadech na rozvoj území.</w:t>
      </w:r>
    </w:p>
    <w:p w:rsidR="006E3132" w:rsidRPr="004507C4" w:rsidRDefault="006E3132" w:rsidP="003E4A5D">
      <w:pPr>
        <w:pStyle w:val="Normln-tun"/>
        <w:widowControl w:val="0"/>
        <w:rPr>
          <w:u w:val="single"/>
        </w:rPr>
      </w:pPr>
      <w:r w:rsidRPr="004507C4">
        <w:rPr>
          <w:u w:val="single"/>
        </w:rPr>
        <w:t>Varianta 3</w:t>
      </w:r>
    </w:p>
    <w:bookmarkEnd w:id="66"/>
    <w:p w:rsidR="006E3132" w:rsidRDefault="006E3132" w:rsidP="003E4A5D">
      <w:pPr>
        <w:pStyle w:val="Text-Normaln"/>
        <w:widowControl w:val="0"/>
      </w:pPr>
      <w:r>
        <w:t>V současnosti v </w:t>
      </w:r>
      <w:r w:rsidR="00C85BD6" w:rsidRPr="00C85BD6">
        <w:t>ČR</w:t>
      </w:r>
      <w:r>
        <w:t xml:space="preserve"> neexistuje informační systém obsahující informace ve smyslu registru fyzické infrastruktury. </w:t>
      </w:r>
    </w:p>
    <w:p w:rsidR="006E3132" w:rsidRDefault="006E3132" w:rsidP="003E4A5D">
      <w:pPr>
        <w:pStyle w:val="Text-Normaln"/>
        <w:widowControl w:val="0"/>
      </w:pPr>
      <w:r>
        <w:t xml:space="preserve">Na první pohled je zřejmé, že případná existence by byla jistě užitečná a do budoucna by se mohlo jednat o jeden ze strategických registrů </w:t>
      </w:r>
      <w:r w:rsidR="00C85BD6" w:rsidRPr="00C85BD6">
        <w:t>ČR</w:t>
      </w:r>
      <w:r>
        <w:t xml:space="preserve">. Problematická může být výše případně vynaložených nákladů, neboť ze zahraniční zkušenosti vyplývá, že náklady na pořízení takového registru představují stovky milionů Kč. V našich podmínkách je tu otázka využitelnosti a úplnosti. </w:t>
      </w:r>
      <w:r w:rsidR="001F5FD6">
        <w:t>V</w:t>
      </w:r>
      <w:r>
        <w:t xml:space="preserve"> případě </w:t>
      </w:r>
      <w:r w:rsidR="00C85BD6" w:rsidRPr="00C85BD6">
        <w:t>ČR</w:t>
      </w:r>
      <w:r>
        <w:t xml:space="preserve"> nejsou některé informace o existující fyzické infrastruktuře dostupné pro všechny typy sítí. Jedná se zejména o umístění </w:t>
      </w:r>
      <w:r w:rsidR="00B2597D">
        <w:t>a trasování prvků sítě a také o </w:t>
      </w:r>
      <w:r>
        <w:t>informace o jejich současném využití. Potřeba zmapovat a zaměřit sítě, u nichž k tomu doposud nedošlo (jedná se především o starší infrastrukturu), může přinést další náklady a celý systém ještě více prodražit.</w:t>
      </w:r>
      <w:r w:rsidR="001F5FD6" w:rsidRPr="001F5FD6">
        <w:t xml:space="preserve"> </w:t>
      </w:r>
      <w:r w:rsidR="001F5FD6">
        <w:t>Z důvodu vysoké nákladnosti tohoto systému je třeba, aby byl takový systém budován v souladu s dalšími připravovanými národními strategiemi typu Geoinformační strategie a další</w:t>
      </w:r>
      <w:r w:rsidR="002A7EFD">
        <w:t>mi</w:t>
      </w:r>
      <w:r w:rsidR="001F5FD6">
        <w:t>. V tomto ohledu může být problémem současná rozpracovanost této koncepce. Finální verze tohoto dokumentu není k dispozici a je tak obtížné nyní nastavit systém tak, aby byl v budoucnu s výše uvedenou strategií konzistentní.</w:t>
      </w:r>
      <w:r w:rsidR="001F5FD6" w:rsidRPr="001F5FD6">
        <w:t xml:space="preserve"> </w:t>
      </w:r>
      <w:r w:rsidR="001F5FD6">
        <w:t>Kvantifikaci nákladů na informační systém se detailně věnuje studie proveditelnosti, kterou si v roce 2015 nechal zpracovat ČTÚ</w:t>
      </w:r>
      <w:r w:rsidR="001F5FD6">
        <w:rPr>
          <w:rStyle w:val="Znakapoznpodarou"/>
        </w:rPr>
        <w:footnoteReference w:id="13"/>
      </w:r>
      <w:r w:rsidR="001F5FD6">
        <w:t xml:space="preserve">. Po potřeby vyhodnocení vycházíme z odhadu nákladů provedených v daném materiálu. Investiční náklady jsou odhadnuty na 124,2 mil. Kč, při čemž zahrnují pořízení hardwaru a komunikační infrastruktury, základního softwaru, APV systému Registru fyzické infrastruktury a konsolidovaných dat o fyzické infrastruktuře. Náklady na provoz byly ve studii proveditelnosti odhadnuty na 26,33 mil. Kč ročně. Uvedené náklady zahrnují nejen podporu provozu, ale i personální náklady na tým provozovatele. Skutečné náklady se mohou lehce lišit v závislosti na zvolené podobě </w:t>
      </w:r>
      <w:r w:rsidR="001F5FD6">
        <w:lastRenderedPageBreak/>
        <w:t>informačního systému a na jeho obsahu.</w:t>
      </w:r>
    </w:p>
    <w:p w:rsidR="00397F9B" w:rsidRDefault="006E3132" w:rsidP="003E4A5D">
      <w:pPr>
        <w:pStyle w:val="Text-Normaln"/>
        <w:widowControl w:val="0"/>
      </w:pPr>
      <w:r>
        <w:t>Jednoznačnou výhodou je obsah téměř kompletních dat o fyzické infrastruktuře</w:t>
      </w:r>
      <w:r w:rsidR="001F5FD6">
        <w:t>.</w:t>
      </w:r>
      <w:r w:rsidR="00CC2271">
        <w:t xml:space="preserve"> Při jeho budování je </w:t>
      </w:r>
      <w:r w:rsidR="00CC2271" w:rsidRPr="00CC2271">
        <w:t xml:space="preserve">však třeba počítat s přechodným obdobím. </w:t>
      </w:r>
      <w:r w:rsidR="00397F9B" w:rsidRPr="00CC2271">
        <w:t xml:space="preserve">Na základě </w:t>
      </w:r>
      <w:r w:rsidR="00CC2271" w:rsidRPr="00CC2271">
        <w:t xml:space="preserve">§ 27 a § 161 </w:t>
      </w:r>
      <w:r w:rsidR="006830C3">
        <w:t xml:space="preserve">stávajícího </w:t>
      </w:r>
      <w:r w:rsidR="00CC2271" w:rsidRPr="00CC2271">
        <w:t xml:space="preserve">stavebního zákona </w:t>
      </w:r>
      <w:r w:rsidR="00397F9B" w:rsidRPr="00CC2271">
        <w:t xml:space="preserve">jsou v ČR </w:t>
      </w:r>
      <w:r w:rsidR="00CC2271">
        <w:t xml:space="preserve">(2016) </w:t>
      </w:r>
      <w:r w:rsidR="00397F9B" w:rsidRPr="00CC2271">
        <w:t>dostupná následující data o technické infrastruktuře</w:t>
      </w:r>
      <w:r w:rsidR="00CC2271" w:rsidRPr="00CC2271">
        <w:t xml:space="preserve"> z i</w:t>
      </w:r>
      <w:r w:rsidR="00397F9B" w:rsidRPr="00CC2271">
        <w:t>nformační</w:t>
      </w:r>
      <w:r w:rsidR="00CC2271" w:rsidRPr="00CC2271">
        <w:t>ch</w:t>
      </w:r>
      <w:r w:rsidR="00397F9B" w:rsidRPr="00CC2271">
        <w:t xml:space="preserve"> systém</w:t>
      </w:r>
      <w:r w:rsidR="00CC2271" w:rsidRPr="00CC2271">
        <w:t>ů</w:t>
      </w:r>
      <w:r w:rsidR="00397F9B" w:rsidRPr="00CC2271">
        <w:t xml:space="preserve"> provozovatelů sítí infrastruktury</w:t>
      </w:r>
      <w:r w:rsidR="00CC2271">
        <w:t>:</w:t>
      </w:r>
    </w:p>
    <w:p w:rsidR="00397F9B" w:rsidRDefault="00397F9B" w:rsidP="003E4A5D">
      <w:pPr>
        <w:widowControl w:val="0"/>
        <w:rPr>
          <w:i/>
        </w:rPr>
      </w:pPr>
      <w:r>
        <w:rPr>
          <w:i/>
        </w:rPr>
        <w:t>Oblast přepravy a distribuce plynu</w:t>
      </w:r>
    </w:p>
    <w:p w:rsidR="00397F9B" w:rsidRDefault="00397F9B" w:rsidP="003E4A5D">
      <w:pPr>
        <w:widowControl w:val="0"/>
      </w:pPr>
      <w:r>
        <w:t xml:space="preserve">V GIS jsou uložena data o </w:t>
      </w:r>
      <w:r w:rsidR="006830C3">
        <w:t>c</w:t>
      </w:r>
      <w:r>
        <w:t xml:space="preserve">ca 100 % provozovaných distribučních plynárenských zařízeních. Jedná se o polohopisné informace a základní technické a organizační informace. U plynárenských zařízení vyřazených z provozu je u distribučních společností situace mírně rozdílná, ale v souhrnu jsou v GIS data o cca 50 % plynovodech. Tyto informace však nemají vysokou kvalitu. Provozovatel přepravní soustavy má v GIS uložena geoprostorová a technická (atributová) data k plynárenskému zařízení z 99 %. </w:t>
      </w:r>
    </w:p>
    <w:p w:rsidR="00397F9B" w:rsidRDefault="00397F9B" w:rsidP="003E4A5D">
      <w:pPr>
        <w:widowControl w:val="0"/>
      </w:pPr>
      <w:r>
        <w:t>Co se tý</w:t>
      </w:r>
      <w:r w:rsidR="002A7EFD">
        <w:t>ká</w:t>
      </w:r>
      <w:r>
        <w:t xml:space="preserve"> přesného zaměření, existuje riziko u historicky přebíraných plynárenských zařízení (zejména před rokem 1995), kdy cca 50 % sítě bylo digitalizováno dodatečným vytýčením a zaměřením trasy či překreslením výkresové dokumentace do účelových map povrchové situace. Většinově se známá místa s polohovými odchylkami cíleně prověřovala a opravovala. Odhad míst s podezřením na polohové odchylky činí méně než 1%, nicméně ročně se zjišťuje několik desítek až stovek nových podezřelých míst. U přenosové plynárenské soustavy se riziko nepřesného zaměření může týkat zařízení, která byla zaměřena do roku 1996. U tranzitních plynovodů došlo k přeměření po vytýčení hledačem. Vnitrostátní plynovody se postupně doměřují. Zařízení postavená po roce 1996 představují 18 % sítě, z 82 % se jedná o plynovody postavené před rokem 1996 a tudíž nepřesně zaměřené.</w:t>
      </w:r>
    </w:p>
    <w:p w:rsidR="00397F9B" w:rsidRDefault="00397F9B" w:rsidP="003E4A5D">
      <w:pPr>
        <w:widowControl w:val="0"/>
        <w:rPr>
          <w:i/>
        </w:rPr>
      </w:pPr>
      <w:r>
        <w:rPr>
          <w:i/>
        </w:rPr>
        <w:t>Oblast distribuce elektrické energie</w:t>
      </w:r>
    </w:p>
    <w:p w:rsidR="00397F9B" w:rsidRDefault="00397F9B" w:rsidP="003E4A5D">
      <w:pPr>
        <w:widowControl w:val="0"/>
      </w:pPr>
      <w:r>
        <w:t>Veškerá technická dokumentace je evidována v elektronické podobě. Jde o údaje o technických a ekonomických parametrech, poloze a propojení zařízení distribuční sítě. V listinné podobě jsou archivovány projektové dokumentace a nabývací tituly k technické infrastruktuře. Přesná poloha ve smyslu přesného geodetického zaměření sítě ve třetí třídě přesnosti není známa u 62 % z celkového rozsahu distribuční sítí.</w:t>
      </w:r>
    </w:p>
    <w:p w:rsidR="00397F9B" w:rsidRDefault="00397F9B" w:rsidP="003E4A5D">
      <w:pPr>
        <w:widowControl w:val="0"/>
        <w:jc w:val="left"/>
        <w:rPr>
          <w:i/>
        </w:rPr>
      </w:pPr>
      <w:r>
        <w:rPr>
          <w:i/>
        </w:rPr>
        <w:t>Oblast telekomunikačních sítí</w:t>
      </w:r>
    </w:p>
    <w:p w:rsidR="00397F9B" w:rsidRDefault="00397F9B" w:rsidP="003E4A5D">
      <w:pPr>
        <w:widowControl w:val="0"/>
      </w:pPr>
      <w:r>
        <w:t xml:space="preserve">K </w:t>
      </w:r>
      <w:r w:rsidR="007857B6">
        <w:t>c</w:t>
      </w:r>
      <w:r>
        <w:t xml:space="preserve">ca 100 % sítě existuje dokumentace v elektronické podobě, stejně jako jsou veškeré návrhy projektů a aktualizace dat prováděny pouze v elektronické formě. Z podzemních sítí nemusí být zaměřeno cca 16 % sítě. </w:t>
      </w:r>
    </w:p>
    <w:p w:rsidR="007857B6" w:rsidRDefault="007857B6" w:rsidP="00215D45">
      <w:pPr>
        <w:widowControl w:val="0"/>
        <w:jc w:val="left"/>
        <w:rPr>
          <w:i/>
        </w:rPr>
      </w:pPr>
      <w:r w:rsidRPr="00215D45">
        <w:rPr>
          <w:i/>
        </w:rPr>
        <w:t xml:space="preserve">Oblast vodovodů a kanalizací (splašková, smíšená </w:t>
      </w:r>
      <w:r>
        <w:rPr>
          <w:i/>
        </w:rPr>
        <w:t>a</w:t>
      </w:r>
      <w:r w:rsidRPr="00215D45">
        <w:rPr>
          <w:i/>
        </w:rPr>
        <w:t xml:space="preserve"> dešťová)</w:t>
      </w:r>
    </w:p>
    <w:p w:rsidR="007857B6" w:rsidRPr="00CA6A16" w:rsidRDefault="007857B6" w:rsidP="00CA6A16">
      <w:pPr>
        <w:widowControl w:val="0"/>
      </w:pPr>
      <w:r w:rsidRPr="00215D45">
        <w:t xml:space="preserve">Oblast vodovodů a kanalizací </w:t>
      </w:r>
      <w:r w:rsidR="006D24A4" w:rsidRPr="00215D45">
        <w:t xml:space="preserve">ve vlastnictví obcí </w:t>
      </w:r>
      <w:r w:rsidRPr="00215D45">
        <w:t xml:space="preserve">je nejhůře zmapována. Zejména stavby vodovodů a kanalizací (splašková, smíšená a dešťová) realizované v „akci Z“ </w:t>
      </w:r>
      <w:r w:rsidR="006D24A4" w:rsidRPr="00215D45">
        <w:t>většinou postrádají</w:t>
      </w:r>
      <w:r w:rsidRPr="00215D45">
        <w:t xml:space="preserve"> </w:t>
      </w:r>
      <w:r w:rsidR="006D24A4" w:rsidRPr="00215D45">
        <w:t>dokumentaci skutečného provedení a kvalitní zaměření. Bližší údaje však nejsou k dispozici.</w:t>
      </w:r>
      <w:r w:rsidRPr="00215D45">
        <w:t xml:space="preserve"> </w:t>
      </w:r>
    </w:p>
    <w:p w:rsidR="00F8483B" w:rsidRPr="008712FB" w:rsidRDefault="004540F4" w:rsidP="008712FB">
      <w:pPr>
        <w:pStyle w:val="Nadpis2a"/>
        <w:widowControl w:val="0"/>
        <w:rPr>
          <w:vanish/>
        </w:rPr>
      </w:pPr>
      <w:bookmarkStart w:id="70" w:name="_Toc536431008"/>
      <w:bookmarkStart w:id="71" w:name="_Toc536553926"/>
      <w:bookmarkEnd w:id="70"/>
      <w:r w:rsidRPr="004540F4">
        <w:t>PROCESNÍ ZMĚNY</w:t>
      </w:r>
      <w:r w:rsidR="005B6EB1">
        <w:t xml:space="preserve"> </w:t>
      </w:r>
      <w:r w:rsidR="0008064D">
        <w:t xml:space="preserve">V POVOLOVACÍM PROCESU </w:t>
      </w:r>
      <w:r w:rsidR="005B6EB1">
        <w:t>– J</w:t>
      </w:r>
      <w:r w:rsidR="0008064D">
        <w:t xml:space="preserve">EDNO </w:t>
      </w:r>
      <w:proofErr w:type="spellStart"/>
      <w:r w:rsidR="0008064D">
        <w:t>ROZHODNUTÍ</w:t>
      </w:r>
      <w:bookmarkStart w:id="72" w:name="_Toc536431010"/>
      <w:bookmarkEnd w:id="71"/>
      <w:bookmarkEnd w:id="72"/>
    </w:p>
    <w:p w:rsidR="00B6056E" w:rsidRPr="00521833" w:rsidRDefault="00486BB0" w:rsidP="003E4A5D">
      <w:pPr>
        <w:pStyle w:val="Text-Normaln"/>
        <w:widowControl w:val="0"/>
      </w:pPr>
      <w:r w:rsidRPr="00F17D93">
        <w:rPr>
          <w:b/>
        </w:rPr>
        <w:t>Definice</w:t>
      </w:r>
      <w:proofErr w:type="spellEnd"/>
      <w:r w:rsidRPr="00F17D93">
        <w:rPr>
          <w:b/>
        </w:rPr>
        <w:t xml:space="preserve"> problému:</w:t>
      </w:r>
      <w:r w:rsidRPr="00521833">
        <w:t xml:space="preserve"> </w:t>
      </w:r>
      <w:r w:rsidR="00B6056E">
        <w:t>Zdlouhavý a komplikovaný povolovací proces</w:t>
      </w:r>
      <w:r w:rsidR="00A06010">
        <w:t xml:space="preserve"> (viz kapitola Popis současného stavu)</w:t>
      </w:r>
    </w:p>
    <w:p w:rsidR="00486BB0" w:rsidRDefault="00486BB0" w:rsidP="003E4A5D">
      <w:pPr>
        <w:pStyle w:val="Text-Normaln"/>
        <w:widowControl w:val="0"/>
        <w:rPr>
          <w:b/>
        </w:rPr>
      </w:pPr>
      <w:r w:rsidRPr="00ED4BCB">
        <w:rPr>
          <w:b/>
        </w:rPr>
        <w:t>Návrh variant řešení:</w:t>
      </w:r>
    </w:p>
    <w:p w:rsidR="00993B98" w:rsidRPr="00992A63" w:rsidRDefault="00993B98" w:rsidP="003E4A5D">
      <w:pPr>
        <w:pStyle w:val="Text-Normaln"/>
        <w:widowControl w:val="0"/>
        <w:rPr>
          <w:i/>
        </w:rPr>
      </w:pPr>
      <w:r w:rsidRPr="00813344">
        <w:rPr>
          <w:b/>
          <w:i/>
        </w:rPr>
        <w:t>Varianta 0:</w:t>
      </w:r>
      <w:r w:rsidRPr="00813344">
        <w:rPr>
          <w:i/>
        </w:rPr>
        <w:t xml:space="preserve"> </w:t>
      </w:r>
      <w:r w:rsidRPr="00992A63">
        <w:rPr>
          <w:i/>
        </w:rPr>
        <w:t>Zachování současného stavu</w:t>
      </w:r>
    </w:p>
    <w:p w:rsidR="00836BC2" w:rsidRPr="001F5FD6" w:rsidRDefault="00836BC2" w:rsidP="003E4A5D">
      <w:pPr>
        <w:widowControl w:val="0"/>
        <w:spacing w:line="24" w:lineRule="atLeast"/>
        <w:rPr>
          <w:i/>
          <w:color w:val="000000" w:themeColor="text1"/>
        </w:rPr>
      </w:pPr>
      <w:r w:rsidRPr="00993B98">
        <w:rPr>
          <w:b/>
          <w:i/>
          <w:color w:val="000000" w:themeColor="text1"/>
        </w:rPr>
        <w:t>Varianta 1</w:t>
      </w:r>
      <w:r w:rsidR="00993B98" w:rsidRPr="00993B98">
        <w:rPr>
          <w:b/>
          <w:i/>
          <w:color w:val="000000" w:themeColor="text1"/>
        </w:rPr>
        <w:t>:</w:t>
      </w:r>
      <w:r w:rsidRPr="001F5FD6">
        <w:rPr>
          <w:i/>
          <w:color w:val="000000" w:themeColor="text1"/>
        </w:rPr>
        <w:t xml:space="preserve"> </w:t>
      </w:r>
      <w:r w:rsidR="00993B98" w:rsidRPr="001F5FD6">
        <w:rPr>
          <w:i/>
        </w:rPr>
        <w:t>Integrace povolovacího řízení</w:t>
      </w:r>
    </w:p>
    <w:p w:rsidR="00836BC2" w:rsidRDefault="00934EE8" w:rsidP="003E4A5D">
      <w:pPr>
        <w:widowControl w:val="0"/>
        <w:spacing w:line="24" w:lineRule="atLeast"/>
      </w:pPr>
      <w:r>
        <w:t xml:space="preserve">Na základě žádosti </w:t>
      </w:r>
      <w:r w:rsidR="00855025">
        <w:t xml:space="preserve">žadatele </w:t>
      </w:r>
      <w:r>
        <w:t xml:space="preserve">o povolení stavby </w:t>
      </w:r>
      <w:r w:rsidR="00836BC2" w:rsidRPr="006501D8">
        <w:t xml:space="preserve">by </w:t>
      </w:r>
      <w:r w:rsidR="00836BC2">
        <w:t xml:space="preserve">bylo </w:t>
      </w:r>
      <w:r w:rsidR="00836BC2" w:rsidRPr="006501D8">
        <w:t>ved</w:t>
      </w:r>
      <w:r w:rsidR="00836BC2">
        <w:t>eno</w:t>
      </w:r>
      <w:r w:rsidR="00B2597D">
        <w:t xml:space="preserve"> pouze jedno správní řízení o </w:t>
      </w:r>
      <w:r w:rsidR="00836BC2" w:rsidRPr="00CE20B5">
        <w:t>povolení stavby</w:t>
      </w:r>
      <w:r w:rsidR="00836BC2" w:rsidRPr="006501D8">
        <w:t xml:space="preserve">, </w:t>
      </w:r>
      <w:r w:rsidRPr="00934EE8">
        <w:t xml:space="preserve">směřující k vydání jediného </w:t>
      </w:r>
      <w:r w:rsidRPr="00993B98">
        <w:t>rozhodnutí o povolení stavby,</w:t>
      </w:r>
      <w:r w:rsidRPr="00934EE8">
        <w:t xml:space="preserve"> </w:t>
      </w:r>
      <w:r w:rsidR="00836BC2" w:rsidRPr="006501D8">
        <w:t xml:space="preserve">které by jej pak přímo opravňovalo k uskutečnění záměru. </w:t>
      </w:r>
      <w:r>
        <w:t>Rozhodnutí o p</w:t>
      </w:r>
      <w:r w:rsidRPr="00CE20B5">
        <w:t xml:space="preserve">ovolení </w:t>
      </w:r>
      <w:r w:rsidR="00836BC2" w:rsidRPr="00CE20B5">
        <w:t>stavby</w:t>
      </w:r>
      <w:r w:rsidR="00836BC2" w:rsidRPr="006501D8">
        <w:t xml:space="preserve"> by z pohledu dnešní právní úpravy integrovalo </w:t>
      </w:r>
      <w:r>
        <w:t xml:space="preserve">zejména </w:t>
      </w:r>
      <w:r w:rsidR="00836BC2" w:rsidRPr="006501D8">
        <w:t>územní řízení a stavební řízení, případně proces EIA</w:t>
      </w:r>
      <w:r>
        <w:t xml:space="preserve">, IPPC </w:t>
      </w:r>
      <w:r w:rsidR="00FB6639" w:rsidRPr="000066CE">
        <w:lastRenderedPageBreak/>
        <w:t>i </w:t>
      </w:r>
      <w:r w:rsidRPr="000066CE">
        <w:t>vyvlastnění</w:t>
      </w:r>
      <w:r w:rsidR="00836BC2" w:rsidRPr="000066CE">
        <w:t xml:space="preserve">. </w:t>
      </w:r>
      <w:r w:rsidR="00836BC2" w:rsidRPr="000066CE">
        <w:rPr>
          <w:caps/>
        </w:rPr>
        <w:t>ř</w:t>
      </w:r>
      <w:r w:rsidR="00836BC2" w:rsidRPr="000066CE">
        <w:t>ízení o</w:t>
      </w:r>
      <w:r w:rsidR="00836BC2" w:rsidRPr="007D075A">
        <w:t xml:space="preserve"> povolení</w:t>
      </w:r>
      <w:r w:rsidR="00836BC2">
        <w:t xml:space="preserve"> stavby </w:t>
      </w:r>
      <w:r w:rsidR="00836BC2" w:rsidRPr="006501D8">
        <w:t xml:space="preserve">by bylo zahájeno na žádost žadatele, ke které by žadatel přiložil dokumentaci v rozsahu a obsahu dnešní dokumentace pro </w:t>
      </w:r>
      <w:r w:rsidR="009019DE">
        <w:t xml:space="preserve">vydání územního rozhodnutí </w:t>
      </w:r>
      <w:r w:rsidRPr="00C041E0">
        <w:rPr>
          <w:color w:val="000000"/>
          <w:szCs w:val="24"/>
        </w:rPr>
        <w:t xml:space="preserve">doplněné </w:t>
      </w:r>
      <w:r w:rsidR="006D24A4" w:rsidRPr="00C041E0">
        <w:rPr>
          <w:color w:val="000000"/>
          <w:szCs w:val="24"/>
        </w:rPr>
        <w:t>o</w:t>
      </w:r>
      <w:r w:rsidR="006D24A4">
        <w:rPr>
          <w:color w:val="000000"/>
          <w:szCs w:val="24"/>
        </w:rPr>
        <w:t> </w:t>
      </w:r>
      <w:r w:rsidRPr="00C041E0">
        <w:rPr>
          <w:color w:val="000000"/>
          <w:szCs w:val="24"/>
        </w:rPr>
        <w:t>některé další konkrétní požadavky</w:t>
      </w:r>
      <w:r w:rsidR="009019DE">
        <w:rPr>
          <w:color w:val="000000"/>
          <w:szCs w:val="24"/>
        </w:rPr>
        <w:t xml:space="preserve"> pro realizaci stavby</w:t>
      </w:r>
      <w:r w:rsidR="00836BC2" w:rsidRPr="006501D8">
        <w:t xml:space="preserve"> a další </w:t>
      </w:r>
      <w:r w:rsidR="001F5FD6">
        <w:t xml:space="preserve">případné </w:t>
      </w:r>
      <w:r w:rsidR="00836BC2" w:rsidRPr="006501D8">
        <w:t xml:space="preserve">podklady </w:t>
      </w:r>
      <w:r w:rsidR="00FB6639" w:rsidRPr="006501D8">
        <w:t>v</w:t>
      </w:r>
      <w:r w:rsidR="00FB6639">
        <w:t> </w:t>
      </w:r>
      <w:r w:rsidR="00836BC2" w:rsidRPr="006501D8">
        <w:t>rozsahu s</w:t>
      </w:r>
      <w:r w:rsidR="00B2597D">
        <w:t>tanoveném ve stavebním zákoně a </w:t>
      </w:r>
      <w:r w:rsidR="00836BC2" w:rsidRPr="006501D8">
        <w:t xml:space="preserve">dalších složkových zákonech. Po vyjádření všech </w:t>
      </w:r>
      <w:r w:rsidR="006D24A4">
        <w:t>DO</w:t>
      </w:r>
      <w:r w:rsidR="00836BC2" w:rsidRPr="006501D8">
        <w:t xml:space="preserve"> by stavební úřad </w:t>
      </w:r>
      <w:r w:rsidR="001F5FD6">
        <w:t>projednal</w:t>
      </w:r>
      <w:r w:rsidR="00836BC2" w:rsidRPr="006501D8">
        <w:t xml:space="preserve"> stanoviska, námitky a připomínky všech ostatních </w:t>
      </w:r>
      <w:r w:rsidR="006D24A4">
        <w:t>DO</w:t>
      </w:r>
      <w:r w:rsidR="00836BC2" w:rsidRPr="006501D8">
        <w:t xml:space="preserve"> </w:t>
      </w:r>
      <w:r w:rsidR="00FB6639" w:rsidRPr="006501D8">
        <w:t>a</w:t>
      </w:r>
      <w:r w:rsidR="00FB6639">
        <w:t> </w:t>
      </w:r>
      <w:r w:rsidR="00836BC2" w:rsidRPr="006501D8">
        <w:t xml:space="preserve">účastníků řízení. </w:t>
      </w:r>
      <w:r w:rsidR="00855025">
        <w:t>Žadatel by měl po získání pravomocného povolení stavby zákonem uloženou povinnost vyhotovit dokumentaci pro provádění stavby</w:t>
      </w:r>
      <w:r w:rsidR="00B47874" w:rsidRPr="00C041E0">
        <w:rPr>
          <w:color w:val="000000"/>
          <w:szCs w:val="24"/>
        </w:rPr>
        <w:t>, podle které se bude stavba provádět</w:t>
      </w:r>
      <w:r w:rsidR="00B47874">
        <w:t>.</w:t>
      </w:r>
    </w:p>
    <w:p w:rsidR="00A105D2" w:rsidRDefault="00F824CB" w:rsidP="003E4A5D">
      <w:pPr>
        <w:pStyle w:val="Text-Normaln"/>
        <w:widowControl w:val="0"/>
        <w:rPr>
          <w:b/>
        </w:rPr>
      </w:pPr>
      <w:r>
        <w:rPr>
          <w:b/>
        </w:rPr>
        <w:t>Identifikace</w:t>
      </w:r>
      <w:r w:rsidR="00A105D2" w:rsidRPr="00CF6F45">
        <w:rPr>
          <w:b/>
        </w:rPr>
        <w:t xml:space="preserve"> nákladů a přínosů:</w:t>
      </w:r>
    </w:p>
    <w:p w:rsidR="004A3A07" w:rsidRDefault="004A3A07" w:rsidP="003E4A5D">
      <w:pPr>
        <w:widowControl w:val="0"/>
      </w:pPr>
      <w:r>
        <w:t xml:space="preserve">Náklady budou u této varianty vznikat v případě, že bude jako podklad pro započetí řízení </w:t>
      </w:r>
      <w:r w:rsidR="006D24A4">
        <w:t xml:space="preserve">před stavebním úřadem </w:t>
      </w:r>
      <w:r>
        <w:t xml:space="preserve">požadována podrobnější projektová dokumentace, než je tomu v současné době. </w:t>
      </w:r>
      <w:r w:rsidRPr="00416CE5">
        <w:t xml:space="preserve">Tyto náklady můžeme </w:t>
      </w:r>
      <w:r>
        <w:t xml:space="preserve">případně </w:t>
      </w:r>
      <w:r w:rsidRPr="00416CE5">
        <w:t xml:space="preserve">odhadnout jako násobek podílu případů, kdy byla v minulosti zamítnuta žádost o územní rozhodnutí či projektová dokumentace musela být přepracována z jiných důvodů, </w:t>
      </w:r>
      <w:r>
        <w:t xml:space="preserve">1 - </w:t>
      </w:r>
      <w:r w:rsidRPr="00416CE5">
        <w:t>1,5</w:t>
      </w:r>
      <w:r>
        <w:t> </w:t>
      </w:r>
      <w:r w:rsidRPr="00416CE5">
        <w:t>% investičních nákladů projektu a koeficientu, který zohledňuje to, že změna projektové dokumentace je méně náročná než vypracování nové projektové dokumentace. Průměrnou velikost tohoto nákladu odhadujeme na 0,375 % investičních nákladů</w:t>
      </w:r>
      <w:r w:rsidR="00567EBF" w:rsidRPr="00567EBF">
        <w:t xml:space="preserve"> </w:t>
      </w:r>
      <w:r w:rsidR="005258F7">
        <w:t>(</w:t>
      </w:r>
      <w:r w:rsidR="005258F7" w:rsidRPr="005258F7">
        <w:t>za předpokladu, že přepracování dokumentace stojí ½ vypracování nové a že podíl případů, kdy byla v minulosti zamítnuta žádost o územní rozhodnutí či projektová dokumentace musela být přepracována z jiných důvodů, je 50 %)</w:t>
      </w:r>
    </w:p>
    <w:p w:rsidR="00F26F7B" w:rsidRDefault="00F26F7B" w:rsidP="003E4A5D">
      <w:pPr>
        <w:widowControl w:val="0"/>
      </w:pPr>
      <w:r w:rsidRPr="00F26F7B">
        <w:t xml:space="preserve">Pokud jde o vymezení typu staveb, obecných požadavků na výstavbu, obsah a rozsah </w:t>
      </w:r>
      <w:r w:rsidRPr="00212EE8">
        <w:t xml:space="preserve">dokumentace atd., tedy o stavební právo hmotné, zejména potom o hmotně právní stránku řízení, potom je nutné zkonstatovat, že záměrem RIA nebylo se touto otázkou detailněji zabývat. Důvodem je detailní rozpracování této otázky v rámci </w:t>
      </w:r>
      <w:r w:rsidR="008B0435">
        <w:t>věcného záměru</w:t>
      </w:r>
      <w:r w:rsidRPr="00F26F7B">
        <w:t>. RIA se tedy dále zabývá jednotným řízením (vč. postupů) pro všechny typy staveb podléhající úpravě nového stavebního zákona (s výjimkou staveb, které budou v novém stavebním zákoně výslovně vyloučeny z povolovacího režimu).</w:t>
      </w:r>
    </w:p>
    <w:p w:rsidR="00486BB0" w:rsidRPr="00567EBF" w:rsidRDefault="00567EBF" w:rsidP="00567EBF">
      <w:pPr>
        <w:widowControl w:val="0"/>
      </w:pPr>
      <w:r w:rsidRPr="00416CE5">
        <w:t xml:space="preserve">Hlavní přínosy varianty </w:t>
      </w:r>
      <w:r>
        <w:t xml:space="preserve">1 </w:t>
      </w:r>
      <w:r w:rsidRPr="00416CE5">
        <w:t xml:space="preserve">opět přímo souvisí se zrychlením povolovacího procesu. </w:t>
      </w:r>
      <w:r>
        <w:t>Protože hodnotu přínosů této věcné varianty nelze oddělit od ostatních opatření, vše je opět uvedeno v </w:t>
      </w:r>
      <w:r w:rsidRPr="00F26F7B">
        <w:t>závěrečné souhrnné tabulce.</w:t>
      </w:r>
    </w:p>
    <w:p w:rsidR="00D94012" w:rsidRDefault="00D94012" w:rsidP="00D94012">
      <w:pPr>
        <w:pStyle w:val="Nadpis2a"/>
        <w:widowControl w:val="0"/>
        <w:rPr>
          <w:caps/>
        </w:rPr>
      </w:pPr>
      <w:bookmarkStart w:id="73" w:name="_Toc535507170"/>
      <w:bookmarkStart w:id="74" w:name="_Toc536553927"/>
      <w:r w:rsidRPr="00BF74A9">
        <w:rPr>
          <w:caps/>
        </w:rPr>
        <w:t>Změny stavebního hmotného práva</w:t>
      </w:r>
      <w:bookmarkEnd w:id="73"/>
      <w:bookmarkEnd w:id="74"/>
    </w:p>
    <w:p w:rsidR="002D22B1" w:rsidRDefault="002D22B1" w:rsidP="002D22B1">
      <w:pPr>
        <w:pStyle w:val="Text-Normaln"/>
        <w:widowControl w:val="0"/>
        <w:rPr>
          <w:szCs w:val="24"/>
        </w:rPr>
      </w:pPr>
      <w:r>
        <w:rPr>
          <w:szCs w:val="24"/>
        </w:rPr>
        <w:t>Následující část je v </w:t>
      </w:r>
      <w:r w:rsidR="00254774">
        <w:rPr>
          <w:szCs w:val="24"/>
        </w:rPr>
        <w:t>RIA</w:t>
      </w:r>
      <w:r>
        <w:rPr>
          <w:szCs w:val="24"/>
        </w:rPr>
        <w:t xml:space="preserve"> obsažena z toho důvodu, že vedle otázek, jak se má povolovat a kdo má povolovat, je třeba řešit situaci i v oblasti celkového objemu agendy, tj. zodpovědět dotaz, c</w:t>
      </w:r>
      <w:r w:rsidRPr="0076240D">
        <w:rPr>
          <w:szCs w:val="24"/>
        </w:rPr>
        <w:t xml:space="preserve">o se bude povolovat, </w:t>
      </w:r>
      <w:r>
        <w:rPr>
          <w:szCs w:val="24"/>
        </w:rPr>
        <w:t>co má</w:t>
      </w:r>
      <w:r w:rsidRPr="0076240D">
        <w:rPr>
          <w:szCs w:val="24"/>
        </w:rPr>
        <w:t xml:space="preserve"> st</w:t>
      </w:r>
      <w:r>
        <w:rPr>
          <w:szCs w:val="24"/>
        </w:rPr>
        <w:t>á</w:t>
      </w:r>
      <w:r w:rsidRPr="0076240D">
        <w:rPr>
          <w:szCs w:val="24"/>
        </w:rPr>
        <w:t xml:space="preserve">t </w:t>
      </w:r>
      <w:r>
        <w:rPr>
          <w:szCs w:val="24"/>
        </w:rPr>
        <w:t>konkrétně</w:t>
      </w:r>
      <w:r w:rsidRPr="0076240D">
        <w:rPr>
          <w:szCs w:val="24"/>
        </w:rPr>
        <w:t xml:space="preserve"> regulovat, kde je ve</w:t>
      </w:r>
      <w:r>
        <w:rPr>
          <w:szCs w:val="24"/>
        </w:rPr>
        <w:t>ř</w:t>
      </w:r>
      <w:r w:rsidRPr="0076240D">
        <w:rPr>
          <w:szCs w:val="24"/>
        </w:rPr>
        <w:t>ejn</w:t>
      </w:r>
      <w:r>
        <w:rPr>
          <w:szCs w:val="24"/>
        </w:rPr>
        <w:t>ý</w:t>
      </w:r>
      <w:r w:rsidRPr="0076240D">
        <w:rPr>
          <w:szCs w:val="24"/>
        </w:rPr>
        <w:t xml:space="preserve"> z</w:t>
      </w:r>
      <w:r>
        <w:rPr>
          <w:szCs w:val="24"/>
        </w:rPr>
        <w:t>á</w:t>
      </w:r>
      <w:r w:rsidRPr="0076240D">
        <w:rPr>
          <w:szCs w:val="24"/>
        </w:rPr>
        <w:t xml:space="preserve">jem </w:t>
      </w:r>
      <w:r>
        <w:rPr>
          <w:szCs w:val="24"/>
        </w:rPr>
        <w:t xml:space="preserve">ospravedlňující ingerenci státu. </w:t>
      </w:r>
      <w:r w:rsidR="00D92CCA">
        <w:rPr>
          <w:szCs w:val="24"/>
        </w:rPr>
        <w:t>V opačném případě by nemuselo být dosaženo takových přínosů, které jsou od rekodifikace očekávány.</w:t>
      </w:r>
    </w:p>
    <w:p w:rsidR="00A25299" w:rsidRDefault="00A25299" w:rsidP="002D22B1">
      <w:pPr>
        <w:pStyle w:val="Text-Normaln"/>
        <w:widowControl w:val="0"/>
        <w:rPr>
          <w:szCs w:val="24"/>
        </w:rPr>
      </w:pPr>
      <w:r w:rsidRPr="00A25299">
        <w:rPr>
          <w:szCs w:val="24"/>
        </w:rPr>
        <w:t xml:space="preserve">V důsledku rekodifikace v oblasti stavebního hmotného práva </w:t>
      </w:r>
      <w:r>
        <w:rPr>
          <w:szCs w:val="24"/>
        </w:rPr>
        <w:t xml:space="preserve">by tak </w:t>
      </w:r>
      <w:r w:rsidRPr="00A25299">
        <w:rPr>
          <w:szCs w:val="24"/>
        </w:rPr>
        <w:t xml:space="preserve">kromě stávajícího stavebního zákona a jeho prováděcích právních předpisů </w:t>
      </w:r>
      <w:r>
        <w:rPr>
          <w:szCs w:val="24"/>
        </w:rPr>
        <w:t>a</w:t>
      </w:r>
      <w:r w:rsidRPr="00A25299">
        <w:rPr>
          <w:szCs w:val="24"/>
        </w:rPr>
        <w:t xml:space="preserve"> zvláštní</w:t>
      </w:r>
      <w:r>
        <w:rPr>
          <w:szCs w:val="24"/>
        </w:rPr>
        <w:t>ch</w:t>
      </w:r>
      <w:r w:rsidRPr="00A25299">
        <w:rPr>
          <w:szCs w:val="24"/>
        </w:rPr>
        <w:t xml:space="preserve"> právní</w:t>
      </w:r>
      <w:r>
        <w:rPr>
          <w:szCs w:val="24"/>
        </w:rPr>
        <w:t>ch</w:t>
      </w:r>
      <w:r w:rsidRPr="00A25299">
        <w:rPr>
          <w:szCs w:val="24"/>
        </w:rPr>
        <w:t xml:space="preserve"> (složkov</w:t>
      </w:r>
      <w:r>
        <w:rPr>
          <w:szCs w:val="24"/>
        </w:rPr>
        <w:t>ých</w:t>
      </w:r>
      <w:r w:rsidRPr="00A25299">
        <w:rPr>
          <w:szCs w:val="24"/>
        </w:rPr>
        <w:t>) předpis</w:t>
      </w:r>
      <w:r>
        <w:rPr>
          <w:szCs w:val="24"/>
        </w:rPr>
        <w:t>ů</w:t>
      </w:r>
      <w:r w:rsidRPr="00A25299">
        <w:rPr>
          <w:szCs w:val="24"/>
        </w:rPr>
        <w:t xml:space="preserve"> vzhledem ke stavebnímu zákonu (a jejich prováděcí</w:t>
      </w:r>
      <w:r>
        <w:rPr>
          <w:szCs w:val="24"/>
        </w:rPr>
        <w:t>ch</w:t>
      </w:r>
      <w:r w:rsidRPr="00A25299">
        <w:rPr>
          <w:szCs w:val="24"/>
        </w:rPr>
        <w:t xml:space="preserve"> právní</w:t>
      </w:r>
      <w:r>
        <w:rPr>
          <w:szCs w:val="24"/>
        </w:rPr>
        <w:t>ch</w:t>
      </w:r>
      <w:r w:rsidRPr="00A25299">
        <w:rPr>
          <w:szCs w:val="24"/>
        </w:rPr>
        <w:t xml:space="preserve"> předpis</w:t>
      </w:r>
      <w:r>
        <w:rPr>
          <w:szCs w:val="24"/>
        </w:rPr>
        <w:t>ů) měly být zrevidovány i</w:t>
      </w:r>
      <w:r w:rsidRPr="00A25299">
        <w:rPr>
          <w:szCs w:val="24"/>
        </w:rPr>
        <w:t xml:space="preserve"> další právní předpisy, které také mají vztah ke stavebnímu hmotnému právu.</w:t>
      </w:r>
    </w:p>
    <w:p w:rsidR="00A25299" w:rsidRPr="00A25299" w:rsidRDefault="00A25299" w:rsidP="008712FB">
      <w:pPr>
        <w:pStyle w:val="Text-Normaln"/>
        <w:widowControl w:val="0"/>
        <w:spacing w:before="60" w:after="60"/>
        <w:rPr>
          <w:szCs w:val="24"/>
        </w:rPr>
      </w:pPr>
      <w:r w:rsidRPr="00A25299">
        <w:rPr>
          <w:szCs w:val="24"/>
        </w:rPr>
        <w:t xml:space="preserve">Tento cílový stav je v souladu i s usnesením vlády </w:t>
      </w:r>
      <w:r w:rsidR="00C85BD6" w:rsidRPr="00C85BD6">
        <w:rPr>
          <w:szCs w:val="24"/>
        </w:rPr>
        <w:t>ČR</w:t>
      </w:r>
      <w:r w:rsidR="00C85BD6">
        <w:rPr>
          <w:szCs w:val="24"/>
        </w:rPr>
        <w:t xml:space="preserve"> </w:t>
      </w:r>
      <w:r w:rsidRPr="00A25299">
        <w:rPr>
          <w:szCs w:val="24"/>
        </w:rPr>
        <w:t xml:space="preserve">ze dne 21. září 2016 č. 828, kterým se mj. ukládá „ministryni pro místní rozvoj, ministrům </w:t>
      </w:r>
      <w:r w:rsidR="00BD2155">
        <w:rPr>
          <w:szCs w:val="24"/>
        </w:rPr>
        <w:t>životního prostředí, průmyslu a </w:t>
      </w:r>
      <w:r w:rsidRPr="00A25299">
        <w:rPr>
          <w:szCs w:val="24"/>
        </w:rPr>
        <w:t>obchodu, dopravy, zemědělství, zdravotnictví, kultury, obrany, vnitra a spravedlnosti zanalyzovat při přípravě právních předpisů, které se dotýkaj</w:t>
      </w:r>
      <w:r w:rsidR="00BD2155">
        <w:rPr>
          <w:szCs w:val="24"/>
        </w:rPr>
        <w:t>í územní přípravy, umisťování a </w:t>
      </w:r>
      <w:r w:rsidRPr="00A25299">
        <w:rPr>
          <w:szCs w:val="24"/>
        </w:rPr>
        <w:t>povolování staveb, možnosti zjednodušení a navrhovat konkré</w:t>
      </w:r>
      <w:r w:rsidR="00BD2155">
        <w:rPr>
          <w:szCs w:val="24"/>
        </w:rPr>
        <w:t>tní úpravy právních předpisů za </w:t>
      </w:r>
      <w:r w:rsidRPr="00A25299">
        <w:rPr>
          <w:szCs w:val="24"/>
        </w:rPr>
        <w:t>účelem dosažení</w:t>
      </w:r>
    </w:p>
    <w:p w:rsidR="00A25299" w:rsidRPr="00A25299" w:rsidRDefault="00A25299" w:rsidP="00C873B4">
      <w:pPr>
        <w:pStyle w:val="Text-Normaln"/>
        <w:widowControl w:val="0"/>
        <w:numPr>
          <w:ilvl w:val="0"/>
          <w:numId w:val="72"/>
        </w:numPr>
        <w:spacing w:before="60" w:after="60"/>
        <w:rPr>
          <w:szCs w:val="24"/>
        </w:rPr>
      </w:pPr>
      <w:r w:rsidRPr="00A25299">
        <w:rPr>
          <w:szCs w:val="24"/>
        </w:rPr>
        <w:t xml:space="preserve">jednotné formy úkonů všech </w:t>
      </w:r>
      <w:r w:rsidR="00D85CA7">
        <w:rPr>
          <w:szCs w:val="24"/>
        </w:rPr>
        <w:t>DO</w:t>
      </w:r>
      <w:r w:rsidRPr="00A25299">
        <w:rPr>
          <w:szCs w:val="24"/>
        </w:rPr>
        <w:t xml:space="preserve"> vstupujících do pořizování územně plánovacích dokumentací a povolovacího řízení, </w:t>
      </w:r>
    </w:p>
    <w:p w:rsidR="00A25299" w:rsidRPr="00A25299" w:rsidRDefault="00A25299" w:rsidP="00C873B4">
      <w:pPr>
        <w:pStyle w:val="Text-Normaln"/>
        <w:widowControl w:val="0"/>
        <w:numPr>
          <w:ilvl w:val="0"/>
          <w:numId w:val="72"/>
        </w:numPr>
        <w:spacing w:before="60" w:after="60"/>
        <w:rPr>
          <w:szCs w:val="24"/>
        </w:rPr>
      </w:pPr>
      <w:r w:rsidRPr="00A25299">
        <w:rPr>
          <w:szCs w:val="24"/>
        </w:rPr>
        <w:t xml:space="preserve">posílení vzájemné koordinace </w:t>
      </w:r>
      <w:r w:rsidR="00D85CA7">
        <w:rPr>
          <w:szCs w:val="24"/>
        </w:rPr>
        <w:t>DO</w:t>
      </w:r>
      <w:r w:rsidRPr="00A25299">
        <w:rPr>
          <w:szCs w:val="24"/>
        </w:rPr>
        <w:t xml:space="preserve"> v s</w:t>
      </w:r>
      <w:r w:rsidR="00BD2155">
        <w:rPr>
          <w:szCs w:val="24"/>
        </w:rPr>
        <w:t>ouvislosti s územní přípravou a </w:t>
      </w:r>
      <w:r w:rsidRPr="00A25299">
        <w:rPr>
          <w:szCs w:val="24"/>
        </w:rPr>
        <w:t xml:space="preserve">povolováním záměru, </w:t>
      </w:r>
    </w:p>
    <w:p w:rsidR="00A25299" w:rsidRPr="00A25299" w:rsidRDefault="00A25299" w:rsidP="00C873B4">
      <w:pPr>
        <w:pStyle w:val="Text-Normaln"/>
        <w:widowControl w:val="0"/>
        <w:numPr>
          <w:ilvl w:val="0"/>
          <w:numId w:val="72"/>
        </w:numPr>
        <w:spacing w:before="60" w:after="60"/>
        <w:rPr>
          <w:szCs w:val="24"/>
        </w:rPr>
      </w:pPr>
      <w:r w:rsidRPr="00A25299">
        <w:rPr>
          <w:szCs w:val="24"/>
        </w:rPr>
        <w:lastRenderedPageBreak/>
        <w:t xml:space="preserve">úprav souvisejících zákonů s maximální mírou integrace do pořizování </w:t>
      </w:r>
      <w:r w:rsidR="00D85CA7">
        <w:rPr>
          <w:szCs w:val="24"/>
        </w:rPr>
        <w:t>ÚPD</w:t>
      </w:r>
      <w:r w:rsidRPr="00A25299">
        <w:rPr>
          <w:szCs w:val="24"/>
        </w:rPr>
        <w:t xml:space="preserve"> </w:t>
      </w:r>
      <w:r w:rsidR="00D85CA7" w:rsidRPr="00A25299">
        <w:rPr>
          <w:szCs w:val="24"/>
        </w:rPr>
        <w:t>a</w:t>
      </w:r>
      <w:r w:rsidR="00D85CA7">
        <w:rPr>
          <w:szCs w:val="24"/>
        </w:rPr>
        <w:t> </w:t>
      </w:r>
      <w:r w:rsidRPr="00A25299">
        <w:rPr>
          <w:szCs w:val="24"/>
        </w:rPr>
        <w:t xml:space="preserve">povolovacího řízení prováděného podle stavebního zákona, </w:t>
      </w:r>
    </w:p>
    <w:p w:rsidR="00A25299" w:rsidRPr="00A25299" w:rsidRDefault="00A25299" w:rsidP="00C873B4">
      <w:pPr>
        <w:pStyle w:val="Text-Normaln"/>
        <w:widowControl w:val="0"/>
        <w:numPr>
          <w:ilvl w:val="0"/>
          <w:numId w:val="72"/>
        </w:numPr>
        <w:spacing w:before="60" w:after="60"/>
        <w:rPr>
          <w:szCs w:val="24"/>
        </w:rPr>
      </w:pPr>
      <w:r w:rsidRPr="00A25299">
        <w:rPr>
          <w:szCs w:val="24"/>
        </w:rPr>
        <w:t xml:space="preserve">redukce související administrativní zátěže“. </w:t>
      </w:r>
    </w:p>
    <w:p w:rsidR="00A25299" w:rsidRDefault="00A25299" w:rsidP="00A25299">
      <w:pPr>
        <w:pStyle w:val="Text-Normaln"/>
        <w:widowControl w:val="0"/>
        <w:rPr>
          <w:szCs w:val="24"/>
        </w:rPr>
      </w:pPr>
      <w:r w:rsidRPr="00A25299">
        <w:rPr>
          <w:szCs w:val="24"/>
        </w:rPr>
        <w:t xml:space="preserve">Cílem připomínkového řízení a dalších fází legislativního procesu </w:t>
      </w:r>
      <w:r>
        <w:rPr>
          <w:szCs w:val="24"/>
        </w:rPr>
        <w:t xml:space="preserve">by </w:t>
      </w:r>
      <w:r w:rsidR="00D85CA7">
        <w:rPr>
          <w:szCs w:val="24"/>
        </w:rPr>
        <w:t>p</w:t>
      </w:r>
      <w:r>
        <w:rPr>
          <w:szCs w:val="24"/>
        </w:rPr>
        <w:t>roto mělo být</w:t>
      </w:r>
      <w:r w:rsidRPr="00A25299">
        <w:rPr>
          <w:szCs w:val="24"/>
        </w:rPr>
        <w:t xml:space="preserve">, aby jednotlivá dotčená ministerstva v souladu s citovaným usnesením vlády </w:t>
      </w:r>
      <w:r w:rsidR="00C85BD6" w:rsidRPr="00C85BD6">
        <w:rPr>
          <w:szCs w:val="24"/>
        </w:rPr>
        <w:t>ČR</w:t>
      </w:r>
      <w:r w:rsidR="00C85BD6">
        <w:rPr>
          <w:szCs w:val="24"/>
        </w:rPr>
        <w:t xml:space="preserve"> </w:t>
      </w:r>
      <w:r w:rsidRPr="00A25299">
        <w:rPr>
          <w:szCs w:val="24"/>
        </w:rPr>
        <w:t xml:space="preserve">identifikovala relevantní dotčené právní předpisy s cílem dosažení maximální míry integrace procesů v rámci pořizování </w:t>
      </w:r>
      <w:r w:rsidR="00D85CA7">
        <w:rPr>
          <w:szCs w:val="24"/>
        </w:rPr>
        <w:t>ÚPD</w:t>
      </w:r>
      <w:r w:rsidRPr="00A25299">
        <w:rPr>
          <w:szCs w:val="24"/>
        </w:rPr>
        <w:t xml:space="preserve"> a povolovacích řízení. Spolu s tím </w:t>
      </w:r>
      <w:r>
        <w:rPr>
          <w:szCs w:val="24"/>
        </w:rPr>
        <w:t xml:space="preserve">by měly být </w:t>
      </w:r>
      <w:r w:rsidRPr="00A25299">
        <w:rPr>
          <w:szCs w:val="24"/>
        </w:rPr>
        <w:t xml:space="preserve">identifikovány i požadavky </w:t>
      </w:r>
      <w:r w:rsidR="00506431" w:rsidRPr="00A25299">
        <w:rPr>
          <w:szCs w:val="24"/>
        </w:rPr>
        <w:t>v</w:t>
      </w:r>
      <w:r w:rsidR="00506431">
        <w:rPr>
          <w:szCs w:val="24"/>
        </w:rPr>
        <w:t> </w:t>
      </w:r>
      <w:r w:rsidRPr="00A25299">
        <w:rPr>
          <w:szCs w:val="24"/>
        </w:rPr>
        <w:t>oblasti hmotného stavebního práva s cílem integrovat je do stavebního zákona, popř. prováděcího právního předpisu.</w:t>
      </w:r>
    </w:p>
    <w:p w:rsidR="00BF74A9" w:rsidRPr="00BF74A9" w:rsidRDefault="00BF74A9" w:rsidP="00BF74A9">
      <w:pPr>
        <w:pStyle w:val="Nadpis3a"/>
        <w:numPr>
          <w:ilvl w:val="0"/>
          <w:numId w:val="0"/>
        </w:numPr>
        <w:ind w:left="720" w:hanging="720"/>
      </w:pPr>
      <w:bookmarkStart w:id="75" w:name="_Toc536553928"/>
      <w:r>
        <w:t xml:space="preserve">D.1 </w:t>
      </w:r>
      <w:r w:rsidRPr="00BF74A9">
        <w:t>Požadavky na výstavbu, dokumentaci, základní pojmy, povinnosti a odpovědnost osob při přípravě, provádění a užívání staveb</w:t>
      </w:r>
      <w:bookmarkEnd w:id="75"/>
      <w:r w:rsidRPr="00BF74A9">
        <w:t xml:space="preserve"> </w:t>
      </w:r>
    </w:p>
    <w:p w:rsidR="00BF74A9" w:rsidRDefault="002D22B1" w:rsidP="00BF74A9">
      <w:pPr>
        <w:pStyle w:val="Nadpis3a"/>
        <w:numPr>
          <w:ilvl w:val="0"/>
          <w:numId w:val="0"/>
        </w:numPr>
        <w:tabs>
          <w:tab w:val="left" w:pos="708"/>
        </w:tabs>
        <w:rPr>
          <w:szCs w:val="24"/>
        </w:rPr>
      </w:pPr>
      <w:bookmarkStart w:id="76" w:name="_Toc536553929"/>
      <w:r>
        <w:rPr>
          <w:szCs w:val="24"/>
        </w:rPr>
        <w:t>D</w:t>
      </w:r>
      <w:r w:rsidR="00BF74A9">
        <w:rPr>
          <w:szCs w:val="24"/>
        </w:rPr>
        <w:t>.1.1. Popis současného stavu</w:t>
      </w:r>
      <w:bookmarkEnd w:id="76"/>
    </w:p>
    <w:p w:rsidR="0076240D" w:rsidRPr="0076240D" w:rsidRDefault="0076240D" w:rsidP="0076240D">
      <w:pPr>
        <w:pStyle w:val="Text-Normaln"/>
        <w:widowControl w:val="0"/>
        <w:rPr>
          <w:szCs w:val="24"/>
        </w:rPr>
      </w:pPr>
      <w:r w:rsidRPr="0076240D">
        <w:rPr>
          <w:szCs w:val="24"/>
        </w:rPr>
        <w:t>Pojem „obecné požadavky na výstavbu“ shrnuje oblasti podzákonné právní úpravy, v níž jsou stanoveny požadavky na výstavbu. Tento pojem zahrnuje:</w:t>
      </w:r>
    </w:p>
    <w:p w:rsidR="0076240D" w:rsidRPr="0076240D" w:rsidRDefault="0076240D" w:rsidP="00C873B4">
      <w:pPr>
        <w:pStyle w:val="Text-Normaln"/>
        <w:widowControl w:val="0"/>
        <w:numPr>
          <w:ilvl w:val="0"/>
          <w:numId w:val="71"/>
        </w:numPr>
        <w:ind w:left="284" w:hanging="284"/>
        <w:rPr>
          <w:szCs w:val="24"/>
        </w:rPr>
      </w:pPr>
      <w:r w:rsidRPr="0076240D">
        <w:rPr>
          <w:szCs w:val="24"/>
        </w:rPr>
        <w:t>obecné požadavky na využívání území (požadavky při vymezování ploch a pozemků, při stanovování podmínek jejich využití a umisťování staveb na nich, rozhodování o změně stavby a o změně vlivu stavby na využití území),</w:t>
      </w:r>
    </w:p>
    <w:p w:rsidR="0076240D" w:rsidRPr="0076240D" w:rsidRDefault="0076240D" w:rsidP="00C873B4">
      <w:pPr>
        <w:pStyle w:val="Text-Normaln"/>
        <w:widowControl w:val="0"/>
        <w:numPr>
          <w:ilvl w:val="0"/>
          <w:numId w:val="71"/>
        </w:numPr>
        <w:ind w:left="284" w:hanging="284"/>
        <w:rPr>
          <w:szCs w:val="24"/>
        </w:rPr>
      </w:pPr>
      <w:r w:rsidRPr="0076240D">
        <w:rPr>
          <w:szCs w:val="24"/>
        </w:rPr>
        <w:tab/>
        <w:t xml:space="preserve">technické požadavky na stavby (požadavky na mechanickou odolnost; požární bezpečnost; ochranu zdraví osob a zvířat, zdravých životních podmínek a životního prostředí; ochranu proti hluku; bezpečnost při užívání; úsporu energie a tepelnou ochranu), </w:t>
      </w:r>
    </w:p>
    <w:p w:rsidR="0076240D" w:rsidRDefault="0076240D" w:rsidP="00C873B4">
      <w:pPr>
        <w:pStyle w:val="Text-Normaln"/>
        <w:widowControl w:val="0"/>
        <w:numPr>
          <w:ilvl w:val="0"/>
          <w:numId w:val="71"/>
        </w:numPr>
        <w:ind w:left="284" w:hanging="284"/>
        <w:rPr>
          <w:szCs w:val="24"/>
        </w:rPr>
      </w:pPr>
      <w:r w:rsidRPr="0076240D">
        <w:rPr>
          <w:szCs w:val="24"/>
        </w:rPr>
        <w:t>obecné technické požadavky zabezpečující bezbariérové užíván</w:t>
      </w:r>
      <w:r w:rsidR="00BD2155">
        <w:rPr>
          <w:szCs w:val="24"/>
        </w:rPr>
        <w:t>í staveb (požadavky na stavby a </w:t>
      </w:r>
      <w:r w:rsidRPr="0076240D">
        <w:rPr>
          <w:szCs w:val="24"/>
        </w:rPr>
        <w:t>jejich části tak, aby bylo zabezpečeno jejich užívání osobami s pohybovým, zrakovým, sluchovým a mentálním postižením, osobami pokročilého věku, těhotnými ženami, osobami doprovázejícími dítě v kočárku nebo dítě do tří let).</w:t>
      </w:r>
      <w:r>
        <w:rPr>
          <w:szCs w:val="24"/>
        </w:rPr>
        <w:t xml:space="preserve"> </w:t>
      </w:r>
    </w:p>
    <w:p w:rsidR="0076240D" w:rsidRDefault="0076240D" w:rsidP="0076240D">
      <w:pPr>
        <w:pStyle w:val="Text-Normaln"/>
        <w:widowControl w:val="0"/>
        <w:rPr>
          <w:szCs w:val="24"/>
        </w:rPr>
      </w:pPr>
      <w:r w:rsidRPr="0076240D">
        <w:rPr>
          <w:szCs w:val="24"/>
        </w:rPr>
        <w:t>Povinnost dodržovat obecné požadavky na výstavbu je stanovena jednotlivým subjektům (právnické osoby, fyzické osoby a příslušné orgány veřejné</w:t>
      </w:r>
      <w:r w:rsidR="00BD2155">
        <w:rPr>
          <w:szCs w:val="24"/>
        </w:rPr>
        <w:t xml:space="preserve"> správy) při územně plánovací a </w:t>
      </w:r>
      <w:r w:rsidRPr="0076240D">
        <w:rPr>
          <w:szCs w:val="24"/>
        </w:rPr>
        <w:t>projektové činnosti, při povolování, provádění, užívání a odstraňování staveb stavebním zákonem.</w:t>
      </w:r>
      <w:r>
        <w:rPr>
          <w:szCs w:val="24"/>
        </w:rPr>
        <w:t xml:space="preserve"> (</w:t>
      </w:r>
      <w:r w:rsidRPr="0076240D">
        <w:rPr>
          <w:i/>
          <w:szCs w:val="24"/>
        </w:rPr>
        <w:t xml:space="preserve">Zdroj: </w:t>
      </w:r>
      <w:r>
        <w:rPr>
          <w:i/>
          <w:szCs w:val="24"/>
        </w:rPr>
        <w:t xml:space="preserve">MMR (2018). </w:t>
      </w:r>
      <w:r w:rsidRPr="0076240D">
        <w:rPr>
          <w:i/>
          <w:szCs w:val="24"/>
        </w:rPr>
        <w:t>Rekodifikace veřejného stavebního práva,</w:t>
      </w:r>
      <w:r w:rsidR="00BD2155">
        <w:rPr>
          <w:i/>
          <w:szCs w:val="24"/>
        </w:rPr>
        <w:t xml:space="preserve"> Informace o hlavních směrech a </w:t>
      </w:r>
      <w:r w:rsidRPr="0076240D">
        <w:rPr>
          <w:i/>
          <w:szCs w:val="24"/>
        </w:rPr>
        <w:t>cílech rekodifikace, PRACOVNÍ MATERIÁL PRO JEDNÁNÍ VLÁDY – verze k 28. 8. 2018</w:t>
      </w:r>
      <w:r>
        <w:rPr>
          <w:szCs w:val="24"/>
        </w:rPr>
        <w:t>)</w:t>
      </w:r>
    </w:p>
    <w:p w:rsidR="00BF74A9" w:rsidRDefault="00D92CCA" w:rsidP="00BF74A9">
      <w:pPr>
        <w:pStyle w:val="Text-Normaln"/>
        <w:widowControl w:val="0"/>
        <w:rPr>
          <w:b/>
          <w:szCs w:val="24"/>
        </w:rPr>
      </w:pPr>
      <w:r w:rsidRPr="00212EE8">
        <w:rPr>
          <w:szCs w:val="24"/>
        </w:rPr>
        <w:t>Protože se jedná spíše o textovou argumentaci než práci s čísly, ponecháváme v</w:t>
      </w:r>
      <w:r w:rsidR="00BF74A9" w:rsidRPr="00212EE8">
        <w:rPr>
          <w:szCs w:val="24"/>
        </w:rPr>
        <w:t>ymezení typu staveb, požadavků na výstavbu, obsah a rozsah dokumentace, zá</w:t>
      </w:r>
      <w:r w:rsidR="00BD2155" w:rsidRPr="00212EE8">
        <w:rPr>
          <w:szCs w:val="24"/>
        </w:rPr>
        <w:t>kladní pojmy stavebního práva a </w:t>
      </w:r>
      <w:r w:rsidR="00BF74A9" w:rsidRPr="00212EE8">
        <w:rPr>
          <w:szCs w:val="24"/>
        </w:rPr>
        <w:t xml:space="preserve">povinnosti a odpovědnost osob při přípravě, provádění a užívání staveb </w:t>
      </w:r>
      <w:r w:rsidR="00254774" w:rsidRPr="00212EE8">
        <w:rPr>
          <w:szCs w:val="24"/>
        </w:rPr>
        <w:t xml:space="preserve">a </w:t>
      </w:r>
      <w:r w:rsidR="00BF74A9" w:rsidRPr="00212EE8">
        <w:rPr>
          <w:szCs w:val="24"/>
        </w:rPr>
        <w:t xml:space="preserve">detailní rozpracování této otázky </w:t>
      </w:r>
      <w:r w:rsidRPr="00212EE8">
        <w:rPr>
          <w:szCs w:val="24"/>
        </w:rPr>
        <w:t>na</w:t>
      </w:r>
      <w:r w:rsidR="00BF74A9" w:rsidRPr="00212EE8">
        <w:rPr>
          <w:szCs w:val="24"/>
        </w:rPr>
        <w:t xml:space="preserve"> </w:t>
      </w:r>
      <w:r w:rsidR="001D7237">
        <w:rPr>
          <w:szCs w:val="24"/>
        </w:rPr>
        <w:t>věcném záměru</w:t>
      </w:r>
      <w:r w:rsidR="00BF74A9" w:rsidRPr="00212EE8">
        <w:rPr>
          <w:szCs w:val="24"/>
        </w:rPr>
        <w:t>.</w:t>
      </w:r>
      <w:r w:rsidR="00BF74A9">
        <w:rPr>
          <w:szCs w:val="24"/>
        </w:rPr>
        <w:t xml:space="preserve"> </w:t>
      </w:r>
    </w:p>
    <w:p w:rsidR="0072356F" w:rsidRDefault="000C0DF9" w:rsidP="00BF74A9">
      <w:pPr>
        <w:pStyle w:val="Text-Normaln"/>
        <w:widowControl w:val="0"/>
        <w:rPr>
          <w:b/>
          <w:szCs w:val="24"/>
        </w:rPr>
      </w:pPr>
      <w:r>
        <w:rPr>
          <w:b/>
          <w:szCs w:val="24"/>
        </w:rPr>
        <w:t>D</w:t>
      </w:r>
      <w:r w:rsidR="00BF74A9">
        <w:rPr>
          <w:b/>
          <w:szCs w:val="24"/>
        </w:rPr>
        <w:t>.1.2.</w:t>
      </w:r>
      <w:r w:rsidR="00BF74A9" w:rsidRPr="0072356F">
        <w:rPr>
          <w:b/>
          <w:szCs w:val="24"/>
        </w:rPr>
        <w:t xml:space="preserve"> </w:t>
      </w:r>
      <w:r w:rsidR="00BF74A9">
        <w:rPr>
          <w:b/>
          <w:szCs w:val="24"/>
        </w:rPr>
        <w:t>Definice problému</w:t>
      </w:r>
    </w:p>
    <w:p w:rsidR="00BF74A9" w:rsidRDefault="0076240D" w:rsidP="00BF74A9">
      <w:pPr>
        <w:pStyle w:val="Text-Normaln"/>
        <w:widowControl w:val="0"/>
        <w:rPr>
          <w:bCs/>
          <w:szCs w:val="24"/>
        </w:rPr>
      </w:pPr>
      <w:r>
        <w:rPr>
          <w:bCs/>
          <w:szCs w:val="24"/>
        </w:rPr>
        <w:t>R</w:t>
      </w:r>
      <w:r w:rsidR="00BF74A9">
        <w:rPr>
          <w:bCs/>
          <w:szCs w:val="24"/>
        </w:rPr>
        <w:t>oztříštěnost</w:t>
      </w:r>
      <w:r w:rsidR="00BF74A9">
        <w:rPr>
          <w:szCs w:val="24"/>
        </w:rPr>
        <w:t xml:space="preserve"> do mnoha různých předpisů různé právní síly, s čímž souvisí i nepřehlednost stanovení obecných požadavků na výstavbu a dokumentaci pro jednotlivé účastníky výstavby i stavební úřady; </w:t>
      </w:r>
      <w:r w:rsidR="00BF74A9">
        <w:rPr>
          <w:bCs/>
          <w:szCs w:val="24"/>
        </w:rPr>
        <w:t xml:space="preserve">různá územní platnost některých právních předpisů a rozdílné stanovení technických požadavků na stavby z územního hlediska; roztříštěnost do předpisů v gesci různých ústředních orgánů, s čímž souvisí i jejich nepřehlednost; výkladové nejasnosti některých požadavků na obsah a rozsah dokumentace a přílišná obsáhlost rozsahu a náležitostí dokumentace pro povolení stavby; stanovení požadavků formou odkazů na technické normy (čímž je tvoří závaznými), v mnoha případech však zcela nekonkrétně.  </w:t>
      </w:r>
    </w:p>
    <w:p w:rsidR="00BF74A9" w:rsidRPr="0072356F" w:rsidRDefault="000C0DF9" w:rsidP="00BF74A9">
      <w:pPr>
        <w:pStyle w:val="Text-Normaln"/>
        <w:widowControl w:val="0"/>
        <w:rPr>
          <w:b/>
          <w:szCs w:val="24"/>
        </w:rPr>
      </w:pPr>
      <w:r w:rsidRPr="0072356F">
        <w:rPr>
          <w:b/>
          <w:szCs w:val="24"/>
        </w:rPr>
        <w:t>D</w:t>
      </w:r>
      <w:r w:rsidR="00BF74A9" w:rsidRPr="0072356F">
        <w:rPr>
          <w:b/>
          <w:szCs w:val="24"/>
        </w:rPr>
        <w:t>.1.3. Návrh variant řešení</w:t>
      </w:r>
    </w:p>
    <w:p w:rsidR="00BF74A9" w:rsidRDefault="00BF74A9" w:rsidP="00BF74A9">
      <w:pPr>
        <w:pStyle w:val="Text-Normaln"/>
        <w:widowControl w:val="0"/>
        <w:rPr>
          <w:i/>
          <w:szCs w:val="24"/>
        </w:rPr>
      </w:pPr>
      <w:r>
        <w:rPr>
          <w:b/>
          <w:i/>
          <w:szCs w:val="24"/>
        </w:rPr>
        <w:t>Varianta 0:</w:t>
      </w:r>
      <w:r>
        <w:rPr>
          <w:i/>
          <w:szCs w:val="24"/>
        </w:rPr>
        <w:t xml:space="preserve"> Zachov</w:t>
      </w:r>
      <w:r w:rsidR="00D92CCA">
        <w:rPr>
          <w:i/>
          <w:szCs w:val="24"/>
        </w:rPr>
        <w:t>at</w:t>
      </w:r>
      <w:r>
        <w:rPr>
          <w:i/>
          <w:szCs w:val="24"/>
        </w:rPr>
        <w:t xml:space="preserve"> současn</w:t>
      </w:r>
      <w:r w:rsidR="00D92CCA">
        <w:rPr>
          <w:i/>
          <w:szCs w:val="24"/>
        </w:rPr>
        <w:t>ý</w:t>
      </w:r>
      <w:r>
        <w:rPr>
          <w:i/>
          <w:szCs w:val="24"/>
        </w:rPr>
        <w:t xml:space="preserve"> stav</w:t>
      </w:r>
    </w:p>
    <w:p w:rsidR="00BF74A9" w:rsidRDefault="00BF74A9" w:rsidP="00BF74A9">
      <w:pPr>
        <w:spacing w:line="276" w:lineRule="auto"/>
        <w:rPr>
          <w:bCs/>
          <w:szCs w:val="24"/>
        </w:rPr>
      </w:pPr>
      <w:r>
        <w:rPr>
          <w:b/>
          <w:i/>
          <w:szCs w:val="24"/>
        </w:rPr>
        <w:lastRenderedPageBreak/>
        <w:t>Varianta 1:</w:t>
      </w:r>
      <w:r>
        <w:rPr>
          <w:i/>
          <w:szCs w:val="24"/>
        </w:rPr>
        <w:t xml:space="preserve"> </w:t>
      </w:r>
      <w:r w:rsidR="00D92CCA">
        <w:rPr>
          <w:i/>
          <w:szCs w:val="24"/>
        </w:rPr>
        <w:t>Z</w:t>
      </w:r>
      <w:r>
        <w:rPr>
          <w:i/>
          <w:szCs w:val="24"/>
        </w:rPr>
        <w:t>revidovat obecné požadavky na výstavbu, stanovit jednoznačné, moderní, technicky reálné a ekonomicky únosné obecně závazné požadavky, představující ochranu veřejných zájmů ve výstavbě; sjednotit obecné požadavky na výstavbu a na projektovou dokumentaci do jednoho právního předpisu, zrevidovat a posílit zákonnou úpravu stavebního práva hmotného na úrovni nového stavebního zákona, tj. nikoliv jen zakotvit na zákonné úrovni základní pojmy stavebního práva hmotného a </w:t>
      </w:r>
      <w:r w:rsidRPr="008712FB">
        <w:rPr>
          <w:i/>
          <w:szCs w:val="24"/>
        </w:rPr>
        <w:t>zvážit řešení různé územní platnosti některých právních předpisů obsahujících požadavky na výstavbu</w:t>
      </w:r>
      <w:r w:rsidRPr="00D067E2">
        <w:rPr>
          <w:i/>
          <w:szCs w:val="24"/>
        </w:rPr>
        <w:t xml:space="preserve">; </w:t>
      </w:r>
      <w:r w:rsidR="00AB65E9" w:rsidRPr="00D00936">
        <w:rPr>
          <w:i/>
          <w:szCs w:val="24"/>
        </w:rPr>
        <w:t>sjednotit i z hlediska územní platnosti obecné požadavky na výstavbu do jednoho právního předpisu, ve kterém by byly zohledněny specifické požadavky na výstavbu velký</w:t>
      </w:r>
      <w:r w:rsidR="00AB65E9" w:rsidRPr="00D0045D">
        <w:rPr>
          <w:i/>
          <w:szCs w:val="24"/>
        </w:rPr>
        <w:t>ch sídel umožňující jejich moderní rozvoj odpovídající</w:t>
      </w:r>
      <w:r w:rsidRPr="00D0045D">
        <w:rPr>
          <w:i/>
          <w:szCs w:val="24"/>
        </w:rPr>
        <w:t xml:space="preserve"> 21.</w:t>
      </w:r>
      <w:r>
        <w:rPr>
          <w:i/>
          <w:szCs w:val="24"/>
        </w:rPr>
        <w:t xml:space="preserve"> století; v návaznosti na novou úpravu stavebního práva procesního zredukovat jednotlivé druhy dokumentací a zjednodušit obsahové náležitosti jednotlivých druhů dokumentací a upravit požadavky na zpracovatele dokumentací; zrevidovat mj. v návaznosti na novou úpravu stavebního práva procesního a na nový způsob stanovení požadavků na výstavbu základní pojmy stavebního práva.</w:t>
      </w:r>
    </w:p>
    <w:tbl>
      <w:tblPr>
        <w:tblW w:w="0" w:type="auto"/>
        <w:tblInd w:w="108" w:type="dxa"/>
        <w:shd w:val="clear" w:color="auto" w:fill="B6B002"/>
        <w:tblLook w:val="00A0" w:firstRow="1" w:lastRow="0" w:firstColumn="1" w:lastColumn="0" w:noHBand="0" w:noVBand="0"/>
      </w:tblPr>
      <w:tblGrid>
        <w:gridCol w:w="8962"/>
      </w:tblGrid>
      <w:tr w:rsidR="00BF74A9" w:rsidRPr="00D92CCA" w:rsidTr="008712FB">
        <w:trPr>
          <w:trHeight w:val="227"/>
        </w:trPr>
        <w:tc>
          <w:tcPr>
            <w:tcW w:w="8962" w:type="dxa"/>
            <w:tcBorders>
              <w:top w:val="single" w:sz="4" w:space="0" w:color="auto"/>
              <w:left w:val="nil"/>
              <w:bottom w:val="single" w:sz="4" w:space="0" w:color="auto"/>
              <w:right w:val="nil"/>
            </w:tcBorders>
            <w:shd w:val="clear" w:color="auto" w:fill="D9D9D9" w:themeFill="background1" w:themeFillShade="D9"/>
            <w:vAlign w:val="center"/>
            <w:hideMark/>
          </w:tcPr>
          <w:p w:rsidR="00BF74A9" w:rsidRPr="00D92CCA" w:rsidRDefault="00BF74A9" w:rsidP="00D92CCA">
            <w:pPr>
              <w:widowControl w:val="0"/>
              <w:spacing w:before="0" w:after="0"/>
              <w:rPr>
                <w:rFonts w:asciiTheme="minorHAnsi" w:hAnsiTheme="minorHAnsi"/>
                <w:b/>
                <w:color w:val="000000"/>
                <w:sz w:val="20"/>
                <w:szCs w:val="20"/>
              </w:rPr>
            </w:pPr>
            <w:r w:rsidRPr="00D92CCA">
              <w:rPr>
                <w:rFonts w:asciiTheme="minorHAnsi" w:hAnsiTheme="minorHAnsi"/>
                <w:b/>
                <w:color w:val="000000"/>
                <w:sz w:val="20"/>
                <w:szCs w:val="20"/>
              </w:rPr>
              <w:t>Náklady</w:t>
            </w:r>
          </w:p>
        </w:tc>
      </w:tr>
      <w:tr w:rsidR="00BF74A9" w:rsidRPr="00D92CCA" w:rsidTr="008712FB">
        <w:trPr>
          <w:trHeight w:val="227"/>
        </w:trPr>
        <w:tc>
          <w:tcPr>
            <w:tcW w:w="8962" w:type="dxa"/>
            <w:tcBorders>
              <w:top w:val="single" w:sz="4" w:space="0" w:color="auto"/>
              <w:left w:val="nil"/>
              <w:bottom w:val="single" w:sz="4" w:space="0" w:color="auto"/>
              <w:right w:val="nil"/>
            </w:tcBorders>
            <w:shd w:val="clear" w:color="auto" w:fill="auto"/>
            <w:vAlign w:val="center"/>
            <w:hideMark/>
          </w:tcPr>
          <w:p w:rsidR="00BF74A9" w:rsidRPr="00D92CCA" w:rsidRDefault="00BF74A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D92CCA">
              <w:rPr>
                <w:rFonts w:asciiTheme="minorHAnsi" w:hAnsiTheme="minorHAnsi"/>
                <w:sz w:val="20"/>
                <w:szCs w:val="20"/>
              </w:rPr>
              <w:t>V případě zavedení Varianty 1 žádné výrazné náklady neočekáváme</w:t>
            </w:r>
          </w:p>
        </w:tc>
      </w:tr>
      <w:tr w:rsidR="00BF74A9" w:rsidRPr="00D92CCA" w:rsidTr="008712FB">
        <w:trPr>
          <w:trHeight w:val="227"/>
        </w:trPr>
        <w:tc>
          <w:tcPr>
            <w:tcW w:w="8962" w:type="dxa"/>
            <w:tcBorders>
              <w:top w:val="single" w:sz="4" w:space="0" w:color="auto"/>
              <w:left w:val="nil"/>
              <w:bottom w:val="single" w:sz="4" w:space="0" w:color="auto"/>
              <w:right w:val="nil"/>
            </w:tcBorders>
            <w:shd w:val="clear" w:color="auto" w:fill="D9D9D9" w:themeFill="background1" w:themeFillShade="D9"/>
            <w:vAlign w:val="center"/>
            <w:hideMark/>
          </w:tcPr>
          <w:p w:rsidR="00BF74A9" w:rsidRPr="00D92CCA" w:rsidRDefault="00BF74A9" w:rsidP="00D92CCA">
            <w:pPr>
              <w:widowControl w:val="0"/>
              <w:spacing w:before="0" w:after="0"/>
              <w:rPr>
                <w:rFonts w:asciiTheme="minorHAnsi" w:hAnsiTheme="minorHAnsi"/>
                <w:b/>
                <w:color w:val="000000"/>
                <w:sz w:val="20"/>
                <w:szCs w:val="20"/>
              </w:rPr>
            </w:pPr>
            <w:r w:rsidRPr="00D92CCA">
              <w:rPr>
                <w:rFonts w:asciiTheme="minorHAnsi" w:hAnsiTheme="minorHAnsi"/>
                <w:b/>
                <w:color w:val="000000"/>
                <w:sz w:val="20"/>
                <w:szCs w:val="20"/>
              </w:rPr>
              <w:t>Přínosy</w:t>
            </w:r>
          </w:p>
        </w:tc>
      </w:tr>
      <w:tr w:rsidR="00BF74A9" w:rsidRPr="00D92CCA" w:rsidTr="008712FB">
        <w:trPr>
          <w:trHeight w:val="227"/>
        </w:trPr>
        <w:tc>
          <w:tcPr>
            <w:tcW w:w="8962" w:type="dxa"/>
            <w:tcBorders>
              <w:top w:val="single" w:sz="4" w:space="0" w:color="auto"/>
              <w:left w:val="nil"/>
              <w:bottom w:val="single" w:sz="4" w:space="0" w:color="auto"/>
              <w:right w:val="nil"/>
            </w:tcBorders>
            <w:shd w:val="clear" w:color="auto" w:fill="FFFFFF" w:themeFill="background1"/>
            <w:vAlign w:val="center"/>
          </w:tcPr>
          <w:p w:rsidR="00BF74A9" w:rsidRPr="00D92CCA" w:rsidRDefault="00BF74A9" w:rsidP="00D92CCA">
            <w:pPr>
              <w:widowControl w:val="0"/>
              <w:spacing w:before="0" w:after="0"/>
              <w:rPr>
                <w:rFonts w:asciiTheme="minorHAnsi" w:hAnsiTheme="minorHAnsi"/>
                <w:color w:val="000000"/>
                <w:sz w:val="20"/>
                <w:szCs w:val="20"/>
              </w:rPr>
            </w:pPr>
            <w:r w:rsidRPr="00D92CCA">
              <w:rPr>
                <w:rFonts w:asciiTheme="minorHAnsi" w:hAnsiTheme="minorHAnsi"/>
                <w:color w:val="000000"/>
                <w:sz w:val="20"/>
                <w:szCs w:val="20"/>
              </w:rPr>
              <w:t xml:space="preserve">Všechny strany podílející se na přípravě či samotné realizaci stavby stavební úřady či </w:t>
            </w:r>
            <w:r w:rsidR="00D85CA7">
              <w:rPr>
                <w:rFonts w:asciiTheme="minorHAnsi" w:hAnsiTheme="minorHAnsi"/>
                <w:color w:val="000000"/>
                <w:sz w:val="20"/>
                <w:szCs w:val="20"/>
              </w:rPr>
              <w:t>DO</w:t>
            </w:r>
            <w:r w:rsidRPr="00D92CCA">
              <w:rPr>
                <w:rFonts w:asciiTheme="minorHAnsi" w:hAnsiTheme="minorHAnsi"/>
                <w:color w:val="000000"/>
                <w:sz w:val="20"/>
                <w:szCs w:val="20"/>
              </w:rPr>
              <w:t xml:space="preserve"> nevyjímaje</w:t>
            </w:r>
          </w:p>
          <w:p w:rsidR="00BF74A9" w:rsidRPr="00D92CCA" w:rsidRDefault="00BF74A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D92CCA">
              <w:rPr>
                <w:rFonts w:asciiTheme="minorHAnsi" w:hAnsiTheme="minorHAnsi"/>
                <w:sz w:val="20"/>
                <w:szCs w:val="20"/>
              </w:rPr>
              <w:t>Zvýšení právní jistoty</w:t>
            </w:r>
          </w:p>
          <w:p w:rsidR="00BF74A9" w:rsidRPr="00D92CCA" w:rsidRDefault="00BF74A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D92CCA">
              <w:rPr>
                <w:rFonts w:asciiTheme="minorHAnsi" w:hAnsiTheme="minorHAnsi"/>
                <w:color w:val="000000"/>
                <w:sz w:val="20"/>
                <w:szCs w:val="20"/>
              </w:rPr>
              <w:t>Časové úspory a snížení administrativní zátěže v důsledku zpřehlednění a zefektivnění právní úpravy, v rámci přípravy a povolování staveb</w:t>
            </w:r>
          </w:p>
        </w:tc>
      </w:tr>
    </w:tbl>
    <w:p w:rsidR="00BF74A9" w:rsidRDefault="0072356F" w:rsidP="00BF74A9">
      <w:pPr>
        <w:pStyle w:val="Text-Normaln"/>
        <w:widowControl w:val="0"/>
        <w:rPr>
          <w:b/>
          <w:szCs w:val="24"/>
        </w:rPr>
      </w:pPr>
      <w:r>
        <w:rPr>
          <w:b/>
          <w:szCs w:val="24"/>
        </w:rPr>
        <w:t xml:space="preserve">D.1.4. </w:t>
      </w:r>
      <w:r w:rsidR="00BF74A9">
        <w:rPr>
          <w:b/>
          <w:szCs w:val="24"/>
        </w:rPr>
        <w:t>Kvantifikace nákladů a přínosů</w:t>
      </w:r>
    </w:p>
    <w:p w:rsidR="00BF74A9" w:rsidRDefault="00BF74A9" w:rsidP="00BF74A9">
      <w:pPr>
        <w:pStyle w:val="Text-Normaln"/>
        <w:widowControl w:val="0"/>
        <w:rPr>
          <w:szCs w:val="24"/>
        </w:rPr>
      </w:pPr>
      <w:r>
        <w:rPr>
          <w:szCs w:val="24"/>
        </w:rPr>
        <w:t>Varianta 1 má hlavní přínosy v očekávaném zjednodušení přípravy a povolování staveb. Hodnotu přínosů této věcné varianty však nelze oddělit od ostatních opatření, zejména v procesní oblasti.</w:t>
      </w:r>
    </w:p>
    <w:p w:rsidR="000C0DF9" w:rsidRPr="000C0DF9" w:rsidRDefault="000C0DF9" w:rsidP="000C0DF9">
      <w:pPr>
        <w:pStyle w:val="Nadpis3a"/>
        <w:numPr>
          <w:ilvl w:val="0"/>
          <w:numId w:val="0"/>
        </w:numPr>
        <w:tabs>
          <w:tab w:val="left" w:pos="567"/>
        </w:tabs>
      </w:pPr>
      <w:bookmarkStart w:id="77" w:name="_Toc536553930"/>
      <w:r>
        <w:t>D.2</w:t>
      </w:r>
      <w:r w:rsidR="002105D2">
        <w:t xml:space="preserve"> </w:t>
      </w:r>
      <w:r w:rsidRPr="000C0DF9">
        <w:t>Technické normy (ČSN)</w:t>
      </w:r>
      <w:bookmarkEnd w:id="77"/>
    </w:p>
    <w:p w:rsidR="000C0DF9" w:rsidRDefault="000C0DF9" w:rsidP="000C0DF9">
      <w:pPr>
        <w:pStyle w:val="Nadpis3a"/>
        <w:numPr>
          <w:ilvl w:val="0"/>
          <w:numId w:val="0"/>
        </w:numPr>
      </w:pPr>
      <w:bookmarkStart w:id="78" w:name="_Toc536553931"/>
      <w:r>
        <w:t>D.2.1. Popis současného stavu:</w:t>
      </w:r>
      <w:bookmarkEnd w:id="78"/>
    </w:p>
    <w:p w:rsidR="000C0DF9" w:rsidRDefault="000C0DF9" w:rsidP="000C0DF9">
      <w:pPr>
        <w:pStyle w:val="Text-Normaln"/>
        <w:widowControl w:val="0"/>
      </w:pPr>
      <w:r>
        <w:t xml:space="preserve">Od 1. l. 2018 vykonává činnosti související s tvorbou, vydáváním a distribucí technických norem Česká agentura pro standardizaci (ČAS), která byla zřízena jako státní příspěvková organizace Úřadem pro technickou normalizaci, metrologii a státní zkušebnictví (ÚNMZ). ÚNMZ je organizační složkou státu v resortu </w:t>
      </w:r>
      <w:r w:rsidR="00D85CA7">
        <w:t>MPO</w:t>
      </w:r>
      <w:r>
        <w:t xml:space="preserve">. Hlavním posláním ÚNMZ je zabezpečovat úkoly vyplývající ze zákonů </w:t>
      </w:r>
      <w:r w:rsidR="0097207F" w:rsidRPr="0097207F">
        <w:t>ČR</w:t>
      </w:r>
      <w:r>
        <w:t xml:space="preserve"> upravujících technickou normalizaci, metrologii a státní zkušebnictví </w:t>
      </w:r>
      <w:r w:rsidR="00566280">
        <w:t>a </w:t>
      </w:r>
      <w:r>
        <w:t xml:space="preserve">úkoly v oblasti technických předpisů a norem uplatňovaných v rámci členství ČR </w:t>
      </w:r>
      <w:r w:rsidR="00D85CA7">
        <w:t>v EU</w:t>
      </w:r>
      <w:r>
        <w:t>.</w:t>
      </w:r>
    </w:p>
    <w:p w:rsidR="000C0DF9" w:rsidRDefault="000C0DF9" w:rsidP="000C0DF9">
      <w:pPr>
        <w:pStyle w:val="Text-Normaln"/>
        <w:widowControl w:val="0"/>
      </w:pPr>
      <w:r>
        <w:t>Tvorba technických norem vychází z požadavků profesních komor, státu, jiných zájmových skupin apod. ČAS přijímá požadavek, vyhodnocuje ho, zajistí vytvoření normy (prostřednictvím cca 1 700 smluvních partnerů) a začlení ji do soustavy.</w:t>
      </w:r>
    </w:p>
    <w:p w:rsidR="000C0DF9" w:rsidRDefault="000C0DF9" w:rsidP="000C0DF9">
      <w:pPr>
        <w:pStyle w:val="Text-Normaln"/>
        <w:widowControl w:val="0"/>
      </w:pPr>
      <w:r>
        <w:t>Odkazy na technickou normu v právních předpisech mohou mít z hlediska jejich síly formu odkazu výlučného (povinného) nebo indikativního. České technické normy, obsahující informace o obecně uznávaných technických řešeních, základní zákonné požadavky bezpečnosti konstrukční, materiálové, protipožární, hygienické či ochrany zdraví a životního prostřední, jsou považovány za kvalifikovaná doporučení (nikoliv příkazy) a jejich používání je nezávazné (dobrovolné). Existuje však celá řada případů, kdy je dodržení požadavků konkrétních českých technických norem vyžadováno zákonem nebo podzákonným právním předpisem. Povinnost postupovat při určité činnosti v souladu s českými technickými normami může vzniknout především na základě ustanovení právního předpisu, které stanoví, že ve vztazích upravených tímto právním předpisem je nutno dodržovat české technické norm</w:t>
      </w:r>
      <w:r w:rsidR="00BD2155">
        <w:t>y. V těchto případech již lze o </w:t>
      </w:r>
      <w:r>
        <w:t>určité závaznosti těchto norem hovořit. (</w:t>
      </w:r>
      <w:r>
        <w:rPr>
          <w:i/>
        </w:rPr>
        <w:t>Zdroj: http://www.unmz.cz/test/problematika-uvadeni-technickych-norem-v-pravnich-predpisech</w:t>
      </w:r>
      <w:r>
        <w:t>)</w:t>
      </w:r>
    </w:p>
    <w:p w:rsidR="000C0DF9" w:rsidRDefault="000C0DF9" w:rsidP="007D31C3">
      <w:pPr>
        <w:pStyle w:val="Normlnweb"/>
        <w:spacing w:before="0" w:beforeAutospacing="0" w:after="0" w:afterAutospacing="0"/>
        <w:jc w:val="both"/>
        <w:rPr>
          <w:rFonts w:ascii="Garamond" w:eastAsia="Calibri" w:hAnsi="Garamond"/>
          <w:szCs w:val="22"/>
          <w:lang w:eastAsia="en-US"/>
        </w:rPr>
      </w:pPr>
      <w:r>
        <w:rPr>
          <w:rFonts w:ascii="Garamond" w:eastAsia="Calibri" w:hAnsi="Garamond"/>
          <w:szCs w:val="22"/>
          <w:lang w:eastAsia="en-US"/>
        </w:rPr>
        <w:lastRenderedPageBreak/>
        <w:t>Výlučný odkaz určuje shodu s technickou normou, na kterou se odkazuje, jako jediný způsob splnění příslušného ustanovení daného právního předpisu. V případě indikativního odkazu je shoda s technickou normou jen jedním ze způsobů, jak tyto poža</w:t>
      </w:r>
      <w:r w:rsidR="00BD2155">
        <w:rPr>
          <w:rFonts w:ascii="Garamond" w:eastAsia="Calibri" w:hAnsi="Garamond"/>
          <w:szCs w:val="22"/>
          <w:lang w:eastAsia="en-US"/>
        </w:rPr>
        <w:t>davky splnit. Technická norma v </w:t>
      </w:r>
      <w:r>
        <w:rPr>
          <w:rFonts w:ascii="Garamond" w:eastAsia="Calibri" w:hAnsi="Garamond"/>
          <w:szCs w:val="22"/>
          <w:lang w:eastAsia="en-US"/>
        </w:rPr>
        <w:t>tomto případě konkretizuje obecný, souhrnný právní požadavek, který však může být splněn jinými prostředky. Dobrovolný charakter používání technických norem tak umožňuje přijímat vyspělá technická řešení a podporuje technologický rozvoj.</w:t>
      </w:r>
    </w:p>
    <w:p w:rsidR="000C0DF9" w:rsidRDefault="002D7477" w:rsidP="000C0DF9">
      <w:pPr>
        <w:pStyle w:val="Text-Normaln"/>
        <w:widowControl w:val="0"/>
      </w:pPr>
      <w:r>
        <w:t>Stávající s</w:t>
      </w:r>
      <w:r w:rsidR="000C0DF9">
        <w:t xml:space="preserve">tavební zákon obsahuje odkazy na technické normy v obecné rovině, </w:t>
      </w:r>
      <w:r w:rsidR="00686D84">
        <w:t>například</w:t>
      </w:r>
      <w:r w:rsidR="000C0DF9">
        <w:t xml:space="preserve"> v § 160 odst. 2 stanoví: </w:t>
      </w:r>
      <w:r w:rsidR="000C0DF9">
        <w:rPr>
          <w:i/>
        </w:rPr>
        <w:t>„Zhotovitel stavby je povinen provádět stavbu v souladu s rozhodnutím nebo jiným opatřením stavebního úřadu a s ověřenou projektovou dokumentací, dodržet obecné požadavky na výstavbu, popřípadě jiné technické předpisy a technické normy a zajistit dodržování povinností k ochraně života</w:t>
      </w:r>
      <w:r w:rsidR="00BD2155">
        <w:rPr>
          <w:i/>
        </w:rPr>
        <w:t>, zdraví, životního prostředí a </w:t>
      </w:r>
      <w:r w:rsidR="000C0DF9">
        <w:rPr>
          <w:i/>
        </w:rPr>
        <w:t>bezpečnosti práce vyplývajících ze zvláštních právních předpisů.“</w:t>
      </w:r>
    </w:p>
    <w:p w:rsidR="000C0DF9" w:rsidRDefault="000C0DF9" w:rsidP="000C0DF9">
      <w:pPr>
        <w:pStyle w:val="Text1-11-111"/>
        <w:ind w:left="0"/>
      </w:pPr>
      <w:r>
        <w:rPr>
          <w:rFonts w:ascii="Garamond" w:eastAsia="Calibri" w:hAnsi="Garamond"/>
          <w:szCs w:val="22"/>
        </w:rPr>
        <w:t xml:space="preserve">Vyhláška č. 268/2009 Sb., o technických požadavcích na stavby, ve znění pozdějších předpisů, využívá pro odkazy na technické normy pojem „normové hodnoty“ definovaný v § 3 písm. k): </w:t>
      </w:r>
      <w:r>
        <w:rPr>
          <w:rFonts w:ascii="Garamond" w:eastAsia="Calibri" w:hAnsi="Garamond"/>
          <w:i/>
          <w:szCs w:val="22"/>
        </w:rPr>
        <w:t>„konkrétní technický požadavek, zejména limitní hodnota, návrhová metoda, národně stanovené parametry, technické vlastnosti stavebních konstrukcí a technických zařízení, obsažený v příslušné české technické normě, jehož dodržení se považuje za splnění požadavků konkrétního ustanovení této vyhlášky“</w:t>
      </w:r>
      <w:r>
        <w:rPr>
          <w:rFonts w:ascii="Garamond" w:eastAsia="Calibri" w:hAnsi="Garamond"/>
          <w:szCs w:val="22"/>
        </w:rPr>
        <w:t>. Na tento pojem vyhláška dále navazuje u jednotlivých požadavků na stavb</w:t>
      </w:r>
      <w:r w:rsidR="00BD2155">
        <w:rPr>
          <w:rFonts w:ascii="Garamond" w:eastAsia="Calibri" w:hAnsi="Garamond"/>
          <w:szCs w:val="22"/>
        </w:rPr>
        <w:t>y (obdobně také § 3 vyhlášky č. </w:t>
      </w:r>
      <w:r>
        <w:rPr>
          <w:rFonts w:ascii="Garamond" w:eastAsia="Calibri" w:hAnsi="Garamond"/>
          <w:szCs w:val="22"/>
        </w:rPr>
        <w:t>398/2009 Sb.) a pak obecně v § 55 odst. 2 této vyhlášky (obdobn</w:t>
      </w:r>
      <w:r w:rsidR="00BD2155">
        <w:rPr>
          <w:rFonts w:ascii="Garamond" w:eastAsia="Calibri" w:hAnsi="Garamond"/>
          <w:szCs w:val="22"/>
        </w:rPr>
        <w:t>ě také § 15 odst. 2 vyhlášky č. </w:t>
      </w:r>
      <w:r>
        <w:rPr>
          <w:rFonts w:ascii="Garamond" w:eastAsia="Calibri" w:hAnsi="Garamond"/>
          <w:szCs w:val="22"/>
        </w:rPr>
        <w:t>398/2009 Sb.) (</w:t>
      </w:r>
      <w:r w:rsidR="00686D84">
        <w:rPr>
          <w:rFonts w:ascii="Garamond" w:eastAsia="Calibri" w:hAnsi="Garamond"/>
          <w:szCs w:val="22"/>
        </w:rPr>
        <w:t>například</w:t>
      </w:r>
      <w:r>
        <w:rPr>
          <w:rFonts w:ascii="Garamond" w:eastAsia="Calibri" w:hAnsi="Garamond"/>
          <w:szCs w:val="22"/>
        </w:rPr>
        <w:t xml:space="preserve"> dle § 9 odst. 1 vyhlášky 268/2009 Sb.: </w:t>
      </w:r>
      <w:r>
        <w:rPr>
          <w:rFonts w:ascii="Garamond" w:eastAsia="Calibri" w:hAnsi="Garamond"/>
          <w:i/>
          <w:szCs w:val="22"/>
        </w:rPr>
        <w:t>„Stavba musí být navržena a provedena v souladu s normovými hodnotami …“</w:t>
      </w:r>
      <w:r>
        <w:rPr>
          <w:rFonts w:ascii="Garamond" w:eastAsia="Calibri" w:hAnsi="Garamond"/>
          <w:szCs w:val="22"/>
        </w:rPr>
        <w:t>). Kromě toho odkazuje v § 48a v textu na normové hodnoty a v poznámkách pod čarou na příslušné ČSN.</w:t>
      </w:r>
    </w:p>
    <w:p w:rsidR="000C0DF9" w:rsidRDefault="000C0DF9" w:rsidP="000C0DF9">
      <w:pPr>
        <w:pStyle w:val="Text-Normaln"/>
        <w:widowControl w:val="0"/>
      </w:pPr>
      <w:r>
        <w:t xml:space="preserve">Konkrétní odkazy však stavební zákon ani prováděcí vyhlášky (nad rámec výše uvedených odkazů v § 48a vyhlášky č. 268/2009 Sb.) neobsahuje. </w:t>
      </w:r>
    </w:p>
    <w:p w:rsidR="000C0DF9" w:rsidRDefault="005638C6" w:rsidP="000C0DF9">
      <w:pPr>
        <w:pStyle w:val="Text-Normaln"/>
        <w:widowControl w:val="0"/>
      </w:pPr>
      <w:r>
        <w:t>MMR</w:t>
      </w:r>
      <w:r w:rsidR="000C0DF9">
        <w:t xml:space="preserve"> vytvořilo pouze neformální seznam ČSN, které provádějí jednotlivá ustanovení vyhlášek č</w:t>
      </w:r>
      <w:r w:rsidR="002D7477">
        <w:t>. </w:t>
      </w:r>
      <w:r w:rsidR="000C0DF9">
        <w:t>268/2009 Sb. a 398/2009 Sb. Platná právní úprava však neobsahuje oficiální seznam norem, které je nutné dodržet pro naplnění technických požadavků na výstavbu.</w:t>
      </w:r>
    </w:p>
    <w:p w:rsidR="000C0DF9" w:rsidRDefault="000C0DF9" w:rsidP="000C0DF9">
      <w:pPr>
        <w:pStyle w:val="Text-Normaln"/>
        <w:widowControl w:val="0"/>
      </w:pPr>
      <w:r>
        <w:t>ČAS nyní bezplatně zpřístupňuje pouze seznam technických norem, které slouží k naplňování požadavků. Nejsou publikovány plné texty, a to z důvodu ochrany autorských práv k těmto normám, kterou po ČR požadují organizace evropské a světové normalizace, jejichž je ÚNMZ členem (přičemž práva vykonává na základě zřizovací listiny ČAS). Technické normy se nesmí poskytovat zdarma, pokud by to členský stát učinil, byl by vyloučen,</w:t>
      </w:r>
      <w:r w:rsidR="00BD2155">
        <w:t xml:space="preserve"> tj. jediný legální způsob, jak </w:t>
      </w:r>
      <w:r>
        <w:t>získat přístup k plným textům technických norem, je jejich nákup.</w:t>
      </w:r>
    </w:p>
    <w:p w:rsidR="000C0DF9" w:rsidRDefault="000C0DF9" w:rsidP="000C0DF9">
      <w:pPr>
        <w:pStyle w:val="Nadpis3a"/>
        <w:numPr>
          <w:ilvl w:val="0"/>
          <w:numId w:val="0"/>
        </w:numPr>
        <w:ind w:left="720" w:hanging="720"/>
      </w:pPr>
      <w:bookmarkStart w:id="79" w:name="_Toc536553932"/>
      <w:r>
        <w:t>D.2.2 Definice problému</w:t>
      </w:r>
      <w:bookmarkEnd w:id="79"/>
    </w:p>
    <w:p w:rsidR="000C0DF9" w:rsidRDefault="000C0DF9" w:rsidP="000C0DF9">
      <w:pPr>
        <w:pStyle w:val="Text-Normaln"/>
        <w:widowControl w:val="0"/>
      </w:pPr>
      <w:r>
        <w:t>Současný stav vede k vysoké právní nejistotě všech účastníků výstavby, zejména stavebníků, projektantů i dodavatelů staveb, přičemž velkou zátěž klade i na samotné stavební úřady.</w:t>
      </w:r>
    </w:p>
    <w:p w:rsidR="000C0DF9" w:rsidRDefault="000C0DF9" w:rsidP="000C0DF9">
      <w:pPr>
        <w:pStyle w:val="Text-Normaln"/>
        <w:widowControl w:val="0"/>
      </w:pPr>
      <w:r>
        <w:t>Příčinu lze hledat v následujících aspektech:</w:t>
      </w:r>
    </w:p>
    <w:p w:rsidR="000C0DF9" w:rsidRDefault="000C0DF9" w:rsidP="00C873B4">
      <w:pPr>
        <w:pStyle w:val="Text-Normaln"/>
        <w:widowControl w:val="0"/>
        <w:numPr>
          <w:ilvl w:val="0"/>
          <w:numId w:val="73"/>
        </w:numPr>
      </w:pPr>
      <w:r>
        <w:t>nepřehlednost v používání technických norem a nejednoznačné odkazy na normy,</w:t>
      </w:r>
    </w:p>
    <w:p w:rsidR="000C0DF9" w:rsidRDefault="000C0DF9" w:rsidP="00C873B4">
      <w:pPr>
        <w:pStyle w:val="Text-Normaln"/>
        <w:widowControl w:val="0"/>
        <w:numPr>
          <w:ilvl w:val="0"/>
          <w:numId w:val="73"/>
        </w:numPr>
      </w:pPr>
      <w:r>
        <w:t>nedostatečná publicita technických norem, a</w:t>
      </w:r>
    </w:p>
    <w:p w:rsidR="000C0DF9" w:rsidRDefault="000C0DF9" w:rsidP="00C873B4">
      <w:pPr>
        <w:pStyle w:val="Text-Normaln"/>
        <w:widowControl w:val="0"/>
        <w:numPr>
          <w:ilvl w:val="0"/>
          <w:numId w:val="73"/>
        </w:numPr>
      </w:pPr>
      <w:r>
        <w:t>skutečnost, že technické normy v některých případech upravují příliš obecnou problematiku, která systematicky spadá spíše do obecných požadavků na výstavbu regulovaných vyhláškami MMR, a případně i opačný příliš velký detail požadavků uvedených v podzákonných předpisech.</w:t>
      </w:r>
    </w:p>
    <w:p w:rsidR="000C0DF9" w:rsidRDefault="000C0DF9" w:rsidP="000C0DF9">
      <w:pPr>
        <w:pStyle w:val="Nadpis3a"/>
        <w:numPr>
          <w:ilvl w:val="0"/>
          <w:numId w:val="0"/>
        </w:numPr>
        <w:ind w:left="720" w:hanging="720"/>
      </w:pPr>
      <w:bookmarkStart w:id="80" w:name="_Toc536553933"/>
      <w:r>
        <w:t>D.2.3 Hodnocení řešeného věcného okruhu</w:t>
      </w:r>
      <w:bookmarkEnd w:id="80"/>
    </w:p>
    <w:p w:rsidR="000C0DF9" w:rsidRDefault="000C0DF9" w:rsidP="000C0DF9">
      <w:pPr>
        <w:pStyle w:val="Text-Normaln"/>
        <w:widowControl w:val="0"/>
        <w:rPr>
          <w:b/>
        </w:rPr>
      </w:pPr>
      <w:r>
        <w:rPr>
          <w:b/>
        </w:rPr>
        <w:t>Cíl:</w:t>
      </w:r>
      <w:r>
        <w:t xml:space="preserve"> Zvýšit právní jistotu, snížit náklady na (soudní) spory; zefektivnit tak přípravu či samotné provádění staveb; zpřehlednit soustavu a způsob odkazování na technické normy a zajistit </w:t>
      </w:r>
      <w:r>
        <w:lastRenderedPageBreak/>
        <w:t>dostatečný přístup k těmto normám</w:t>
      </w:r>
      <w:r w:rsidR="002D7477">
        <w:t>.</w:t>
      </w:r>
    </w:p>
    <w:p w:rsidR="000C0DF9" w:rsidRDefault="000C0DF9" w:rsidP="000C0DF9">
      <w:pPr>
        <w:pStyle w:val="Text-Normaln"/>
        <w:widowControl w:val="0"/>
        <w:rPr>
          <w:b/>
        </w:rPr>
      </w:pPr>
      <w:r>
        <w:rPr>
          <w:b/>
        </w:rPr>
        <w:t>Návrh variant řešení:</w:t>
      </w:r>
    </w:p>
    <w:p w:rsidR="000C0DF9" w:rsidRDefault="000C0DF9" w:rsidP="000C0DF9">
      <w:pPr>
        <w:pStyle w:val="Text-Normaln"/>
        <w:widowControl w:val="0"/>
        <w:rPr>
          <w:i/>
        </w:rPr>
      </w:pPr>
      <w:r>
        <w:rPr>
          <w:b/>
          <w:i/>
        </w:rPr>
        <w:t>Varianta 0:</w:t>
      </w:r>
      <w:r>
        <w:rPr>
          <w:i/>
        </w:rPr>
        <w:t xml:space="preserve"> Zachování současného stavu</w:t>
      </w:r>
    </w:p>
    <w:p w:rsidR="000C0DF9" w:rsidRDefault="000C0DF9" w:rsidP="000C0DF9">
      <w:pPr>
        <w:pStyle w:val="Text-Normaln"/>
        <w:widowControl w:val="0"/>
        <w:rPr>
          <w:i/>
        </w:rPr>
      </w:pPr>
      <w:r>
        <w:rPr>
          <w:b/>
          <w:i/>
        </w:rPr>
        <w:t>Varianta 1:</w:t>
      </w:r>
      <w:r>
        <w:rPr>
          <w:i/>
        </w:rPr>
        <w:t xml:space="preserve"> Změna modelu zahrnující přednostní užívání indikativního odkazu, a pouze ve vybraných případech odkaz výlučný; vytvoření databáze, kterou bude ČAS trvale udržovat v aktuální podobě (v databázi budou obsaženy všechny normy, jednotlivé články norem, případně jiné technické dokumenty </w:t>
      </w:r>
      <w:proofErr w:type="spellStart"/>
      <w:r>
        <w:rPr>
          <w:i/>
        </w:rPr>
        <w:t>plnotextově</w:t>
      </w:r>
      <w:proofErr w:type="spellEnd"/>
      <w:r>
        <w:rPr>
          <w:i/>
        </w:rPr>
        <w:t xml:space="preserve"> a stát bude přístup sponzorovat); provedení revize norem</w:t>
      </w:r>
    </w:p>
    <w:p w:rsidR="000C0DF9" w:rsidRDefault="000C0DF9" w:rsidP="000C0DF9">
      <w:pPr>
        <w:pStyle w:val="Text-Normaln"/>
        <w:widowControl w:val="0"/>
      </w:pPr>
      <w:r>
        <w:t>Parciální segmenty Varianty 1 jsou zahrnuty v jednom scénáři, neboť fragmentovaná implementace nedává z pohledu stanoveného cíle smysl.</w:t>
      </w:r>
    </w:p>
    <w:p w:rsidR="000C0DF9" w:rsidRDefault="000C0DF9" w:rsidP="000C0DF9">
      <w:pPr>
        <w:pStyle w:val="Text-Normaln"/>
        <w:widowControl w:val="0"/>
        <w:rPr>
          <w:b/>
        </w:rPr>
      </w:pPr>
      <w:r>
        <w:rPr>
          <w:b/>
        </w:rPr>
        <w:t>Identifikace nákladů a přínosů:</w:t>
      </w:r>
    </w:p>
    <w:p w:rsidR="000C0DF9" w:rsidRDefault="000C0DF9" w:rsidP="000C0DF9">
      <w:pPr>
        <w:pStyle w:val="Titulek"/>
        <w:keepNext/>
      </w:pPr>
      <w:r>
        <w:t xml:space="preserve">Tabulka </w:t>
      </w:r>
      <w:r w:rsidR="00AB65E9">
        <w:rPr>
          <w:noProof/>
        </w:rPr>
        <w:fldChar w:fldCharType="begin"/>
      </w:r>
      <w:r w:rsidR="00ED6005">
        <w:rPr>
          <w:noProof/>
        </w:rPr>
        <w:instrText xml:space="preserve"> SEQ Tabulka \* ARABIC </w:instrText>
      </w:r>
      <w:r w:rsidR="00AB65E9">
        <w:rPr>
          <w:noProof/>
        </w:rPr>
        <w:fldChar w:fldCharType="separate"/>
      </w:r>
      <w:r w:rsidR="00263A1B">
        <w:rPr>
          <w:noProof/>
        </w:rPr>
        <w:t>29</w:t>
      </w:r>
      <w:r w:rsidR="00AB65E9">
        <w:rPr>
          <w:noProof/>
        </w:rPr>
        <w:fldChar w:fldCharType="end"/>
      </w:r>
      <w:r>
        <w:t>: Identifikace nákladů a přínosů Varianty 1</w:t>
      </w:r>
    </w:p>
    <w:tbl>
      <w:tblPr>
        <w:tblW w:w="0" w:type="auto"/>
        <w:tblInd w:w="108" w:type="dxa"/>
        <w:shd w:val="clear" w:color="auto" w:fill="B6B002"/>
        <w:tblLook w:val="00A0" w:firstRow="1" w:lastRow="0" w:firstColumn="1" w:lastColumn="0" w:noHBand="0" w:noVBand="0"/>
      </w:tblPr>
      <w:tblGrid>
        <w:gridCol w:w="8962"/>
      </w:tblGrid>
      <w:tr w:rsidR="000C0DF9" w:rsidRPr="000C0DF9" w:rsidTr="000C0DF9">
        <w:trPr>
          <w:trHeight w:val="397"/>
        </w:trPr>
        <w:tc>
          <w:tcPr>
            <w:tcW w:w="8962" w:type="dxa"/>
            <w:tcBorders>
              <w:top w:val="single" w:sz="4" w:space="0" w:color="auto"/>
              <w:left w:val="nil"/>
              <w:bottom w:val="single" w:sz="4" w:space="0" w:color="auto"/>
              <w:right w:val="nil"/>
            </w:tcBorders>
            <w:shd w:val="clear" w:color="auto" w:fill="D9D9D9" w:themeFill="background1" w:themeFillShade="D9"/>
            <w:vAlign w:val="center"/>
            <w:hideMark/>
          </w:tcPr>
          <w:p w:rsidR="000C0DF9" w:rsidRPr="000C0DF9" w:rsidRDefault="000C0DF9" w:rsidP="000C0DF9">
            <w:pPr>
              <w:widowControl w:val="0"/>
              <w:spacing w:before="0" w:after="0"/>
              <w:rPr>
                <w:rFonts w:asciiTheme="minorHAnsi" w:hAnsiTheme="minorHAnsi"/>
                <w:b/>
                <w:color w:val="000000"/>
                <w:sz w:val="20"/>
                <w:szCs w:val="20"/>
              </w:rPr>
            </w:pPr>
            <w:r w:rsidRPr="000C0DF9">
              <w:rPr>
                <w:rFonts w:asciiTheme="minorHAnsi" w:hAnsiTheme="minorHAnsi"/>
                <w:b/>
                <w:color w:val="000000"/>
                <w:sz w:val="20"/>
                <w:szCs w:val="20"/>
              </w:rPr>
              <w:t>Náklady</w:t>
            </w:r>
          </w:p>
        </w:tc>
      </w:tr>
      <w:tr w:rsidR="000C0DF9" w:rsidRPr="000C0DF9" w:rsidTr="000C0DF9">
        <w:trPr>
          <w:trHeight w:val="397"/>
        </w:trPr>
        <w:tc>
          <w:tcPr>
            <w:tcW w:w="8962" w:type="dxa"/>
            <w:tcBorders>
              <w:top w:val="single" w:sz="4" w:space="0" w:color="auto"/>
              <w:left w:val="nil"/>
              <w:bottom w:val="single" w:sz="4" w:space="0" w:color="auto"/>
              <w:right w:val="nil"/>
            </w:tcBorders>
            <w:shd w:val="clear" w:color="auto" w:fill="auto"/>
            <w:vAlign w:val="center"/>
            <w:hideMark/>
          </w:tcPr>
          <w:p w:rsidR="000C0DF9" w:rsidRPr="000C0DF9" w:rsidRDefault="000C0DF9" w:rsidP="000C0DF9">
            <w:pPr>
              <w:widowControl w:val="0"/>
              <w:spacing w:before="0" w:after="0"/>
              <w:rPr>
                <w:rFonts w:asciiTheme="minorHAnsi" w:hAnsiTheme="minorHAnsi"/>
                <w:color w:val="000000"/>
                <w:sz w:val="20"/>
                <w:szCs w:val="20"/>
              </w:rPr>
            </w:pPr>
            <w:r w:rsidRPr="000C0DF9">
              <w:rPr>
                <w:rFonts w:asciiTheme="minorHAnsi" w:hAnsiTheme="minorHAnsi"/>
                <w:color w:val="000000"/>
                <w:sz w:val="20"/>
                <w:szCs w:val="20"/>
              </w:rPr>
              <w:t>Na straně ČAS</w:t>
            </w:r>
          </w:p>
          <w:p w:rsidR="000C0DF9" w:rsidRPr="000C0DF9" w:rsidRDefault="000C0DF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0C0DF9">
              <w:rPr>
                <w:rFonts w:asciiTheme="minorHAnsi" w:hAnsiTheme="minorHAnsi"/>
                <w:sz w:val="20"/>
                <w:szCs w:val="20"/>
              </w:rPr>
              <w:t xml:space="preserve">Náklady na technické řešení </w:t>
            </w:r>
          </w:p>
          <w:p w:rsidR="000C0DF9" w:rsidRPr="000C0DF9" w:rsidRDefault="000C0DF9" w:rsidP="00C873B4">
            <w:pPr>
              <w:pStyle w:val="Odstavecseseznamem"/>
              <w:widowControl w:val="0"/>
              <w:numPr>
                <w:ilvl w:val="0"/>
                <w:numId w:val="70"/>
              </w:numPr>
              <w:spacing w:before="0" w:after="0"/>
              <w:contextualSpacing w:val="0"/>
              <w:rPr>
                <w:rFonts w:asciiTheme="minorHAnsi" w:hAnsiTheme="minorHAnsi"/>
                <w:sz w:val="20"/>
                <w:szCs w:val="20"/>
              </w:rPr>
            </w:pPr>
            <w:r w:rsidRPr="000C0DF9">
              <w:rPr>
                <w:rFonts w:asciiTheme="minorHAnsi" w:hAnsiTheme="minorHAnsi"/>
                <w:sz w:val="20"/>
                <w:szCs w:val="20"/>
              </w:rPr>
              <w:t>Pravidelná aktualizace a údržba</w:t>
            </w:r>
          </w:p>
          <w:p w:rsidR="000C0DF9" w:rsidRPr="000C0DF9" w:rsidRDefault="000C0DF9" w:rsidP="00C873B4">
            <w:pPr>
              <w:pStyle w:val="Odstavecseseznamem"/>
              <w:widowControl w:val="0"/>
              <w:numPr>
                <w:ilvl w:val="0"/>
                <w:numId w:val="70"/>
              </w:numPr>
              <w:spacing w:before="0" w:after="0"/>
              <w:contextualSpacing w:val="0"/>
              <w:rPr>
                <w:rFonts w:asciiTheme="minorHAnsi" w:hAnsiTheme="minorHAnsi"/>
                <w:sz w:val="20"/>
                <w:szCs w:val="20"/>
              </w:rPr>
            </w:pPr>
            <w:r w:rsidRPr="000C0DF9">
              <w:rPr>
                <w:rFonts w:asciiTheme="minorHAnsi" w:hAnsiTheme="minorHAnsi"/>
                <w:sz w:val="20"/>
                <w:szCs w:val="20"/>
              </w:rPr>
              <w:t>Revize norem – zde je předpokládána spoluúčast státu</w:t>
            </w:r>
          </w:p>
          <w:p w:rsidR="000C0DF9" w:rsidRPr="000C0DF9" w:rsidRDefault="000C0DF9" w:rsidP="000C0DF9">
            <w:pPr>
              <w:widowControl w:val="0"/>
              <w:spacing w:before="0" w:after="0"/>
              <w:rPr>
                <w:rFonts w:asciiTheme="minorHAnsi" w:hAnsiTheme="minorHAnsi"/>
                <w:sz w:val="20"/>
                <w:szCs w:val="20"/>
              </w:rPr>
            </w:pPr>
            <w:r w:rsidRPr="000C0DF9">
              <w:rPr>
                <w:rFonts w:asciiTheme="minorHAnsi" w:hAnsiTheme="minorHAnsi"/>
                <w:sz w:val="20"/>
                <w:szCs w:val="20"/>
              </w:rPr>
              <w:t xml:space="preserve">Na straně státu </w:t>
            </w:r>
          </w:p>
          <w:p w:rsidR="000C0DF9" w:rsidRPr="008712FB" w:rsidRDefault="000C0DF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0C0DF9">
              <w:rPr>
                <w:rFonts w:asciiTheme="minorHAnsi" w:hAnsiTheme="minorHAnsi"/>
                <w:sz w:val="20"/>
                <w:szCs w:val="20"/>
              </w:rPr>
              <w:t>Sponzoring přístupu k technickým normám</w:t>
            </w:r>
          </w:p>
          <w:p w:rsidR="00E04C32" w:rsidRPr="000C0DF9" w:rsidRDefault="00E04C32" w:rsidP="008712FB">
            <w:pPr>
              <w:pStyle w:val="Odstavecseseznamem"/>
              <w:widowControl w:val="0"/>
              <w:spacing w:before="0" w:after="0"/>
              <w:ind w:left="360"/>
              <w:contextualSpacing w:val="0"/>
              <w:rPr>
                <w:rFonts w:asciiTheme="minorHAnsi" w:hAnsiTheme="minorHAnsi"/>
                <w:color w:val="000000"/>
                <w:sz w:val="20"/>
                <w:szCs w:val="20"/>
              </w:rPr>
            </w:pPr>
          </w:p>
        </w:tc>
      </w:tr>
      <w:tr w:rsidR="000C0DF9" w:rsidRPr="000C0DF9" w:rsidTr="000C0DF9">
        <w:trPr>
          <w:trHeight w:val="397"/>
        </w:trPr>
        <w:tc>
          <w:tcPr>
            <w:tcW w:w="8962" w:type="dxa"/>
            <w:tcBorders>
              <w:top w:val="single" w:sz="4" w:space="0" w:color="auto"/>
              <w:left w:val="nil"/>
              <w:bottom w:val="single" w:sz="4" w:space="0" w:color="auto"/>
              <w:right w:val="nil"/>
            </w:tcBorders>
            <w:shd w:val="clear" w:color="auto" w:fill="D9D9D9" w:themeFill="background1" w:themeFillShade="D9"/>
            <w:vAlign w:val="center"/>
            <w:hideMark/>
          </w:tcPr>
          <w:p w:rsidR="000C0DF9" w:rsidRPr="000C0DF9" w:rsidRDefault="000C0DF9" w:rsidP="000C0DF9">
            <w:pPr>
              <w:widowControl w:val="0"/>
              <w:spacing w:before="0" w:after="0"/>
              <w:rPr>
                <w:rFonts w:asciiTheme="minorHAnsi" w:hAnsiTheme="minorHAnsi"/>
                <w:b/>
                <w:color w:val="000000"/>
                <w:sz w:val="20"/>
                <w:szCs w:val="20"/>
              </w:rPr>
            </w:pPr>
            <w:r w:rsidRPr="000C0DF9">
              <w:rPr>
                <w:rFonts w:asciiTheme="minorHAnsi" w:hAnsiTheme="minorHAnsi"/>
                <w:b/>
                <w:color w:val="000000"/>
                <w:sz w:val="20"/>
                <w:szCs w:val="20"/>
              </w:rPr>
              <w:t>Přínosy</w:t>
            </w:r>
          </w:p>
        </w:tc>
      </w:tr>
      <w:tr w:rsidR="000C0DF9" w:rsidRPr="000C0DF9" w:rsidTr="000C0DF9">
        <w:trPr>
          <w:trHeight w:val="397"/>
        </w:trPr>
        <w:tc>
          <w:tcPr>
            <w:tcW w:w="8962" w:type="dxa"/>
            <w:tcBorders>
              <w:top w:val="single" w:sz="4" w:space="0" w:color="auto"/>
              <w:left w:val="nil"/>
              <w:bottom w:val="single" w:sz="4" w:space="0" w:color="auto"/>
              <w:right w:val="nil"/>
            </w:tcBorders>
            <w:shd w:val="clear" w:color="auto" w:fill="FFFFFF" w:themeFill="background1"/>
            <w:vAlign w:val="center"/>
            <w:hideMark/>
          </w:tcPr>
          <w:p w:rsidR="000C0DF9" w:rsidRPr="000C0DF9" w:rsidRDefault="000C0DF9" w:rsidP="000C0DF9">
            <w:pPr>
              <w:widowControl w:val="0"/>
              <w:spacing w:before="0" w:after="0"/>
              <w:rPr>
                <w:rFonts w:asciiTheme="minorHAnsi" w:hAnsiTheme="minorHAnsi"/>
                <w:color w:val="000000"/>
                <w:sz w:val="20"/>
                <w:szCs w:val="20"/>
              </w:rPr>
            </w:pPr>
            <w:r w:rsidRPr="000C0DF9">
              <w:rPr>
                <w:rFonts w:asciiTheme="minorHAnsi" w:hAnsiTheme="minorHAnsi"/>
                <w:color w:val="000000"/>
                <w:sz w:val="20"/>
                <w:szCs w:val="20"/>
              </w:rPr>
              <w:t xml:space="preserve">Všechny strany podílející se na přípravě či samotné realizaci stavby stavební úřady či </w:t>
            </w:r>
            <w:r w:rsidR="00E04C32">
              <w:rPr>
                <w:rFonts w:asciiTheme="minorHAnsi" w:hAnsiTheme="minorHAnsi"/>
                <w:color w:val="000000"/>
                <w:sz w:val="20"/>
                <w:szCs w:val="20"/>
              </w:rPr>
              <w:t>DO</w:t>
            </w:r>
            <w:r w:rsidRPr="000C0DF9">
              <w:rPr>
                <w:rFonts w:asciiTheme="minorHAnsi" w:hAnsiTheme="minorHAnsi"/>
                <w:color w:val="000000"/>
                <w:sz w:val="20"/>
                <w:szCs w:val="20"/>
              </w:rPr>
              <w:t xml:space="preserve"> nevyjímaje</w:t>
            </w:r>
          </w:p>
          <w:p w:rsidR="000C0DF9" w:rsidRPr="000C0DF9" w:rsidRDefault="000C0DF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0C0DF9">
              <w:rPr>
                <w:rFonts w:asciiTheme="minorHAnsi" w:hAnsiTheme="minorHAnsi"/>
                <w:sz w:val="20"/>
                <w:szCs w:val="20"/>
              </w:rPr>
              <w:t>Zvýšení právní jistoty</w:t>
            </w:r>
          </w:p>
          <w:p w:rsidR="000C0DF9" w:rsidRPr="000C0DF9" w:rsidRDefault="000C0DF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0C0DF9">
              <w:rPr>
                <w:rFonts w:asciiTheme="minorHAnsi" w:hAnsiTheme="minorHAnsi"/>
                <w:color w:val="000000"/>
                <w:sz w:val="20"/>
                <w:szCs w:val="20"/>
              </w:rPr>
              <w:t xml:space="preserve">Časové úspory a úspory úkonů plynoucí z existence transparentní databáze technických norem, z jejich provedené revize, z výběru a stanovení technických norem, jejichž splnění bude povinné </w:t>
            </w:r>
          </w:p>
          <w:p w:rsidR="000C0DF9" w:rsidRPr="000C0DF9" w:rsidRDefault="000C0DF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0C0DF9">
              <w:rPr>
                <w:rFonts w:asciiTheme="minorHAnsi" w:hAnsiTheme="minorHAnsi"/>
                <w:color w:val="000000"/>
                <w:sz w:val="20"/>
                <w:szCs w:val="20"/>
              </w:rPr>
              <w:t xml:space="preserve">Podpora technologického rozvoje díky upřednostnění indikativních odkazů </w:t>
            </w:r>
          </w:p>
          <w:p w:rsidR="000C0DF9" w:rsidRPr="000C0DF9" w:rsidRDefault="000C0DF9" w:rsidP="00C873B4">
            <w:pPr>
              <w:pStyle w:val="Odstavecseseznamem"/>
              <w:widowControl w:val="0"/>
              <w:numPr>
                <w:ilvl w:val="0"/>
                <w:numId w:val="70"/>
              </w:numPr>
              <w:spacing w:before="0" w:after="0"/>
              <w:contextualSpacing w:val="0"/>
              <w:rPr>
                <w:rFonts w:asciiTheme="minorHAnsi" w:hAnsiTheme="minorHAnsi"/>
                <w:color w:val="000000"/>
                <w:sz w:val="20"/>
                <w:szCs w:val="20"/>
              </w:rPr>
            </w:pPr>
            <w:r w:rsidRPr="000C0DF9">
              <w:rPr>
                <w:rFonts w:asciiTheme="minorHAnsi" w:hAnsiTheme="minorHAnsi"/>
                <w:color w:val="000000"/>
                <w:sz w:val="20"/>
                <w:szCs w:val="20"/>
              </w:rPr>
              <w:t>Podpora MSP, které nemohou vynakládat tolik prostředků na sledování právního stavu, konzultanty apod. v porovnání s většími společnostmi</w:t>
            </w:r>
          </w:p>
        </w:tc>
      </w:tr>
    </w:tbl>
    <w:p w:rsidR="000C0DF9" w:rsidRDefault="000C0DF9" w:rsidP="000C0DF9">
      <w:pPr>
        <w:pStyle w:val="Text-Normaln"/>
        <w:widowControl w:val="0"/>
        <w:rPr>
          <w:b/>
        </w:rPr>
      </w:pPr>
      <w:r>
        <w:rPr>
          <w:b/>
        </w:rPr>
        <w:t>Kvantifikace nákladů:</w:t>
      </w:r>
    </w:p>
    <w:p w:rsidR="000C0DF9" w:rsidRDefault="000C0DF9" w:rsidP="000C0DF9">
      <w:pPr>
        <w:pStyle w:val="Text-Normaln"/>
        <w:widowControl w:val="0"/>
        <w:rPr>
          <w:i/>
        </w:rPr>
      </w:pPr>
      <w:r>
        <w:rPr>
          <w:b/>
          <w:i/>
        </w:rPr>
        <w:t>Varianta 1</w:t>
      </w:r>
      <w:r>
        <w:rPr>
          <w:i/>
        </w:rPr>
        <w:t xml:space="preserve"> </w:t>
      </w:r>
    </w:p>
    <w:p w:rsidR="000C0DF9" w:rsidRDefault="000C0DF9" w:rsidP="008712FB">
      <w:pPr>
        <w:widowControl w:val="0"/>
        <w:spacing w:before="80" w:after="80"/>
        <w:rPr>
          <w:u w:val="single"/>
        </w:rPr>
      </w:pPr>
      <w:r>
        <w:rPr>
          <w:u w:val="single"/>
        </w:rPr>
        <w:t xml:space="preserve">Náklady na technické řešení </w:t>
      </w:r>
    </w:p>
    <w:p w:rsidR="000C0DF9" w:rsidRDefault="000C0DF9" w:rsidP="008712FB">
      <w:pPr>
        <w:spacing w:before="80" w:after="80"/>
      </w:pPr>
      <w:r>
        <w:t xml:space="preserve">Technické řešení je již hotové, reálně funguje v případě přístupu k normám na elektronickou fakturu. ČAS tak odhaduje jednorázové náklady na rozšíření IT řešení na stavební normy pouze ve výši přibližně 0,5 mil. Kč. </w:t>
      </w:r>
    </w:p>
    <w:p w:rsidR="000C0DF9" w:rsidRDefault="000C0DF9" w:rsidP="008712FB">
      <w:pPr>
        <w:widowControl w:val="0"/>
        <w:spacing w:before="80" w:after="80"/>
      </w:pPr>
      <w:r>
        <w:rPr>
          <w:u w:val="single"/>
        </w:rPr>
        <w:t>Pravidelná aktualizace a údržba</w:t>
      </w:r>
    </w:p>
    <w:p w:rsidR="000C0DF9" w:rsidRDefault="000C0DF9" w:rsidP="008712FB">
      <w:pPr>
        <w:spacing w:before="80" w:after="80"/>
      </w:pPr>
      <w:r>
        <w:t xml:space="preserve">Na základě konzultací s ČAS </w:t>
      </w:r>
      <w:r w:rsidR="00E04C32">
        <w:t>se dá předpokládat</w:t>
      </w:r>
      <w:r>
        <w:t xml:space="preserve">, že pravidelnou aktualizaci a údržbu by částečně agentura poskytovala v rámci ceny sponzorovaného přístupu. </w:t>
      </w:r>
    </w:p>
    <w:p w:rsidR="000C0DF9" w:rsidRDefault="000C0DF9" w:rsidP="008712FB">
      <w:pPr>
        <w:widowControl w:val="0"/>
        <w:spacing w:before="80" w:after="80"/>
      </w:pPr>
      <w:r>
        <w:rPr>
          <w:u w:val="single"/>
        </w:rPr>
        <w:t>Revize norem</w:t>
      </w:r>
      <w:r>
        <w:t xml:space="preserve"> </w:t>
      </w:r>
    </w:p>
    <w:p w:rsidR="000C0DF9" w:rsidRDefault="000C0DF9" w:rsidP="008712FB">
      <w:pPr>
        <w:spacing w:before="80" w:after="80"/>
      </w:pPr>
      <w:r>
        <w:t>U této kategorie jednorázových nákladů je předpokládána finanč</w:t>
      </w:r>
      <w:r w:rsidR="00BD2155">
        <w:t>ní spoluúčast státu. Jedná se o </w:t>
      </w:r>
      <w:r>
        <w:t xml:space="preserve">náklady na vytvoření databáze. Pro tvorbu databáze bude třeba </w:t>
      </w:r>
      <w:proofErr w:type="spellStart"/>
      <w:r>
        <w:t>zasmluvnit</w:t>
      </w:r>
      <w:proofErr w:type="spellEnd"/>
      <w:r>
        <w:t xml:space="preserve"> množství odborníků na jednotlivé druhy staveb (pozemní, dopravní, vodní atd.), a v rámci těchto segmentů pak odborníků </w:t>
      </w:r>
      <w:r w:rsidR="00686D84">
        <w:t>například</w:t>
      </w:r>
      <w:r>
        <w:t xml:space="preserve"> na technické zabezpečení budov, tepelnou och</w:t>
      </w:r>
      <w:r w:rsidR="00BD2155">
        <w:t>ranu budov, vnitřní instalace a </w:t>
      </w:r>
      <w:r>
        <w:t>další desítky profesí. Tito odborníky určí, které požadavky budou povinné pro účely stavebních předpisů a budou začleněny do databáze.</w:t>
      </w:r>
    </w:p>
    <w:p w:rsidR="000C0DF9" w:rsidRDefault="000C0DF9" w:rsidP="008712FB">
      <w:pPr>
        <w:spacing w:before="80" w:after="80"/>
      </w:pPr>
      <w:r>
        <w:lastRenderedPageBreak/>
        <w:t>Úkol bude muset být řešen ve spolupráci s profesními komorami, ČKAIT, ČKA a dalšími odborníky. Nositelem úkolu by měla být ČAS, aby byla z</w:t>
      </w:r>
      <w:r w:rsidR="00BD2155">
        <w:t>ajištěna efektivní komunikace a </w:t>
      </w:r>
      <w:r>
        <w:t>koordinace.</w:t>
      </w:r>
    </w:p>
    <w:p w:rsidR="000C0DF9" w:rsidRDefault="000C0DF9" w:rsidP="008712FB">
      <w:pPr>
        <w:spacing w:before="80" w:after="80"/>
      </w:pPr>
      <w:r>
        <w:t xml:space="preserve">Náklady jsou ČAS odhadovány na přibližně 10 mil Kč. </w:t>
      </w:r>
    </w:p>
    <w:p w:rsidR="000C0DF9" w:rsidRDefault="000C0DF9" w:rsidP="008712FB">
      <w:pPr>
        <w:spacing w:before="80" w:after="80"/>
        <w:rPr>
          <w:u w:val="single"/>
        </w:rPr>
      </w:pPr>
      <w:r>
        <w:rPr>
          <w:u w:val="single"/>
        </w:rPr>
        <w:t>Sponzorování technických norem státem</w:t>
      </w:r>
    </w:p>
    <w:p w:rsidR="000C0DF9" w:rsidRDefault="000C0DF9" w:rsidP="008712FB">
      <w:pPr>
        <w:spacing w:before="80" w:after="80"/>
      </w:pPr>
      <w:r>
        <w:t>V současné době je v případě přístupu k normám na elektronickou fakturu hrazeno MMR agentuře 7 mil. Kč za obsažených 9 norem. Při předpokladu zachování počtu 160 norem relevantních pro účely dnešního stavebného zákona a vyhlášky 268/2009 Sb. byla ČAS provedena následující kalkulace:</w:t>
      </w:r>
    </w:p>
    <w:p w:rsidR="000C0DF9" w:rsidRDefault="000C0DF9" w:rsidP="000C0DF9">
      <w:pPr>
        <w:pStyle w:val="Titulek"/>
        <w:keepNext/>
      </w:pPr>
      <w:r>
        <w:t xml:space="preserve">Tabulka </w:t>
      </w:r>
      <w:r w:rsidR="00AB65E9">
        <w:rPr>
          <w:noProof/>
        </w:rPr>
        <w:fldChar w:fldCharType="begin"/>
      </w:r>
      <w:r>
        <w:rPr>
          <w:noProof/>
        </w:rPr>
        <w:instrText xml:space="preserve"> SEQ Tabulka \* ARABIC </w:instrText>
      </w:r>
      <w:r w:rsidR="00AB65E9">
        <w:rPr>
          <w:noProof/>
        </w:rPr>
        <w:fldChar w:fldCharType="separate"/>
      </w:r>
      <w:r w:rsidR="00263A1B">
        <w:rPr>
          <w:noProof/>
        </w:rPr>
        <w:t>30</w:t>
      </w:r>
      <w:r w:rsidR="00AB65E9">
        <w:rPr>
          <w:noProof/>
        </w:rPr>
        <w:fldChar w:fldCharType="end"/>
      </w:r>
      <w:r>
        <w:t>: Předběžná kalkulace sponzorovaného přístupu pro uživatele stavebních norem</w:t>
      </w:r>
    </w:p>
    <w:tbl>
      <w:tblPr>
        <w:tblStyle w:val="Svtlstnovn1"/>
        <w:tblW w:w="0" w:type="auto"/>
        <w:tblInd w:w="108" w:type="dxa"/>
        <w:tblLook w:val="04A0" w:firstRow="1" w:lastRow="0" w:firstColumn="1" w:lastColumn="0" w:noHBand="0" w:noVBand="1"/>
      </w:tblPr>
      <w:tblGrid>
        <w:gridCol w:w="4253"/>
        <w:gridCol w:w="4819"/>
      </w:tblGrid>
      <w:tr w:rsidR="000C0DF9" w:rsidTr="008712F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C0DF9" w:rsidRDefault="000C0DF9">
            <w:pPr>
              <w:spacing w:before="0" w:after="0"/>
              <w:rPr>
                <w:rFonts w:asciiTheme="minorHAnsi" w:hAnsiTheme="minorHAnsi" w:cstheme="minorHAnsi"/>
                <w:sz w:val="20"/>
                <w:szCs w:val="20"/>
              </w:rPr>
            </w:pPr>
            <w:r>
              <w:rPr>
                <w:rFonts w:asciiTheme="minorHAnsi" w:hAnsiTheme="minorHAnsi" w:cstheme="minorHAnsi"/>
                <w:sz w:val="20"/>
                <w:szCs w:val="20"/>
              </w:rPr>
              <w:t>Vstupní parametr</w:t>
            </w:r>
          </w:p>
        </w:tc>
        <w:tc>
          <w:tcPr>
            <w:tcW w:w="4819" w:type="dxa"/>
            <w:vAlign w:val="center"/>
            <w:hideMark/>
          </w:tcPr>
          <w:p w:rsidR="000C0DF9" w:rsidRDefault="000C0DF9">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Hodnota</w:t>
            </w:r>
          </w:p>
        </w:tc>
      </w:tr>
      <w:tr w:rsidR="000C0DF9" w:rsidTr="008712F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3" w:type="dxa"/>
            <w:tcBorders>
              <w:top w:val="nil"/>
              <w:bottom w:val="nil"/>
            </w:tcBorders>
            <w:vAlign w:val="center"/>
            <w:hideMark/>
          </w:tcPr>
          <w:p w:rsidR="000C0DF9" w:rsidRDefault="000C0DF9">
            <w:pPr>
              <w:spacing w:before="0" w:after="0"/>
              <w:rPr>
                <w:rFonts w:asciiTheme="minorHAnsi" w:hAnsiTheme="minorHAnsi" w:cstheme="minorHAnsi"/>
                <w:b w:val="0"/>
                <w:sz w:val="20"/>
                <w:szCs w:val="20"/>
              </w:rPr>
            </w:pPr>
            <w:r>
              <w:rPr>
                <w:rFonts w:asciiTheme="minorHAnsi" w:hAnsiTheme="minorHAnsi" w:cstheme="minorHAnsi"/>
                <w:b w:val="0"/>
                <w:sz w:val="20"/>
                <w:szCs w:val="20"/>
              </w:rPr>
              <w:t>Hodnota poskytovaných ČSN*</w:t>
            </w:r>
          </w:p>
        </w:tc>
        <w:tc>
          <w:tcPr>
            <w:tcW w:w="4819" w:type="dxa"/>
            <w:tcBorders>
              <w:top w:val="nil"/>
              <w:bottom w:val="nil"/>
            </w:tcBorders>
            <w:vAlign w:val="center"/>
            <w:hideMark/>
          </w:tcPr>
          <w:p w:rsidR="000C0DF9" w:rsidRDefault="000C0DF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88 366,- Kč (pro výpočet zaokrouhleno na 88 000,- Kč)</w:t>
            </w:r>
          </w:p>
        </w:tc>
      </w:tr>
      <w:tr w:rsidR="000C0DF9" w:rsidTr="008712FB">
        <w:trPr>
          <w:trHeight w:val="340"/>
        </w:trPr>
        <w:tc>
          <w:tcPr>
            <w:cnfStyle w:val="001000000000" w:firstRow="0" w:lastRow="0" w:firstColumn="1" w:lastColumn="0" w:oddVBand="0" w:evenVBand="0" w:oddHBand="0" w:evenHBand="0" w:firstRowFirstColumn="0" w:firstRowLastColumn="0" w:lastRowFirstColumn="0" w:lastRowLastColumn="0"/>
            <w:tcW w:w="4253" w:type="dxa"/>
            <w:tcBorders>
              <w:top w:val="nil"/>
              <w:left w:val="nil"/>
              <w:bottom w:val="nil"/>
              <w:right w:val="nil"/>
            </w:tcBorders>
            <w:vAlign w:val="center"/>
            <w:hideMark/>
          </w:tcPr>
          <w:p w:rsidR="000C0DF9" w:rsidRDefault="000C0DF9">
            <w:pPr>
              <w:spacing w:before="0" w:after="0"/>
              <w:rPr>
                <w:rFonts w:asciiTheme="minorHAnsi" w:hAnsiTheme="minorHAnsi" w:cstheme="minorHAnsi"/>
                <w:b w:val="0"/>
                <w:sz w:val="20"/>
                <w:szCs w:val="20"/>
              </w:rPr>
            </w:pPr>
            <w:r>
              <w:rPr>
                <w:rFonts w:asciiTheme="minorHAnsi" w:hAnsiTheme="minorHAnsi" w:cstheme="minorHAnsi"/>
                <w:b w:val="0"/>
                <w:sz w:val="20"/>
                <w:szCs w:val="20"/>
              </w:rPr>
              <w:t>Počet potenciálních uživatelů**</w:t>
            </w:r>
          </w:p>
        </w:tc>
        <w:tc>
          <w:tcPr>
            <w:tcW w:w="4819" w:type="dxa"/>
            <w:tcBorders>
              <w:top w:val="nil"/>
              <w:left w:val="nil"/>
              <w:bottom w:val="nil"/>
              <w:right w:val="nil"/>
            </w:tcBorders>
            <w:vAlign w:val="center"/>
            <w:hideMark/>
          </w:tcPr>
          <w:p w:rsidR="000C0DF9" w:rsidRDefault="000C0DF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bCs/>
                <w:sz w:val="20"/>
                <w:szCs w:val="20"/>
              </w:rPr>
              <w:t>130 000</w:t>
            </w:r>
            <w:r>
              <w:rPr>
                <w:rFonts w:asciiTheme="minorHAnsi" w:hAnsiTheme="minorHAnsi" w:cstheme="minorHAnsi"/>
                <w:sz w:val="20"/>
                <w:szCs w:val="20"/>
              </w:rPr>
              <w:t xml:space="preserve"> (zaokrouhleno na celé stovky)</w:t>
            </w:r>
          </w:p>
        </w:tc>
      </w:tr>
      <w:tr w:rsidR="000C0DF9" w:rsidTr="008712F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3" w:type="dxa"/>
            <w:tcBorders>
              <w:top w:val="nil"/>
              <w:bottom w:val="nil"/>
            </w:tcBorders>
            <w:vAlign w:val="center"/>
            <w:hideMark/>
          </w:tcPr>
          <w:p w:rsidR="000C0DF9" w:rsidRDefault="000C0DF9">
            <w:pPr>
              <w:spacing w:before="0" w:after="0"/>
              <w:rPr>
                <w:rFonts w:asciiTheme="minorHAnsi" w:hAnsiTheme="minorHAnsi" w:cstheme="minorHAnsi"/>
                <w:b w:val="0"/>
                <w:sz w:val="20"/>
                <w:szCs w:val="20"/>
              </w:rPr>
            </w:pPr>
            <w:r>
              <w:rPr>
                <w:rFonts w:asciiTheme="minorHAnsi" w:hAnsiTheme="minorHAnsi" w:cstheme="minorHAnsi"/>
                <w:b w:val="0"/>
                <w:sz w:val="20"/>
                <w:szCs w:val="20"/>
              </w:rPr>
              <w:t>Minimální částka hrazená za jednoho uživatele (</w:t>
            </w:r>
            <w:r>
              <w:rPr>
                <w:rFonts w:asciiTheme="minorHAnsi" w:hAnsiTheme="minorHAnsi" w:cstheme="minorHAnsi"/>
                <w:b w:val="0"/>
                <w:bCs w:val="0"/>
                <w:sz w:val="20"/>
                <w:szCs w:val="20"/>
              </w:rPr>
              <w:t>0,5 %</w:t>
            </w:r>
            <w:r>
              <w:rPr>
                <w:rFonts w:asciiTheme="minorHAnsi" w:hAnsiTheme="minorHAnsi" w:cstheme="minorHAnsi"/>
                <w:b w:val="0"/>
                <w:sz w:val="20"/>
                <w:szCs w:val="20"/>
              </w:rPr>
              <w:t xml:space="preserve"> z hodnoty poskytovaných ČSN)</w:t>
            </w:r>
          </w:p>
        </w:tc>
        <w:tc>
          <w:tcPr>
            <w:tcW w:w="4819" w:type="dxa"/>
            <w:tcBorders>
              <w:top w:val="nil"/>
              <w:bottom w:val="nil"/>
            </w:tcBorders>
            <w:vAlign w:val="center"/>
            <w:hideMark/>
          </w:tcPr>
          <w:p w:rsidR="000C0DF9" w:rsidRDefault="000C0DF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441,83 Kč (zaokrouhleno na </w:t>
            </w:r>
            <w:r>
              <w:rPr>
                <w:rFonts w:asciiTheme="minorHAnsi" w:hAnsiTheme="minorHAnsi" w:cstheme="minorHAnsi"/>
                <w:bCs/>
                <w:sz w:val="20"/>
                <w:szCs w:val="20"/>
              </w:rPr>
              <w:t>440,- Kč</w:t>
            </w:r>
            <w:r>
              <w:rPr>
                <w:rFonts w:asciiTheme="minorHAnsi" w:hAnsiTheme="minorHAnsi" w:cstheme="minorHAnsi"/>
                <w:sz w:val="20"/>
                <w:szCs w:val="20"/>
              </w:rPr>
              <w:t>)</w:t>
            </w:r>
          </w:p>
        </w:tc>
      </w:tr>
      <w:tr w:rsidR="000C0DF9" w:rsidTr="008712FB">
        <w:trPr>
          <w:trHeight w:val="340"/>
        </w:trPr>
        <w:tc>
          <w:tcPr>
            <w:cnfStyle w:val="001000000000" w:firstRow="0" w:lastRow="0" w:firstColumn="1" w:lastColumn="0" w:oddVBand="0" w:evenVBand="0" w:oddHBand="0" w:evenHBand="0" w:firstRowFirstColumn="0" w:firstRowLastColumn="0" w:lastRowFirstColumn="0" w:lastRowLastColumn="0"/>
            <w:tcW w:w="4253" w:type="dxa"/>
            <w:tcBorders>
              <w:top w:val="nil"/>
              <w:left w:val="nil"/>
              <w:bottom w:val="single" w:sz="8" w:space="0" w:color="000000"/>
              <w:right w:val="nil"/>
            </w:tcBorders>
            <w:vAlign w:val="center"/>
            <w:hideMark/>
          </w:tcPr>
          <w:p w:rsidR="000C0DF9" w:rsidRDefault="000C0DF9">
            <w:pPr>
              <w:spacing w:before="0" w:after="0"/>
              <w:rPr>
                <w:rFonts w:asciiTheme="minorHAnsi" w:hAnsiTheme="minorHAnsi" w:cstheme="minorHAnsi"/>
                <w:sz w:val="20"/>
                <w:szCs w:val="20"/>
              </w:rPr>
            </w:pPr>
            <w:r>
              <w:rPr>
                <w:rFonts w:asciiTheme="minorHAnsi" w:hAnsiTheme="minorHAnsi" w:cstheme="minorHAnsi"/>
                <w:sz w:val="20"/>
                <w:szCs w:val="20"/>
              </w:rPr>
              <w:t>Sponzor hradí tuto částku za všechny potenciální uživatele, tedy 440 Kč krát 130 000 uživatelů</w:t>
            </w:r>
          </w:p>
        </w:tc>
        <w:tc>
          <w:tcPr>
            <w:tcW w:w="4819" w:type="dxa"/>
            <w:tcBorders>
              <w:top w:val="nil"/>
              <w:left w:val="nil"/>
              <w:bottom w:val="single" w:sz="8" w:space="0" w:color="000000"/>
              <w:right w:val="nil"/>
            </w:tcBorders>
            <w:vAlign w:val="center"/>
            <w:hideMark/>
          </w:tcPr>
          <w:p w:rsidR="000C0DF9" w:rsidRDefault="000C0DF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712FB">
              <w:rPr>
                <w:rFonts w:asciiTheme="minorHAnsi" w:hAnsiTheme="minorHAnsi" w:cstheme="minorHAnsi"/>
                <w:b/>
                <w:bCs/>
                <w:sz w:val="20"/>
                <w:szCs w:val="20"/>
              </w:rPr>
              <w:t>57 200 000,- Kč/rok</w:t>
            </w:r>
          </w:p>
        </w:tc>
      </w:tr>
    </w:tbl>
    <w:p w:rsidR="000C0DF9" w:rsidRDefault="000C0DF9" w:rsidP="000C0DF9">
      <w:pPr>
        <w:pStyle w:val="Citt"/>
      </w:pPr>
      <w:r>
        <w:rPr>
          <w:rStyle w:val="CittChar"/>
          <w:i/>
          <w:iCs/>
        </w:rPr>
        <w:t>Zdroj:</w:t>
      </w:r>
      <w:r>
        <w:rPr>
          <w:rStyle w:val="CittChar"/>
          <w:rFonts w:eastAsiaTheme="minorHAnsi"/>
          <w:i/>
          <w:iCs/>
        </w:rPr>
        <w:t xml:space="preserve"> </w:t>
      </w:r>
      <w:r>
        <w:rPr>
          <w:rStyle w:val="CittChar"/>
          <w:i/>
          <w:iCs/>
        </w:rPr>
        <w:t>ČAS</w:t>
      </w:r>
      <w:r>
        <w:t> </w:t>
      </w:r>
    </w:p>
    <w:p w:rsidR="000C0DF9" w:rsidRDefault="000C0DF9" w:rsidP="000C0DF9">
      <w:pPr>
        <w:pStyle w:val="Citt"/>
        <w:rPr>
          <w:rStyle w:val="CittChar"/>
          <w:rFonts w:eastAsiaTheme="minorHAnsi"/>
          <w:i/>
          <w:iCs/>
        </w:rPr>
      </w:pPr>
      <w:r>
        <w:rPr>
          <w:rStyle w:val="CittChar"/>
          <w:i/>
          <w:iCs/>
        </w:rPr>
        <w:t>* cena norem je kalkulována ke 14.1.2019</w:t>
      </w:r>
    </w:p>
    <w:p w:rsidR="000C0DF9" w:rsidRDefault="000C0DF9" w:rsidP="000C0DF9">
      <w:pPr>
        <w:pStyle w:val="Citt"/>
      </w:pPr>
      <w:r>
        <w:rPr>
          <w:rStyle w:val="CittChar"/>
          <w:i/>
          <w:iCs/>
        </w:rPr>
        <w:t>** počet aktivních podnikatelů v oboru stavebnictví (podle CZ-NACE obory 41 Výstavba budov a 42 Inženýrské stavitelství) je platný k 31.12.2017 (zdroj: ČSÚ). Zahrnuti jsou i členové profesních komor (ČKAIT, ČKA)</w:t>
      </w:r>
      <w:r>
        <w:t xml:space="preserve"> </w:t>
      </w:r>
    </w:p>
    <w:p w:rsidR="000C0DF9" w:rsidRDefault="000C0DF9" w:rsidP="000C0DF9">
      <w:r>
        <w:t xml:space="preserve">Výše uvedený odhad se může změnit v návaznosti na změnu počtu technických norem relevantních pro stavební předpisy. Řádově je možné počítat s odchylkou ± 10 mil. Kč, pokud se </w:t>
      </w:r>
      <w:r w:rsidR="00686D84">
        <w:t>například</w:t>
      </w:r>
      <w:r>
        <w:t xml:space="preserve"> budou publikovat pouze některé články norem. </w:t>
      </w:r>
    </w:p>
    <w:p w:rsidR="000C0DF9" w:rsidRDefault="000C0DF9" w:rsidP="000C0DF9">
      <w:r>
        <w:t>Účelem Varianty 1 je mít technické normy transparentně shromážděny na jednom místě tak, aby stavebním úřadům</w:t>
      </w:r>
      <w:r w:rsidR="00744826">
        <w:t xml:space="preserve"> a</w:t>
      </w:r>
      <w:r>
        <w:t xml:space="preserve"> soudům bylo zřejmé, dodržování kterých povinností vyžaduje stát po všech účastnících procesu, a protože technické normy nelze zpřístupnit bezplatně, měl by tento přístup sponzorovat stát (který stanovuje povinnost). </w:t>
      </w:r>
    </w:p>
    <w:p w:rsidR="000C0DF9" w:rsidRDefault="000C0DF9" w:rsidP="000C0DF9">
      <w:r>
        <w:t>Sponzorovaný přístup není novinkou, Varianta 1 nepracuje s novým řešením. Naopak je zde řešení, které se v praxi osvědčilo (viz přístup k normám na elektronickou fakturu hrazený MMR), a připravuje se jeho použití v dalších oblastech (</w:t>
      </w:r>
      <w:r w:rsidR="00686D84">
        <w:t>například</w:t>
      </w:r>
      <w:r>
        <w:t xml:space="preserve"> pohřebnictví).</w:t>
      </w:r>
    </w:p>
    <w:p w:rsidR="000C0DF9" w:rsidRDefault="000C0DF9" w:rsidP="000C0DF9">
      <w:r>
        <w:t>Naprostá většina norem, které tvoří soustavu ČSN, jsou přejímány do soustavy českých technických norem na základě členství ČR v evropských a mezinárodních normalizačních organizacích. Soustavu českých technických norem stát nevlastní, pouze má právo ji užívat na základě uvedeného členství. Výjimkou jsou původní české technické normy, kterých je však z celkového počtu 36 000 norem, které tvoří soustavu ČSN, necelých 5 %. Nadto i tyto normy jsou s těmi převzatými provázány a vyžadují též autorsko-právní ochranu.</w:t>
      </w:r>
    </w:p>
    <w:p w:rsidR="000C0DF9" w:rsidRDefault="000C0DF9" w:rsidP="000C0DF9">
      <w:r>
        <w:t>Z pravidel členství v evropských a mezinárodních normalizačních organizacích jednoznačně vyplývá, že technické normy nesmí byt v žádném případě distribuovány zdarma, tj. mohou se distribuovat po zaplacení poplatku za autorskoprávní ochranu. Porušení tohoto principy by vedlo k vyloučení ÚNMZ, který je národním normalizačním orgánem, z organizací evropské a světové normalizace, čímž by ČR mimo jiných důsledků přestala plnit závazky z primárního práva EU (jedním ze závazků primárního práva je technická harmonizace sbližování technických předpisů, které se děje právě prostřednictvím harmonizovaných technických norem).</w:t>
      </w:r>
    </w:p>
    <w:p w:rsidR="000C0DF9" w:rsidRDefault="000C0DF9" w:rsidP="000C0DF9">
      <w:pPr>
        <w:pStyle w:val="Text-Normaln"/>
        <w:widowControl w:val="0"/>
        <w:rPr>
          <w:b/>
        </w:rPr>
      </w:pPr>
      <w:r>
        <w:rPr>
          <w:b/>
        </w:rPr>
        <w:t>Kvantifikace přínosů:</w:t>
      </w:r>
    </w:p>
    <w:p w:rsidR="000C0DF9" w:rsidRDefault="000C0DF9" w:rsidP="000C0DF9">
      <w:r>
        <w:lastRenderedPageBreak/>
        <w:t xml:space="preserve">V současné době není tato oblast systematicky řešena, technické normy nejsou </w:t>
      </w:r>
      <w:proofErr w:type="spellStart"/>
      <w:r>
        <w:t>plnotextově</w:t>
      </w:r>
      <w:proofErr w:type="spellEnd"/>
      <w:r>
        <w:t xml:space="preserve"> zveřejněné, stavebníci, projektanti nemají jistotu, jaké požadavky mají dodržovat. Klíčovým přínosem Varianty 1 tak bude výrazné zvýšení právní jistoty v oblasti s dalšími pozitivními dopady na vyšší právní jistotu navázanými (snížení administrativních a transakčních nákladů všech dotčených stran, snížení časové náročnosti vyhledávání, redukce soudních výloh atp.). Tímto dojde i ke zlepšení postavení MSP, které nemohou vynakládat tak vysoké prostředky na orientaci v legislativě, poradenství atp. v porovnání s většími společnostmi.</w:t>
      </w:r>
    </w:p>
    <w:p w:rsidR="000C0DF9" w:rsidRDefault="000C0DF9" w:rsidP="000C0DF9">
      <w:r>
        <w:t xml:space="preserve">Nelze předpokládat, že dojde k úsporám na straně projektantů a stavebních firem z titulu sponzorování přístupu k povinným technickým normám státem, neboť vedle těchto povinných norem budou dotčené subjekty potřebovat přístup k desítkám dalších nepovinných, a ani to není cílem Varianty 1. Největším přínosem Varianty </w:t>
      </w:r>
      <w:r w:rsidR="00D067E2">
        <w:t xml:space="preserve">1 </w:t>
      </w:r>
      <w:r>
        <w:t>bude dosažení stavu, kdy bude zcela jasné, jaké požadavky se mají povinně dodržovat, a zjednoduší se a zpřehlední přístup k těmto požadavkům. Součástí vydaných rozhodnutí o povolení stavby často býv</w:t>
      </w:r>
      <w:r w:rsidR="00A5107E">
        <w:t>á v současné době požadavek, že </w:t>
      </w:r>
      <w:r>
        <w:t>stavebník se bude řídit příslušnými ČSN. Nyní je tato věta po</w:t>
      </w:r>
      <w:r w:rsidR="00A5107E">
        <w:t>uze formálním konstatováním. Po </w:t>
      </w:r>
      <w:r>
        <w:t>implementaci Varianty 1 bude zřejmé, o jaké technické normy se jedná, čím se má stavebník řídit. V případě porušení této veřejnoprávní povinnosti pak bude možné uložit sankce.</w:t>
      </w:r>
    </w:p>
    <w:p w:rsidR="000C0DF9" w:rsidRDefault="000C0DF9" w:rsidP="000C0DF9">
      <w:pPr>
        <w:pStyle w:val="Text-Normaln"/>
        <w:widowControl w:val="0"/>
        <w:rPr>
          <w:b/>
        </w:rPr>
      </w:pPr>
      <w:r>
        <w:rPr>
          <w:b/>
        </w:rPr>
        <w:t>Volba varianty a její implementace</w:t>
      </w:r>
    </w:p>
    <w:p w:rsidR="000C0DF9" w:rsidRDefault="000C0DF9" w:rsidP="000C0DF9">
      <w:pPr>
        <w:pStyle w:val="Text-Normaln"/>
        <w:widowControl w:val="0"/>
      </w:pPr>
      <w:r>
        <w:t>Na základě výše uvedené argumentace volíme Variantu 1.</w:t>
      </w:r>
    </w:p>
    <w:p w:rsidR="000C0DF9" w:rsidRDefault="000C0DF9" w:rsidP="000C0DF9">
      <w:pPr>
        <w:pStyle w:val="Text-Normaln"/>
        <w:widowControl w:val="0"/>
      </w:pPr>
      <w:r>
        <w:t xml:space="preserve">Je zde předpoklad, že vytvoření databáze si může vyžádat dva roky intenzivní práce. Protože databáze technických norem bude obsahovat požadavky ve vazbě na stavební předpisy, realizace přínosů se bude odvíjet od nabytí platnosti a účinnosti nového stavebního zákona. </w:t>
      </w:r>
    </w:p>
    <w:p w:rsidR="000C0DF9" w:rsidRDefault="000C0DF9" w:rsidP="000C0DF9">
      <w:r>
        <w:t xml:space="preserve">Technické řešení je již hotové, reálně funguje v případě přístupu k normám na elektronickou fakturu. V tomto případě jde nový modul webovských stránek ČAS se seznamem 9 sponzorovaných norem. Pokud chce uživatel vidět plný text normy, musí se pouze přihlásit na základě jednoduché registrace. V záhlaví aplikace je uveden odkaz na MMR, aby bylo zřejmé, že přístup je sice pro uživatele bezplatný, nicméně náklady za něho hradí MMR. Dále je pak v záhlaví uvedeno jméno a emailová adresa uživatele. Tyto prvky </w:t>
      </w:r>
      <w:r w:rsidR="00A5107E">
        <w:t>jsou povinné a jejich vložení a </w:t>
      </w:r>
      <w:r>
        <w:t xml:space="preserve">zobrazení v záhlaví normy vyžadují mezinárodní organizace. Důvodem je potřeba autorskoprávní ochrany norem, neboť pokud by byl stažený text dále nelegálně šířen, bylo by možné dohledat původce. </w:t>
      </w:r>
    </w:p>
    <w:p w:rsidR="00D94012" w:rsidRPr="004540F4" w:rsidRDefault="00D94012" w:rsidP="003E4A5D">
      <w:pPr>
        <w:pStyle w:val="Text-Normaln"/>
        <w:widowControl w:val="0"/>
        <w:rPr>
          <w:b/>
        </w:rPr>
      </w:pPr>
    </w:p>
    <w:p w:rsidR="004540F4" w:rsidRDefault="004540F4" w:rsidP="003E4A5D">
      <w:pPr>
        <w:pStyle w:val="Nadpis2a"/>
        <w:widowControl w:val="0"/>
      </w:pPr>
      <w:bookmarkStart w:id="81" w:name="_Toc536553934"/>
      <w:r w:rsidRPr="00CB7505">
        <w:t>ZMĚNY V SOUDNÍM PŘEZKUMU ROZHODNUTÍ STAVEBNÍCH ÚŘADŮ</w:t>
      </w:r>
      <w:bookmarkEnd w:id="81"/>
    </w:p>
    <w:p w:rsidR="00486BB0" w:rsidRPr="00521833" w:rsidRDefault="00486BB0" w:rsidP="003E4A5D">
      <w:pPr>
        <w:pStyle w:val="Text-Normaln"/>
        <w:widowControl w:val="0"/>
      </w:pPr>
      <w:r w:rsidRPr="00F17D93">
        <w:rPr>
          <w:b/>
        </w:rPr>
        <w:t>Definice problému:</w:t>
      </w:r>
      <w:r w:rsidRPr="00521833">
        <w:t xml:space="preserve"> </w:t>
      </w:r>
      <w:r w:rsidR="00E660FB" w:rsidRPr="00E660FB">
        <w:t>viz výše</w:t>
      </w:r>
    </w:p>
    <w:p w:rsidR="00486BB0" w:rsidRDefault="00486BB0" w:rsidP="003E4A5D">
      <w:pPr>
        <w:pStyle w:val="Text-Normaln"/>
        <w:widowControl w:val="0"/>
      </w:pPr>
      <w:r w:rsidRPr="00E414AC">
        <w:rPr>
          <w:b/>
        </w:rPr>
        <w:t>Cíl:</w:t>
      </w:r>
      <w:r w:rsidRPr="00E414AC">
        <w:t xml:space="preserve"> </w:t>
      </w:r>
      <w:r w:rsidR="00FA37D3">
        <w:t>Zjednodušení všech stavebně-právních řízení, jejich zrychlení a zejména snaha co nejdříve dosáhnout právní jistoty v otázce možnosti (ne)realizovat stavební záměr.</w:t>
      </w:r>
    </w:p>
    <w:p w:rsidR="00486BB0" w:rsidRPr="00ED4BCB" w:rsidRDefault="00486BB0" w:rsidP="003E4A5D">
      <w:pPr>
        <w:pStyle w:val="Text-Normaln"/>
        <w:widowControl w:val="0"/>
        <w:rPr>
          <w:b/>
        </w:rPr>
      </w:pPr>
      <w:r w:rsidRPr="00ED4BCB">
        <w:rPr>
          <w:b/>
        </w:rPr>
        <w:t>Návrh variant řešení:</w:t>
      </w:r>
    </w:p>
    <w:p w:rsidR="00486BB0" w:rsidRPr="00FA37D3" w:rsidRDefault="00486BB0" w:rsidP="003E4A5D">
      <w:pPr>
        <w:pStyle w:val="Text-Normaln"/>
        <w:widowControl w:val="0"/>
        <w:rPr>
          <w:i/>
        </w:rPr>
      </w:pPr>
      <w:r w:rsidRPr="00FA37D3">
        <w:rPr>
          <w:b/>
          <w:i/>
        </w:rPr>
        <w:t>Varianta 0:</w:t>
      </w:r>
      <w:r w:rsidRPr="00FA37D3">
        <w:rPr>
          <w:i/>
        </w:rPr>
        <w:t xml:space="preserve"> </w:t>
      </w:r>
      <w:r w:rsidR="00FA37D3" w:rsidRPr="00FA37D3">
        <w:rPr>
          <w:i/>
        </w:rPr>
        <w:t>Zachování současného stavu</w:t>
      </w:r>
    </w:p>
    <w:p w:rsidR="00FA37D3" w:rsidRPr="003869A2" w:rsidRDefault="00486BB0" w:rsidP="001F2819">
      <w:pPr>
        <w:widowControl w:val="0"/>
        <w:spacing w:before="0" w:after="0"/>
        <w:rPr>
          <w:i/>
        </w:rPr>
      </w:pPr>
      <w:r w:rsidRPr="00FA37D3">
        <w:rPr>
          <w:b/>
          <w:i/>
        </w:rPr>
        <w:t>Varianta 1:</w:t>
      </w:r>
      <w:r w:rsidRPr="00FA37D3">
        <w:rPr>
          <w:i/>
        </w:rPr>
        <w:t xml:space="preserve"> </w:t>
      </w:r>
      <w:r w:rsidR="00304059" w:rsidRPr="00FA37D3">
        <w:rPr>
          <w:i/>
        </w:rPr>
        <w:t xml:space="preserve">Zakotvení povinnosti soudu projednat všechny žalobní body a dát </w:t>
      </w:r>
      <w:r w:rsidR="00A5107E">
        <w:rPr>
          <w:i/>
        </w:rPr>
        <w:t>stavebnímu úřadu při respektu k </w:t>
      </w:r>
      <w:r w:rsidR="00304059" w:rsidRPr="00FA37D3">
        <w:rPr>
          <w:i/>
        </w:rPr>
        <w:t>jeho správnímu uvážení jasný návod</w:t>
      </w:r>
      <w:r w:rsidR="003869A2">
        <w:rPr>
          <w:i/>
        </w:rPr>
        <w:t>; m</w:t>
      </w:r>
      <w:r w:rsidR="00304059" w:rsidRPr="00FA37D3">
        <w:rPr>
          <w:i/>
        </w:rPr>
        <w:t>ožnosti správního soudu změnit rozhodnutí žalovaného stavebního úřadu</w:t>
      </w:r>
      <w:r w:rsidR="003869A2">
        <w:rPr>
          <w:i/>
        </w:rPr>
        <w:t xml:space="preserve">; </w:t>
      </w:r>
      <w:r w:rsidR="003869A2" w:rsidRPr="003869A2">
        <w:rPr>
          <w:i/>
        </w:rPr>
        <w:t>zavedení institutu zneužití práva podat správní žalobu</w:t>
      </w:r>
      <w:r w:rsidR="003869A2">
        <w:rPr>
          <w:i/>
        </w:rPr>
        <w:t>; p</w:t>
      </w:r>
      <w:r w:rsidR="003869A2" w:rsidRPr="003869A2">
        <w:rPr>
          <w:i/>
        </w:rPr>
        <w:t xml:space="preserve">odání správní žaloby ve stavebních věcech </w:t>
      </w:r>
      <w:r w:rsidR="003869A2">
        <w:rPr>
          <w:i/>
        </w:rPr>
        <w:t>bez</w:t>
      </w:r>
      <w:r w:rsidR="003869A2" w:rsidRPr="003869A2">
        <w:rPr>
          <w:i/>
        </w:rPr>
        <w:t xml:space="preserve"> automatick</w:t>
      </w:r>
      <w:r w:rsidR="003869A2">
        <w:rPr>
          <w:i/>
        </w:rPr>
        <w:t>ého</w:t>
      </w:r>
      <w:r w:rsidR="003869A2" w:rsidRPr="003869A2">
        <w:rPr>
          <w:i/>
        </w:rPr>
        <w:t xml:space="preserve"> odkladn</w:t>
      </w:r>
      <w:r w:rsidR="003869A2">
        <w:rPr>
          <w:i/>
        </w:rPr>
        <w:t>ého</w:t>
      </w:r>
      <w:r w:rsidR="003869A2" w:rsidRPr="003869A2">
        <w:rPr>
          <w:i/>
        </w:rPr>
        <w:t xml:space="preserve"> účink</w:t>
      </w:r>
      <w:r w:rsidR="003869A2">
        <w:rPr>
          <w:i/>
        </w:rPr>
        <w:t>u aj.</w:t>
      </w:r>
    </w:p>
    <w:p w:rsidR="00FA37D3" w:rsidRPr="00FB524B" w:rsidRDefault="00FA37D3" w:rsidP="003E4A5D">
      <w:pPr>
        <w:pStyle w:val="Text-Normaln"/>
        <w:widowControl w:val="0"/>
      </w:pPr>
      <w:r w:rsidRPr="00FB524B">
        <w:rPr>
          <w:b/>
          <w:i/>
        </w:rPr>
        <w:t xml:space="preserve">Varianta </w:t>
      </w:r>
      <w:r w:rsidR="003869A2">
        <w:rPr>
          <w:b/>
          <w:i/>
        </w:rPr>
        <w:t>2</w:t>
      </w:r>
      <w:r w:rsidRPr="00FB524B">
        <w:rPr>
          <w:b/>
          <w:i/>
        </w:rPr>
        <w:t>:</w:t>
      </w:r>
      <w:r w:rsidR="00FB524B" w:rsidRPr="00FB524B">
        <w:t xml:space="preserve"> </w:t>
      </w:r>
      <w:r w:rsidR="00FB524B" w:rsidRPr="00FB524B">
        <w:rPr>
          <w:i/>
        </w:rPr>
        <w:t>Vytvoření specializovaných senátů u vybraných správních úseků krajských soudů a jejich obligatorní místní příslušnost ve věcech stavebního práva</w:t>
      </w:r>
    </w:p>
    <w:p w:rsidR="00486BB0" w:rsidRPr="00F23969" w:rsidRDefault="00486BB0" w:rsidP="003E4A5D">
      <w:pPr>
        <w:pStyle w:val="Text-Normaln"/>
        <w:widowControl w:val="0"/>
        <w:rPr>
          <w:b/>
        </w:rPr>
      </w:pPr>
      <w:r w:rsidRPr="00F23969">
        <w:rPr>
          <w:b/>
        </w:rPr>
        <w:t>Identifikace nákladů a přínosů:</w:t>
      </w:r>
      <w:r w:rsidR="008C2D12">
        <w:rPr>
          <w:b/>
        </w:rPr>
        <w:t xml:space="preserve"> </w:t>
      </w:r>
    </w:p>
    <w:p w:rsidR="00C12DAE" w:rsidRDefault="00C12DAE" w:rsidP="003E4A5D">
      <w:pPr>
        <w:pStyle w:val="Titulek"/>
      </w:pPr>
      <w:r>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31</w:t>
      </w:r>
      <w:r w:rsidR="00AB65E9">
        <w:rPr>
          <w:noProof/>
        </w:rPr>
        <w:fldChar w:fldCharType="end"/>
      </w:r>
      <w:r>
        <w:t>: Identifikace nákladů a přínosů</w:t>
      </w:r>
    </w:p>
    <w:tbl>
      <w:tblPr>
        <w:tblW w:w="0" w:type="auto"/>
        <w:tblInd w:w="108" w:type="dxa"/>
        <w:tblBorders>
          <w:top w:val="single" w:sz="4" w:space="0" w:color="auto"/>
          <w:bottom w:val="single" w:sz="4" w:space="0" w:color="auto"/>
        </w:tblBorders>
        <w:shd w:val="clear" w:color="auto" w:fill="B6B002"/>
        <w:tblLook w:val="00A0" w:firstRow="1" w:lastRow="0" w:firstColumn="1" w:lastColumn="0" w:noHBand="0" w:noVBand="0"/>
      </w:tblPr>
      <w:tblGrid>
        <w:gridCol w:w="8962"/>
      </w:tblGrid>
      <w:tr w:rsidR="00486BB0" w:rsidRPr="00D862A5" w:rsidTr="008A595A">
        <w:trPr>
          <w:trHeight w:val="397"/>
        </w:trPr>
        <w:tc>
          <w:tcPr>
            <w:tcW w:w="8962" w:type="dxa"/>
            <w:tcBorders>
              <w:top w:val="single" w:sz="4" w:space="0" w:color="auto"/>
              <w:bottom w:val="single" w:sz="4" w:space="0" w:color="auto"/>
            </w:tcBorders>
            <w:shd w:val="clear" w:color="auto" w:fill="D9D9D9" w:themeFill="background1" w:themeFillShade="D9"/>
            <w:vAlign w:val="center"/>
          </w:tcPr>
          <w:p w:rsidR="00486BB0" w:rsidRPr="00D862A5" w:rsidRDefault="00486BB0" w:rsidP="003E4A5D">
            <w:pPr>
              <w:widowControl w:val="0"/>
              <w:spacing w:before="0" w:after="0"/>
              <w:jc w:val="left"/>
              <w:rPr>
                <w:rFonts w:asciiTheme="minorHAnsi" w:hAnsiTheme="minorHAnsi"/>
                <w:b/>
                <w:color w:val="000000"/>
                <w:sz w:val="20"/>
                <w:szCs w:val="20"/>
              </w:rPr>
            </w:pPr>
            <w:r w:rsidRPr="00D862A5">
              <w:rPr>
                <w:rFonts w:asciiTheme="minorHAnsi" w:hAnsiTheme="minorHAnsi"/>
                <w:b/>
                <w:color w:val="000000"/>
                <w:sz w:val="20"/>
                <w:szCs w:val="20"/>
              </w:rPr>
              <w:lastRenderedPageBreak/>
              <w:t>Náklady</w:t>
            </w:r>
          </w:p>
        </w:tc>
      </w:tr>
      <w:tr w:rsidR="00486BB0" w:rsidRPr="00D862A5" w:rsidTr="008A595A">
        <w:trPr>
          <w:trHeight w:val="397"/>
        </w:trPr>
        <w:tc>
          <w:tcPr>
            <w:tcW w:w="8962" w:type="dxa"/>
            <w:tcBorders>
              <w:top w:val="single" w:sz="4" w:space="0" w:color="auto"/>
              <w:bottom w:val="single" w:sz="4" w:space="0" w:color="auto"/>
            </w:tcBorders>
            <w:shd w:val="clear" w:color="auto" w:fill="auto"/>
            <w:vAlign w:val="center"/>
          </w:tcPr>
          <w:p w:rsidR="00486BB0" w:rsidRDefault="00EE4D67" w:rsidP="003E4A5D">
            <w:pPr>
              <w:widowControl w:val="0"/>
              <w:spacing w:before="0" w:after="0"/>
              <w:rPr>
                <w:rFonts w:asciiTheme="minorHAnsi" w:hAnsiTheme="minorHAnsi"/>
                <w:color w:val="000000"/>
                <w:sz w:val="20"/>
                <w:szCs w:val="20"/>
              </w:rPr>
            </w:pPr>
            <w:r w:rsidRPr="00D862A5">
              <w:rPr>
                <w:rFonts w:asciiTheme="minorHAnsi" w:hAnsiTheme="minorHAnsi"/>
                <w:color w:val="000000"/>
                <w:sz w:val="20"/>
                <w:szCs w:val="20"/>
              </w:rPr>
              <w:t>Hlavním nákladem budou administrativní náklady soudů související s</w:t>
            </w:r>
            <w:r w:rsidR="00E660FB" w:rsidRPr="00D862A5">
              <w:rPr>
                <w:rFonts w:asciiTheme="minorHAnsi" w:hAnsiTheme="minorHAnsi"/>
                <w:color w:val="000000"/>
                <w:sz w:val="20"/>
                <w:szCs w:val="20"/>
              </w:rPr>
              <w:t xml:space="preserve"> případným </w:t>
            </w:r>
            <w:r w:rsidRPr="00D862A5">
              <w:rPr>
                <w:rFonts w:asciiTheme="minorHAnsi" w:hAnsiTheme="minorHAnsi"/>
                <w:color w:val="000000"/>
                <w:sz w:val="20"/>
                <w:szCs w:val="20"/>
              </w:rPr>
              <w:t xml:space="preserve">nárůstem </w:t>
            </w:r>
            <w:r w:rsidR="003869A2">
              <w:rPr>
                <w:rFonts w:asciiTheme="minorHAnsi" w:hAnsiTheme="minorHAnsi"/>
                <w:color w:val="000000"/>
                <w:sz w:val="20"/>
                <w:szCs w:val="20"/>
              </w:rPr>
              <w:t>časové náročnosti</w:t>
            </w:r>
            <w:r w:rsidRPr="00D862A5">
              <w:rPr>
                <w:rFonts w:asciiTheme="minorHAnsi" w:hAnsiTheme="minorHAnsi"/>
                <w:color w:val="000000"/>
                <w:sz w:val="20"/>
                <w:szCs w:val="20"/>
              </w:rPr>
              <w:t xml:space="preserve"> řešených případů</w:t>
            </w:r>
          </w:p>
          <w:p w:rsidR="003869A2" w:rsidRPr="00D862A5" w:rsidRDefault="003869A2" w:rsidP="00A5107E">
            <w:pPr>
              <w:widowControl w:val="0"/>
              <w:spacing w:before="0" w:after="0"/>
              <w:rPr>
                <w:rFonts w:asciiTheme="minorHAnsi" w:hAnsiTheme="minorHAnsi"/>
                <w:color w:val="000000"/>
                <w:sz w:val="20"/>
                <w:szCs w:val="20"/>
              </w:rPr>
            </w:pPr>
            <w:r>
              <w:rPr>
                <w:rFonts w:asciiTheme="minorHAnsi" w:hAnsiTheme="minorHAnsi"/>
                <w:color w:val="000000"/>
                <w:sz w:val="20"/>
                <w:szCs w:val="20"/>
              </w:rPr>
              <w:t>Vytvoření specializovaných senátů u vybraných správních soudů – zde se však opět předpokládá spíše posílení kvalifikace některých soudců, než vytváření nové instituce – bude se tak jednat především o</w:t>
            </w:r>
            <w:r w:rsidR="00A5107E">
              <w:rPr>
                <w:rFonts w:asciiTheme="minorHAnsi" w:hAnsiTheme="minorHAnsi"/>
                <w:color w:val="000000"/>
                <w:sz w:val="20"/>
                <w:szCs w:val="20"/>
              </w:rPr>
              <w:t> </w:t>
            </w:r>
            <w:r>
              <w:rPr>
                <w:rFonts w:asciiTheme="minorHAnsi" w:hAnsiTheme="minorHAnsi"/>
                <w:color w:val="000000"/>
                <w:sz w:val="20"/>
                <w:szCs w:val="20"/>
              </w:rPr>
              <w:t>náklady na vzdělání a zvýšení kvalifikace</w:t>
            </w:r>
          </w:p>
        </w:tc>
      </w:tr>
      <w:tr w:rsidR="00486BB0" w:rsidRPr="00D862A5" w:rsidTr="008A595A">
        <w:trPr>
          <w:trHeight w:val="397"/>
        </w:trPr>
        <w:tc>
          <w:tcPr>
            <w:tcW w:w="8962" w:type="dxa"/>
            <w:tcBorders>
              <w:top w:val="single" w:sz="4" w:space="0" w:color="auto"/>
              <w:bottom w:val="single" w:sz="4" w:space="0" w:color="auto"/>
            </w:tcBorders>
            <w:shd w:val="clear" w:color="auto" w:fill="D9D9D9" w:themeFill="background1" w:themeFillShade="D9"/>
            <w:vAlign w:val="center"/>
          </w:tcPr>
          <w:p w:rsidR="00486BB0" w:rsidRPr="00D862A5" w:rsidRDefault="00486BB0" w:rsidP="003E4A5D">
            <w:pPr>
              <w:widowControl w:val="0"/>
              <w:spacing w:before="0" w:after="0"/>
              <w:rPr>
                <w:rFonts w:asciiTheme="minorHAnsi" w:hAnsiTheme="minorHAnsi"/>
                <w:b/>
                <w:color w:val="000000"/>
                <w:sz w:val="20"/>
                <w:szCs w:val="20"/>
              </w:rPr>
            </w:pPr>
            <w:r w:rsidRPr="00D862A5">
              <w:rPr>
                <w:rFonts w:asciiTheme="minorHAnsi" w:hAnsiTheme="minorHAnsi"/>
                <w:b/>
                <w:color w:val="000000"/>
                <w:sz w:val="20"/>
                <w:szCs w:val="20"/>
              </w:rPr>
              <w:t>Přínosy</w:t>
            </w:r>
          </w:p>
        </w:tc>
      </w:tr>
      <w:tr w:rsidR="00486BB0" w:rsidRPr="00D862A5" w:rsidTr="008A595A">
        <w:trPr>
          <w:trHeight w:val="397"/>
        </w:trPr>
        <w:tc>
          <w:tcPr>
            <w:tcW w:w="8962" w:type="dxa"/>
            <w:tcBorders>
              <w:top w:val="single" w:sz="4" w:space="0" w:color="auto"/>
            </w:tcBorders>
            <w:shd w:val="clear" w:color="auto" w:fill="FFFFFF" w:themeFill="background1"/>
            <w:vAlign w:val="center"/>
          </w:tcPr>
          <w:p w:rsidR="00486BB0" w:rsidRPr="00D862A5" w:rsidRDefault="00EE4D67" w:rsidP="003E4A5D">
            <w:pPr>
              <w:widowControl w:val="0"/>
              <w:spacing w:before="0" w:after="0"/>
              <w:rPr>
                <w:rFonts w:asciiTheme="minorHAnsi" w:hAnsiTheme="minorHAnsi"/>
                <w:color w:val="000000"/>
                <w:sz w:val="20"/>
                <w:szCs w:val="20"/>
              </w:rPr>
            </w:pPr>
            <w:r w:rsidRPr="00D862A5">
              <w:rPr>
                <w:rFonts w:asciiTheme="minorHAnsi" w:hAnsiTheme="minorHAnsi"/>
                <w:color w:val="000000"/>
                <w:sz w:val="20"/>
                <w:szCs w:val="20"/>
              </w:rPr>
              <w:t>T</w:t>
            </w:r>
            <w:r w:rsidR="00E660FB" w:rsidRPr="00D862A5">
              <w:rPr>
                <w:rFonts w:asciiTheme="minorHAnsi" w:hAnsiTheme="minorHAnsi"/>
                <w:color w:val="000000"/>
                <w:sz w:val="20"/>
                <w:szCs w:val="20"/>
              </w:rPr>
              <w:t>a</w:t>
            </w:r>
            <w:r w:rsidRPr="00D862A5">
              <w:rPr>
                <w:rFonts w:asciiTheme="minorHAnsi" w:hAnsiTheme="minorHAnsi"/>
                <w:color w:val="000000"/>
                <w:sz w:val="20"/>
                <w:szCs w:val="20"/>
              </w:rPr>
              <w:t>to opatření by měl</w:t>
            </w:r>
            <w:r w:rsidR="003E0080">
              <w:rPr>
                <w:rFonts w:asciiTheme="minorHAnsi" w:hAnsiTheme="minorHAnsi"/>
                <w:color w:val="000000"/>
                <w:sz w:val="20"/>
                <w:szCs w:val="20"/>
              </w:rPr>
              <w:t>a</w:t>
            </w:r>
            <w:r w:rsidRPr="00D862A5">
              <w:rPr>
                <w:rFonts w:asciiTheme="minorHAnsi" w:hAnsiTheme="minorHAnsi"/>
                <w:color w:val="000000"/>
                <w:sz w:val="20"/>
                <w:szCs w:val="20"/>
              </w:rPr>
              <w:t xml:space="preserve"> zabránit formalistickým obstrukcím plánované výstav</w:t>
            </w:r>
            <w:r w:rsidR="00A5107E">
              <w:rPr>
                <w:rFonts w:asciiTheme="minorHAnsi" w:hAnsiTheme="minorHAnsi"/>
                <w:color w:val="000000"/>
                <w:sz w:val="20"/>
                <w:szCs w:val="20"/>
              </w:rPr>
              <w:t>by, zároveň však umožnit vzít v </w:t>
            </w:r>
            <w:r w:rsidRPr="00D862A5">
              <w:rPr>
                <w:rFonts w:asciiTheme="minorHAnsi" w:hAnsiTheme="minorHAnsi"/>
                <w:color w:val="000000"/>
                <w:sz w:val="20"/>
                <w:szCs w:val="20"/>
              </w:rPr>
              <w:t xml:space="preserve">potaz zásadní připomínky a zachovat přezkum správního rozhodnutí </w:t>
            </w:r>
          </w:p>
        </w:tc>
      </w:tr>
    </w:tbl>
    <w:p w:rsidR="00A105D2" w:rsidRPr="00CF6F45" w:rsidRDefault="0052384F" w:rsidP="003E4A5D">
      <w:pPr>
        <w:pStyle w:val="Text-Normaln"/>
        <w:widowControl w:val="0"/>
        <w:rPr>
          <w:b/>
        </w:rPr>
      </w:pPr>
      <w:r>
        <w:rPr>
          <w:b/>
        </w:rPr>
        <w:t>Identifikace</w:t>
      </w:r>
      <w:r w:rsidR="00A105D2" w:rsidRPr="00CF6F45">
        <w:rPr>
          <w:b/>
        </w:rPr>
        <w:t xml:space="preserve"> nákladů a přínosů:</w:t>
      </w:r>
    </w:p>
    <w:p w:rsidR="003869A2" w:rsidRDefault="00EE4D67" w:rsidP="003E4A5D">
      <w:pPr>
        <w:pStyle w:val="Text-Normaln"/>
        <w:widowControl w:val="0"/>
      </w:pPr>
      <w:r w:rsidRPr="00EE4D67">
        <w:t xml:space="preserve">Varianta </w:t>
      </w:r>
      <w:r w:rsidR="00E660FB">
        <w:t>1</w:t>
      </w:r>
      <w:r w:rsidR="00525207">
        <w:t xml:space="preserve"> </w:t>
      </w:r>
      <w:r w:rsidR="00E660FB">
        <w:t xml:space="preserve">- </w:t>
      </w:r>
      <w:r w:rsidR="00B47025">
        <w:t>2</w:t>
      </w:r>
      <w:r w:rsidRPr="00EE4D67">
        <w:t xml:space="preserve"> m</w:t>
      </w:r>
      <w:r w:rsidR="00E660FB">
        <w:t>ají</w:t>
      </w:r>
      <w:r w:rsidRPr="00EE4D67">
        <w:t xml:space="preserve"> hlavní přínosy v očekávaném urychlení povolovacího procesu staveb. Odvolání v územním i stavebním řízení dnes trvá obvykle půl roku až rok. V případě územního řízení to však prodlužuje střední hodnotu délky povolovacího procesu více, jelikož je zde častější (než v případě stavebního řízení) situace, že následná žaloba proti rozhodnutí je úspěšná a celý proces územního řízení se opakuje. </w:t>
      </w:r>
      <w:bookmarkStart w:id="82" w:name="_Toc440639809"/>
    </w:p>
    <w:p w:rsidR="00705588" w:rsidRDefault="00705588" w:rsidP="003E4A5D">
      <w:pPr>
        <w:pStyle w:val="Text-Normaln"/>
        <w:widowControl w:val="0"/>
      </w:pPr>
      <w:r>
        <w:t xml:space="preserve">Protože v rámci konzultací ani na základě existujících dat nebylo možné podpořit odhad budoucího vývoje po rekodifikaci v oblasti soudnictví, </w:t>
      </w:r>
      <w:r w:rsidR="007A2432">
        <w:t>jsou zde shrnuty</w:t>
      </w:r>
      <w:r>
        <w:t xml:space="preserve"> především závěry z konzultací.</w:t>
      </w:r>
    </w:p>
    <w:p w:rsidR="00705588" w:rsidRDefault="007A2432" w:rsidP="003E4A5D">
      <w:pPr>
        <w:pStyle w:val="Text-Normaln"/>
        <w:widowControl w:val="0"/>
      </w:pPr>
      <w:r>
        <w:t>Lze očekávat</w:t>
      </w:r>
      <w:r w:rsidR="00705588">
        <w:t>, že v důsledku rekodifikace poklesne počet případů řešených soudy. Může sice vzrůst časová náročnost jejich řešení, nicméně pokles by měl být v důsledku všech navrhovaných změn tak markantní, že finální dopad na straně soudů by měl být pozitivní. O přínosech pro ostatní dotčené strany bude pojednáno opět níže.</w:t>
      </w:r>
    </w:p>
    <w:p w:rsidR="00D862A5" w:rsidRDefault="00705588" w:rsidP="007D31C3">
      <w:pPr>
        <w:pStyle w:val="Text-Normaln"/>
        <w:widowControl w:val="0"/>
      </w:pPr>
      <w:r>
        <w:t xml:space="preserve">Náklady by mohly být dočasně spojeny s přenastavením systému a mít formu možné nestability při změně způsobu přidělování případů, dovzdělávání soudců atp. Nicméně jejich výši nelze vzhledem k neexistující historické zkušenosti odhadnout. Proto i v rámci kapitoly o přezkumu účinnosti </w:t>
      </w:r>
      <w:r w:rsidR="007A2432">
        <w:t xml:space="preserve">je vhodné </w:t>
      </w:r>
      <w:r>
        <w:t xml:space="preserve">zaměřit se na tuto oblast a monitorovat počty a vytížení specializovaných soudců. </w:t>
      </w:r>
    </w:p>
    <w:p w:rsidR="00B914FA" w:rsidRDefault="00525207" w:rsidP="003E4A5D">
      <w:pPr>
        <w:pStyle w:val="Nadpis1"/>
        <w:numPr>
          <w:ilvl w:val="0"/>
          <w:numId w:val="25"/>
        </w:numPr>
      </w:pPr>
      <w:bookmarkStart w:id="83" w:name="_Toc536431019"/>
      <w:bookmarkStart w:id="84" w:name="_Toc536553935"/>
      <w:bookmarkEnd w:id="83"/>
      <w:r>
        <w:t xml:space="preserve">Návrh </w:t>
      </w:r>
      <w:r w:rsidR="00900923">
        <w:t>řešení</w:t>
      </w:r>
      <w:bookmarkEnd w:id="84"/>
    </w:p>
    <w:p w:rsidR="00900923" w:rsidRDefault="00BD4BAE" w:rsidP="00BD4BAE">
      <w:pPr>
        <w:pStyle w:val="Nadpis20"/>
      </w:pPr>
      <w:bookmarkStart w:id="85" w:name="_Toc536553936"/>
      <w:r>
        <w:t>Institucionální změny</w:t>
      </w:r>
      <w:bookmarkEnd w:id="85"/>
    </w:p>
    <w:p w:rsidR="007339D8" w:rsidRDefault="00D236A2" w:rsidP="003E4A5D">
      <w:pPr>
        <w:widowControl w:val="0"/>
      </w:pPr>
      <w:r w:rsidRPr="00D236A2">
        <w:t xml:space="preserve">Nepřehlednost i nejednotnost aplikační praxe plynoucí z příslušnosti různých ministerstev nebo jiných ústředních orgánů státní správy bude </w:t>
      </w:r>
      <w:r w:rsidR="00F24B03" w:rsidRPr="00D236A2">
        <w:t>eliminovat vytvoření</w:t>
      </w:r>
      <w:r w:rsidR="00F24B03">
        <w:t xml:space="preserve"> nové soustavy orgánů státní správy včetně </w:t>
      </w:r>
      <w:r w:rsidR="00F24B03" w:rsidRPr="00D236A2">
        <w:t xml:space="preserve">nového </w:t>
      </w:r>
      <w:r w:rsidR="00ED70BD">
        <w:t>NSÚ</w:t>
      </w:r>
      <w:r w:rsidRPr="00D236A2">
        <w:t>.</w:t>
      </w:r>
    </w:p>
    <w:p w:rsidR="00C16320" w:rsidRPr="008712FB" w:rsidRDefault="007339D8" w:rsidP="003E4A5D">
      <w:pPr>
        <w:widowControl w:val="0"/>
        <w:rPr>
          <w:b/>
        </w:rPr>
      </w:pPr>
      <w:r w:rsidRPr="008712FB">
        <w:rPr>
          <w:b/>
        </w:rPr>
        <w:t xml:space="preserve">Obrázek </w:t>
      </w:r>
      <w:r w:rsidR="00263A1B">
        <w:rPr>
          <w:b/>
          <w:bCs/>
          <w:noProof/>
        </w:rPr>
        <w:t>21</w:t>
      </w:r>
      <w:r w:rsidRPr="008712FB">
        <w:rPr>
          <w:b/>
        </w:rPr>
        <w:t xml:space="preserve">: Struktura </w:t>
      </w:r>
      <w:r w:rsidR="00EE4C03">
        <w:rPr>
          <w:b/>
        </w:rPr>
        <w:t xml:space="preserve">navrhované </w:t>
      </w:r>
      <w:r w:rsidR="00EE4C03" w:rsidRPr="008712FB">
        <w:rPr>
          <w:b/>
        </w:rPr>
        <w:t>stavební správy</w:t>
      </w:r>
      <w:r w:rsidR="00D236A2" w:rsidRPr="008712FB">
        <w:rPr>
          <w:b/>
        </w:rPr>
        <w:t xml:space="preserve"> </w:t>
      </w:r>
    </w:p>
    <w:p w:rsidR="00AF64DB" w:rsidRDefault="00F8285F" w:rsidP="00CA5F60">
      <w:pPr>
        <w:widowControl w:val="0"/>
      </w:pPr>
      <w:r>
        <w:rPr>
          <w:noProof/>
          <w:lang w:eastAsia="cs-CZ"/>
        </w:rPr>
        <w:lastRenderedPageBreak/>
        <w:drawing>
          <wp:inline distT="0" distB="0" distL="0" distR="0" wp14:anchorId="7EB6C5BF" wp14:editId="44CD2ABF">
            <wp:extent cx="5759450" cy="5222284"/>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PNG"/>
                    <pic:cNvPicPr/>
                  </pic:nvPicPr>
                  <pic:blipFill>
                    <a:blip r:embed="rId56">
                      <a:extLst>
                        <a:ext uri="{28A0092B-C50C-407E-A947-70E740481C1C}">
                          <a14:useLocalDpi xmlns:a14="http://schemas.microsoft.com/office/drawing/2010/main" val="0"/>
                        </a:ext>
                      </a:extLst>
                    </a:blip>
                    <a:stretch>
                      <a:fillRect/>
                    </a:stretch>
                  </pic:blipFill>
                  <pic:spPr>
                    <a:xfrm>
                      <a:off x="0" y="0"/>
                      <a:ext cx="5764535" cy="5226895"/>
                    </a:xfrm>
                    <a:prstGeom prst="rect">
                      <a:avLst/>
                    </a:prstGeom>
                  </pic:spPr>
                </pic:pic>
              </a:graphicData>
            </a:graphic>
          </wp:inline>
        </w:drawing>
      </w:r>
    </w:p>
    <w:p w:rsidR="00CA5F60" w:rsidRDefault="00CA5F60" w:rsidP="00FD36BD">
      <w:pPr>
        <w:widowControl w:val="0"/>
        <w:spacing w:before="240"/>
      </w:pPr>
      <w:r>
        <w:t xml:space="preserve">NSÚ by měl převzít část kompetencí stávajících ministerstev a dalších ústředních orgánů státní správy v oblasti stavebního práva v širším smyslu (včetně EIA a územního plánování) Z této pozice by pak měl vykonávat působnost nejen ve správním řízení v jednotlivých věcech, ale též v oblasti výkonu vrchního státního dozoru, metodické činnosti vůči stavební správě, zajišťování elektronizace stavební agendy, zajišťování personálního, majetkového a ekonomického provozu stavební správy, činnost odvolacího orgánu vůči rozhodnutím krajského stavebního úřadu. V oblasti územního plánování by měl být NSÚ pořizovatelem celostátní dokumentace. </w:t>
      </w:r>
    </w:p>
    <w:p w:rsidR="00CA5F60" w:rsidRDefault="00CA5F60" w:rsidP="00F24B03">
      <w:pPr>
        <w:widowControl w:val="0"/>
      </w:pPr>
      <w:r>
        <w:t>V čele NSÚ bude ředitel podléhající zákonu č. 234/2014 Sb., o státní službě, avšak v souladu s § 54 tohoto zákona bude ředitele NSÚ jmenovat vláda na návrh výběrové komise, kterou rovněž jmenuje vláda. Tato varianta byla zvolena proto, aby se i ostatní resorty mohly podílet na výběru ředitele NSÚ za situace, kdy nová stavební správa bude zahrnovat i některé kompetence přenesené na ní z ostatních resortů. Kromě ředitele by měli vedení NSÚ tvořit jeho zástupci. V</w:t>
      </w:r>
      <w:r w:rsidR="008B03BB">
        <w:t> </w:t>
      </w:r>
      <w:r>
        <w:t>souvislosti s tím by mělo dojít k nastavení odpovídajících kvalifikačních požadavků na vzdělání, praxi apod. pro vedení NSÚ. Nová právní úprava by pak měla stanovit požadavky i na odbornou kvalifikaci ředitelů krajských stavebních úřadů a samotných pracovníků stavebních úřadů.</w:t>
      </w:r>
    </w:p>
    <w:p w:rsidR="00F24B03" w:rsidRDefault="00F24B03" w:rsidP="00F24B03">
      <w:pPr>
        <w:widowControl w:val="0"/>
      </w:pPr>
      <w:r w:rsidRPr="00D236A2">
        <w:t>V procesním (instančním) smyslu bude řízení v prvním stupni zajišťovat příslušné detašované pracoviště krajského stavebního úřadu. O opravných prostředcích ve druhém stupni bude rozhodovat tentýž krajský stavební úřad (z krajského „ústředí“).</w:t>
      </w:r>
    </w:p>
    <w:p w:rsidR="00BD4BAE" w:rsidRDefault="00ED70BD" w:rsidP="003E4A5D">
      <w:pPr>
        <w:widowControl w:val="0"/>
      </w:pPr>
      <w:r>
        <w:lastRenderedPageBreak/>
        <w:t>DO</w:t>
      </w:r>
      <w:r w:rsidR="00F24B03" w:rsidRPr="00C90FA8">
        <w:t xml:space="preserve"> budou integrovány do stavebních úřadů a veřejné zájmy podle složkových zákonů (životní prostředí včetně EIA, IPPC, voda, vzduch, doprava, hygiena, památková ochrana, ZPF apod.) budou hájit přímo v rámci rozhodnutí stavebního úřadu, na jehož tvorbě se budou přímo podílet</w:t>
      </w:r>
      <w:r w:rsidR="00F24B03">
        <w:t>. P</w:t>
      </w:r>
      <w:r w:rsidR="00F24B03" w:rsidRPr="00C90FA8">
        <w:t xml:space="preserve">okud z výjimečných odůvodněných případů nedojde k integraci </w:t>
      </w:r>
      <w:r>
        <w:t>DO</w:t>
      </w:r>
      <w:r w:rsidR="00F24B03" w:rsidRPr="00C90FA8">
        <w:t>, dojde ke změně povahy jeho vyjadřování ze závazného stanoviska na běžné vyjádření (podklad pro rozhodnutí)</w:t>
      </w:r>
    </w:p>
    <w:p w:rsidR="00900923" w:rsidRDefault="00BD4BAE" w:rsidP="00BD4BAE">
      <w:pPr>
        <w:pStyle w:val="Nadpis20"/>
      </w:pPr>
      <w:bookmarkStart w:id="86" w:name="_Toc536553937"/>
      <w:r>
        <w:t>Změny v oblasti územního plánování</w:t>
      </w:r>
      <w:bookmarkEnd w:id="86"/>
    </w:p>
    <w:p w:rsidR="00900923" w:rsidRDefault="00BC5702" w:rsidP="003E4A5D">
      <w:pPr>
        <w:widowControl w:val="0"/>
      </w:pPr>
      <w:r>
        <w:t>Celostátní závazný nástroj územního plánování</w:t>
      </w:r>
      <w:r w:rsidRPr="00D236A2">
        <w:t xml:space="preserve"> </w:t>
      </w:r>
      <w:r w:rsidR="00D236A2" w:rsidRPr="00D236A2">
        <w:t>má nově předev</w:t>
      </w:r>
      <w:r w:rsidR="00A5107E">
        <w:t>ším podrobněji upravit plochy a </w:t>
      </w:r>
      <w:r w:rsidR="00D236A2" w:rsidRPr="00D236A2">
        <w:t>koridory, zejména v případě dopravní a technické</w:t>
      </w:r>
      <w:r w:rsidR="00A5107E">
        <w:t xml:space="preserve"> infrastruktury mezinárodního a </w:t>
      </w:r>
      <w:r w:rsidR="00D236A2" w:rsidRPr="00D236A2">
        <w:t xml:space="preserve">republikového významu, resp. plochy a koridory, které svým významem přesahují území jednoho kraje. </w:t>
      </w:r>
      <w:r>
        <w:t>Tento celostátní dokument</w:t>
      </w:r>
      <w:r w:rsidRPr="00D236A2">
        <w:t xml:space="preserve"> </w:t>
      </w:r>
      <w:r w:rsidR="00D236A2" w:rsidRPr="00D236A2">
        <w:t>může dále stan</w:t>
      </w:r>
      <w:r w:rsidR="00A5107E">
        <w:t xml:space="preserve">ovit podmínky pro </w:t>
      </w:r>
      <w:r w:rsidR="008B03BB">
        <w:t xml:space="preserve">pořizování nižších nástrojů územního plánování a </w:t>
      </w:r>
      <w:r w:rsidR="00A5107E">
        <w:t>rozhodování v </w:t>
      </w:r>
      <w:r w:rsidR="00D236A2" w:rsidRPr="00D236A2">
        <w:t>území, tj. zejména pro řízení</w:t>
      </w:r>
      <w:r>
        <w:t xml:space="preserve"> o povolení stavby</w:t>
      </w:r>
      <w:r w:rsidR="00D236A2" w:rsidRPr="00D236A2">
        <w:t xml:space="preserve">. Další důležitou funkcí </w:t>
      </w:r>
      <w:r>
        <w:t>celostátního dokumentu</w:t>
      </w:r>
      <w:r w:rsidRPr="00D236A2">
        <w:t xml:space="preserve"> </w:t>
      </w:r>
      <w:r w:rsidR="00D236A2" w:rsidRPr="00D236A2">
        <w:t>má být určení těch staveb a opatření, které jsou veřejně prospěš</w:t>
      </w:r>
      <w:r w:rsidR="00A5107E">
        <w:t>nými stavbami nebo opatřeními s </w:t>
      </w:r>
      <w:r w:rsidR="00D236A2" w:rsidRPr="00D236A2">
        <w:t xml:space="preserve">možností vyvlastnění. Svou podrobností může upravovat otázky až na úrovni podrobnosti dosud vymezené pouze pro krajské </w:t>
      </w:r>
      <w:r w:rsidR="00ED70BD">
        <w:t>ZÚR</w:t>
      </w:r>
      <w:r w:rsidR="00D236A2" w:rsidRPr="00D236A2">
        <w:t xml:space="preserve">. </w:t>
      </w:r>
      <w:r>
        <w:t>Celostátní nástroj územního plánování</w:t>
      </w:r>
      <w:r w:rsidRPr="00D236A2">
        <w:t xml:space="preserve"> </w:t>
      </w:r>
      <w:r w:rsidR="00D236A2" w:rsidRPr="00D236A2">
        <w:t>se má pořizovat pro území celého státu a vydávat jej má vláda formou nařízení. Způsob</w:t>
      </w:r>
      <w:r>
        <w:t xml:space="preserve"> jeho</w:t>
      </w:r>
      <w:r w:rsidR="00D236A2" w:rsidRPr="00D236A2">
        <w:t xml:space="preserve"> projednávání je do značné míry podobný projednávání </w:t>
      </w:r>
      <w:r w:rsidR="00ED70BD">
        <w:t>PÚR</w:t>
      </w:r>
      <w:r w:rsidR="00D236A2" w:rsidRPr="00D236A2">
        <w:t>.</w:t>
      </w:r>
    </w:p>
    <w:p w:rsidR="00D236A2" w:rsidRDefault="00D236A2" w:rsidP="003E4A5D">
      <w:pPr>
        <w:widowControl w:val="0"/>
      </w:pPr>
      <w:r w:rsidRPr="00D236A2">
        <w:t xml:space="preserve">Tento dokument bude obsahovat závaznou část, která bude především řešit umísťování konkrétních záměrů vymezením ploch a koridorů v podrobnosti přibližně odpovídající dnešním </w:t>
      </w:r>
      <w:r w:rsidR="00ED70BD">
        <w:t>ZÚR</w:t>
      </w:r>
      <w:r w:rsidRPr="00D236A2">
        <w:t>, respektive v novele stavebního zákona navrhovaného územního rozvojového plánu.</w:t>
      </w:r>
    </w:p>
    <w:p w:rsidR="00D236A2" w:rsidRDefault="00D236A2" w:rsidP="003E4A5D">
      <w:pPr>
        <w:widowControl w:val="0"/>
      </w:pPr>
      <w:r w:rsidRPr="00D236A2">
        <w:t>Druhá, strategická část bude závazná pro veřejnou správu, kte</w:t>
      </w:r>
      <w:r w:rsidR="00A5107E">
        <w:t>rá bude muset závěry obsažené v </w:t>
      </w:r>
      <w:r w:rsidRPr="00D236A2">
        <w:t>této části zohlednit v rámci svých činností dotýkajících se územního plánování. Zákon stanoví, že tato druhá, strategická část bude závazná pro pořizování nižší ÚPD na úrovni krajů a obcí.</w:t>
      </w:r>
    </w:p>
    <w:p w:rsidR="00A06010" w:rsidRDefault="00ED70BD" w:rsidP="003E4A5D">
      <w:pPr>
        <w:widowControl w:val="0"/>
      </w:pPr>
      <w:r>
        <w:t>ÚP</w:t>
      </w:r>
      <w:r w:rsidR="00A06010" w:rsidRPr="00874A18">
        <w:t xml:space="preserve"> krajů se budou přijímat pro celé území kraje a pro celé území hlavního města Prahy. </w:t>
      </w:r>
      <w:r>
        <w:t>ÚP</w:t>
      </w:r>
      <w:r w:rsidR="00A06010" w:rsidRPr="00874A18">
        <w:t xml:space="preserve"> krajů budou schvalovat krajská zastupitelstva a zastupitelstvo hlavního města Prahy. Předmětem </w:t>
      </w:r>
      <w:r>
        <w:t>ÚP</w:t>
      </w:r>
      <w:r w:rsidR="00A06010" w:rsidRPr="00874A18">
        <w:t xml:space="preserve"> kraje budou zásadně otázky nadmístního významu, </w:t>
      </w:r>
      <w:r w:rsidR="00A5107E">
        <w:t>tj. </w:t>
      </w:r>
      <w:r w:rsidR="00A06010" w:rsidRPr="00874A18">
        <w:t>otázky, které svým rozsahem nebo významem přesahují území jedné obce/městské části.</w:t>
      </w:r>
    </w:p>
    <w:p w:rsidR="00A06010" w:rsidRDefault="00ED70BD" w:rsidP="003E4A5D">
      <w:pPr>
        <w:widowControl w:val="0"/>
      </w:pPr>
      <w:r>
        <w:t>ÚP</w:t>
      </w:r>
      <w:r w:rsidR="00A06010" w:rsidRPr="00874A18">
        <w:t xml:space="preserve"> kraje bude přijímán ve formě </w:t>
      </w:r>
      <w:r>
        <w:t>OZV</w:t>
      </w:r>
      <w:r w:rsidR="00A06010" w:rsidRPr="00874A18">
        <w:t xml:space="preserve"> kraje</w:t>
      </w:r>
      <w:r>
        <w:t xml:space="preserve"> nebo OOP</w:t>
      </w:r>
      <w:r w:rsidR="00A06010" w:rsidRPr="00874A18">
        <w:t xml:space="preserve">. </w:t>
      </w:r>
      <w:r w:rsidR="00490902">
        <w:t>ÚP</w:t>
      </w:r>
      <w:r w:rsidR="00A06010" w:rsidRPr="00874A18">
        <w:t xml:space="preserve"> kraje bude obsahovat závaznou část, která bude především řešit umísťování konkrétníc</w:t>
      </w:r>
      <w:r w:rsidR="00A5107E">
        <w:t>h záměrů a </w:t>
      </w:r>
      <w:r w:rsidR="00A06010" w:rsidRPr="00874A18">
        <w:t>koridorů.</w:t>
      </w:r>
      <w:r w:rsidR="00A06010">
        <w:t xml:space="preserve"> </w:t>
      </w:r>
      <w:r w:rsidR="00A06010" w:rsidRPr="00874A18">
        <w:t>Strategická část bude závazná pro další orgány kraje a obcí na jeho území, které budou muset závěry obsažené v této části zohlednit v rámci svých činností dotýkajících se územního plánování.</w:t>
      </w:r>
    </w:p>
    <w:p w:rsidR="00A06010" w:rsidRDefault="00A06010" w:rsidP="003E4A5D">
      <w:pPr>
        <w:widowControl w:val="0"/>
      </w:pPr>
      <w:r w:rsidRPr="00874A18">
        <w:t xml:space="preserve">Na úrovni obecního územního plánování se navrhuje ponechat strukturu dvou vrstev: </w:t>
      </w:r>
      <w:r w:rsidR="00490902">
        <w:t>ÚP</w:t>
      </w:r>
      <w:r w:rsidRPr="00874A18">
        <w:t xml:space="preserve"> obce </w:t>
      </w:r>
      <w:r w:rsidR="00490902" w:rsidRPr="00874A18">
        <w:t>a</w:t>
      </w:r>
      <w:r w:rsidR="00490902">
        <w:t> RP</w:t>
      </w:r>
      <w:r w:rsidRPr="00874A18">
        <w:t>.</w:t>
      </w:r>
    </w:p>
    <w:p w:rsidR="000C3498" w:rsidRDefault="00A3474F" w:rsidP="003E4A5D">
      <w:pPr>
        <w:pStyle w:val="Textkomente"/>
        <w:widowControl w:val="0"/>
      </w:pPr>
      <w:bookmarkStart w:id="87" w:name="_Hlk533196158"/>
      <w:r w:rsidRPr="000C3498">
        <w:rPr>
          <w:sz w:val="24"/>
          <w:szCs w:val="22"/>
        </w:rPr>
        <w:t xml:space="preserve">Při přípravě paragrafového znění pak </w:t>
      </w:r>
      <w:r w:rsidR="00BA2D38">
        <w:rPr>
          <w:sz w:val="24"/>
          <w:szCs w:val="22"/>
        </w:rPr>
        <w:t>bude třeba zvážit zjednodušení procesu</w:t>
      </w:r>
      <w:r w:rsidRPr="000C3498">
        <w:rPr>
          <w:sz w:val="24"/>
          <w:szCs w:val="22"/>
        </w:rPr>
        <w:t xml:space="preserve"> pořizování a</w:t>
      </w:r>
      <w:r w:rsidR="00BA2D38">
        <w:rPr>
          <w:sz w:val="24"/>
          <w:szCs w:val="22"/>
        </w:rPr>
        <w:t> </w:t>
      </w:r>
      <w:r w:rsidRPr="000C3498">
        <w:rPr>
          <w:sz w:val="24"/>
          <w:szCs w:val="22"/>
        </w:rPr>
        <w:t xml:space="preserve">schvalování územního a regulačního plánu a </w:t>
      </w:r>
      <w:r w:rsidR="00686D84">
        <w:rPr>
          <w:sz w:val="24"/>
          <w:szCs w:val="22"/>
        </w:rPr>
        <w:t>například</w:t>
      </w:r>
      <w:r w:rsidRPr="000C3498">
        <w:rPr>
          <w:sz w:val="24"/>
          <w:szCs w:val="22"/>
        </w:rPr>
        <w:t xml:space="preserve"> </w:t>
      </w:r>
      <w:r w:rsidR="00490902">
        <w:rPr>
          <w:sz w:val="24"/>
          <w:szCs w:val="22"/>
        </w:rPr>
        <w:t xml:space="preserve">u jejich změn </w:t>
      </w:r>
      <w:r w:rsidRPr="000C3498">
        <w:rPr>
          <w:sz w:val="24"/>
          <w:szCs w:val="22"/>
        </w:rPr>
        <w:t>rozhodnutí o pořízení územního nebo regulačního plánu (či jeho změny) a schválení zadání sloučit do jednoho rozhodnu</w:t>
      </w:r>
      <w:r w:rsidR="00A5107E">
        <w:rPr>
          <w:sz w:val="24"/>
          <w:szCs w:val="22"/>
        </w:rPr>
        <w:t>tí zastupitelstva; stanovit, že </w:t>
      </w:r>
      <w:r w:rsidRPr="000C3498">
        <w:rPr>
          <w:sz w:val="24"/>
          <w:szCs w:val="22"/>
        </w:rPr>
        <w:t>předmětem společného projednání s </w:t>
      </w:r>
      <w:r w:rsidR="00490902">
        <w:rPr>
          <w:sz w:val="24"/>
          <w:szCs w:val="22"/>
        </w:rPr>
        <w:t>DO</w:t>
      </w:r>
      <w:r w:rsidRPr="000C3498">
        <w:rPr>
          <w:sz w:val="24"/>
          <w:szCs w:val="22"/>
        </w:rPr>
        <w:t xml:space="preserve"> a veřejného projednání s veřejností bude pouze samotný návrh, nikoli již samostatně jeho zadání či projednávat s veřejností a s </w:t>
      </w:r>
      <w:r w:rsidR="00490902">
        <w:rPr>
          <w:sz w:val="24"/>
          <w:szCs w:val="22"/>
        </w:rPr>
        <w:t>DO</w:t>
      </w:r>
      <w:r w:rsidRPr="000C3498">
        <w:rPr>
          <w:sz w:val="24"/>
          <w:szCs w:val="22"/>
        </w:rPr>
        <w:t xml:space="preserve"> </w:t>
      </w:r>
      <w:r w:rsidR="00ED33B7" w:rsidRPr="000C3498">
        <w:rPr>
          <w:sz w:val="24"/>
          <w:szCs w:val="22"/>
        </w:rPr>
        <w:t xml:space="preserve">časově </w:t>
      </w:r>
      <w:r w:rsidRPr="000C3498">
        <w:rPr>
          <w:sz w:val="24"/>
          <w:szCs w:val="22"/>
        </w:rPr>
        <w:t xml:space="preserve">souběžně, </w:t>
      </w:r>
      <w:r w:rsidR="00ED33B7" w:rsidRPr="000C3498">
        <w:rPr>
          <w:sz w:val="24"/>
          <w:szCs w:val="22"/>
        </w:rPr>
        <w:t>i když</w:t>
      </w:r>
      <w:r w:rsidRPr="000C3498">
        <w:rPr>
          <w:sz w:val="24"/>
          <w:szCs w:val="22"/>
        </w:rPr>
        <w:t xml:space="preserve"> procesně odděleně.</w:t>
      </w:r>
      <w:r w:rsidR="000C3498">
        <w:t xml:space="preserve"> </w:t>
      </w:r>
    </w:p>
    <w:bookmarkEnd w:id="87"/>
    <w:p w:rsidR="009F3ED9" w:rsidRDefault="00C75964" w:rsidP="007D31C3">
      <w:pPr>
        <w:widowControl w:val="0"/>
      </w:pPr>
      <w:r w:rsidRPr="00C75964">
        <w:t xml:space="preserve">Po vzoru stávající úpravy </w:t>
      </w:r>
      <w:r>
        <w:t xml:space="preserve">dále v návaznosti na identifikované problémy </w:t>
      </w:r>
      <w:r w:rsidR="00BA2D38">
        <w:t>zvážit úpravu</w:t>
      </w:r>
      <w:r w:rsidR="006F0716">
        <w:t xml:space="preserve"> </w:t>
      </w:r>
      <w:r w:rsidR="00BA2D38">
        <w:t xml:space="preserve">systému </w:t>
      </w:r>
      <w:r w:rsidRPr="00C75964">
        <w:t xml:space="preserve">náhrad za změnu v území vyvolanou použitím některých nástrojů územního plánování, zejména stavební uzávěrou a změnami v </w:t>
      </w:r>
      <w:r w:rsidR="00490902">
        <w:t>ÚPD</w:t>
      </w:r>
      <w:r>
        <w:t xml:space="preserve">, konkrétně </w:t>
      </w:r>
      <w:r w:rsidR="00686D84">
        <w:t>například</w:t>
      </w:r>
      <w:r>
        <w:t xml:space="preserve"> </w:t>
      </w:r>
      <w:r w:rsidRPr="00C75964">
        <w:t>stano</w:t>
      </w:r>
      <w:r>
        <w:t>vit</w:t>
      </w:r>
      <w:r w:rsidRPr="00C75964">
        <w:t xml:space="preserve"> přesnější procesní pravidla pro určení výše náhrady a způsobu jejího poskytnutí.</w:t>
      </w:r>
    </w:p>
    <w:p w:rsidR="00900923" w:rsidRDefault="00BD4BAE" w:rsidP="00BD4BAE">
      <w:pPr>
        <w:pStyle w:val="Nadpis20"/>
      </w:pPr>
      <w:bookmarkStart w:id="88" w:name="_Toc536553938"/>
      <w:r>
        <w:t>Procesní změny v povolovacím procesu – jedno rozhodnutí</w:t>
      </w:r>
      <w:bookmarkEnd w:id="88"/>
      <w:r>
        <w:t xml:space="preserve"> </w:t>
      </w:r>
      <w:r w:rsidR="00900923">
        <w:tab/>
      </w:r>
    </w:p>
    <w:p w:rsidR="00A06010" w:rsidRPr="00A06010" w:rsidRDefault="00A06010" w:rsidP="003E4A5D">
      <w:pPr>
        <w:widowControl w:val="0"/>
      </w:pPr>
      <w:r w:rsidRPr="00A06010">
        <w:t>Navrhovaná úprava má jako svou prioritu za cíl přinést jedno jedn</w:t>
      </w:r>
      <w:r w:rsidR="00A5107E">
        <w:t>otné správní řízení směřující k </w:t>
      </w:r>
      <w:r w:rsidRPr="00A06010">
        <w:t>vydání jediného rozhodnutí o povolení stavby</w:t>
      </w:r>
      <w:r>
        <w:t xml:space="preserve">. </w:t>
      </w:r>
      <w:r w:rsidRPr="00A06010">
        <w:t xml:space="preserve">Kladný výsledek jednotného řízení o povolení stavby v podobě vydaného rozhodnutí o povolení stavby bude pro žadatele znamenat oprávnění </w:t>
      </w:r>
      <w:r w:rsidRPr="00A06010">
        <w:lastRenderedPageBreak/>
        <w:t xml:space="preserve">k uskutečnění stavebního záměru. Žaloba ve správním soudnictví bude přípustná pouze proti tomuto pravomocnému rozhodnutí stavebního úřadu. Žádné jiné soudně přezkoumatelné správní rozhodnutí, než povolení stavby stavební úřad vydávat nebude. Jednotné řízení o povolení stavby </w:t>
      </w:r>
      <w:r>
        <w:t xml:space="preserve">nahradí a </w:t>
      </w:r>
      <w:r w:rsidR="00DD4DD8">
        <w:t>za</w:t>
      </w:r>
      <w:r>
        <w:t>integruje</w:t>
      </w:r>
      <w:r w:rsidRPr="00A06010">
        <w:t xml:space="preserve">: </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 xml:space="preserve">dnešní proces posuzování EIA s výjimkou zjišťovacího řízení, které bude probíhat separátně; </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 xml:space="preserve">územní řízení; </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zjednodušené územní řízení;</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 xml:space="preserve">stavební řízení; </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územní řízení s posouzením vlivů na životní prostředí;</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 xml:space="preserve">společné územní a stavební řízení; </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společné územní a stavební řízení s posouzením vlivů na životní prostředí;</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řízení o integrovaném povolení (podle zákona o integrované prevenci);</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řízení podle zákona o ochraně přírody a krajiny; a </w:t>
      </w:r>
    </w:p>
    <w:p w:rsidR="00A06010" w:rsidRPr="00A06010" w:rsidRDefault="00A06010" w:rsidP="009D4B5F">
      <w:pPr>
        <w:pStyle w:val="Odrazka11"/>
        <w:widowControl w:val="0"/>
        <w:numPr>
          <w:ilvl w:val="0"/>
          <w:numId w:val="62"/>
        </w:numPr>
        <w:ind w:left="426" w:hanging="426"/>
        <w:rPr>
          <w:rFonts w:ascii="Garamond" w:eastAsia="Calibri" w:hAnsi="Garamond"/>
          <w:color w:val="auto"/>
          <w:szCs w:val="22"/>
        </w:rPr>
      </w:pPr>
      <w:r w:rsidRPr="00A06010">
        <w:rPr>
          <w:rFonts w:ascii="Garamond" w:eastAsia="Calibri" w:hAnsi="Garamond"/>
          <w:color w:val="auto"/>
          <w:szCs w:val="22"/>
        </w:rPr>
        <w:t xml:space="preserve">všechna další řízení podle jednotlivých složkových zákonů, která vedou k vydávání </w:t>
      </w:r>
      <w:r w:rsidR="00D07D7A">
        <w:rPr>
          <w:rFonts w:ascii="Garamond" w:eastAsia="Calibri" w:hAnsi="Garamond"/>
          <w:color w:val="auto"/>
          <w:szCs w:val="22"/>
        </w:rPr>
        <w:t xml:space="preserve">rozhodnutí, </w:t>
      </w:r>
      <w:r w:rsidRPr="00A06010">
        <w:rPr>
          <w:rFonts w:ascii="Garamond" w:eastAsia="Calibri" w:hAnsi="Garamond"/>
          <w:color w:val="auto"/>
          <w:szCs w:val="22"/>
        </w:rPr>
        <w:t>závazných stanovisek,</w:t>
      </w:r>
      <w:r w:rsidR="00D07D7A">
        <w:rPr>
          <w:rFonts w:ascii="Garamond" w:eastAsia="Calibri" w:hAnsi="Garamond"/>
          <w:color w:val="auto"/>
          <w:szCs w:val="22"/>
        </w:rPr>
        <w:t xml:space="preserve"> stanovisek a vyjádření</w:t>
      </w:r>
      <w:r w:rsidRPr="00A06010">
        <w:rPr>
          <w:rFonts w:ascii="Garamond" w:eastAsia="Calibri" w:hAnsi="Garamond"/>
          <w:color w:val="auto"/>
          <w:szCs w:val="22"/>
        </w:rPr>
        <w:t xml:space="preserve"> </w:t>
      </w:r>
      <w:r w:rsidR="00D07D7A">
        <w:rPr>
          <w:rFonts w:ascii="Garamond" w:eastAsia="Calibri" w:hAnsi="Garamond"/>
          <w:color w:val="auto"/>
          <w:szCs w:val="22"/>
        </w:rPr>
        <w:t>(v těch případech, ve kterých dojde k integraci orgánu do nové soustavy státní stavební správy)</w:t>
      </w:r>
      <w:r w:rsidRPr="00A06010">
        <w:rPr>
          <w:rFonts w:ascii="Garamond" w:eastAsia="Calibri" w:hAnsi="Garamond"/>
          <w:color w:val="auto"/>
          <w:szCs w:val="22"/>
        </w:rPr>
        <w:t xml:space="preserve">. </w:t>
      </w:r>
    </w:p>
    <w:p w:rsidR="00BD4BAE" w:rsidRPr="00A06010" w:rsidRDefault="00F24B03" w:rsidP="003E4A5D">
      <w:pPr>
        <w:widowControl w:val="0"/>
      </w:pPr>
      <w:r w:rsidRPr="00A06010">
        <w:t>Celé řízení o povolení stavby povede pouze jeden stavební úřad, který bude sám provádět dokazování a vyhodnocovat nejen otázky samotného stave</w:t>
      </w:r>
      <w:r w:rsidR="00A5107E">
        <w:t>bního práva v užším smyslu, ale </w:t>
      </w:r>
      <w:r w:rsidRPr="00A06010">
        <w:t xml:space="preserve">i dalších veřejných zájmů dotčených při výstavbě podle složkových zákonů. </w:t>
      </w:r>
      <w:r>
        <w:t xml:space="preserve">Předpokládá se zavedení </w:t>
      </w:r>
      <w:r w:rsidRPr="00C90FA8">
        <w:t>závazných a reálně vymahatelných lhůt pro rozhodování stavebního úřadu (30 dnů s </w:t>
      </w:r>
      <w:r w:rsidRPr="00D07D7A">
        <w:t>možností prodloužení o dalších 30 dnů a s automatickým následkem vzniku fikce povolení stavby v 1. stupni v případě jejich nedodržení)</w:t>
      </w:r>
      <w:r w:rsidR="00D07D7A">
        <w:t>.</w:t>
      </w:r>
    </w:p>
    <w:p w:rsidR="00900923" w:rsidRDefault="00BD4BAE" w:rsidP="00BD4BAE">
      <w:pPr>
        <w:pStyle w:val="Nadpis20"/>
      </w:pPr>
      <w:bookmarkStart w:id="89" w:name="_Toc536553939"/>
      <w:r>
        <w:t>Změny v soudním přezkumu rozhodnut stavebních úřadů</w:t>
      </w:r>
      <w:bookmarkEnd w:id="89"/>
      <w:r w:rsidR="00900923">
        <w:tab/>
      </w:r>
    </w:p>
    <w:p w:rsidR="00900923" w:rsidRDefault="00874A18" w:rsidP="003E4A5D">
      <w:pPr>
        <w:widowControl w:val="0"/>
      </w:pPr>
      <w:r w:rsidRPr="00874A18">
        <w:t>Rekodifikace povede k zavedení velmi omezené apelace ve stavebních věcech v podobě možnosti správního soudu změnit rozhodnutí žalovaného stavebního úřadu.</w:t>
      </w:r>
      <w:r w:rsidR="00A5107E">
        <w:t xml:space="preserve"> Bude se tak dít ve věcech, kde </w:t>
      </w:r>
      <w:r w:rsidRPr="00874A18">
        <w:t>k takovému rozhodnutí bude mít správní soud d</w:t>
      </w:r>
      <w:r w:rsidR="00EB32FC">
        <w:t>ostatek podkladů a bude nade vší</w:t>
      </w:r>
      <w:r w:rsidRPr="00874A18">
        <w:t xml:space="preserve"> pochybnost zřejmé, že by například i po zrušení rozhodnutí a vrácení věci k novému rozhodnutí stavebního úřadu neexistovala jiná možnost, než rozhodnout o (ne)povolení stavby.</w:t>
      </w:r>
    </w:p>
    <w:p w:rsidR="006B145A" w:rsidRDefault="00F24B03" w:rsidP="003E4A5D">
      <w:pPr>
        <w:widowControl w:val="0"/>
      </w:pPr>
      <w:r>
        <w:t xml:space="preserve">Dále varianta volí </w:t>
      </w:r>
      <w:r w:rsidRPr="00874A18">
        <w:t xml:space="preserve">povinnost správního soudu projednat a vypořádat se se všemi žalobními </w:t>
      </w:r>
      <w:r>
        <w:t>body</w:t>
      </w:r>
      <w:r w:rsidRPr="00874A18">
        <w:t>. Vytvoření specializovaných senátů u vybraných správních úseků krajských soudů a jejich obligatorní místní příslušnost ve věcech stavebního práva</w:t>
      </w:r>
      <w:r>
        <w:t>.</w:t>
      </w:r>
    </w:p>
    <w:p w:rsidR="00900923" w:rsidRDefault="001D7237" w:rsidP="001D7237">
      <w:pPr>
        <w:widowControl w:val="0"/>
      </w:pPr>
      <w:r>
        <w:t>Věcný záměr</w:t>
      </w:r>
      <w:r w:rsidR="00874A18">
        <w:t xml:space="preserve"> počítá s řadou dalších dílčích změn</w:t>
      </w:r>
      <w:r w:rsidR="000D1431">
        <w:t xml:space="preserve"> </w:t>
      </w:r>
      <w:r w:rsidR="006B145A">
        <w:t>(úprava inst</w:t>
      </w:r>
      <w:r>
        <w:t>itutu náhrad za změnu v území</w:t>
      </w:r>
      <w:r>
        <w:tab/>
        <w:t xml:space="preserve">, </w:t>
      </w:r>
      <w:r w:rsidR="006B145A">
        <w:t>úprava lhůt a následků jejich nedodržení, úpravy v oblasti změn staveb před jejich dokončením, v oblasti kolaudace, z</w:t>
      </w:r>
      <w:r w:rsidR="00A5107E">
        <w:t>měny dokončené stavby / změny v </w:t>
      </w:r>
      <w:r w:rsidR="006B145A">
        <w:t>užívání stavby, či odstranění nepovolené stavby apod.).</w:t>
      </w:r>
      <w:r w:rsidR="00874A18">
        <w:t xml:space="preserve"> Protože </w:t>
      </w:r>
      <w:r w:rsidR="00B71978">
        <w:t xml:space="preserve">k dispozici není dostatek spolehlivých a detailních dat, hodnotí RIA především ty okruhy, </w:t>
      </w:r>
      <w:r w:rsidR="00A5107E">
        <w:t>které budou z pohledu nákladů a </w:t>
      </w:r>
      <w:r w:rsidR="00B71978">
        <w:t>přínosů nejvýznamnější. Volba těchto věcných okruhů pro RIA byla potvrzena i závěry konzultací.</w:t>
      </w:r>
    </w:p>
    <w:p w:rsidR="003709EB" w:rsidRDefault="00F24B03" w:rsidP="003E4A5D">
      <w:pPr>
        <w:widowControl w:val="0"/>
      </w:pPr>
      <w:r w:rsidRPr="00D862A5">
        <w:rPr>
          <w:b/>
        </w:rPr>
        <w:t xml:space="preserve">Při společné implementaci všech těchto kroků společně pak </w:t>
      </w:r>
      <w:r w:rsidR="0023265D">
        <w:rPr>
          <w:b/>
        </w:rPr>
        <w:t>lze předpokládat</w:t>
      </w:r>
      <w:r w:rsidRPr="00D862A5">
        <w:rPr>
          <w:b/>
        </w:rPr>
        <w:t xml:space="preserve">, že se povolovací proces zkrátí z průměrných 5,4 let </w:t>
      </w:r>
      <w:r w:rsidR="00D0045D">
        <w:rPr>
          <w:b/>
        </w:rPr>
        <w:t xml:space="preserve"> </w:t>
      </w:r>
      <w:r w:rsidRPr="00D862A5">
        <w:rPr>
          <w:b/>
        </w:rPr>
        <w:t xml:space="preserve">na maximálně </w:t>
      </w:r>
      <w:r>
        <w:rPr>
          <w:b/>
        </w:rPr>
        <w:t xml:space="preserve">průměrně </w:t>
      </w:r>
      <w:r w:rsidRPr="00D862A5">
        <w:rPr>
          <w:b/>
        </w:rPr>
        <w:t>1 rok</w:t>
      </w:r>
      <w:r>
        <w:rPr>
          <w:b/>
        </w:rPr>
        <w:t xml:space="preserve"> včetně soudního přezkumu</w:t>
      </w:r>
      <w:r w:rsidRPr="00D862A5">
        <w:rPr>
          <w:b/>
        </w:rPr>
        <w:t xml:space="preserve">. Odhadované dopady </w:t>
      </w:r>
      <w:r>
        <w:rPr>
          <w:b/>
        </w:rPr>
        <w:t xml:space="preserve">jsou </w:t>
      </w:r>
      <w:r w:rsidRPr="00D862A5">
        <w:rPr>
          <w:b/>
        </w:rPr>
        <w:t xml:space="preserve">pak </w:t>
      </w:r>
      <w:r>
        <w:rPr>
          <w:b/>
        </w:rPr>
        <w:t>uvedeny dále v závěrečném shrnutí.</w:t>
      </w:r>
    </w:p>
    <w:p w:rsidR="00D24CDE" w:rsidRDefault="00EC3868" w:rsidP="00BD4BAE">
      <w:pPr>
        <w:pStyle w:val="Nadpis20"/>
      </w:pPr>
      <w:bookmarkStart w:id="90" w:name="_Toc536553940"/>
      <w:r w:rsidRPr="00BD4BAE">
        <w:lastRenderedPageBreak/>
        <w:t>Závěrečné shrnutí</w:t>
      </w:r>
      <w:bookmarkEnd w:id="90"/>
      <w:r w:rsidR="000C3498" w:rsidRPr="00BD4BAE">
        <w:t xml:space="preserve"> </w:t>
      </w:r>
    </w:p>
    <w:p w:rsidR="00BD4BAE" w:rsidRPr="00BD4BAE" w:rsidRDefault="00BD4BAE" w:rsidP="00BD4BAE">
      <w:pPr>
        <w:widowControl w:val="0"/>
      </w:pPr>
      <w:r w:rsidRPr="00BD4BAE">
        <w:t xml:space="preserve">Následující </w:t>
      </w:r>
      <w:r>
        <w:t>tabulky shrnuje závěry uvedené v předchozích částech RIA.</w:t>
      </w:r>
    </w:p>
    <w:p w:rsidR="00EC3868" w:rsidRPr="00EC3868" w:rsidRDefault="00EC3868" w:rsidP="003E4A5D">
      <w:pPr>
        <w:pStyle w:val="Titulek"/>
      </w:pPr>
      <w:r w:rsidRPr="00EC3868">
        <w:t xml:space="preserve">Tabulka </w:t>
      </w:r>
      <w:r w:rsidR="00AB65E9">
        <w:rPr>
          <w:noProof/>
        </w:rPr>
        <w:fldChar w:fldCharType="begin"/>
      </w:r>
      <w:r w:rsidR="002F76C3">
        <w:rPr>
          <w:noProof/>
        </w:rPr>
        <w:instrText xml:space="preserve"> SEQ Tabulka \* ARABIC </w:instrText>
      </w:r>
      <w:r w:rsidR="00AB65E9">
        <w:rPr>
          <w:noProof/>
        </w:rPr>
        <w:fldChar w:fldCharType="separate"/>
      </w:r>
      <w:r w:rsidR="00263A1B">
        <w:rPr>
          <w:noProof/>
        </w:rPr>
        <w:t>32</w:t>
      </w:r>
      <w:r w:rsidR="00AB65E9">
        <w:rPr>
          <w:noProof/>
        </w:rPr>
        <w:fldChar w:fldCharType="end"/>
      </w:r>
      <w:r w:rsidRPr="00EC3868">
        <w:t>: Závěrečné shrnutí - relevantní ekonomické parametry související s realizací rekodifikace - kvantifikovatelné parametry</w:t>
      </w:r>
    </w:p>
    <w:tbl>
      <w:tblPr>
        <w:tblStyle w:val="Tabulkaseznamu21"/>
        <w:tblW w:w="9072" w:type="dxa"/>
        <w:tblInd w:w="108" w:type="dxa"/>
        <w:tblLayout w:type="fixed"/>
        <w:tblLook w:val="04A0" w:firstRow="1" w:lastRow="0" w:firstColumn="1" w:lastColumn="0" w:noHBand="0" w:noVBand="1"/>
      </w:tblPr>
      <w:tblGrid>
        <w:gridCol w:w="426"/>
        <w:gridCol w:w="2551"/>
        <w:gridCol w:w="3464"/>
        <w:gridCol w:w="2631"/>
      </w:tblGrid>
      <w:tr w:rsidR="00EC3868" w:rsidRPr="00EC3868" w:rsidTr="00F8285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tcPr>
          <w:p w:rsidR="00EC3868" w:rsidRPr="00EC3868" w:rsidRDefault="00EC3868" w:rsidP="003E4A5D">
            <w:pPr>
              <w:widowControl w:val="0"/>
              <w:spacing w:before="0" w:after="0"/>
              <w:jc w:val="right"/>
              <w:rPr>
                <w:rFonts w:ascii="Calibri" w:eastAsia="Times New Roman" w:hAnsi="Calibri"/>
                <w:b w:val="0"/>
                <w:bCs w:val="0"/>
                <w:i/>
                <w:iCs/>
                <w:color w:val="000000"/>
                <w:sz w:val="20"/>
                <w:szCs w:val="20"/>
                <w:lang w:eastAsia="cs-CZ"/>
              </w:rPr>
            </w:pPr>
          </w:p>
        </w:tc>
        <w:tc>
          <w:tcPr>
            <w:tcW w:w="2551" w:type="dxa"/>
            <w:noWrap/>
            <w:tcMar>
              <w:left w:w="28" w:type="dxa"/>
              <w:right w:w="28" w:type="dxa"/>
            </w:tcMar>
            <w:vAlign w:val="center"/>
          </w:tcPr>
          <w:p w:rsidR="00EC3868" w:rsidRPr="00EC3868" w:rsidRDefault="00EC3868" w:rsidP="003E4A5D">
            <w:pPr>
              <w:widowControl w:val="0"/>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i/>
                <w:iCs/>
                <w:color w:val="000000"/>
                <w:sz w:val="20"/>
                <w:szCs w:val="20"/>
                <w:lang w:eastAsia="cs-CZ"/>
              </w:rPr>
            </w:pPr>
          </w:p>
        </w:tc>
        <w:tc>
          <w:tcPr>
            <w:tcW w:w="3464" w:type="dxa"/>
            <w:noWrap/>
            <w:tcMar>
              <w:left w:w="28" w:type="dxa"/>
              <w:right w:w="28" w:type="dxa"/>
            </w:tcMar>
            <w:vAlign w:val="center"/>
          </w:tcPr>
          <w:p w:rsidR="00EC3868" w:rsidRPr="00EC3868" w:rsidRDefault="00EC3868" w:rsidP="001F2819">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color w:val="000000"/>
                <w:sz w:val="20"/>
                <w:szCs w:val="20"/>
                <w:lang w:eastAsia="cs-CZ"/>
              </w:rPr>
            </w:pPr>
            <w:r w:rsidRPr="00EC3868">
              <w:rPr>
                <w:rFonts w:ascii="Calibri" w:eastAsia="Times New Roman" w:hAnsi="Calibri"/>
                <w:bCs w:val="0"/>
                <w:color w:val="000000"/>
                <w:sz w:val="20"/>
                <w:szCs w:val="20"/>
                <w:lang w:eastAsia="cs-CZ"/>
              </w:rPr>
              <w:t>Hodnota</w:t>
            </w:r>
          </w:p>
        </w:tc>
        <w:tc>
          <w:tcPr>
            <w:tcW w:w="2631" w:type="dxa"/>
            <w:noWrap/>
            <w:tcMar>
              <w:left w:w="28" w:type="dxa"/>
              <w:right w:w="28" w:type="dxa"/>
            </w:tcMar>
            <w:vAlign w:val="center"/>
          </w:tcPr>
          <w:p w:rsidR="00EC3868" w:rsidRPr="00EC3868" w:rsidRDefault="00EC3868" w:rsidP="001F2819">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color w:val="000000"/>
                <w:sz w:val="20"/>
                <w:szCs w:val="20"/>
                <w:lang w:eastAsia="cs-CZ"/>
              </w:rPr>
            </w:pPr>
            <w:r w:rsidRPr="00EC3868">
              <w:rPr>
                <w:rFonts w:ascii="Calibri" w:eastAsia="Times New Roman" w:hAnsi="Calibri"/>
                <w:bCs w:val="0"/>
                <w:color w:val="000000"/>
                <w:sz w:val="20"/>
                <w:szCs w:val="20"/>
                <w:lang w:eastAsia="cs-CZ"/>
              </w:rPr>
              <w:t>Komentář</w:t>
            </w:r>
          </w:p>
        </w:tc>
      </w:tr>
      <w:tr w:rsidR="00EC3868" w:rsidRPr="00EC3868" w:rsidTr="00F82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6" w:type="dxa"/>
            <w:shd w:val="clear" w:color="auto" w:fill="FEFCBE" w:themeFill="accent1" w:themeFillTint="33"/>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Cs w:val="0"/>
                <w:i/>
                <w:iCs/>
                <w:color w:val="000000"/>
                <w:sz w:val="20"/>
                <w:szCs w:val="20"/>
                <w:lang w:eastAsia="cs-CZ"/>
              </w:rPr>
            </w:pPr>
            <w:r w:rsidRPr="00EC3868">
              <w:rPr>
                <w:rFonts w:ascii="Calibri" w:eastAsia="Times New Roman" w:hAnsi="Calibri"/>
                <w:bCs w:val="0"/>
                <w:i/>
                <w:iCs/>
                <w:color w:val="000000"/>
                <w:sz w:val="20"/>
                <w:szCs w:val="20"/>
                <w:lang w:eastAsia="cs-CZ"/>
              </w:rPr>
              <w:t xml:space="preserve">A. </w:t>
            </w:r>
          </w:p>
        </w:tc>
        <w:tc>
          <w:tcPr>
            <w:tcW w:w="2551" w:type="dxa"/>
            <w:shd w:val="clear" w:color="auto" w:fill="FEFCBE" w:themeFill="accent1" w:themeFillTint="33"/>
            <w:noWrap/>
            <w:tcMar>
              <w:left w:w="28" w:type="dxa"/>
              <w:right w:w="28" w:type="dxa"/>
            </w:tcMar>
            <w:vAlign w:val="center"/>
            <w:hideMark/>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i/>
                <w:iCs/>
                <w:color w:val="000000"/>
                <w:sz w:val="20"/>
                <w:szCs w:val="20"/>
                <w:lang w:eastAsia="cs-CZ"/>
              </w:rPr>
            </w:pPr>
            <w:r w:rsidRPr="00EC3868">
              <w:rPr>
                <w:rFonts w:ascii="Calibri" w:eastAsia="Times New Roman" w:hAnsi="Calibri"/>
                <w:b/>
                <w:bCs/>
                <w:i/>
                <w:iCs/>
                <w:color w:val="000000"/>
                <w:sz w:val="20"/>
                <w:szCs w:val="20"/>
                <w:lang w:eastAsia="cs-CZ"/>
              </w:rPr>
              <w:t>Náklady jednorázové (zejména vznik NSÚ)</w:t>
            </w:r>
          </w:p>
        </w:tc>
        <w:tc>
          <w:tcPr>
            <w:tcW w:w="3464" w:type="dxa"/>
            <w:shd w:val="clear" w:color="auto" w:fill="FEFCBE" w:themeFill="accent1" w:themeFillTint="33"/>
            <w:noWrap/>
            <w:tcMar>
              <w:left w:w="28" w:type="dxa"/>
              <w:right w:w="28" w:type="dxa"/>
            </w:tcMar>
            <w:vAlign w:val="center"/>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szCs w:val="20"/>
                <w:lang w:eastAsia="cs-CZ"/>
              </w:rPr>
            </w:pPr>
          </w:p>
        </w:tc>
        <w:tc>
          <w:tcPr>
            <w:tcW w:w="2631" w:type="dxa"/>
            <w:shd w:val="clear" w:color="auto" w:fill="FEFCBE" w:themeFill="accent1" w:themeFillTint="33"/>
            <w:noWrap/>
            <w:tcMar>
              <w:left w:w="28" w:type="dxa"/>
              <w:right w:w="28" w:type="dxa"/>
            </w:tcMar>
            <w:vAlign w:val="center"/>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szCs w:val="20"/>
                <w:lang w:eastAsia="cs-CZ"/>
              </w:rPr>
            </w:pPr>
          </w:p>
        </w:tc>
      </w:tr>
      <w:tr w:rsidR="00EC3868" w:rsidRPr="00EC3868" w:rsidTr="00F8285F">
        <w:trPr>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 w:val="0"/>
                <w:color w:val="000000"/>
                <w:sz w:val="20"/>
                <w:szCs w:val="20"/>
                <w:lang w:eastAsia="cs-CZ"/>
              </w:rPr>
            </w:pPr>
            <w:r w:rsidRPr="00EC3868">
              <w:rPr>
                <w:rFonts w:ascii="Calibri" w:eastAsia="Times New Roman" w:hAnsi="Calibri"/>
                <w:b w:val="0"/>
                <w:color w:val="000000"/>
                <w:sz w:val="20"/>
                <w:szCs w:val="20"/>
                <w:lang w:eastAsia="cs-CZ"/>
              </w:rPr>
              <w:t>1.</w:t>
            </w:r>
          </w:p>
        </w:tc>
        <w:tc>
          <w:tcPr>
            <w:tcW w:w="2551" w:type="dxa"/>
            <w:tcMar>
              <w:left w:w="28" w:type="dxa"/>
              <w:right w:w="28" w:type="dxa"/>
            </w:tcMar>
            <w:vAlign w:val="center"/>
            <w:hideMark/>
          </w:tcPr>
          <w:p w:rsidR="00EC3868" w:rsidRPr="00EC3868" w:rsidRDefault="00EC3868"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Náklady na zajištění a vybavení nových prostor, náklady na přesun zaměstnanců a na vybavení spojené s tvorbou nových pracovních míst</w:t>
            </w:r>
          </w:p>
        </w:tc>
        <w:tc>
          <w:tcPr>
            <w:tcW w:w="3464" w:type="dxa"/>
            <w:tcMar>
              <w:left w:w="28" w:type="dxa"/>
              <w:right w:w="28" w:type="dxa"/>
            </w:tcMar>
            <w:vAlign w:val="center"/>
            <w:hideMark/>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Řádově stovky mil. Kč</w:t>
            </w:r>
          </w:p>
        </w:tc>
        <w:tc>
          <w:tcPr>
            <w:tcW w:w="2631" w:type="dxa"/>
            <w:tcMar>
              <w:left w:w="28" w:type="dxa"/>
              <w:right w:w="28" w:type="dxa"/>
            </w:tcMar>
            <w:vAlign w:val="center"/>
            <w:hideMark/>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Část těchto nákladů bude v praxi objektivně přesunuta z nákladové části rozpočtů samospráv do nákladů státní správy, nicméně mělo by také dojít k alikvótnímu snížení příspěvku pro samosprávy a jeho transparentnějšímu a tím i účelovějšímu a efektivnějšímu využití, než je tomu doposud.</w:t>
            </w:r>
          </w:p>
        </w:tc>
      </w:tr>
      <w:tr w:rsidR="00EC3868" w:rsidRPr="00EC3868" w:rsidTr="00F82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 w:val="0"/>
                <w:color w:val="000000"/>
                <w:sz w:val="20"/>
                <w:szCs w:val="20"/>
                <w:lang w:eastAsia="cs-CZ"/>
              </w:rPr>
            </w:pPr>
            <w:r w:rsidRPr="00EC3868">
              <w:rPr>
                <w:rFonts w:ascii="Calibri" w:eastAsia="Times New Roman" w:hAnsi="Calibri"/>
                <w:b w:val="0"/>
                <w:color w:val="000000"/>
                <w:sz w:val="20"/>
                <w:szCs w:val="20"/>
                <w:lang w:eastAsia="cs-CZ"/>
              </w:rPr>
              <w:t>2.</w:t>
            </w:r>
          </w:p>
        </w:tc>
        <w:tc>
          <w:tcPr>
            <w:tcW w:w="2551" w:type="dxa"/>
            <w:noWrap/>
            <w:tcMar>
              <w:left w:w="28" w:type="dxa"/>
              <w:right w:w="28" w:type="dxa"/>
            </w:tcMar>
            <w:vAlign w:val="center"/>
            <w:hideMark/>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Náklady na ICT (zejména na centrální evidenční systém)</w:t>
            </w:r>
          </w:p>
        </w:tc>
        <w:tc>
          <w:tcPr>
            <w:tcW w:w="3464" w:type="dxa"/>
            <w:noWrap/>
            <w:tcMar>
              <w:left w:w="28" w:type="dxa"/>
              <w:right w:w="28" w:type="dxa"/>
            </w:tcMar>
            <w:vAlign w:val="center"/>
            <w:hideMark/>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Náklady v případě jednoduššího řešení v řádech desítek mil. Kč. Mluvíme pouze o centrálním evidenční</w:t>
            </w:r>
            <w:r w:rsidR="00B7277D">
              <w:rPr>
                <w:rFonts w:ascii="Calibri" w:eastAsia="Times New Roman" w:hAnsi="Calibri"/>
                <w:color w:val="000000"/>
                <w:sz w:val="20"/>
                <w:szCs w:val="20"/>
                <w:lang w:eastAsia="cs-CZ"/>
              </w:rPr>
              <w:t>m</w:t>
            </w:r>
            <w:r w:rsidRPr="00EC3868">
              <w:rPr>
                <w:rFonts w:ascii="Calibri" w:eastAsia="Times New Roman" w:hAnsi="Calibri"/>
                <w:color w:val="000000"/>
                <w:sz w:val="20"/>
                <w:szCs w:val="20"/>
                <w:lang w:eastAsia="cs-CZ"/>
              </w:rPr>
              <w:t xml:space="preserve"> systému, náklady na digitalizaci agendy nejsou vyvolané rekodifikací.</w:t>
            </w:r>
          </w:p>
        </w:tc>
        <w:tc>
          <w:tcPr>
            <w:tcW w:w="2631" w:type="dxa"/>
            <w:noWrap/>
            <w:tcMar>
              <w:left w:w="28" w:type="dxa"/>
              <w:right w:w="28" w:type="dxa"/>
            </w:tcMar>
            <w:vAlign w:val="center"/>
            <w:hideMark/>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p>
        </w:tc>
      </w:tr>
      <w:tr w:rsidR="00EC3868" w:rsidRPr="00EC3868" w:rsidTr="00F8285F">
        <w:trPr>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tcPr>
          <w:p w:rsidR="00EC3868" w:rsidRPr="00EC3868" w:rsidRDefault="00EC3868" w:rsidP="003E4A5D">
            <w:pPr>
              <w:widowControl w:val="0"/>
              <w:spacing w:before="0" w:after="0"/>
              <w:jc w:val="left"/>
              <w:rPr>
                <w:rFonts w:ascii="Calibri" w:eastAsia="Times New Roman" w:hAnsi="Calibri"/>
                <w:color w:val="000000"/>
                <w:sz w:val="20"/>
                <w:szCs w:val="20"/>
                <w:lang w:eastAsia="cs-CZ"/>
              </w:rPr>
            </w:pPr>
            <w:r w:rsidRPr="00EC3868">
              <w:rPr>
                <w:rFonts w:ascii="Calibri" w:eastAsia="Times New Roman" w:hAnsi="Calibri"/>
                <w:b w:val="0"/>
                <w:color w:val="000000"/>
                <w:sz w:val="20"/>
                <w:szCs w:val="20"/>
                <w:lang w:eastAsia="cs-CZ"/>
              </w:rPr>
              <w:t>3.</w:t>
            </w:r>
          </w:p>
        </w:tc>
        <w:tc>
          <w:tcPr>
            <w:tcW w:w="2551" w:type="dxa"/>
            <w:noWrap/>
            <w:tcMar>
              <w:left w:w="28" w:type="dxa"/>
              <w:right w:w="28" w:type="dxa"/>
            </w:tcMar>
            <w:vAlign w:val="center"/>
          </w:tcPr>
          <w:p w:rsidR="00EC3868" w:rsidRPr="00EC3868" w:rsidRDefault="00EC3868"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r w:rsidRPr="00EC3868">
              <w:rPr>
                <w:rFonts w:ascii="Calibri" w:eastAsia="Times New Roman" w:hAnsi="Calibri"/>
                <w:color w:val="000000"/>
                <w:sz w:val="20"/>
                <w:szCs w:val="20"/>
                <w:lang w:eastAsia="cs-CZ"/>
              </w:rPr>
              <w:t>Náklady na ICT v rámci digitalizace</w:t>
            </w:r>
          </w:p>
        </w:tc>
        <w:tc>
          <w:tcPr>
            <w:tcW w:w="3464" w:type="dxa"/>
            <w:noWrap/>
            <w:tcMar>
              <w:left w:w="28" w:type="dxa"/>
              <w:right w:w="28" w:type="dxa"/>
            </w:tcMar>
            <w:vAlign w:val="center"/>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r w:rsidRPr="00EC3868">
              <w:rPr>
                <w:rFonts w:ascii="Calibri" w:eastAsia="Times New Roman" w:hAnsi="Calibri"/>
                <w:color w:val="000000"/>
                <w:sz w:val="20"/>
                <w:szCs w:val="20"/>
                <w:lang w:eastAsia="cs-CZ"/>
              </w:rPr>
              <w:t>0 Kč</w:t>
            </w:r>
          </w:p>
        </w:tc>
        <w:tc>
          <w:tcPr>
            <w:tcW w:w="2631" w:type="dxa"/>
            <w:noWrap/>
            <w:tcMar>
              <w:left w:w="28" w:type="dxa"/>
              <w:right w:w="28" w:type="dxa"/>
            </w:tcMar>
            <w:vAlign w:val="center"/>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r w:rsidRPr="00EC3868">
              <w:rPr>
                <w:rFonts w:ascii="Calibri" w:eastAsia="Times New Roman" w:hAnsi="Calibri"/>
                <w:color w:val="000000"/>
                <w:sz w:val="20"/>
                <w:szCs w:val="20"/>
                <w:lang w:eastAsia="cs-CZ"/>
              </w:rPr>
              <w:t>Náklady na digitalizaci agendy nejsou vyvolané rekodifikací.</w:t>
            </w:r>
          </w:p>
        </w:tc>
      </w:tr>
      <w:tr w:rsidR="00EC3868" w:rsidRPr="00EC3868" w:rsidTr="00F82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6" w:type="dxa"/>
            <w:shd w:val="clear" w:color="auto" w:fill="FEFCBE" w:themeFill="accent1" w:themeFillTint="33"/>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Cs w:val="0"/>
                <w:i/>
                <w:iCs/>
                <w:color w:val="000000"/>
                <w:sz w:val="20"/>
                <w:szCs w:val="20"/>
                <w:lang w:eastAsia="cs-CZ"/>
              </w:rPr>
            </w:pPr>
            <w:r w:rsidRPr="00EC3868">
              <w:rPr>
                <w:rFonts w:ascii="Calibri" w:eastAsia="Times New Roman" w:hAnsi="Calibri"/>
                <w:bCs w:val="0"/>
                <w:i/>
                <w:iCs/>
                <w:color w:val="000000"/>
                <w:sz w:val="20"/>
                <w:szCs w:val="20"/>
                <w:lang w:eastAsia="cs-CZ"/>
              </w:rPr>
              <w:t>B.</w:t>
            </w:r>
          </w:p>
        </w:tc>
        <w:tc>
          <w:tcPr>
            <w:tcW w:w="2551" w:type="dxa"/>
            <w:shd w:val="clear" w:color="auto" w:fill="FEFCBE" w:themeFill="accent1" w:themeFillTint="33"/>
            <w:noWrap/>
            <w:tcMar>
              <w:left w:w="28" w:type="dxa"/>
              <w:right w:w="28" w:type="dxa"/>
            </w:tcMar>
            <w:vAlign w:val="center"/>
            <w:hideMark/>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i/>
                <w:iCs/>
                <w:color w:val="000000"/>
                <w:sz w:val="20"/>
                <w:szCs w:val="20"/>
                <w:lang w:eastAsia="cs-CZ"/>
              </w:rPr>
            </w:pPr>
            <w:r w:rsidRPr="00EC3868">
              <w:rPr>
                <w:rFonts w:ascii="Calibri" w:eastAsia="Times New Roman" w:hAnsi="Calibri"/>
                <w:b/>
                <w:bCs/>
                <w:i/>
                <w:iCs/>
                <w:color w:val="000000"/>
                <w:sz w:val="20"/>
                <w:szCs w:val="20"/>
                <w:lang w:eastAsia="cs-CZ"/>
              </w:rPr>
              <w:t>Roční provozní náklady</w:t>
            </w:r>
          </w:p>
        </w:tc>
        <w:tc>
          <w:tcPr>
            <w:tcW w:w="3464" w:type="dxa"/>
            <w:shd w:val="clear" w:color="auto" w:fill="FEFCBE" w:themeFill="accent1" w:themeFillTint="33"/>
            <w:noWrap/>
            <w:tcMar>
              <w:left w:w="28" w:type="dxa"/>
              <w:right w:w="28" w:type="dxa"/>
            </w:tcMar>
            <w:vAlign w:val="center"/>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szCs w:val="20"/>
                <w:lang w:eastAsia="cs-CZ"/>
              </w:rPr>
            </w:pPr>
          </w:p>
        </w:tc>
        <w:tc>
          <w:tcPr>
            <w:tcW w:w="2631" w:type="dxa"/>
            <w:shd w:val="clear" w:color="auto" w:fill="FEFCBE" w:themeFill="accent1" w:themeFillTint="33"/>
            <w:noWrap/>
            <w:tcMar>
              <w:left w:w="28" w:type="dxa"/>
              <w:right w:w="28" w:type="dxa"/>
            </w:tcMar>
            <w:vAlign w:val="center"/>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szCs w:val="20"/>
                <w:lang w:eastAsia="cs-CZ"/>
              </w:rPr>
            </w:pPr>
          </w:p>
        </w:tc>
      </w:tr>
      <w:tr w:rsidR="00EC3868" w:rsidRPr="00EC3868" w:rsidTr="00F8285F">
        <w:trPr>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 w:val="0"/>
                <w:color w:val="000000"/>
                <w:sz w:val="20"/>
                <w:szCs w:val="20"/>
                <w:lang w:eastAsia="cs-CZ"/>
              </w:rPr>
            </w:pPr>
            <w:r w:rsidRPr="00EC3868">
              <w:rPr>
                <w:rFonts w:ascii="Calibri" w:eastAsia="Times New Roman" w:hAnsi="Calibri"/>
                <w:b w:val="0"/>
                <w:color w:val="000000"/>
                <w:sz w:val="20"/>
                <w:szCs w:val="20"/>
                <w:lang w:eastAsia="cs-CZ"/>
              </w:rPr>
              <w:t>1.</w:t>
            </w:r>
          </w:p>
        </w:tc>
        <w:tc>
          <w:tcPr>
            <w:tcW w:w="2551" w:type="dxa"/>
            <w:tcMar>
              <w:left w:w="28" w:type="dxa"/>
              <w:right w:w="28" w:type="dxa"/>
            </w:tcMar>
            <w:vAlign w:val="center"/>
            <w:hideMark/>
          </w:tcPr>
          <w:p w:rsidR="00EC3868" w:rsidRPr="00EC3868" w:rsidRDefault="00EC3868"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Mzdové a ostatní provozní náklady související zejména se vznikem NSÚ</w:t>
            </w:r>
          </w:p>
        </w:tc>
        <w:tc>
          <w:tcPr>
            <w:tcW w:w="3464" w:type="dxa"/>
            <w:noWrap/>
            <w:tcMar>
              <w:left w:w="28" w:type="dxa"/>
              <w:right w:w="28" w:type="dxa"/>
            </w:tcMar>
            <w:vAlign w:val="center"/>
            <w:hideMark/>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Stovky mil. Kč (při předpokladech stanovených v RIA budou činit roční provozní náklady 1</w:t>
            </w:r>
            <w:r w:rsidR="00B47025">
              <w:rPr>
                <w:rFonts w:ascii="Calibri" w:eastAsia="Times New Roman" w:hAnsi="Calibri"/>
                <w:color w:val="000000"/>
                <w:sz w:val="20"/>
                <w:szCs w:val="20"/>
                <w:lang w:eastAsia="cs-CZ"/>
              </w:rPr>
              <w:t xml:space="preserve"> </w:t>
            </w:r>
            <w:r w:rsidRPr="00EC3868">
              <w:rPr>
                <w:rFonts w:ascii="Calibri" w:eastAsia="Times New Roman" w:hAnsi="Calibri"/>
                <w:color w:val="000000"/>
                <w:sz w:val="20"/>
                <w:szCs w:val="20"/>
                <w:lang w:eastAsia="cs-CZ"/>
              </w:rPr>
              <w:t>4</w:t>
            </w:r>
            <w:r w:rsidR="00B47025">
              <w:rPr>
                <w:rFonts w:ascii="Calibri" w:eastAsia="Times New Roman" w:hAnsi="Calibri"/>
                <w:color w:val="000000"/>
                <w:sz w:val="20"/>
                <w:szCs w:val="20"/>
                <w:lang w:eastAsia="cs-CZ"/>
              </w:rPr>
              <w:t>00</w:t>
            </w:r>
            <w:r w:rsidRPr="00EC3868">
              <w:rPr>
                <w:rFonts w:ascii="Calibri" w:eastAsia="Times New Roman" w:hAnsi="Calibri"/>
                <w:color w:val="000000"/>
                <w:sz w:val="20"/>
                <w:szCs w:val="20"/>
                <w:lang w:eastAsia="cs-CZ"/>
              </w:rPr>
              <w:t xml:space="preserve"> m</w:t>
            </w:r>
            <w:r w:rsidR="00B47025">
              <w:rPr>
                <w:rFonts w:ascii="Calibri" w:eastAsia="Times New Roman" w:hAnsi="Calibri"/>
                <w:color w:val="000000"/>
                <w:sz w:val="20"/>
                <w:szCs w:val="20"/>
                <w:lang w:eastAsia="cs-CZ"/>
              </w:rPr>
              <w:t>i</w:t>
            </w:r>
            <w:r w:rsidRPr="00EC3868">
              <w:rPr>
                <w:rFonts w:ascii="Calibri" w:eastAsia="Times New Roman" w:hAnsi="Calibri"/>
                <w:color w:val="000000"/>
                <w:sz w:val="20"/>
                <w:szCs w:val="20"/>
                <w:lang w:eastAsia="cs-CZ"/>
              </w:rPr>
              <w:t>l. Kč)</w:t>
            </w:r>
          </w:p>
        </w:tc>
        <w:tc>
          <w:tcPr>
            <w:tcW w:w="2631" w:type="dxa"/>
            <w:noWrap/>
            <w:tcMar>
              <w:left w:w="28" w:type="dxa"/>
              <w:right w:w="28" w:type="dxa"/>
            </w:tcMar>
            <w:vAlign w:val="center"/>
            <w:hideMark/>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p>
        </w:tc>
      </w:tr>
      <w:tr w:rsidR="00EC3868" w:rsidRPr="00EC3868" w:rsidTr="00F82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tcPr>
          <w:p w:rsidR="00EC3868" w:rsidRPr="00EC3868" w:rsidRDefault="00EC3868" w:rsidP="003E4A5D">
            <w:pPr>
              <w:widowControl w:val="0"/>
              <w:spacing w:before="0" w:after="0"/>
              <w:jc w:val="right"/>
              <w:rPr>
                <w:rFonts w:ascii="Calibri" w:eastAsia="Times New Roman" w:hAnsi="Calibri"/>
                <w:b w:val="0"/>
                <w:color w:val="000000"/>
                <w:sz w:val="20"/>
                <w:szCs w:val="20"/>
                <w:lang w:eastAsia="cs-CZ"/>
              </w:rPr>
            </w:pPr>
            <w:r w:rsidRPr="00EC3868">
              <w:rPr>
                <w:rFonts w:ascii="Calibri" w:eastAsia="Times New Roman" w:hAnsi="Calibri"/>
                <w:b w:val="0"/>
                <w:color w:val="000000"/>
                <w:sz w:val="20"/>
                <w:szCs w:val="20"/>
                <w:lang w:eastAsia="cs-CZ"/>
              </w:rPr>
              <w:t>2.</w:t>
            </w:r>
          </w:p>
        </w:tc>
        <w:tc>
          <w:tcPr>
            <w:tcW w:w="2551" w:type="dxa"/>
            <w:tcMar>
              <w:left w:w="28" w:type="dxa"/>
              <w:right w:w="28" w:type="dxa"/>
            </w:tcMar>
            <w:vAlign w:val="center"/>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Náklady na ICT (zejména na centrální evidenční systém)</w:t>
            </w:r>
          </w:p>
        </w:tc>
        <w:tc>
          <w:tcPr>
            <w:tcW w:w="3464" w:type="dxa"/>
            <w:noWrap/>
            <w:tcMar>
              <w:left w:w="28" w:type="dxa"/>
              <w:right w:w="28" w:type="dxa"/>
            </w:tcMar>
            <w:vAlign w:val="center"/>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Náklady v případě jednoduššího řešení v řádech stovek tisíc Kč. Mluvíme pouze o centrálním evidenční</w:t>
            </w:r>
            <w:r w:rsidR="00B7277D">
              <w:rPr>
                <w:rFonts w:ascii="Calibri" w:eastAsia="Times New Roman" w:hAnsi="Calibri"/>
                <w:color w:val="000000"/>
                <w:sz w:val="20"/>
                <w:szCs w:val="20"/>
                <w:lang w:eastAsia="cs-CZ"/>
              </w:rPr>
              <w:t>m</w:t>
            </w:r>
            <w:r w:rsidRPr="00EC3868">
              <w:rPr>
                <w:rFonts w:ascii="Calibri" w:eastAsia="Times New Roman" w:hAnsi="Calibri"/>
                <w:color w:val="000000"/>
                <w:sz w:val="20"/>
                <w:szCs w:val="20"/>
                <w:lang w:eastAsia="cs-CZ"/>
              </w:rPr>
              <w:t xml:space="preserve"> systému, náklady na digitalizaci agendy nejsou vyvolané rekodifikací.</w:t>
            </w:r>
          </w:p>
        </w:tc>
        <w:tc>
          <w:tcPr>
            <w:tcW w:w="2631" w:type="dxa"/>
            <w:noWrap/>
            <w:tcMar>
              <w:left w:w="28" w:type="dxa"/>
              <w:right w:w="28" w:type="dxa"/>
            </w:tcMar>
            <w:vAlign w:val="center"/>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p>
        </w:tc>
      </w:tr>
      <w:tr w:rsidR="00EC3868" w:rsidRPr="00EC3868" w:rsidTr="00F8285F">
        <w:trPr>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 w:val="0"/>
                <w:color w:val="000000"/>
                <w:sz w:val="20"/>
                <w:szCs w:val="20"/>
                <w:lang w:eastAsia="cs-CZ"/>
              </w:rPr>
            </w:pPr>
            <w:r w:rsidRPr="00EC3868">
              <w:rPr>
                <w:rFonts w:ascii="Calibri" w:eastAsia="Times New Roman" w:hAnsi="Calibri"/>
                <w:b w:val="0"/>
                <w:color w:val="000000"/>
                <w:sz w:val="20"/>
                <w:szCs w:val="20"/>
                <w:lang w:eastAsia="cs-CZ"/>
              </w:rPr>
              <w:t>3.</w:t>
            </w:r>
          </w:p>
        </w:tc>
        <w:tc>
          <w:tcPr>
            <w:tcW w:w="2551" w:type="dxa"/>
            <w:tcMar>
              <w:left w:w="28" w:type="dxa"/>
              <w:right w:w="28" w:type="dxa"/>
            </w:tcMar>
            <w:vAlign w:val="center"/>
            <w:hideMark/>
          </w:tcPr>
          <w:p w:rsidR="00EC3868" w:rsidRPr="00EC3868" w:rsidRDefault="00EC3868"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Náklady na ICT v rámci digitalizace</w:t>
            </w:r>
          </w:p>
        </w:tc>
        <w:tc>
          <w:tcPr>
            <w:tcW w:w="3464" w:type="dxa"/>
            <w:noWrap/>
            <w:tcMar>
              <w:left w:w="28" w:type="dxa"/>
              <w:right w:w="28" w:type="dxa"/>
            </w:tcMar>
            <w:vAlign w:val="center"/>
            <w:hideMark/>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0 Kč</w:t>
            </w:r>
          </w:p>
        </w:tc>
        <w:tc>
          <w:tcPr>
            <w:tcW w:w="2631" w:type="dxa"/>
            <w:noWrap/>
            <w:tcMar>
              <w:left w:w="28" w:type="dxa"/>
              <w:right w:w="28" w:type="dxa"/>
            </w:tcMar>
            <w:vAlign w:val="center"/>
            <w:hideMark/>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Náklady na digitalizaci agendy nejsou vyvolané rekodifikací.</w:t>
            </w:r>
          </w:p>
        </w:tc>
      </w:tr>
      <w:tr w:rsidR="00EC3868" w:rsidRPr="00EC3868" w:rsidTr="00F82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 w:val="0"/>
                <w:color w:val="000000"/>
                <w:sz w:val="20"/>
                <w:szCs w:val="20"/>
                <w:lang w:eastAsia="cs-CZ"/>
              </w:rPr>
            </w:pPr>
            <w:r w:rsidRPr="00EC3868">
              <w:rPr>
                <w:rFonts w:ascii="Calibri" w:eastAsia="Times New Roman" w:hAnsi="Calibri"/>
                <w:b w:val="0"/>
                <w:color w:val="000000"/>
                <w:sz w:val="20"/>
                <w:szCs w:val="20"/>
                <w:lang w:eastAsia="cs-CZ"/>
              </w:rPr>
              <w:t>4.</w:t>
            </w:r>
          </w:p>
        </w:tc>
        <w:tc>
          <w:tcPr>
            <w:tcW w:w="2551" w:type="dxa"/>
            <w:noWrap/>
            <w:tcMar>
              <w:left w:w="28" w:type="dxa"/>
              <w:right w:w="28" w:type="dxa"/>
            </w:tcMar>
            <w:vAlign w:val="center"/>
            <w:hideMark/>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Ostatní náklady samosprávy a státní správy</w:t>
            </w:r>
          </w:p>
        </w:tc>
        <w:tc>
          <w:tcPr>
            <w:tcW w:w="3464" w:type="dxa"/>
            <w:noWrap/>
            <w:tcMar>
              <w:left w:w="28" w:type="dxa"/>
              <w:right w:w="28" w:type="dxa"/>
            </w:tcMar>
            <w:vAlign w:val="center"/>
            <w:hideMark/>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U ostatních nákladů samosprávy a státní správy předpokládáme, že se navzájem přibližně vykompenzují.</w:t>
            </w:r>
          </w:p>
        </w:tc>
        <w:tc>
          <w:tcPr>
            <w:tcW w:w="2631" w:type="dxa"/>
            <w:noWrap/>
            <w:tcMar>
              <w:left w:w="28" w:type="dxa"/>
              <w:right w:w="28" w:type="dxa"/>
            </w:tcMar>
            <w:vAlign w:val="center"/>
            <w:hideMark/>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p>
        </w:tc>
      </w:tr>
      <w:tr w:rsidR="00EC3868" w:rsidRPr="00EC3868" w:rsidTr="00F8285F">
        <w:trPr>
          <w:trHeight w:val="567"/>
        </w:trPr>
        <w:tc>
          <w:tcPr>
            <w:cnfStyle w:val="001000000000" w:firstRow="0" w:lastRow="0" w:firstColumn="1" w:lastColumn="0" w:oddVBand="0" w:evenVBand="0" w:oddHBand="0" w:evenHBand="0" w:firstRowFirstColumn="0" w:firstRowLastColumn="0" w:lastRowFirstColumn="0" w:lastRowLastColumn="0"/>
            <w:tcW w:w="426" w:type="dxa"/>
            <w:shd w:val="clear" w:color="auto" w:fill="FEFCBE" w:themeFill="accent1" w:themeFillTint="33"/>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Cs w:val="0"/>
                <w:i/>
                <w:iCs/>
                <w:color w:val="000000"/>
                <w:sz w:val="20"/>
                <w:szCs w:val="20"/>
                <w:lang w:eastAsia="cs-CZ"/>
              </w:rPr>
            </w:pPr>
            <w:r w:rsidRPr="00EC3868">
              <w:rPr>
                <w:rFonts w:ascii="Calibri" w:eastAsia="Times New Roman" w:hAnsi="Calibri"/>
                <w:bCs w:val="0"/>
                <w:i/>
                <w:iCs/>
                <w:color w:val="000000"/>
                <w:sz w:val="20"/>
                <w:szCs w:val="20"/>
                <w:lang w:eastAsia="cs-CZ"/>
              </w:rPr>
              <w:t>C.</w:t>
            </w:r>
          </w:p>
        </w:tc>
        <w:tc>
          <w:tcPr>
            <w:tcW w:w="2551" w:type="dxa"/>
            <w:shd w:val="clear" w:color="auto" w:fill="FEFCBE" w:themeFill="accent1" w:themeFillTint="33"/>
            <w:noWrap/>
            <w:tcMar>
              <w:left w:w="28" w:type="dxa"/>
              <w:right w:w="28" w:type="dxa"/>
            </w:tcMar>
            <w:vAlign w:val="center"/>
            <w:hideMark/>
          </w:tcPr>
          <w:p w:rsidR="00EC3868" w:rsidRPr="00EC3868" w:rsidRDefault="00EC3868"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i/>
                <w:iCs/>
                <w:color w:val="000000"/>
                <w:sz w:val="20"/>
                <w:szCs w:val="20"/>
                <w:lang w:eastAsia="cs-CZ"/>
              </w:rPr>
            </w:pPr>
            <w:r w:rsidRPr="00EC3868">
              <w:rPr>
                <w:rFonts w:ascii="Calibri" w:eastAsia="Times New Roman" w:hAnsi="Calibri"/>
                <w:b/>
                <w:bCs/>
                <w:i/>
                <w:iCs/>
                <w:color w:val="000000"/>
                <w:sz w:val="20"/>
                <w:szCs w:val="20"/>
                <w:lang w:eastAsia="cs-CZ"/>
              </w:rPr>
              <w:t>Roční přínosy</w:t>
            </w:r>
          </w:p>
        </w:tc>
        <w:tc>
          <w:tcPr>
            <w:tcW w:w="3464" w:type="dxa"/>
            <w:shd w:val="clear" w:color="auto" w:fill="FEFCBE" w:themeFill="accent1" w:themeFillTint="33"/>
            <w:noWrap/>
            <w:tcMar>
              <w:left w:w="28" w:type="dxa"/>
              <w:right w:w="28" w:type="dxa"/>
            </w:tcMar>
            <w:vAlign w:val="center"/>
          </w:tcPr>
          <w:p w:rsidR="00EC3868" w:rsidRPr="00EC3868" w:rsidRDefault="00EC3868"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szCs w:val="20"/>
                <w:lang w:eastAsia="cs-CZ"/>
              </w:rPr>
            </w:pPr>
          </w:p>
        </w:tc>
        <w:tc>
          <w:tcPr>
            <w:tcW w:w="2631" w:type="dxa"/>
            <w:shd w:val="clear" w:color="auto" w:fill="FEFCBE" w:themeFill="accent1" w:themeFillTint="33"/>
            <w:noWrap/>
            <w:tcMar>
              <w:left w:w="28" w:type="dxa"/>
              <w:right w:w="28" w:type="dxa"/>
            </w:tcMar>
            <w:vAlign w:val="center"/>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szCs w:val="20"/>
                <w:lang w:eastAsia="cs-CZ"/>
              </w:rPr>
            </w:pPr>
          </w:p>
        </w:tc>
      </w:tr>
      <w:tr w:rsidR="00EC3868" w:rsidRPr="00EC3868" w:rsidTr="00F82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hideMark/>
          </w:tcPr>
          <w:p w:rsidR="00EC3868" w:rsidRPr="00EC3868" w:rsidRDefault="00EC3868" w:rsidP="003E4A5D">
            <w:pPr>
              <w:widowControl w:val="0"/>
              <w:spacing w:before="0" w:after="0"/>
              <w:jc w:val="right"/>
              <w:rPr>
                <w:rFonts w:ascii="Calibri" w:eastAsia="Times New Roman" w:hAnsi="Calibri"/>
                <w:b w:val="0"/>
                <w:color w:val="000000"/>
                <w:sz w:val="20"/>
                <w:szCs w:val="20"/>
                <w:lang w:eastAsia="cs-CZ"/>
              </w:rPr>
            </w:pPr>
            <w:r w:rsidRPr="00EC3868">
              <w:rPr>
                <w:rFonts w:ascii="Calibri" w:eastAsia="Times New Roman" w:hAnsi="Calibri"/>
                <w:b w:val="0"/>
                <w:color w:val="000000"/>
                <w:sz w:val="20"/>
                <w:szCs w:val="20"/>
                <w:lang w:eastAsia="cs-CZ"/>
              </w:rPr>
              <w:t>1.</w:t>
            </w:r>
          </w:p>
        </w:tc>
        <w:tc>
          <w:tcPr>
            <w:tcW w:w="2551" w:type="dxa"/>
            <w:tcMar>
              <w:left w:w="28" w:type="dxa"/>
              <w:right w:w="28" w:type="dxa"/>
            </w:tcMar>
            <w:vAlign w:val="center"/>
            <w:hideMark/>
          </w:tcPr>
          <w:p w:rsidR="00EC3868" w:rsidRPr="00EC3868" w:rsidRDefault="00EC3868"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 xml:space="preserve">Předpokládané roční globální přínosy ze zkrácení povolovacích procesů </w:t>
            </w:r>
          </w:p>
        </w:tc>
        <w:tc>
          <w:tcPr>
            <w:tcW w:w="3464" w:type="dxa"/>
            <w:noWrap/>
            <w:tcMar>
              <w:left w:w="28" w:type="dxa"/>
              <w:right w:w="28" w:type="dxa"/>
            </w:tcMar>
            <w:vAlign w:val="center"/>
            <w:hideMark/>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6,88 mld. Kč</w:t>
            </w:r>
          </w:p>
        </w:tc>
        <w:tc>
          <w:tcPr>
            <w:tcW w:w="2631" w:type="dxa"/>
            <w:tcMar>
              <w:left w:w="28" w:type="dxa"/>
              <w:right w:w="28" w:type="dxa"/>
            </w:tcMar>
            <w:vAlign w:val="center"/>
            <w:hideMark/>
          </w:tcPr>
          <w:p w:rsidR="00EC3868" w:rsidRPr="00EC3868" w:rsidRDefault="00EC3868"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Jde o kvantifikovatelný velmi konzervativní odhad neobsahující veškeré další následné související pozitivní kvantifikovatelné i nekvantifikovatelné dopady.</w:t>
            </w:r>
          </w:p>
        </w:tc>
      </w:tr>
      <w:tr w:rsidR="00EC3868" w:rsidRPr="00EC3868" w:rsidTr="00F8285F">
        <w:trPr>
          <w:trHeight w:val="567"/>
        </w:trPr>
        <w:tc>
          <w:tcPr>
            <w:cnfStyle w:val="001000000000" w:firstRow="0" w:lastRow="0" w:firstColumn="1" w:lastColumn="0" w:oddVBand="0" w:evenVBand="0" w:oddHBand="0" w:evenHBand="0" w:firstRowFirstColumn="0" w:firstRowLastColumn="0" w:lastRowFirstColumn="0" w:lastRowLastColumn="0"/>
            <w:tcW w:w="426" w:type="dxa"/>
            <w:noWrap/>
            <w:tcMar>
              <w:left w:w="28" w:type="dxa"/>
              <w:right w:w="28" w:type="dxa"/>
            </w:tcMar>
            <w:vAlign w:val="center"/>
          </w:tcPr>
          <w:p w:rsidR="00EC3868" w:rsidRPr="00EC3868" w:rsidRDefault="00EC3868" w:rsidP="003E4A5D">
            <w:pPr>
              <w:widowControl w:val="0"/>
              <w:spacing w:before="0" w:after="0"/>
              <w:jc w:val="right"/>
              <w:rPr>
                <w:rFonts w:ascii="Calibri" w:eastAsia="Times New Roman" w:hAnsi="Calibri"/>
                <w:color w:val="000000"/>
                <w:sz w:val="20"/>
                <w:szCs w:val="20"/>
                <w:lang w:eastAsia="cs-CZ"/>
              </w:rPr>
            </w:pPr>
            <w:r w:rsidRPr="00EC3868">
              <w:rPr>
                <w:rFonts w:ascii="Calibri" w:eastAsia="Times New Roman" w:hAnsi="Calibri"/>
                <w:b w:val="0"/>
                <w:color w:val="000000"/>
                <w:sz w:val="20"/>
                <w:szCs w:val="20"/>
                <w:lang w:eastAsia="cs-CZ"/>
              </w:rPr>
              <w:t>2.</w:t>
            </w:r>
          </w:p>
        </w:tc>
        <w:tc>
          <w:tcPr>
            <w:tcW w:w="2551" w:type="dxa"/>
            <w:tcMar>
              <w:left w:w="28" w:type="dxa"/>
              <w:right w:w="28" w:type="dxa"/>
            </w:tcMar>
            <w:vAlign w:val="center"/>
          </w:tcPr>
          <w:p w:rsidR="00EC3868" w:rsidRPr="00EC3868" w:rsidRDefault="00EC3868"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 xml:space="preserve">Dopady na občany </w:t>
            </w:r>
          </w:p>
        </w:tc>
        <w:tc>
          <w:tcPr>
            <w:tcW w:w="3464" w:type="dxa"/>
            <w:noWrap/>
            <w:tcMar>
              <w:left w:w="28" w:type="dxa"/>
              <w:right w:w="28" w:type="dxa"/>
            </w:tcMar>
            <w:vAlign w:val="center"/>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Ve variantě posunu SÚ z obcí se ZP a POÚ na ORP lze uvažovat o nákladech v řádu desítek miliónů Kč na dojezd.</w:t>
            </w:r>
          </w:p>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 xml:space="preserve">Na druhou stranu se náklady občanů na dopravu na úřad sníží, protože občan již </w:t>
            </w:r>
            <w:r w:rsidRPr="00EC3868">
              <w:rPr>
                <w:rFonts w:ascii="Calibri" w:eastAsia="Times New Roman" w:hAnsi="Calibri"/>
                <w:color w:val="000000"/>
                <w:sz w:val="20"/>
                <w:szCs w:val="20"/>
                <w:lang w:eastAsia="cs-CZ"/>
              </w:rPr>
              <w:lastRenderedPageBreak/>
              <w:t xml:space="preserve">nebude nucen před zahájením řízení samostatně zajišťovat veškerá vyjádření </w:t>
            </w:r>
            <w:r w:rsidR="0078162F">
              <w:rPr>
                <w:rFonts w:ascii="Calibri" w:eastAsia="Times New Roman" w:hAnsi="Calibri"/>
                <w:color w:val="000000"/>
                <w:sz w:val="20"/>
                <w:szCs w:val="20"/>
                <w:lang w:eastAsia="cs-CZ"/>
              </w:rPr>
              <w:t>DO</w:t>
            </w:r>
            <w:r w:rsidRPr="00EC3868">
              <w:rPr>
                <w:rFonts w:ascii="Calibri" w:eastAsia="Times New Roman" w:hAnsi="Calibri"/>
                <w:color w:val="000000"/>
                <w:sz w:val="20"/>
                <w:szCs w:val="20"/>
                <w:lang w:eastAsia="cs-CZ"/>
              </w:rPr>
              <w:t xml:space="preserve"> a stát převezme odpovědnost za výkon státní správy, kterou svou činností dosud zajišťoval občan, resp. investor.</w:t>
            </w:r>
          </w:p>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r w:rsidRPr="00EC3868">
              <w:rPr>
                <w:rFonts w:ascii="Calibri" w:eastAsia="Times New Roman" w:hAnsi="Calibri"/>
                <w:color w:val="000000"/>
                <w:sz w:val="20"/>
                <w:szCs w:val="20"/>
                <w:lang w:eastAsia="cs-CZ"/>
              </w:rPr>
              <w:t>V konečném důsledku tak očekáváme pozitivní dopad.</w:t>
            </w:r>
          </w:p>
        </w:tc>
        <w:tc>
          <w:tcPr>
            <w:tcW w:w="2631" w:type="dxa"/>
            <w:tcMar>
              <w:left w:w="28" w:type="dxa"/>
              <w:right w:w="28" w:type="dxa"/>
            </w:tcMar>
            <w:vAlign w:val="center"/>
          </w:tcPr>
          <w:p w:rsidR="00EC3868" w:rsidRPr="00EC3868" w:rsidRDefault="00EC3868"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cs-CZ"/>
              </w:rPr>
            </w:pPr>
          </w:p>
        </w:tc>
      </w:tr>
    </w:tbl>
    <w:p w:rsidR="00F8285F" w:rsidRDefault="00F8285F" w:rsidP="003E4A5D">
      <w:pPr>
        <w:widowControl w:val="0"/>
        <w:rPr>
          <w:b/>
          <w:highlight w:val="yellow"/>
          <w:u w:val="single"/>
        </w:rPr>
      </w:pPr>
    </w:p>
    <w:p w:rsidR="00E75C9C" w:rsidRDefault="00E75C9C" w:rsidP="003E4A5D">
      <w:pPr>
        <w:pStyle w:val="Titulek"/>
      </w:pPr>
      <w:r w:rsidRPr="000066CE">
        <w:t xml:space="preserve">Tabulka </w:t>
      </w:r>
      <w:r w:rsidR="00AB65E9" w:rsidRPr="000066CE">
        <w:rPr>
          <w:noProof/>
        </w:rPr>
        <w:fldChar w:fldCharType="begin"/>
      </w:r>
      <w:r w:rsidR="002F76C3" w:rsidRPr="000066CE">
        <w:rPr>
          <w:noProof/>
        </w:rPr>
        <w:instrText xml:space="preserve"> SEQ Tabulka \* ARABIC </w:instrText>
      </w:r>
      <w:r w:rsidR="00AB65E9" w:rsidRPr="000066CE">
        <w:rPr>
          <w:noProof/>
        </w:rPr>
        <w:fldChar w:fldCharType="separate"/>
      </w:r>
      <w:r w:rsidR="00263A1B">
        <w:rPr>
          <w:noProof/>
        </w:rPr>
        <w:t>33</w:t>
      </w:r>
      <w:r w:rsidR="00AB65E9" w:rsidRPr="000066CE">
        <w:rPr>
          <w:noProof/>
        </w:rPr>
        <w:fldChar w:fldCharType="end"/>
      </w:r>
      <w:r w:rsidRPr="000066CE">
        <w:t>: Závěrečné shrnutí – odhad zkrácení řízení - přehled</w:t>
      </w:r>
    </w:p>
    <w:tbl>
      <w:tblPr>
        <w:tblStyle w:val="Tabulkaseznamu21"/>
        <w:tblW w:w="9214" w:type="dxa"/>
        <w:tblInd w:w="108" w:type="dxa"/>
        <w:tblLayout w:type="fixed"/>
        <w:tblLook w:val="04A0" w:firstRow="1" w:lastRow="0" w:firstColumn="1" w:lastColumn="0" w:noHBand="0" w:noVBand="1"/>
      </w:tblPr>
      <w:tblGrid>
        <w:gridCol w:w="454"/>
        <w:gridCol w:w="3407"/>
        <w:gridCol w:w="1985"/>
        <w:gridCol w:w="3368"/>
      </w:tblGrid>
      <w:tr w:rsidR="00F86E73" w:rsidRPr="00F26F7B" w:rsidTr="00F8285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C93C0A" w:rsidRDefault="00F86E73" w:rsidP="003E4A5D">
            <w:pPr>
              <w:widowControl w:val="0"/>
              <w:spacing w:before="0" w:after="0"/>
              <w:rPr>
                <w:rFonts w:asciiTheme="minorHAnsi" w:hAnsiTheme="minorHAnsi" w:cstheme="minorHAnsi"/>
                <w:color w:val="000000"/>
                <w:sz w:val="20"/>
                <w:szCs w:val="20"/>
              </w:rPr>
            </w:pPr>
            <w:r w:rsidRPr="00C93C0A">
              <w:rPr>
                <w:rFonts w:asciiTheme="minorHAnsi" w:hAnsiTheme="minorHAnsi" w:cstheme="minorHAnsi"/>
                <w:color w:val="000000"/>
                <w:sz w:val="20"/>
                <w:szCs w:val="20"/>
              </w:rPr>
              <w:t> </w:t>
            </w:r>
          </w:p>
        </w:tc>
        <w:tc>
          <w:tcPr>
            <w:tcW w:w="3407" w:type="dxa"/>
            <w:noWrap/>
            <w:vAlign w:val="center"/>
            <w:hideMark/>
          </w:tcPr>
          <w:p w:rsidR="00F86E73" w:rsidRPr="00C93C0A" w:rsidRDefault="00F86E73" w:rsidP="003E4A5D">
            <w:pPr>
              <w:widowControl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Popis</w:t>
            </w:r>
          </w:p>
        </w:tc>
        <w:tc>
          <w:tcPr>
            <w:tcW w:w="1985" w:type="dxa"/>
            <w:noWrap/>
            <w:vAlign w:val="center"/>
            <w:hideMark/>
          </w:tcPr>
          <w:p w:rsidR="00F86E73" w:rsidRPr="00C93C0A" w:rsidRDefault="00F86E73" w:rsidP="003E4A5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Doba</w:t>
            </w:r>
          </w:p>
        </w:tc>
        <w:tc>
          <w:tcPr>
            <w:tcW w:w="3368" w:type="dxa"/>
            <w:noWrap/>
            <w:vAlign w:val="center"/>
            <w:hideMark/>
          </w:tcPr>
          <w:p w:rsidR="00F86E73" w:rsidRPr="00C93C0A" w:rsidRDefault="00F86E73" w:rsidP="003E4A5D">
            <w:pPr>
              <w:widowControl w:val="0"/>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Komentář</w:t>
            </w:r>
          </w:p>
        </w:tc>
      </w:tr>
      <w:tr w:rsidR="00F86E73" w:rsidRPr="00F26F7B" w:rsidTr="00F828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F86E73" w:rsidRDefault="00F86E73" w:rsidP="003E4A5D">
            <w:pPr>
              <w:widowControl w:val="0"/>
              <w:spacing w:before="0" w:after="0"/>
              <w:rPr>
                <w:rFonts w:asciiTheme="minorHAnsi" w:hAnsiTheme="minorHAnsi" w:cstheme="minorHAnsi"/>
                <w:b w:val="0"/>
                <w:color w:val="000000"/>
                <w:sz w:val="20"/>
                <w:szCs w:val="20"/>
              </w:rPr>
            </w:pPr>
            <w:r w:rsidRPr="00F86E73">
              <w:rPr>
                <w:rFonts w:asciiTheme="minorHAnsi" w:hAnsiTheme="minorHAnsi" w:cstheme="minorHAnsi"/>
                <w:b w:val="0"/>
                <w:color w:val="000000"/>
                <w:sz w:val="20"/>
                <w:szCs w:val="20"/>
              </w:rPr>
              <w:t>1.</w:t>
            </w:r>
          </w:p>
        </w:tc>
        <w:tc>
          <w:tcPr>
            <w:tcW w:w="3407" w:type="dxa"/>
            <w:noWrap/>
            <w:vAlign w:val="center"/>
            <w:hideMark/>
          </w:tcPr>
          <w:p w:rsidR="00F86E73" w:rsidRPr="00C93C0A" w:rsidRDefault="00F86E73"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Podání žádosti</w:t>
            </w:r>
          </w:p>
        </w:tc>
        <w:tc>
          <w:tcPr>
            <w:tcW w:w="1985" w:type="dxa"/>
            <w:noWrap/>
            <w:vAlign w:val="center"/>
            <w:hideMark/>
          </w:tcPr>
          <w:p w:rsidR="00F86E73" w:rsidRPr="00C93C0A" w:rsidRDefault="00F86E73"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0 dní</w:t>
            </w:r>
          </w:p>
        </w:tc>
        <w:tc>
          <w:tcPr>
            <w:tcW w:w="3368" w:type="dxa"/>
            <w:noWrap/>
            <w:vAlign w:val="center"/>
            <w:hideMark/>
          </w:tcPr>
          <w:p w:rsidR="00F86E73" w:rsidRPr="00C93C0A" w:rsidRDefault="00F86E73"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zahájení řízení</w:t>
            </w:r>
          </w:p>
        </w:tc>
      </w:tr>
      <w:tr w:rsidR="00F86E73" w:rsidRPr="00F26F7B" w:rsidTr="00F8285F">
        <w:trPr>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F86E73" w:rsidRDefault="00F86E73" w:rsidP="003E4A5D">
            <w:pPr>
              <w:widowControl w:val="0"/>
              <w:spacing w:before="0" w:after="0"/>
              <w:rPr>
                <w:rFonts w:asciiTheme="minorHAnsi" w:hAnsiTheme="minorHAnsi" w:cstheme="minorHAnsi"/>
                <w:b w:val="0"/>
                <w:color w:val="000000"/>
                <w:sz w:val="20"/>
                <w:szCs w:val="20"/>
              </w:rPr>
            </w:pPr>
            <w:r w:rsidRPr="00F86E73">
              <w:rPr>
                <w:rFonts w:asciiTheme="minorHAnsi" w:hAnsiTheme="minorHAnsi" w:cstheme="minorHAnsi"/>
                <w:b w:val="0"/>
                <w:color w:val="000000"/>
                <w:sz w:val="20"/>
                <w:szCs w:val="20"/>
              </w:rPr>
              <w:t>2.</w:t>
            </w:r>
          </w:p>
        </w:tc>
        <w:tc>
          <w:tcPr>
            <w:tcW w:w="3407" w:type="dxa"/>
            <w:vAlign w:val="center"/>
            <w:hideMark/>
          </w:tcPr>
          <w:p w:rsidR="00F86E73" w:rsidRPr="00C93C0A" w:rsidRDefault="00F86E73"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Studium elektronického spisu, zjištění nedostatku žádosti, stanovení okruhu účastníků řízení, uplatnění dalších požadavků</w:t>
            </w:r>
          </w:p>
        </w:tc>
        <w:tc>
          <w:tcPr>
            <w:tcW w:w="1985" w:type="dxa"/>
            <w:vAlign w:val="center"/>
            <w:hideMark/>
          </w:tcPr>
          <w:p w:rsidR="00F86E73" w:rsidRPr="00C93C0A" w:rsidRDefault="00F86E73"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7-10 dní</w:t>
            </w:r>
          </w:p>
        </w:tc>
        <w:tc>
          <w:tcPr>
            <w:tcW w:w="3368" w:type="dxa"/>
            <w:noWrap/>
            <w:vAlign w:val="center"/>
            <w:hideMark/>
          </w:tcPr>
          <w:p w:rsidR="00F86E73" w:rsidRPr="00C93C0A" w:rsidRDefault="00F86E73" w:rsidP="003E4A5D">
            <w:pPr>
              <w:widowControl w:val="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vykonává pracovní SÚ, odborní pracovníci (</w:t>
            </w:r>
            <w:r w:rsidR="0078162F">
              <w:rPr>
                <w:rFonts w:asciiTheme="minorHAnsi" w:hAnsiTheme="minorHAnsi" w:cstheme="minorHAnsi"/>
                <w:color w:val="000000"/>
                <w:sz w:val="20"/>
                <w:szCs w:val="20"/>
              </w:rPr>
              <w:t>DO</w:t>
            </w:r>
            <w:r w:rsidRPr="00C93C0A">
              <w:rPr>
                <w:rFonts w:asciiTheme="minorHAnsi" w:hAnsiTheme="minorHAnsi" w:cstheme="minorHAnsi"/>
                <w:color w:val="000000"/>
                <w:sz w:val="20"/>
                <w:szCs w:val="20"/>
              </w:rPr>
              <w:t>)</w:t>
            </w:r>
          </w:p>
        </w:tc>
      </w:tr>
      <w:tr w:rsidR="00F86E73" w:rsidRPr="00F26F7B" w:rsidTr="00F828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F86E73" w:rsidRDefault="00F86E73" w:rsidP="003E4A5D">
            <w:pPr>
              <w:widowControl w:val="0"/>
              <w:spacing w:before="0" w:after="0"/>
              <w:rPr>
                <w:rFonts w:asciiTheme="minorHAnsi" w:hAnsiTheme="minorHAnsi" w:cstheme="minorHAnsi"/>
                <w:b w:val="0"/>
                <w:color w:val="000000"/>
                <w:sz w:val="20"/>
                <w:szCs w:val="20"/>
              </w:rPr>
            </w:pPr>
            <w:r w:rsidRPr="00F86E73">
              <w:rPr>
                <w:rFonts w:asciiTheme="minorHAnsi" w:hAnsiTheme="minorHAnsi" w:cstheme="minorHAnsi"/>
                <w:b w:val="0"/>
                <w:color w:val="000000"/>
                <w:sz w:val="20"/>
                <w:szCs w:val="20"/>
              </w:rPr>
              <w:t>3.</w:t>
            </w:r>
          </w:p>
        </w:tc>
        <w:tc>
          <w:tcPr>
            <w:tcW w:w="3407" w:type="dxa"/>
            <w:noWrap/>
            <w:vAlign w:val="center"/>
            <w:hideMark/>
          </w:tcPr>
          <w:p w:rsidR="00F86E73" w:rsidRPr="00C93C0A" w:rsidRDefault="00F86E73"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Přerušení řízení nebo výzva k odstranění nedostatků</w:t>
            </w:r>
          </w:p>
        </w:tc>
        <w:tc>
          <w:tcPr>
            <w:tcW w:w="1985" w:type="dxa"/>
            <w:noWrap/>
            <w:vAlign w:val="center"/>
            <w:hideMark/>
          </w:tcPr>
          <w:p w:rsidR="00F86E73" w:rsidRPr="00C93C0A" w:rsidRDefault="00F86E73"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2 dny</w:t>
            </w:r>
          </w:p>
        </w:tc>
        <w:tc>
          <w:tcPr>
            <w:tcW w:w="3368" w:type="dxa"/>
            <w:noWrap/>
            <w:vAlign w:val="center"/>
            <w:hideMark/>
          </w:tcPr>
          <w:p w:rsidR="00F86E73" w:rsidRPr="00C93C0A" w:rsidRDefault="00F86E73"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vykonává pracovník SÚ</w:t>
            </w:r>
          </w:p>
        </w:tc>
      </w:tr>
      <w:tr w:rsidR="00F86E73" w:rsidRPr="00F26F7B" w:rsidTr="00F8285F">
        <w:trPr>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F86E73" w:rsidRDefault="00F86E73" w:rsidP="003E4A5D">
            <w:pPr>
              <w:widowControl w:val="0"/>
              <w:spacing w:before="0" w:after="0"/>
              <w:rPr>
                <w:rFonts w:asciiTheme="minorHAnsi" w:hAnsiTheme="minorHAnsi" w:cstheme="minorHAnsi"/>
                <w:b w:val="0"/>
                <w:color w:val="000000"/>
                <w:sz w:val="20"/>
                <w:szCs w:val="20"/>
              </w:rPr>
            </w:pPr>
            <w:r w:rsidRPr="00F86E73">
              <w:rPr>
                <w:rFonts w:asciiTheme="minorHAnsi" w:hAnsiTheme="minorHAnsi" w:cstheme="minorHAnsi"/>
                <w:b w:val="0"/>
                <w:color w:val="000000"/>
                <w:sz w:val="20"/>
                <w:szCs w:val="20"/>
              </w:rPr>
              <w:t>4.</w:t>
            </w:r>
          </w:p>
        </w:tc>
        <w:tc>
          <w:tcPr>
            <w:tcW w:w="3407" w:type="dxa"/>
            <w:noWrap/>
            <w:vAlign w:val="center"/>
            <w:hideMark/>
          </w:tcPr>
          <w:p w:rsidR="00F86E73" w:rsidRPr="00C93C0A" w:rsidRDefault="00F86E73"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Kontrola odstranění nedostatků, doplnění</w:t>
            </w:r>
          </w:p>
        </w:tc>
        <w:tc>
          <w:tcPr>
            <w:tcW w:w="1985" w:type="dxa"/>
            <w:noWrap/>
            <w:vAlign w:val="center"/>
            <w:hideMark/>
          </w:tcPr>
          <w:p w:rsidR="00F86E73" w:rsidRPr="00C93C0A" w:rsidRDefault="00F86E73"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5 dní</w:t>
            </w:r>
          </w:p>
        </w:tc>
        <w:tc>
          <w:tcPr>
            <w:tcW w:w="3368" w:type="dxa"/>
            <w:noWrap/>
            <w:vAlign w:val="center"/>
            <w:hideMark/>
          </w:tcPr>
          <w:p w:rsidR="00F86E73" w:rsidRPr="00C93C0A" w:rsidRDefault="00F86E73" w:rsidP="003E4A5D">
            <w:pPr>
              <w:widowControl w:val="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vykonává pracovní SÚ, odborní pracovníci (</w:t>
            </w:r>
            <w:r w:rsidR="0078162F">
              <w:rPr>
                <w:rFonts w:asciiTheme="minorHAnsi" w:hAnsiTheme="minorHAnsi" w:cstheme="minorHAnsi"/>
                <w:color w:val="000000"/>
                <w:sz w:val="20"/>
                <w:szCs w:val="20"/>
              </w:rPr>
              <w:t>DO</w:t>
            </w:r>
            <w:r w:rsidRPr="00C93C0A">
              <w:rPr>
                <w:rFonts w:asciiTheme="minorHAnsi" w:hAnsiTheme="minorHAnsi" w:cstheme="minorHAnsi"/>
                <w:color w:val="000000"/>
                <w:sz w:val="20"/>
                <w:szCs w:val="20"/>
              </w:rPr>
              <w:t>)</w:t>
            </w:r>
          </w:p>
        </w:tc>
      </w:tr>
      <w:tr w:rsidR="00F86E73" w:rsidRPr="00F26F7B" w:rsidTr="00F828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F86E73" w:rsidRDefault="00F86E73" w:rsidP="003E4A5D">
            <w:pPr>
              <w:widowControl w:val="0"/>
              <w:spacing w:before="0" w:after="0"/>
              <w:rPr>
                <w:rFonts w:asciiTheme="minorHAnsi" w:hAnsiTheme="minorHAnsi" w:cstheme="minorHAnsi"/>
                <w:b w:val="0"/>
                <w:color w:val="000000"/>
                <w:sz w:val="20"/>
                <w:szCs w:val="20"/>
              </w:rPr>
            </w:pPr>
            <w:r w:rsidRPr="00F86E73">
              <w:rPr>
                <w:rFonts w:asciiTheme="minorHAnsi" w:hAnsiTheme="minorHAnsi" w:cstheme="minorHAnsi"/>
                <w:b w:val="0"/>
                <w:color w:val="000000"/>
                <w:sz w:val="20"/>
                <w:szCs w:val="20"/>
              </w:rPr>
              <w:t>5.</w:t>
            </w:r>
          </w:p>
        </w:tc>
        <w:tc>
          <w:tcPr>
            <w:tcW w:w="3407" w:type="dxa"/>
            <w:noWrap/>
            <w:vAlign w:val="center"/>
            <w:hideMark/>
          </w:tcPr>
          <w:p w:rsidR="00F86E73" w:rsidRPr="00C93C0A" w:rsidRDefault="00F86E73"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Oznámení o zahájení řízení</w:t>
            </w:r>
          </w:p>
        </w:tc>
        <w:tc>
          <w:tcPr>
            <w:tcW w:w="1985" w:type="dxa"/>
            <w:noWrap/>
            <w:vAlign w:val="center"/>
            <w:hideMark/>
          </w:tcPr>
          <w:p w:rsidR="00F86E73" w:rsidRPr="00C93C0A" w:rsidRDefault="00F86E73"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2 dny</w:t>
            </w:r>
          </w:p>
        </w:tc>
        <w:tc>
          <w:tcPr>
            <w:tcW w:w="3368" w:type="dxa"/>
            <w:noWrap/>
            <w:vAlign w:val="center"/>
            <w:hideMark/>
          </w:tcPr>
          <w:p w:rsidR="00F86E73" w:rsidRPr="00C93C0A" w:rsidRDefault="00F86E73"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vykonává pracovník SÚ</w:t>
            </w:r>
          </w:p>
        </w:tc>
      </w:tr>
      <w:tr w:rsidR="00F86E73" w:rsidRPr="00F26F7B" w:rsidTr="00F8285F">
        <w:trPr>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F86E73" w:rsidRDefault="00F86E73" w:rsidP="003E4A5D">
            <w:pPr>
              <w:widowControl w:val="0"/>
              <w:spacing w:before="0" w:after="0"/>
              <w:rPr>
                <w:rFonts w:asciiTheme="minorHAnsi" w:hAnsiTheme="minorHAnsi" w:cstheme="minorHAnsi"/>
                <w:b w:val="0"/>
                <w:color w:val="000000"/>
                <w:sz w:val="20"/>
                <w:szCs w:val="20"/>
              </w:rPr>
            </w:pPr>
            <w:r w:rsidRPr="00F86E73">
              <w:rPr>
                <w:rFonts w:asciiTheme="minorHAnsi" w:hAnsiTheme="minorHAnsi" w:cstheme="minorHAnsi"/>
                <w:b w:val="0"/>
                <w:color w:val="000000"/>
                <w:sz w:val="20"/>
                <w:szCs w:val="20"/>
              </w:rPr>
              <w:t>6.</w:t>
            </w:r>
          </w:p>
        </w:tc>
        <w:tc>
          <w:tcPr>
            <w:tcW w:w="3407" w:type="dxa"/>
            <w:vAlign w:val="center"/>
            <w:hideMark/>
          </w:tcPr>
          <w:p w:rsidR="00F86E73" w:rsidRPr="00C93C0A" w:rsidRDefault="00F86E73" w:rsidP="003E4A5D">
            <w:pPr>
              <w:widowControl w:val="0"/>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 xml:space="preserve">Doručení písemností vč. lhůt k uplatnění námitek, příprava rozhodnutí vč. zapracování požadavků a podmínek </w:t>
            </w:r>
            <w:r w:rsidR="0078162F">
              <w:rPr>
                <w:rFonts w:asciiTheme="minorHAnsi" w:hAnsiTheme="minorHAnsi" w:cstheme="minorHAnsi"/>
                <w:color w:val="000000"/>
                <w:sz w:val="20"/>
                <w:szCs w:val="20"/>
              </w:rPr>
              <w:t>DO</w:t>
            </w:r>
          </w:p>
        </w:tc>
        <w:tc>
          <w:tcPr>
            <w:tcW w:w="1985" w:type="dxa"/>
            <w:noWrap/>
            <w:vAlign w:val="center"/>
            <w:hideMark/>
          </w:tcPr>
          <w:p w:rsidR="00F86E73" w:rsidRPr="00C93C0A" w:rsidRDefault="00F86E73"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30 dní</w:t>
            </w:r>
          </w:p>
        </w:tc>
        <w:tc>
          <w:tcPr>
            <w:tcW w:w="3368" w:type="dxa"/>
            <w:noWrap/>
            <w:vAlign w:val="center"/>
            <w:hideMark/>
          </w:tcPr>
          <w:p w:rsidR="00F86E73" w:rsidRPr="00C93C0A" w:rsidRDefault="00F86E73" w:rsidP="003E4A5D">
            <w:pPr>
              <w:widowControl w:val="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vykonává pracovní SÚ, odborní pracovníci (</w:t>
            </w:r>
            <w:r w:rsidR="0078162F">
              <w:rPr>
                <w:rFonts w:asciiTheme="minorHAnsi" w:hAnsiTheme="minorHAnsi" w:cstheme="minorHAnsi"/>
                <w:color w:val="000000"/>
                <w:sz w:val="20"/>
                <w:szCs w:val="20"/>
              </w:rPr>
              <w:t>DO</w:t>
            </w:r>
            <w:r w:rsidRPr="00C93C0A">
              <w:rPr>
                <w:rFonts w:asciiTheme="minorHAnsi" w:hAnsiTheme="minorHAnsi" w:cstheme="minorHAnsi"/>
                <w:color w:val="000000"/>
                <w:sz w:val="20"/>
                <w:szCs w:val="20"/>
              </w:rPr>
              <w:t>)</w:t>
            </w:r>
          </w:p>
        </w:tc>
      </w:tr>
      <w:tr w:rsidR="00F86E73" w:rsidRPr="00F26F7B" w:rsidTr="00F828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F86E73" w:rsidRDefault="00F86E73" w:rsidP="003E4A5D">
            <w:pPr>
              <w:widowControl w:val="0"/>
              <w:spacing w:before="0" w:after="0"/>
              <w:rPr>
                <w:rFonts w:asciiTheme="minorHAnsi" w:hAnsiTheme="minorHAnsi" w:cstheme="minorHAnsi"/>
                <w:b w:val="0"/>
                <w:color w:val="000000"/>
                <w:sz w:val="20"/>
                <w:szCs w:val="20"/>
              </w:rPr>
            </w:pPr>
            <w:r w:rsidRPr="00F86E73">
              <w:rPr>
                <w:rFonts w:asciiTheme="minorHAnsi" w:hAnsiTheme="minorHAnsi" w:cstheme="minorHAnsi"/>
                <w:b w:val="0"/>
                <w:color w:val="000000"/>
                <w:sz w:val="20"/>
                <w:szCs w:val="20"/>
              </w:rPr>
              <w:t>7.</w:t>
            </w:r>
          </w:p>
        </w:tc>
        <w:tc>
          <w:tcPr>
            <w:tcW w:w="3407" w:type="dxa"/>
            <w:noWrap/>
            <w:vAlign w:val="center"/>
            <w:hideMark/>
          </w:tcPr>
          <w:p w:rsidR="00F86E73" w:rsidRPr="00C93C0A" w:rsidRDefault="00F86E73" w:rsidP="003E4A5D">
            <w:pPr>
              <w:widowControl w:val="0"/>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V</w:t>
            </w:r>
            <w:r w:rsidRPr="00C93C0A">
              <w:rPr>
                <w:rFonts w:asciiTheme="minorHAnsi" w:hAnsiTheme="minorHAnsi" w:cstheme="minorHAnsi"/>
                <w:color w:val="000000"/>
                <w:sz w:val="20"/>
                <w:szCs w:val="20"/>
              </w:rPr>
              <w:t>ypořádání námitek, dokončení a vydání rozhodnutí</w:t>
            </w:r>
          </w:p>
        </w:tc>
        <w:tc>
          <w:tcPr>
            <w:tcW w:w="1985" w:type="dxa"/>
            <w:noWrap/>
            <w:vAlign w:val="center"/>
            <w:hideMark/>
          </w:tcPr>
          <w:p w:rsidR="00F86E73" w:rsidRPr="00C93C0A" w:rsidRDefault="00F86E73"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5 - 10 dní</w:t>
            </w:r>
          </w:p>
        </w:tc>
        <w:tc>
          <w:tcPr>
            <w:tcW w:w="3368" w:type="dxa"/>
            <w:noWrap/>
            <w:vAlign w:val="center"/>
            <w:hideMark/>
          </w:tcPr>
          <w:p w:rsidR="00F86E73" w:rsidRPr="00C93C0A" w:rsidRDefault="00F86E73"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vykonává pracovník SÚ, vydává NSÚ</w:t>
            </w:r>
          </w:p>
        </w:tc>
      </w:tr>
      <w:tr w:rsidR="00F86E73" w:rsidRPr="00F26F7B" w:rsidTr="00F8285F">
        <w:trPr>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C93C0A" w:rsidRDefault="00F86E73" w:rsidP="003E4A5D">
            <w:pPr>
              <w:widowControl w:val="0"/>
              <w:spacing w:before="0" w:after="0"/>
              <w:rPr>
                <w:rFonts w:asciiTheme="minorHAnsi" w:hAnsiTheme="minorHAnsi" w:cstheme="minorHAnsi"/>
                <w:color w:val="000000"/>
                <w:sz w:val="20"/>
                <w:szCs w:val="20"/>
              </w:rPr>
            </w:pPr>
            <w:r w:rsidRPr="00C93C0A">
              <w:rPr>
                <w:rFonts w:asciiTheme="minorHAnsi" w:hAnsiTheme="minorHAnsi" w:cstheme="minorHAnsi"/>
                <w:color w:val="000000"/>
                <w:sz w:val="20"/>
                <w:szCs w:val="20"/>
              </w:rPr>
              <w:t> </w:t>
            </w:r>
          </w:p>
        </w:tc>
        <w:tc>
          <w:tcPr>
            <w:tcW w:w="3407" w:type="dxa"/>
            <w:noWrap/>
            <w:vAlign w:val="center"/>
            <w:hideMark/>
          </w:tcPr>
          <w:p w:rsidR="00F86E73" w:rsidRPr="00C93C0A" w:rsidRDefault="00F86E73" w:rsidP="003E4A5D">
            <w:pPr>
              <w:widowControl w:val="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 </w:t>
            </w:r>
          </w:p>
        </w:tc>
        <w:tc>
          <w:tcPr>
            <w:tcW w:w="1985" w:type="dxa"/>
            <w:noWrap/>
            <w:vAlign w:val="center"/>
            <w:hideMark/>
          </w:tcPr>
          <w:p w:rsidR="00F86E73" w:rsidRPr="00C93C0A" w:rsidRDefault="00F86E73" w:rsidP="003E4A5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3368" w:type="dxa"/>
            <w:noWrap/>
            <w:vAlign w:val="center"/>
            <w:hideMark/>
          </w:tcPr>
          <w:p w:rsidR="00F86E73" w:rsidRPr="00C93C0A" w:rsidRDefault="00F86E73" w:rsidP="003E4A5D">
            <w:pPr>
              <w:widowControl w:val="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3C0A">
              <w:rPr>
                <w:rFonts w:asciiTheme="minorHAnsi" w:hAnsiTheme="minorHAnsi" w:cstheme="minorHAnsi"/>
                <w:color w:val="000000"/>
                <w:sz w:val="20"/>
                <w:szCs w:val="20"/>
              </w:rPr>
              <w:t> </w:t>
            </w:r>
          </w:p>
        </w:tc>
      </w:tr>
      <w:tr w:rsidR="00F86E73" w:rsidRPr="00F26F7B" w:rsidTr="00F828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4" w:type="dxa"/>
            <w:noWrap/>
            <w:vAlign w:val="center"/>
            <w:hideMark/>
          </w:tcPr>
          <w:p w:rsidR="00F86E73" w:rsidRPr="00C93C0A" w:rsidRDefault="00F86E73" w:rsidP="003E4A5D">
            <w:pPr>
              <w:widowControl w:val="0"/>
              <w:spacing w:before="0" w:after="0"/>
              <w:rPr>
                <w:rFonts w:asciiTheme="minorHAnsi" w:hAnsiTheme="minorHAnsi" w:cstheme="minorHAnsi"/>
                <w:color w:val="000000"/>
                <w:sz w:val="20"/>
                <w:szCs w:val="20"/>
              </w:rPr>
            </w:pPr>
            <w:r w:rsidRPr="00C93C0A">
              <w:rPr>
                <w:rFonts w:asciiTheme="minorHAnsi" w:hAnsiTheme="minorHAnsi" w:cstheme="minorHAnsi"/>
                <w:color w:val="000000"/>
                <w:sz w:val="20"/>
                <w:szCs w:val="20"/>
              </w:rPr>
              <w:t> </w:t>
            </w:r>
          </w:p>
        </w:tc>
        <w:tc>
          <w:tcPr>
            <w:tcW w:w="3407" w:type="dxa"/>
            <w:noWrap/>
            <w:vAlign w:val="center"/>
            <w:hideMark/>
          </w:tcPr>
          <w:p w:rsidR="00F86E73" w:rsidRPr="00F86E73" w:rsidRDefault="00F86E73"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0"/>
                <w:szCs w:val="20"/>
              </w:rPr>
            </w:pPr>
            <w:r w:rsidRPr="00F86E73">
              <w:rPr>
                <w:rFonts w:asciiTheme="minorHAnsi" w:hAnsiTheme="minorHAnsi" w:cstheme="minorHAnsi"/>
                <w:b/>
                <w:color w:val="000000"/>
                <w:sz w:val="20"/>
                <w:szCs w:val="20"/>
              </w:rPr>
              <w:t xml:space="preserve">Celkem </w:t>
            </w:r>
          </w:p>
        </w:tc>
        <w:tc>
          <w:tcPr>
            <w:tcW w:w="1985" w:type="dxa"/>
            <w:noWrap/>
            <w:vAlign w:val="center"/>
            <w:hideMark/>
          </w:tcPr>
          <w:p w:rsidR="00F86E73" w:rsidRPr="00F86E73" w:rsidRDefault="00F86E73" w:rsidP="003E4A5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0"/>
                <w:szCs w:val="20"/>
              </w:rPr>
            </w:pPr>
            <w:r w:rsidRPr="00F86E73">
              <w:rPr>
                <w:rFonts w:asciiTheme="minorHAnsi" w:hAnsiTheme="minorHAnsi" w:cstheme="minorHAnsi"/>
                <w:b/>
                <w:color w:val="000000"/>
                <w:sz w:val="20"/>
                <w:szCs w:val="20"/>
              </w:rPr>
              <w:t>51 - 59 dní</w:t>
            </w:r>
          </w:p>
        </w:tc>
        <w:tc>
          <w:tcPr>
            <w:tcW w:w="3368" w:type="dxa"/>
            <w:noWrap/>
            <w:vAlign w:val="center"/>
            <w:hideMark/>
          </w:tcPr>
          <w:p w:rsidR="00F86E73" w:rsidRPr="00F86E73" w:rsidRDefault="00F86E73" w:rsidP="003E4A5D">
            <w:pPr>
              <w:widowControl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0"/>
                <w:szCs w:val="20"/>
              </w:rPr>
            </w:pPr>
            <w:r w:rsidRPr="00F86E73">
              <w:rPr>
                <w:rFonts w:asciiTheme="minorHAnsi" w:hAnsiTheme="minorHAnsi" w:cstheme="minorHAnsi"/>
                <w:b/>
                <w:color w:val="000000"/>
                <w:sz w:val="20"/>
                <w:szCs w:val="20"/>
              </w:rPr>
              <w:t>bez doby přerušení</w:t>
            </w:r>
            <w:r w:rsidR="00B7277D">
              <w:rPr>
                <w:rFonts w:asciiTheme="minorHAnsi" w:hAnsiTheme="minorHAnsi" w:cstheme="minorHAnsi"/>
                <w:b/>
                <w:color w:val="000000"/>
                <w:sz w:val="20"/>
                <w:szCs w:val="20"/>
              </w:rPr>
              <w:t>, přezkumu</w:t>
            </w:r>
            <w:r w:rsidRPr="00F86E73">
              <w:rPr>
                <w:rFonts w:asciiTheme="minorHAnsi" w:hAnsiTheme="minorHAnsi" w:cstheme="minorHAnsi"/>
                <w:b/>
                <w:color w:val="000000"/>
                <w:sz w:val="20"/>
                <w:szCs w:val="20"/>
              </w:rPr>
              <w:t xml:space="preserve"> a bez soudních řízení </w:t>
            </w:r>
          </w:p>
        </w:tc>
      </w:tr>
    </w:tbl>
    <w:p w:rsidR="009C5EFF" w:rsidRDefault="009C5EFF" w:rsidP="003E4A5D">
      <w:pPr>
        <w:pStyle w:val="Normln-tun"/>
        <w:widowControl w:val="0"/>
        <w:rPr>
          <w:rFonts w:asciiTheme="minorHAnsi" w:hAnsiTheme="minorHAnsi" w:cstheme="minorHAnsi"/>
          <w:b/>
        </w:rPr>
      </w:pPr>
      <w:r w:rsidRPr="001F2819">
        <w:rPr>
          <w:rFonts w:asciiTheme="minorHAnsi" w:hAnsiTheme="minorHAnsi" w:cstheme="minorHAnsi"/>
          <w:b/>
          <w:u w:val="single"/>
        </w:rPr>
        <w:t xml:space="preserve">Celková předpokládaná doba řízení </w:t>
      </w:r>
      <w:r w:rsidR="00DC3CD4">
        <w:rPr>
          <w:rFonts w:asciiTheme="minorHAnsi" w:hAnsiTheme="minorHAnsi" w:cstheme="minorHAnsi"/>
          <w:b/>
          <w:u w:val="single"/>
        </w:rPr>
        <w:t xml:space="preserve">po změně </w:t>
      </w:r>
      <w:r w:rsidRPr="001F2819">
        <w:rPr>
          <w:rFonts w:asciiTheme="minorHAnsi" w:hAnsiTheme="minorHAnsi" w:cstheme="minorHAnsi"/>
          <w:b/>
          <w:u w:val="single"/>
        </w:rPr>
        <w:t>v průměru cca 1 rok</w:t>
      </w:r>
      <w:r>
        <w:rPr>
          <w:rFonts w:asciiTheme="minorHAnsi" w:hAnsiTheme="minorHAnsi" w:cstheme="minorHAnsi"/>
          <w:b/>
        </w:rPr>
        <w:t xml:space="preserve"> – </w:t>
      </w:r>
      <w:r w:rsidR="00F76ADF">
        <w:rPr>
          <w:rFonts w:asciiTheme="minorHAnsi" w:hAnsiTheme="minorHAnsi" w:cstheme="minorHAnsi"/>
          <w:b/>
        </w:rPr>
        <w:t>struktura</w:t>
      </w:r>
      <w:r>
        <w:rPr>
          <w:rFonts w:asciiTheme="minorHAnsi" w:hAnsiTheme="minorHAnsi" w:cstheme="minorHAnsi"/>
          <w:b/>
        </w:rPr>
        <w:t xml:space="preserve"> viz níže:</w:t>
      </w:r>
    </w:p>
    <w:p w:rsidR="001460F9" w:rsidRPr="001F2819" w:rsidRDefault="00DC3CD4" w:rsidP="003E4A5D">
      <w:pPr>
        <w:pStyle w:val="Normln-tun"/>
        <w:widowControl w:val="0"/>
        <w:rPr>
          <w:rFonts w:asciiTheme="minorHAnsi" w:hAnsiTheme="minorHAnsi" w:cstheme="minorHAnsi"/>
          <w:b/>
          <w:i/>
        </w:rPr>
      </w:pPr>
      <w:r>
        <w:rPr>
          <w:rFonts w:asciiTheme="minorHAnsi" w:hAnsiTheme="minorHAnsi" w:cstheme="minorHAnsi"/>
          <w:b/>
          <w:i/>
        </w:rPr>
        <w:t>s</w:t>
      </w:r>
      <w:r w:rsidR="009C5EFF" w:rsidRPr="001F2819">
        <w:rPr>
          <w:rFonts w:asciiTheme="minorHAnsi" w:hAnsiTheme="minorHAnsi" w:cstheme="minorHAnsi"/>
          <w:b/>
          <w:i/>
        </w:rPr>
        <w:t xml:space="preserve">tavební řízení 51-59 dní </w:t>
      </w:r>
      <w:r w:rsidR="001460F9" w:rsidRPr="001F2819">
        <w:rPr>
          <w:rFonts w:asciiTheme="minorHAnsi" w:hAnsiTheme="minorHAnsi" w:cstheme="minorHAnsi"/>
          <w:b/>
          <w:i/>
        </w:rPr>
        <w:t xml:space="preserve">+ </w:t>
      </w:r>
      <w:r w:rsidR="009C5EFF">
        <w:rPr>
          <w:rFonts w:asciiTheme="minorHAnsi" w:hAnsiTheme="minorHAnsi" w:cstheme="minorHAnsi"/>
          <w:b/>
          <w:i/>
        </w:rPr>
        <w:t>expertní odhad přezkum a soudní řízení</w:t>
      </w:r>
      <w:r>
        <w:rPr>
          <w:rFonts w:asciiTheme="minorHAnsi" w:hAnsiTheme="minorHAnsi" w:cstheme="minorHAnsi"/>
          <w:b/>
          <w:i/>
        </w:rPr>
        <w:t xml:space="preserve"> 300 dní</w:t>
      </w:r>
      <w:r w:rsidR="009C5EFF">
        <w:rPr>
          <w:rFonts w:asciiTheme="minorHAnsi" w:hAnsiTheme="minorHAnsi" w:cstheme="minorHAnsi"/>
          <w:b/>
          <w:i/>
        </w:rPr>
        <w:t xml:space="preserve"> (</w:t>
      </w:r>
      <w:r w:rsidR="00B7277D" w:rsidRPr="001F2819">
        <w:rPr>
          <w:rFonts w:asciiTheme="minorHAnsi" w:hAnsiTheme="minorHAnsi" w:cstheme="minorHAnsi"/>
          <w:b/>
          <w:i/>
        </w:rPr>
        <w:t xml:space="preserve">přezkum </w:t>
      </w:r>
      <w:r w:rsidR="009C5EFF" w:rsidRPr="001F2819">
        <w:rPr>
          <w:rFonts w:asciiTheme="minorHAnsi" w:hAnsiTheme="minorHAnsi" w:cstheme="minorHAnsi"/>
          <w:b/>
          <w:i/>
        </w:rPr>
        <w:t>60 dní</w:t>
      </w:r>
      <w:r w:rsidR="009C5EFF">
        <w:rPr>
          <w:rFonts w:asciiTheme="minorHAnsi" w:hAnsiTheme="minorHAnsi" w:cstheme="minorHAnsi"/>
          <w:b/>
          <w:i/>
        </w:rPr>
        <w:t>,</w:t>
      </w:r>
      <w:r w:rsidR="009C5EFF" w:rsidRPr="001F2819">
        <w:rPr>
          <w:rFonts w:asciiTheme="minorHAnsi" w:hAnsiTheme="minorHAnsi" w:cstheme="minorHAnsi"/>
          <w:b/>
          <w:i/>
        </w:rPr>
        <w:t xml:space="preserve"> </w:t>
      </w:r>
      <w:r w:rsidR="001460F9" w:rsidRPr="001F2819">
        <w:rPr>
          <w:rFonts w:asciiTheme="minorHAnsi" w:hAnsiTheme="minorHAnsi" w:cstheme="minorHAnsi"/>
          <w:b/>
          <w:i/>
        </w:rPr>
        <w:t xml:space="preserve">případné soudní řízení </w:t>
      </w:r>
      <w:r w:rsidR="009C5EFF" w:rsidRPr="001F2819">
        <w:rPr>
          <w:rFonts w:asciiTheme="minorHAnsi" w:hAnsiTheme="minorHAnsi" w:cstheme="minorHAnsi"/>
          <w:b/>
          <w:i/>
        </w:rPr>
        <w:t>1. a 2.</w:t>
      </w:r>
      <w:r w:rsidR="009C5EFF">
        <w:rPr>
          <w:rFonts w:asciiTheme="minorHAnsi" w:hAnsiTheme="minorHAnsi" w:cstheme="minorHAnsi"/>
          <w:b/>
          <w:i/>
        </w:rPr>
        <w:t xml:space="preserve"> stupeň</w:t>
      </w:r>
      <w:r w:rsidR="009C5EFF" w:rsidRPr="001F2819">
        <w:rPr>
          <w:rFonts w:asciiTheme="minorHAnsi" w:hAnsiTheme="minorHAnsi" w:cstheme="minorHAnsi"/>
          <w:b/>
          <w:i/>
        </w:rPr>
        <w:t xml:space="preserve"> – 2*120 dní) </w:t>
      </w:r>
    </w:p>
    <w:p w:rsidR="00F86E73" w:rsidRDefault="00F86E73" w:rsidP="003E4A5D">
      <w:pPr>
        <w:pStyle w:val="Normln-tun"/>
        <w:widowControl w:val="0"/>
      </w:pPr>
    </w:p>
    <w:p w:rsidR="00D24CDE" w:rsidRPr="00D24CDE" w:rsidRDefault="00D24CDE" w:rsidP="003E4A5D">
      <w:pPr>
        <w:pStyle w:val="Normln-tun"/>
        <w:widowControl w:val="0"/>
      </w:pPr>
      <w:r w:rsidRPr="00D24CDE">
        <w:t xml:space="preserve">Odvětví stavebnictví je odvětvím s vysokými multiplikátory. Celkově má investovaný </w:t>
      </w:r>
      <w:r w:rsidR="00F86E73">
        <w:t>1 </w:t>
      </w:r>
      <w:r w:rsidRPr="00D24CDE">
        <w:t>mil</w:t>
      </w:r>
      <w:r w:rsidR="00F86E73">
        <w:t>. </w:t>
      </w:r>
      <w:r w:rsidRPr="00D24CDE">
        <w:t>Kč potenciál zvýšit produkci ČR až o 3,09 mil. Kč (</w:t>
      </w:r>
      <w:r w:rsidR="00F86E73">
        <w:t xml:space="preserve">díky </w:t>
      </w:r>
      <w:r w:rsidRPr="00D24CDE">
        <w:t>přím</w:t>
      </w:r>
      <w:r w:rsidR="00F86E73">
        <w:t xml:space="preserve">ému, </w:t>
      </w:r>
      <w:r w:rsidRPr="00D24CDE">
        <w:t>nepřím</w:t>
      </w:r>
      <w:r w:rsidR="00F86E73">
        <w:t>ému a</w:t>
      </w:r>
      <w:r w:rsidRPr="00D24CDE">
        <w:t xml:space="preserve"> indukovan</w:t>
      </w:r>
      <w:r w:rsidR="00F86E73">
        <w:t>ému</w:t>
      </w:r>
      <w:r w:rsidRPr="00D24CDE">
        <w:t xml:space="preserve"> efekt</w:t>
      </w:r>
      <w:r w:rsidR="00F86E73">
        <w:t>u</w:t>
      </w:r>
      <w:r w:rsidRPr="00D24CDE">
        <w:t>). Další přínosy národnímu hospodářství poplynou i po dokončení a uvedení stavby do užívání (dle</w:t>
      </w:r>
      <w:r w:rsidR="00F86E73">
        <w:t xml:space="preserve"> vypočteného vnitřního výnosového procenta projektu</w:t>
      </w:r>
      <w:r w:rsidRPr="00D24CDE">
        <w:t>)</w:t>
      </w:r>
      <w:r w:rsidR="00F86E73">
        <w:t xml:space="preserve">. </w:t>
      </w:r>
      <w:r w:rsidRPr="00D24CDE">
        <w:t>Podaří-li se zkrátit povolovací proces o jeden rok, očekáváme (na základě výpočtů a odhadů výše) roční přínosy 2,02 mld. Kč u silničních staveb a 1,66 mld. Kč u železničních staveb. U komerčních staveb tato hodnota činí 1,6 mld.</w:t>
      </w:r>
      <w:r w:rsidR="006F430A">
        <w:t xml:space="preserve"> Kč</w:t>
      </w:r>
      <w:r w:rsidRPr="00D24CDE">
        <w:t>, obdobné je to u developerské výstavby</w:t>
      </w:r>
      <w:r w:rsidR="0008069D">
        <w:t>.</w:t>
      </w:r>
      <w:r w:rsidRPr="00D24CDE">
        <w:t xml:space="preserve"> </w:t>
      </w:r>
      <w:r w:rsidR="0008069D">
        <w:t>C</w:t>
      </w:r>
      <w:r w:rsidRPr="00D24CDE">
        <w:t xml:space="preserve">elkem </w:t>
      </w:r>
      <w:r w:rsidR="00603082">
        <w:t>pak můžeme mluvit o </w:t>
      </w:r>
      <w:r w:rsidR="00DC3CD4">
        <w:t xml:space="preserve">konzervativních </w:t>
      </w:r>
      <w:r w:rsidRPr="00D24CDE">
        <w:t>6,88 mld. Kč</w:t>
      </w:r>
      <w:r w:rsidR="0008069D">
        <w:t xml:space="preserve"> za rok</w:t>
      </w:r>
      <w:r w:rsidRPr="00D24CDE">
        <w:t xml:space="preserve">. </w:t>
      </w:r>
    </w:p>
    <w:p w:rsidR="00D24CDE" w:rsidRPr="00D24CDE" w:rsidRDefault="00D24CDE" w:rsidP="003E4A5D">
      <w:pPr>
        <w:pStyle w:val="Normln-tun"/>
        <w:widowControl w:val="0"/>
      </w:pPr>
      <w:r w:rsidRPr="00D24CDE">
        <w:t xml:space="preserve">Oproti tomu mzdové a režijní náklady při variantě </w:t>
      </w:r>
      <w:r w:rsidR="0008069D">
        <w:t xml:space="preserve">přesunu příslušné části zaměstnanců odhadujeme </w:t>
      </w:r>
      <w:r w:rsidR="007866BE">
        <w:t>v řádech stovek miliónů Kč.</w:t>
      </w:r>
    </w:p>
    <w:p w:rsidR="00512C1E" w:rsidRPr="00F86E73" w:rsidRDefault="007866BE" w:rsidP="003E4A5D">
      <w:pPr>
        <w:pStyle w:val="Textkomente"/>
        <w:widowControl w:val="0"/>
        <w:rPr>
          <w:rFonts w:eastAsia="MS Mincho"/>
          <w:sz w:val="24"/>
          <w:szCs w:val="22"/>
        </w:rPr>
      </w:pPr>
      <w:r w:rsidRPr="00C74958">
        <w:rPr>
          <w:rFonts w:eastAsia="MS Mincho"/>
          <w:sz w:val="24"/>
          <w:szCs w:val="22"/>
        </w:rPr>
        <w:t>Lze tak konstatovat, že</w:t>
      </w:r>
      <w:r w:rsidR="00D24CDE" w:rsidRPr="00C74958">
        <w:rPr>
          <w:rFonts w:eastAsia="MS Mincho"/>
          <w:sz w:val="24"/>
          <w:szCs w:val="22"/>
        </w:rPr>
        <w:t xml:space="preserve"> </w:t>
      </w:r>
      <w:r w:rsidR="00F86E73">
        <w:rPr>
          <w:rFonts w:eastAsia="MS Mincho"/>
          <w:sz w:val="24"/>
          <w:szCs w:val="22"/>
        </w:rPr>
        <w:t xml:space="preserve">kvantifikovatelné </w:t>
      </w:r>
      <w:r w:rsidR="00D24CDE" w:rsidRPr="00C74958">
        <w:rPr>
          <w:rFonts w:eastAsia="MS Mincho"/>
          <w:sz w:val="24"/>
          <w:szCs w:val="22"/>
        </w:rPr>
        <w:t xml:space="preserve">přínosy návrhu </w:t>
      </w:r>
      <w:r w:rsidR="00804432">
        <w:rPr>
          <w:rFonts w:eastAsia="MS Mincho"/>
          <w:sz w:val="24"/>
          <w:szCs w:val="22"/>
        </w:rPr>
        <w:t xml:space="preserve">vždy </w:t>
      </w:r>
      <w:r w:rsidR="00D24CDE" w:rsidRPr="00C74958">
        <w:rPr>
          <w:rFonts w:eastAsia="MS Mincho"/>
          <w:sz w:val="24"/>
          <w:szCs w:val="22"/>
        </w:rPr>
        <w:t>výrazně převyšují náklady</w:t>
      </w:r>
      <w:r w:rsidR="00804432">
        <w:rPr>
          <w:rFonts w:eastAsia="MS Mincho"/>
          <w:sz w:val="24"/>
          <w:szCs w:val="22"/>
        </w:rPr>
        <w:t>, neboť k</w:t>
      </w:r>
      <w:r w:rsidR="00F86E73" w:rsidRPr="00F86E73">
        <w:rPr>
          <w:rFonts w:eastAsia="MS Mincho"/>
          <w:sz w:val="24"/>
          <w:szCs w:val="22"/>
        </w:rPr>
        <w:t xml:space="preserve"> těmto vyčíslitelným přínosům je třeba přičíst </w:t>
      </w:r>
      <w:r w:rsidR="00804432">
        <w:rPr>
          <w:rFonts w:eastAsia="MS Mincho"/>
          <w:sz w:val="24"/>
          <w:szCs w:val="22"/>
        </w:rPr>
        <w:t xml:space="preserve">i </w:t>
      </w:r>
      <w:r w:rsidR="00F86E73" w:rsidRPr="00F86E73">
        <w:rPr>
          <w:rFonts w:eastAsia="MS Mincho"/>
          <w:sz w:val="24"/>
          <w:szCs w:val="22"/>
        </w:rPr>
        <w:t>n</w:t>
      </w:r>
      <w:r w:rsidR="00512C1E" w:rsidRPr="00F86E73">
        <w:rPr>
          <w:rFonts w:eastAsia="MS Mincho"/>
          <w:sz w:val="24"/>
          <w:szCs w:val="22"/>
        </w:rPr>
        <w:t>ekvantifikova</w:t>
      </w:r>
      <w:r w:rsidR="00F86E73" w:rsidRPr="00F86E73">
        <w:rPr>
          <w:rFonts w:eastAsia="MS Mincho"/>
          <w:sz w:val="24"/>
          <w:szCs w:val="22"/>
        </w:rPr>
        <w:t>tel</w:t>
      </w:r>
      <w:r w:rsidR="00512C1E" w:rsidRPr="00F86E73">
        <w:rPr>
          <w:rFonts w:eastAsia="MS Mincho"/>
          <w:sz w:val="24"/>
          <w:szCs w:val="22"/>
        </w:rPr>
        <w:t>né přínosy:</w:t>
      </w:r>
    </w:p>
    <w:p w:rsidR="00F24B03" w:rsidRPr="00F86E73" w:rsidRDefault="00F24B03"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vyšší efektivita zaměstnanců státní správy (</w:t>
      </w:r>
      <w:r>
        <w:rPr>
          <w:rFonts w:eastAsia="MS Mincho"/>
        </w:rPr>
        <w:t xml:space="preserve">koncentrace činností, </w:t>
      </w:r>
      <w:r w:rsidRPr="00F86E73">
        <w:rPr>
          <w:rFonts w:eastAsia="MS Mincho"/>
        </w:rPr>
        <w:t>závazné lhůty)</w:t>
      </w:r>
    </w:p>
    <w:p w:rsidR="00F24B03" w:rsidRPr="00F86E73" w:rsidRDefault="00F24B03"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cesta k odstranění obav z přijmutí/vydání rozhodnutí, zahájení procesu dekriminaliz</w:t>
      </w:r>
      <w:r>
        <w:rPr>
          <w:rFonts w:eastAsia="MS Mincho"/>
        </w:rPr>
        <w:t>a</w:t>
      </w:r>
      <w:r w:rsidRPr="00F86E73">
        <w:rPr>
          <w:rFonts w:eastAsia="MS Mincho"/>
        </w:rPr>
        <w:t xml:space="preserve">ce </w:t>
      </w:r>
      <w:r w:rsidRPr="00F86E73">
        <w:rPr>
          <w:rFonts w:eastAsia="MS Mincho"/>
        </w:rPr>
        <w:lastRenderedPageBreak/>
        <w:t xml:space="preserve">přijatého/vydaného rozhodnutí (jasně daná pravidla, mantinely, </w:t>
      </w:r>
      <w:r>
        <w:rPr>
          <w:rFonts w:eastAsia="MS Mincho"/>
        </w:rPr>
        <w:t xml:space="preserve">nezávislost, odbornost, jednotné metodické řízení, </w:t>
      </w:r>
      <w:r w:rsidRPr="00F86E73">
        <w:rPr>
          <w:rFonts w:eastAsia="MS Mincho"/>
        </w:rPr>
        <w:t xml:space="preserve">profesionalita) </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vyšší transparentnost použití finančních prostředků státní správy (konkretizace účelovosti s menší možností zneužití pro jiný účel v rámci činnosti samospráv)</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aktivní a kvalifikovanější rozhodování s odpovědnostním do</w:t>
      </w:r>
      <w:r w:rsidR="00603082">
        <w:rPr>
          <w:rFonts w:eastAsia="MS Mincho"/>
        </w:rPr>
        <w:t>padem (zrychlení, neodkládání a </w:t>
      </w:r>
      <w:r w:rsidRPr="00F86E73">
        <w:rPr>
          <w:rFonts w:eastAsia="MS Mincho"/>
        </w:rPr>
        <w:t>nepřesouvání odpovědnosti ve stylu kdo nic nedělá, nic nezkazí, není odpovědný)</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 xml:space="preserve">další nezbytný krok v rámci digitalizace státní správy, která musí probíhat i bez případné souvislosti s procesem rekodifikace </w:t>
      </w:r>
      <w:r w:rsidR="00DC3CD4">
        <w:rPr>
          <w:rFonts w:eastAsia="MS Mincho"/>
        </w:rPr>
        <w:t xml:space="preserve">veřejného </w:t>
      </w:r>
      <w:r w:rsidRPr="00F86E73">
        <w:rPr>
          <w:rFonts w:eastAsia="MS Mincho"/>
        </w:rPr>
        <w:t xml:space="preserve">stavebního </w:t>
      </w:r>
      <w:r w:rsidR="00DC3CD4">
        <w:rPr>
          <w:rFonts w:eastAsia="MS Mincho"/>
        </w:rPr>
        <w:t>práva</w:t>
      </w:r>
      <w:r w:rsidRPr="00F86E73">
        <w:rPr>
          <w:rFonts w:eastAsia="MS Mincho"/>
        </w:rPr>
        <w:t xml:space="preserve"> (cesta k nápravě snížení zaostávání za „světem“, dohnání skluzu)</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snížení byrokracie, zvýšení srozumitelnosti, přehlednosti</w:t>
      </w:r>
      <w:r w:rsidR="00603082">
        <w:rPr>
          <w:rFonts w:eastAsia="MS Mincho"/>
        </w:rPr>
        <w:t xml:space="preserve"> procesu a jistoty pro občany i </w:t>
      </w:r>
      <w:r w:rsidRPr="00F86E73">
        <w:rPr>
          <w:rFonts w:eastAsia="MS Mincho"/>
        </w:rPr>
        <w:t>ostatní účastníky řízení</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snížení vynucených nákladů občanů na zajištění jejich právní ochrany a násobné potřeby využití externích odborných subjektů</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usnadnění přístupu k informacím v jednotné srozumitelné neměnné podobě vč. přístupu k datovému archivu</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vytvoření jednotného systému územního plánování (vč. mapového) provázaného z centrální úrovně až na úroveň jednotlivých obcí se zajištění ochrany zájmů státu i dotčených osob (jednoznačné vymezení využití území pro strategické záměry státu i zájmy jednotlivců s ohledem na jejich výsostná vlastnická práva)</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významný makroekonomický prorůstový faktor s pozitivním dopadem do příjmů státního rozpočtu (výběr daní, násobné otočení „DPH“…) a tak</w:t>
      </w:r>
      <w:r w:rsidR="00603082">
        <w:rPr>
          <w:rFonts w:eastAsia="MS Mincho"/>
        </w:rPr>
        <w:t>é umožňující vyšší efektivitu a </w:t>
      </w:r>
      <w:r w:rsidRPr="00F86E73">
        <w:rPr>
          <w:rFonts w:eastAsia="MS Mincho"/>
        </w:rPr>
        <w:t>kontrolu čerpání dotací, a to i ze zdrojů EU</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zvýšení ochoty investorů uvolnit investiční prostředky na realizaci projektů na území ČR a to jak tuzemských, tak zahraničních (vytvoření příznivého a stabilního podnikatelského klimatu)</w:t>
      </w:r>
    </w:p>
    <w:p w:rsidR="00512C1E" w:rsidRPr="00F86E73"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 xml:space="preserve">usnadnění rozvoje státem preferovaných lokalit a cesty k zajištění zejména strategických záměrů státu za pevně daných podmínek i pro dotčené vlastníky   </w:t>
      </w:r>
    </w:p>
    <w:p w:rsidR="00EE4C03" w:rsidRPr="008712FB" w:rsidRDefault="00512C1E" w:rsidP="00C873B4">
      <w:pPr>
        <w:pStyle w:val="Odstavecseseznamem"/>
        <w:widowControl w:val="0"/>
        <w:numPr>
          <w:ilvl w:val="0"/>
          <w:numId w:val="64"/>
        </w:numPr>
        <w:spacing w:before="0" w:after="160" w:line="256" w:lineRule="auto"/>
        <w:ind w:left="426" w:hanging="426"/>
        <w:rPr>
          <w:rFonts w:eastAsia="MS Mincho"/>
        </w:rPr>
      </w:pPr>
      <w:r w:rsidRPr="00F86E73">
        <w:rPr>
          <w:rFonts w:eastAsia="MS Mincho"/>
        </w:rPr>
        <w:t>zjednodušení a zkrácení soudních řízení</w:t>
      </w:r>
      <w:r w:rsidR="00F86E73" w:rsidRPr="00F86E73">
        <w:rPr>
          <w:rFonts w:eastAsia="MS Mincho"/>
        </w:rPr>
        <w:t>.</w:t>
      </w:r>
    </w:p>
    <w:p w:rsidR="002D3B15" w:rsidRDefault="002D3B15" w:rsidP="003E4A5D">
      <w:pPr>
        <w:pStyle w:val="Nadpis1"/>
        <w:numPr>
          <w:ilvl w:val="0"/>
          <w:numId w:val="16"/>
        </w:numPr>
        <w:rPr>
          <w:rFonts w:eastAsia="Calibri"/>
        </w:rPr>
      </w:pPr>
      <w:bookmarkStart w:id="91" w:name="_Toc536553941"/>
      <w:bookmarkEnd w:id="82"/>
      <w:r w:rsidRPr="00F23969">
        <w:rPr>
          <w:rFonts w:eastAsia="Calibri"/>
        </w:rPr>
        <w:t>Implementace doporučené varianty a vynucování</w:t>
      </w:r>
      <w:bookmarkEnd w:id="91"/>
      <w:r w:rsidRPr="00F23969">
        <w:rPr>
          <w:rFonts w:eastAsia="Calibri"/>
        </w:rPr>
        <w:t xml:space="preserve"> </w:t>
      </w:r>
    </w:p>
    <w:p w:rsidR="00077AFF" w:rsidRDefault="00B71978" w:rsidP="003E4A5D">
      <w:pPr>
        <w:pStyle w:val="Normln-tun"/>
        <w:widowControl w:val="0"/>
      </w:pPr>
      <w:r>
        <w:t xml:space="preserve">Při implementaci se počítá se stanovením přechodných období tak, aby byla </w:t>
      </w:r>
      <w:r w:rsidR="00686D84">
        <w:t>například</w:t>
      </w:r>
      <w:r>
        <w:t xml:space="preserve"> zajištěna hladká transformace SÚ a výkon agendy nebyl ohrožen. </w:t>
      </w:r>
    </w:p>
    <w:p w:rsidR="00C75964" w:rsidRDefault="00AC3193" w:rsidP="003E4A5D">
      <w:pPr>
        <w:pStyle w:val="Normln-tun"/>
        <w:widowControl w:val="0"/>
      </w:pPr>
      <w:r>
        <w:t>V závislosti na vybrané variantě p</w:t>
      </w:r>
      <w:r w:rsidR="00C75964">
        <w:t xml:space="preserve">ro celostátní závazný nástroj územního plánování a pro územní plány krajů je navrhováno stanovit lhůtu, v jejímž rámci mají být </w:t>
      </w:r>
      <w:r w:rsidR="006F430A">
        <w:t xml:space="preserve">územní plány </w:t>
      </w:r>
      <w:r w:rsidR="00C75964">
        <w:t xml:space="preserve">transformovány do formy odpovídající nové právní úpravě. Do doby přijetí této nové státní a krajské dokumentace zůstane stávající </w:t>
      </w:r>
      <w:r>
        <w:t>PÚR</w:t>
      </w:r>
      <w:r w:rsidR="00C75964">
        <w:t xml:space="preserve"> (případně územní rozvojový plán, bude-li již přijat) a ÚPD platná a závazná podle stávající právní úpravy. Transformace, která neznamená změnu věcného řešení, nebude předmětem vyhodnocení vlivů na udržitelný rozvoj území, nového projednání ani nebude nově přezkoumatelná podle správního řádu nebo soudního řádu správního.</w:t>
      </w:r>
    </w:p>
    <w:p w:rsidR="00C75964" w:rsidRDefault="00C75964" w:rsidP="003E4A5D">
      <w:pPr>
        <w:pStyle w:val="Normln-tun"/>
        <w:widowControl w:val="0"/>
      </w:pPr>
      <w:r>
        <w:t xml:space="preserve">Pokud bude u </w:t>
      </w:r>
      <w:r w:rsidR="00AC3193">
        <w:t>ÚP</w:t>
      </w:r>
      <w:r>
        <w:t xml:space="preserve"> kraje přijata změna právní formy na </w:t>
      </w:r>
      <w:r w:rsidR="00AC3193">
        <w:t>OZV</w:t>
      </w:r>
      <w:r>
        <w:t xml:space="preserve">, dojde nabytím účinnosti nového zákona ex lege ke změně právní formy z </w:t>
      </w:r>
      <w:r w:rsidR="00AC3193">
        <w:t>OOP</w:t>
      </w:r>
      <w:r>
        <w:t xml:space="preserve"> na </w:t>
      </w:r>
      <w:r w:rsidR="00AC3193">
        <w:t>OZV</w:t>
      </w:r>
      <w:r>
        <w:t xml:space="preserve"> kraje. </w:t>
      </w:r>
    </w:p>
    <w:p w:rsidR="00C75964" w:rsidRDefault="00C75964" w:rsidP="003E4A5D">
      <w:pPr>
        <w:pStyle w:val="Normln-tun"/>
        <w:widowControl w:val="0"/>
      </w:pPr>
      <w:r>
        <w:t>Pro územní a regulační plány obcí se nenavrhuje stanovit lhů</w:t>
      </w:r>
      <w:r w:rsidR="00603082">
        <w:t>tu pro provedení jejich úprav v </w:t>
      </w:r>
      <w:r>
        <w:t xml:space="preserve">souladu s novou právní úpravou. Obce nebudou mít obecnou povinnost přijmout ÚPD v nově upravené podobě. Stávající obecní ÚPD zůstane po nabytí účinnosti zákona platná a závazná. Úprava, která nebude znamenat změnu věcného řešení, nebude předmětem vyhodnocení vlivů na udržitelný rozvoj území, nového projednání ani nebude nově přezkoumatelná podle správního řádu nebo soudního řádu správního. </w:t>
      </w:r>
    </w:p>
    <w:p w:rsidR="00C75964" w:rsidRDefault="00C75964" w:rsidP="003E4A5D">
      <w:pPr>
        <w:pStyle w:val="Normln-tun"/>
        <w:widowControl w:val="0"/>
      </w:pPr>
      <w:r>
        <w:lastRenderedPageBreak/>
        <w:t>Rozsah navrhovaných změn v obsahových náležitostech a</w:t>
      </w:r>
      <w:r w:rsidR="00603082">
        <w:t xml:space="preserve"> podobě ÚPD je značně omezený a </w:t>
      </w:r>
      <w:r>
        <w:t xml:space="preserve">nebude vyžadovat přílišné zásahy do stávající podoby ÚPD. Proto </w:t>
      </w:r>
      <w:r w:rsidR="00AC3193">
        <w:t>bude zvážena možnost</w:t>
      </w:r>
      <w:r>
        <w:t>, aby vznikla povinnost obce upravit stávající ÚPD do souladu s novou právní úpravou při první změně ÚPD, kterou se vymezuje nová zastavitelná plocha. Zákon stanoví, že části ÚPD, které se budou i do úplně nové ÚPD přebírat beze změny, bude</w:t>
      </w:r>
      <w:r w:rsidR="00603082">
        <w:t xml:space="preserve"> možné vyloučit ze společného i </w:t>
      </w:r>
      <w:r>
        <w:t>veřejného projednání. Shodu přebíraných částí potvrdí svým stanoviskem pořizovatel</w:t>
      </w:r>
      <w:r w:rsidR="00E615E1" w:rsidRPr="00E615E1">
        <w:t xml:space="preserve"> </w:t>
      </w:r>
      <w:r w:rsidR="00E615E1">
        <w:t>(</w:t>
      </w:r>
      <w:r w:rsidR="00E615E1" w:rsidRPr="00E615E1">
        <w:t xml:space="preserve">pořizovatelem </w:t>
      </w:r>
      <w:r w:rsidR="002D1C84">
        <w:t>ÚP</w:t>
      </w:r>
      <w:r w:rsidR="00E615E1" w:rsidRPr="00E615E1">
        <w:t xml:space="preserve"> kraje bude krajský stavební úřad, stejně jako v případě </w:t>
      </w:r>
      <w:r w:rsidR="002D1C84">
        <w:t>ÚPD</w:t>
      </w:r>
      <w:r w:rsidR="00E615E1" w:rsidRPr="00E615E1">
        <w:t xml:space="preserve"> obcí, kde bude tato agenda zajišťována </w:t>
      </w:r>
      <w:r w:rsidR="000D021D">
        <w:t>územními</w:t>
      </w:r>
      <w:r w:rsidR="00E615E1" w:rsidRPr="00E615E1">
        <w:t xml:space="preserve"> pracovišti příslušných krajských stavebních úřadů</w:t>
      </w:r>
      <w:r w:rsidR="00E615E1">
        <w:t xml:space="preserve">; </w:t>
      </w:r>
      <w:r w:rsidR="00E615E1" w:rsidRPr="00E615E1">
        <w:t xml:space="preserve">pořizovatelem celostátní dokumentace bude </w:t>
      </w:r>
      <w:r w:rsidR="002D1C84">
        <w:t>NSÚ</w:t>
      </w:r>
      <w:r w:rsidR="00E615E1">
        <w:t>).</w:t>
      </w:r>
    </w:p>
    <w:p w:rsidR="00A3474F" w:rsidRDefault="00C75964" w:rsidP="003E4A5D">
      <w:pPr>
        <w:pStyle w:val="Normln-tun"/>
        <w:widowControl w:val="0"/>
      </w:pPr>
      <w:r>
        <w:t xml:space="preserve">Obce, které v souladu se stávající právní úpravou nemají </w:t>
      </w:r>
      <w:r w:rsidR="002D1C84">
        <w:t>ÚP</w:t>
      </w:r>
      <w:r>
        <w:t xml:space="preserve">, nebudou muset mít </w:t>
      </w:r>
      <w:r w:rsidR="002D1C84">
        <w:t>ÚP</w:t>
      </w:r>
      <w:r>
        <w:t xml:space="preserve"> ani podle nové právní úpravy</w:t>
      </w:r>
      <w:r w:rsidR="002D1C84">
        <w:t>, ale jejich rozvoj bude omezen</w:t>
      </w:r>
      <w:r>
        <w:t xml:space="preserve">. </w:t>
      </w:r>
      <w:r w:rsidR="002D1C84">
        <w:t>Obce</w:t>
      </w:r>
      <w:r>
        <w:t xml:space="preserve"> </w:t>
      </w:r>
      <w:r w:rsidR="002D1C84">
        <w:t xml:space="preserve">bez ÚP </w:t>
      </w:r>
      <w:r>
        <w:t xml:space="preserve">budou moci přijmout </w:t>
      </w:r>
      <w:r w:rsidR="002D1C84">
        <w:t>RP</w:t>
      </w:r>
      <w:r>
        <w:t>.</w:t>
      </w:r>
    </w:p>
    <w:p w:rsidR="002D3B15" w:rsidRPr="00F23969" w:rsidRDefault="002D3B15" w:rsidP="003E4A5D">
      <w:pPr>
        <w:pStyle w:val="Nadpis2"/>
        <w:keepNext w:val="0"/>
        <w:widowControl w:val="0"/>
        <w:rPr>
          <w:rFonts w:eastAsia="Calibri"/>
        </w:rPr>
      </w:pPr>
      <w:bookmarkStart w:id="92" w:name="_Toc536553942"/>
      <w:r w:rsidRPr="00F23969">
        <w:rPr>
          <w:rFonts w:eastAsia="Calibri"/>
        </w:rPr>
        <w:t>Vynucování</w:t>
      </w:r>
      <w:bookmarkEnd w:id="92"/>
      <w:r w:rsidRPr="00F23969">
        <w:rPr>
          <w:rFonts w:eastAsia="Calibri"/>
        </w:rPr>
        <w:t xml:space="preserve"> </w:t>
      </w:r>
    </w:p>
    <w:p w:rsidR="00B71978" w:rsidRDefault="00B71978" w:rsidP="003E4A5D">
      <w:pPr>
        <w:pStyle w:val="Normln-tun"/>
        <w:widowControl w:val="0"/>
      </w:pPr>
      <w:r>
        <w:t xml:space="preserve">V procesním (instančním) smyslu bude řízení v prvním stupni zajišťovat příslušné </w:t>
      </w:r>
      <w:r w:rsidR="000D021D">
        <w:t>územní</w:t>
      </w:r>
      <w:r>
        <w:t xml:space="preserve"> pracoviště krajského stavebního úřadu. O opravných prostředcích ve druhém stupni bude rozhodovat tentýž krajský stavební úřad (z krajského „ústředí“). </w:t>
      </w:r>
    </w:p>
    <w:p w:rsidR="00D0045D" w:rsidRDefault="00D0045D" w:rsidP="003E4A5D">
      <w:pPr>
        <w:pStyle w:val="Normln-tun"/>
        <w:widowControl w:val="0"/>
      </w:pPr>
    </w:p>
    <w:p w:rsidR="006303AC" w:rsidRPr="00C041E0" w:rsidRDefault="006303AC" w:rsidP="003E4A5D">
      <w:pPr>
        <w:pStyle w:val="Normln-tun"/>
        <w:widowControl w:val="0"/>
      </w:pPr>
      <w:r>
        <w:t xml:space="preserve">Důležitým vynucovacím prostředkem, který navrhovaná úprava obsahuje, je </w:t>
      </w:r>
      <w:r w:rsidRPr="006303AC">
        <w:t>stanovení závazných lhůt pro vydání rozhodnutí s jasnými důsledky jejich nedodržení</w:t>
      </w:r>
      <w:r w:rsidRPr="00C041E0">
        <w:t>.</w:t>
      </w:r>
      <w:r>
        <w:t xml:space="preserve"> </w:t>
      </w:r>
      <w:bookmarkStart w:id="93" w:name="_Hlk533192802"/>
      <w:r w:rsidRPr="006303AC">
        <w:t>Pro vydání rozhodnutí o povolení stavby</w:t>
      </w:r>
      <w:r w:rsidRPr="00C041E0">
        <w:t xml:space="preserve"> (pro meritorní rozhodnutí) bude stanovena novým stavebním zákonem </w:t>
      </w:r>
      <w:r w:rsidRPr="006303AC">
        <w:t>přiměřená závazná lhůta</w:t>
      </w:r>
      <w:r w:rsidRPr="00C041E0">
        <w:t xml:space="preserve"> </w:t>
      </w:r>
      <w:r>
        <w:t>(</w:t>
      </w:r>
      <w:r w:rsidRPr="00C041E0">
        <w:t xml:space="preserve">v trvání například </w:t>
      </w:r>
      <w:r w:rsidRPr="00F31B13">
        <w:t>45 dnů</w:t>
      </w:r>
      <w:r>
        <w:t>).</w:t>
      </w:r>
      <w:r w:rsidRPr="00C041E0">
        <w:t xml:space="preserve"> </w:t>
      </w:r>
      <w:r>
        <w:t>K</w:t>
      </w:r>
      <w:r w:rsidRPr="00C041E0">
        <w:t xml:space="preserve">onkrétní délka této </w:t>
      </w:r>
      <w:r>
        <w:t xml:space="preserve">závazné </w:t>
      </w:r>
      <w:r w:rsidRPr="00C041E0">
        <w:t xml:space="preserve">lhůty bude v novém stavebním zákoně </w:t>
      </w:r>
      <w:r>
        <w:t>vymezena</w:t>
      </w:r>
      <w:r w:rsidRPr="00C041E0">
        <w:t xml:space="preserve"> tak, aby reálně odpovídala procesním postupům stavebních úřadů a</w:t>
      </w:r>
      <w:r>
        <w:t> </w:t>
      </w:r>
      <w:r w:rsidRPr="00C041E0">
        <w:t>úpravě doručování.</w:t>
      </w:r>
      <w:r>
        <w:t xml:space="preserve"> </w:t>
      </w:r>
      <w:r w:rsidRPr="006303AC">
        <w:t>Závazná lhůta</w:t>
      </w:r>
      <w:r w:rsidRPr="00C041E0">
        <w:t xml:space="preserve"> bude stanovena nejen pro</w:t>
      </w:r>
      <w:r>
        <w:t> </w:t>
      </w:r>
      <w:r w:rsidRPr="006303AC">
        <w:t>prvostupňové řízení</w:t>
      </w:r>
      <w:r w:rsidRPr="00C041E0">
        <w:t xml:space="preserve">, </w:t>
      </w:r>
      <w:r w:rsidRPr="00F15A08">
        <w:t>ale</w:t>
      </w:r>
      <w:r w:rsidRPr="006303AC">
        <w:t xml:space="preserve"> i pro řízení odvolací</w:t>
      </w:r>
      <w:r w:rsidRPr="00C041E0">
        <w:t xml:space="preserve">, ve kterém bude odvolací orgán povinen také rozhodnout v závazné lhůtě. </w:t>
      </w:r>
    </w:p>
    <w:p w:rsidR="006303AC" w:rsidRDefault="006303AC" w:rsidP="003E4A5D">
      <w:pPr>
        <w:pStyle w:val="Normln-tun"/>
        <w:widowControl w:val="0"/>
      </w:pPr>
      <w:r>
        <w:t xml:space="preserve">Co se týče prvostupňové lhůty, je navrhováno, aby v případě, že </w:t>
      </w:r>
      <w:r w:rsidRPr="00C041E0">
        <w:t>stavební úřad v</w:t>
      </w:r>
      <w:r>
        <w:t> </w:t>
      </w:r>
      <w:r w:rsidRPr="00C041E0">
        <w:t xml:space="preserve">závazné lhůtě </w:t>
      </w:r>
      <w:r>
        <w:t xml:space="preserve">meritorně </w:t>
      </w:r>
      <w:r w:rsidRPr="00C041E0">
        <w:t>nerozhodne</w:t>
      </w:r>
      <w:r>
        <w:t xml:space="preserve"> (nevydá rozhodnutí o povolení stavby, nebo žádost nezamítne)</w:t>
      </w:r>
      <w:r w:rsidRPr="00C041E0">
        <w:t xml:space="preserve">, případně </w:t>
      </w:r>
      <w:r w:rsidRPr="002935D4">
        <w:t>řízení nepřeruší z důvodu formálních nedostatků žádosti/věcných nedostatků návrhu stavby, informační systém automaticky vygener</w:t>
      </w:r>
      <w:r w:rsidR="00A061DC" w:rsidRPr="002935D4">
        <w:t>oval</w:t>
      </w:r>
      <w:r w:rsidRPr="002935D4">
        <w:t xml:space="preserve"> rozhodnutí o povolení stavby.</w:t>
      </w:r>
      <w:r w:rsidRPr="00D50717">
        <w:t xml:space="preserve"> </w:t>
      </w:r>
      <w:bookmarkEnd w:id="93"/>
      <w:r w:rsidRPr="006303AC">
        <w:t>Základní náležitosti</w:t>
      </w:r>
      <w:r w:rsidRPr="00C041E0">
        <w:t xml:space="preserve"> pro rozhodnutí o</w:t>
      </w:r>
      <w:r>
        <w:t> </w:t>
      </w:r>
      <w:r w:rsidRPr="00C041E0">
        <w:t xml:space="preserve">povolení stavby (identifikace stavebníka, specifikace stavby, identifikace </w:t>
      </w:r>
      <w:r w:rsidRPr="002935D4">
        <w:t>DPS</w:t>
      </w:r>
      <w:r w:rsidRPr="00C041E0">
        <w:t xml:space="preserve"> atd.) by byly automaticky převzaty </w:t>
      </w:r>
      <w:r>
        <w:t xml:space="preserve">informačním systémem </w:t>
      </w:r>
      <w:r w:rsidRPr="00C041E0">
        <w:t>z informací uvedených žadatelem v žádosti o</w:t>
      </w:r>
      <w:r>
        <w:t> </w:t>
      </w:r>
      <w:r w:rsidRPr="00C041E0">
        <w:t>povolení stavby.</w:t>
      </w:r>
      <w:r w:rsidRPr="00B46A66">
        <w:t xml:space="preserve"> </w:t>
      </w:r>
      <w:r>
        <w:t>Stejně tak i </w:t>
      </w:r>
      <w:r w:rsidRPr="006303AC">
        <w:t>obecné podmínky pro provádění stavby</w:t>
      </w:r>
      <w:r>
        <w:t>, které musí být dodrženy vždy u každé prováděné stavby (</w:t>
      </w:r>
      <w:r w:rsidR="00686D84">
        <w:t>například</w:t>
      </w:r>
      <w:r>
        <w:t xml:space="preserve"> povinnost oznámit stavebnímu úřadu zahájení stavby, vyhotovit dokumentaci pro provádění stavby atd.), </w:t>
      </w:r>
      <w:r w:rsidRPr="002935D4">
        <w:t xml:space="preserve">budou v rozhodnutí o povolení stavby rovněž vygenerovány automaticky informačním systémem, který </w:t>
      </w:r>
      <w:r w:rsidR="00603082" w:rsidRPr="002935D4">
        <w:t>je převezme ze své databáze, do </w:t>
      </w:r>
      <w:r w:rsidRPr="002935D4">
        <w:t>níž budou vloženy při jejím zřizování.</w:t>
      </w:r>
      <w:r w:rsidR="00A061DC" w:rsidRPr="002935D4">
        <w:t xml:space="preserve"> </w:t>
      </w:r>
      <w:r w:rsidRPr="002935D4">
        <w:t>Takto automaticky vygenerované rozhodnutí o povolení stavby bude individuálně doručováno všem účastníkům řízení o povolení stavby. Proti rozhodnutí o povolení stavby bude možné podat odvolání, přičemž v odvolacím řízení bude odvolací orgán povinen rozhodnout také v závazné lhůtě.</w:t>
      </w:r>
      <w:r w:rsidRPr="00C041E0">
        <w:t xml:space="preserve"> </w:t>
      </w:r>
    </w:p>
    <w:p w:rsidR="006303AC" w:rsidRPr="00C041E0" w:rsidRDefault="006303AC" w:rsidP="003E4A5D">
      <w:pPr>
        <w:pStyle w:val="Normln-tun"/>
        <w:widowControl w:val="0"/>
      </w:pPr>
      <w:r>
        <w:t xml:space="preserve">V případě </w:t>
      </w:r>
      <w:r w:rsidRPr="006303AC">
        <w:t>přerušení řízení</w:t>
      </w:r>
      <w:r>
        <w:t xml:space="preserve"> stavebním úřadem </w:t>
      </w:r>
      <w:r w:rsidRPr="00C041E0">
        <w:t>z důvodu formálních nedostatků žádosti/věcných nedostatků návrhu stavby</w:t>
      </w:r>
      <w:r>
        <w:t xml:space="preserve"> se</w:t>
      </w:r>
      <w:r w:rsidRPr="006303AC">
        <w:t xml:space="preserve"> závazná lhůta</w:t>
      </w:r>
      <w:r>
        <w:t xml:space="preserve"> pro vydání rozhodnutí o povolení stavby </w:t>
      </w:r>
      <w:r w:rsidRPr="006303AC">
        <w:t>přerušuje</w:t>
      </w:r>
      <w:r>
        <w:t xml:space="preserve"> a </w:t>
      </w:r>
      <w:r w:rsidRPr="006303AC">
        <w:t>počne běžet znovu</w:t>
      </w:r>
      <w:r>
        <w:t xml:space="preserve"> od doplnění žádosti žadatelem dle výzvy stavebního úřadu. Nový stavební zákon bude obsahovat další speciální důvody pro přerušení řízení, se kterými bude spojeno </w:t>
      </w:r>
      <w:r w:rsidRPr="006303AC">
        <w:t>přerušení/stavění běhu závazné lhůty</w:t>
      </w:r>
      <w:r>
        <w:t xml:space="preserve"> pro vydání rozhodnutí o povolení stavby. </w:t>
      </w:r>
    </w:p>
    <w:p w:rsidR="006303AC" w:rsidRPr="00400FB1" w:rsidRDefault="00A061DC" w:rsidP="003E4A5D">
      <w:pPr>
        <w:pStyle w:val="Normln-tun"/>
        <w:widowControl w:val="0"/>
      </w:pPr>
      <w:r>
        <w:t>Aby nedošlo k</w:t>
      </w:r>
      <w:r w:rsidR="006303AC">
        <w:t xml:space="preserve"> zahlcení odvolacích orgánů ani soudů</w:t>
      </w:r>
      <w:r>
        <w:t>, a</w:t>
      </w:r>
      <w:r w:rsidR="006303AC">
        <w:t xml:space="preserve">utomatické vygenerování rozhodnutí o povolení stavby bude nová právní úprava připouštět jenom ve vymezených případech (nebyly podány námitky a stavbou nebudou dotčeny veřejné zájmy). Ve všech ostatních případech půjde o postup stavebního úřadu v rozporu se zákonem, jelikož je stavební úřad nečinný a dopustí automatické vygenerování rozhodnutí o povolení stavby, aniž by proto byly splněny zákonné </w:t>
      </w:r>
      <w:r w:rsidR="006303AC">
        <w:lastRenderedPageBreak/>
        <w:t>podmínky. Kvůli odpovědnosti stavebního úřadu za takové nezákonné rozhodnutí a kvůli možnému vyvození kárné odpovědnosti úředních osob bude v zájmu stavebních úřadů, aby postupovaly v souladu se zákonem a rozhodovaly v zákonných lhůtách.</w:t>
      </w:r>
      <w:r>
        <w:t xml:space="preserve"> I z tohoto důvodu neočekáváme výrazné negativní dopady, které by mohl tento nástroj přinést. </w:t>
      </w:r>
    </w:p>
    <w:p w:rsidR="006303AC" w:rsidRDefault="00A061DC" w:rsidP="003E4A5D">
      <w:pPr>
        <w:pStyle w:val="Normln-tun"/>
        <w:widowControl w:val="0"/>
      </w:pPr>
      <w:r w:rsidRPr="00C041E0">
        <w:t xml:space="preserve">Závazné lhůty pro </w:t>
      </w:r>
      <w:r>
        <w:t xml:space="preserve">učinění </w:t>
      </w:r>
      <w:r w:rsidRPr="00C041E0">
        <w:t>vyjádření</w:t>
      </w:r>
      <w:r w:rsidRPr="006303AC">
        <w:t xml:space="preserve"> </w:t>
      </w:r>
      <w:r w:rsidRPr="00F31B13">
        <w:t>se</w:t>
      </w:r>
      <w:r w:rsidRPr="006303AC">
        <w:t xml:space="preserve"> </w:t>
      </w:r>
      <w:r w:rsidRPr="00C041E0">
        <w:t xml:space="preserve">budou </w:t>
      </w:r>
      <w:r>
        <w:t>vztahovat</w:t>
      </w:r>
      <w:r w:rsidRPr="006303AC">
        <w:t xml:space="preserve"> </w:t>
      </w:r>
      <w:r w:rsidRPr="00C041E0">
        <w:t>i</w:t>
      </w:r>
      <w:r>
        <w:t> </w:t>
      </w:r>
      <w:r w:rsidRPr="00C041E0">
        <w:t>na</w:t>
      </w:r>
      <w:r w:rsidRPr="006303AC">
        <w:t xml:space="preserve"> </w:t>
      </w:r>
      <w:r w:rsidR="003C5643">
        <w:t>DO</w:t>
      </w:r>
      <w:r>
        <w:t>, které nebudou integrovány do nové</w:t>
      </w:r>
      <w:r w:rsidRPr="00C041E0">
        <w:t xml:space="preserve"> soustavy stavební správy</w:t>
      </w:r>
      <w:r w:rsidRPr="00BC219A">
        <w:t>.</w:t>
      </w:r>
      <w:r w:rsidRPr="00C041E0">
        <w:t xml:space="preserve"> V případě jejich nesplnění a</w:t>
      </w:r>
      <w:r>
        <w:t> </w:t>
      </w:r>
      <w:r w:rsidRPr="00C041E0">
        <w:t xml:space="preserve">nevyjádření se </w:t>
      </w:r>
      <w:r w:rsidRPr="006303AC">
        <w:t xml:space="preserve">bude platit, že je stanovisko </w:t>
      </w:r>
      <w:r w:rsidR="003C5643">
        <w:t>DO</w:t>
      </w:r>
      <w:r w:rsidRPr="006303AC">
        <w:t xml:space="preserve"> souhlasné</w:t>
      </w:r>
      <w:r w:rsidR="00D579FC">
        <w:t>.</w:t>
      </w:r>
      <w:r w:rsidR="00D0045D">
        <w:t>.</w:t>
      </w:r>
    </w:p>
    <w:p w:rsidR="002D3B15" w:rsidRPr="00F23969" w:rsidRDefault="002D3B15" w:rsidP="003E4A5D">
      <w:pPr>
        <w:pStyle w:val="Nadpis1"/>
        <w:rPr>
          <w:rFonts w:eastAsia="Calibri"/>
        </w:rPr>
      </w:pPr>
      <w:bookmarkStart w:id="94" w:name="_Toc536553943"/>
      <w:r w:rsidRPr="00F23969">
        <w:rPr>
          <w:rFonts w:eastAsia="Calibri"/>
        </w:rPr>
        <w:t>Přezkum účinnosti regulace</w:t>
      </w:r>
      <w:bookmarkEnd w:id="94"/>
      <w:r w:rsidRPr="00F23969">
        <w:rPr>
          <w:rFonts w:eastAsia="Calibri"/>
        </w:rPr>
        <w:t xml:space="preserve"> </w:t>
      </w:r>
    </w:p>
    <w:p w:rsidR="00D00D88" w:rsidRPr="00416CE5" w:rsidRDefault="00D00D88" w:rsidP="000066CE">
      <w:pPr>
        <w:widowControl w:val="0"/>
        <w:spacing w:before="100" w:after="100"/>
      </w:pPr>
      <w:r w:rsidRPr="00416CE5">
        <w:t xml:space="preserve">Jako perioda přiměřená pro přezkum účinnosti implementovaných opatření a pro zhodnocení pokroku při dosahování cílů novelizace se doporučuje doba 3 let. Tato perioda je dostatečně dlouhá pro shromáždění dostatečného objemu dat relevantních pro přezkum účinnosti a podnětů od dotčených subjektů a zároveň dostatečně krátká tak, aby nedošlo k přehlcení velkým objemem podnětů a navrhovaných změn. </w:t>
      </w:r>
    </w:p>
    <w:p w:rsidR="00D00D88" w:rsidRPr="00416CE5" w:rsidRDefault="00D00D88" w:rsidP="000066CE">
      <w:pPr>
        <w:widowControl w:val="0"/>
        <w:spacing w:before="100" w:after="100"/>
      </w:pPr>
      <w:r w:rsidRPr="00416CE5">
        <w:t xml:space="preserve">Pro přezkum účinnosti dopadu je doporučena především oblast délky přípravné fáze výstavby staveb. </w:t>
      </w:r>
      <w:r w:rsidR="00D0045D" w:rsidRPr="00D0045D">
        <w:t xml:space="preserve"> </w:t>
      </w:r>
      <w:r w:rsidR="00D0045D">
        <w:t>D</w:t>
      </w:r>
      <w:r w:rsidR="00D0045D" w:rsidRPr="00416CE5">
        <w:t xml:space="preserve">oporučuje </w:t>
      </w:r>
      <w:r w:rsidR="00D0045D">
        <w:t>se</w:t>
      </w:r>
      <w:r w:rsidR="00D579FC">
        <w:t xml:space="preserve"> </w:t>
      </w:r>
      <w:r w:rsidRPr="00416CE5">
        <w:t>sledovat následující ukazatele:</w:t>
      </w:r>
    </w:p>
    <w:p w:rsidR="00D00D88" w:rsidRPr="00416CE5" w:rsidRDefault="00D00D88" w:rsidP="000066CE">
      <w:pPr>
        <w:pStyle w:val="Odstavecseseznamem"/>
        <w:widowControl w:val="0"/>
        <w:numPr>
          <w:ilvl w:val="0"/>
          <w:numId w:val="50"/>
        </w:numPr>
        <w:spacing w:before="100" w:after="100"/>
      </w:pPr>
      <w:r w:rsidRPr="00416CE5">
        <w:t>délku integrovaného povolovacího řízení (na základě dat o podání žádosti a vydání rozhodnutí);</w:t>
      </w:r>
    </w:p>
    <w:p w:rsidR="00D00D88" w:rsidRPr="00416CE5" w:rsidRDefault="00D00D88" w:rsidP="000066CE">
      <w:pPr>
        <w:pStyle w:val="Odstavecseseznamem"/>
        <w:widowControl w:val="0"/>
        <w:numPr>
          <w:ilvl w:val="0"/>
          <w:numId w:val="50"/>
        </w:numPr>
        <w:spacing w:before="100" w:after="100"/>
      </w:pPr>
      <w:r w:rsidRPr="00416CE5">
        <w:t>počet úspěšných odvolání a délku odvolacího řízení v případě zachování této možnosti ochrany před správním rozhodnutím;</w:t>
      </w:r>
    </w:p>
    <w:p w:rsidR="00D00D88" w:rsidRPr="00416CE5" w:rsidRDefault="00D00D88" w:rsidP="000066CE">
      <w:pPr>
        <w:pStyle w:val="Odstavecseseznamem"/>
        <w:widowControl w:val="0"/>
        <w:numPr>
          <w:ilvl w:val="0"/>
          <w:numId w:val="50"/>
        </w:numPr>
        <w:spacing w:before="100" w:after="100"/>
      </w:pPr>
      <w:r w:rsidRPr="00416CE5">
        <w:t>délku soudních řízení;</w:t>
      </w:r>
    </w:p>
    <w:p w:rsidR="00D00D88" w:rsidRPr="00416CE5" w:rsidRDefault="00D00D88" w:rsidP="000066CE">
      <w:pPr>
        <w:pStyle w:val="Odstavecseseznamem"/>
        <w:widowControl w:val="0"/>
        <w:numPr>
          <w:ilvl w:val="0"/>
          <w:numId w:val="50"/>
        </w:numPr>
        <w:spacing w:before="100" w:after="100"/>
      </w:pPr>
      <w:r w:rsidRPr="00416CE5">
        <w:t>reálnou dobu nezbytnou pro vydání závazných stanovisek dle jednotlivých vydávajících orgánů;</w:t>
      </w:r>
    </w:p>
    <w:p w:rsidR="00D00D88" w:rsidRPr="00416CE5" w:rsidRDefault="00D00D88" w:rsidP="000066CE">
      <w:pPr>
        <w:pStyle w:val="Odstavecseseznamem"/>
        <w:widowControl w:val="0"/>
        <w:numPr>
          <w:ilvl w:val="0"/>
          <w:numId w:val="50"/>
        </w:numPr>
        <w:spacing w:before="100" w:after="100"/>
      </w:pPr>
      <w:r w:rsidRPr="00416CE5">
        <w:t>stabilitu záměrů apod.</w:t>
      </w:r>
    </w:p>
    <w:p w:rsidR="00486BB0" w:rsidRDefault="00D00D88" w:rsidP="000066CE">
      <w:pPr>
        <w:widowControl w:val="0"/>
        <w:spacing w:before="100" w:after="100"/>
      </w:pPr>
      <w:r w:rsidRPr="00416CE5">
        <w:t xml:space="preserve">Posuzováno by mělo být také to, zda je </w:t>
      </w:r>
      <w:r w:rsidR="00B71978">
        <w:t>fungování</w:t>
      </w:r>
      <w:r w:rsidRPr="00416CE5">
        <w:t xml:space="preserve"> </w:t>
      </w:r>
      <w:r w:rsidR="00B71978">
        <w:t>NSÚ</w:t>
      </w:r>
      <w:r w:rsidRPr="00416CE5">
        <w:t xml:space="preserve"> účinné, tj. zda dochází k minimalizaci důsledků identifikovaných problémů. Obdobně v případě integrace je třeba sledovat, zda přínosy z tohoto opatření nejsou převáženy náklady ve formě značné rozsáhlosti vydávaného rozhodnutí a odtud plynoucí zvýšené pravděpodobnosti vzniku procesních chyb.</w:t>
      </w:r>
    </w:p>
    <w:p w:rsidR="002D3B15" w:rsidRPr="00F23969" w:rsidRDefault="002D3B15" w:rsidP="000066CE">
      <w:pPr>
        <w:pStyle w:val="Nadpis1"/>
        <w:spacing w:before="100" w:after="100"/>
        <w:rPr>
          <w:rFonts w:eastAsia="Calibri"/>
        </w:rPr>
      </w:pPr>
      <w:bookmarkStart w:id="95" w:name="_Toc536553944"/>
      <w:r w:rsidRPr="00F23969">
        <w:rPr>
          <w:rFonts w:eastAsia="Calibri"/>
        </w:rPr>
        <w:t>Konzultace a zdroje dat</w:t>
      </w:r>
      <w:bookmarkEnd w:id="95"/>
      <w:r w:rsidRPr="00F23969">
        <w:rPr>
          <w:rFonts w:eastAsia="Calibri"/>
        </w:rPr>
        <w:t xml:space="preserve"> </w:t>
      </w:r>
    </w:p>
    <w:p w:rsidR="00B71978" w:rsidRDefault="00B71978" w:rsidP="000066CE">
      <w:pPr>
        <w:widowControl w:val="0"/>
        <w:spacing w:before="100" w:after="100"/>
      </w:pPr>
      <w:r>
        <w:t>Diskuze nad návrhem probíhala v následujících kruzích:</w:t>
      </w:r>
    </w:p>
    <w:p w:rsidR="007E5107" w:rsidRDefault="00D17DDE" w:rsidP="000066CE">
      <w:pPr>
        <w:pStyle w:val="Odstavecseseznamem"/>
        <w:widowControl w:val="0"/>
        <w:numPr>
          <w:ilvl w:val="0"/>
          <w:numId w:val="63"/>
        </w:numPr>
        <w:spacing w:before="100" w:after="100"/>
        <w:ind w:left="426" w:hanging="426"/>
      </w:pPr>
      <w:r>
        <w:t>k</w:t>
      </w:r>
      <w:r w:rsidR="007E5107">
        <w:t>olegium ministryně pro místní rozvoj k rekodifikaci veřejného stavebního práva (doposud se sešlo 4x)</w:t>
      </w:r>
    </w:p>
    <w:p w:rsidR="007E5107" w:rsidRDefault="00D17DDE" w:rsidP="009D4B5F">
      <w:pPr>
        <w:pStyle w:val="Odstavecseseznamem"/>
        <w:widowControl w:val="0"/>
        <w:numPr>
          <w:ilvl w:val="0"/>
          <w:numId w:val="63"/>
        </w:numPr>
        <w:ind w:left="426" w:hanging="426"/>
      </w:pPr>
      <w:r>
        <w:t>p</w:t>
      </w:r>
      <w:r w:rsidR="007E5107">
        <w:t xml:space="preserve">racovní skupiny zaměřené na jednotlivé oblasti: </w:t>
      </w:r>
    </w:p>
    <w:p w:rsidR="007E5107" w:rsidRDefault="007E5107" w:rsidP="009D4B5F">
      <w:pPr>
        <w:pStyle w:val="Odstavecseseznamem"/>
        <w:widowControl w:val="0"/>
        <w:numPr>
          <w:ilvl w:val="0"/>
          <w:numId w:val="63"/>
        </w:numPr>
        <w:ind w:left="426" w:hanging="426"/>
      </w:pPr>
      <w:r>
        <w:t>pracovní skupina pro veřejnou správu</w:t>
      </w:r>
    </w:p>
    <w:p w:rsidR="007E5107" w:rsidRDefault="007E5107" w:rsidP="009D4B5F">
      <w:pPr>
        <w:pStyle w:val="Odstavecseseznamem"/>
        <w:widowControl w:val="0"/>
        <w:numPr>
          <w:ilvl w:val="0"/>
          <w:numId w:val="63"/>
        </w:numPr>
        <w:ind w:left="426" w:hanging="426"/>
      </w:pPr>
      <w:r>
        <w:t>pracovní skupina pro územní plánování</w:t>
      </w:r>
    </w:p>
    <w:p w:rsidR="007E5107" w:rsidRDefault="007E5107" w:rsidP="009D4B5F">
      <w:pPr>
        <w:pStyle w:val="Odstavecseseznamem"/>
        <w:widowControl w:val="0"/>
        <w:numPr>
          <w:ilvl w:val="0"/>
          <w:numId w:val="63"/>
        </w:numPr>
        <w:ind w:left="426" w:hanging="426"/>
      </w:pPr>
      <w:r>
        <w:t>pracovní skupina pro digitalizaci</w:t>
      </w:r>
    </w:p>
    <w:p w:rsidR="007E5107" w:rsidRDefault="007E5107" w:rsidP="009D4B5F">
      <w:pPr>
        <w:pStyle w:val="Odstavecseseznamem"/>
        <w:widowControl w:val="0"/>
        <w:numPr>
          <w:ilvl w:val="0"/>
          <w:numId w:val="63"/>
        </w:numPr>
        <w:ind w:left="426" w:hanging="426"/>
      </w:pPr>
      <w:r>
        <w:t>pracovní skupina pro oblast stavebního práva procesního</w:t>
      </w:r>
    </w:p>
    <w:p w:rsidR="007E5107" w:rsidRDefault="007E5107" w:rsidP="009D4B5F">
      <w:pPr>
        <w:pStyle w:val="Odstavecseseznamem"/>
        <w:widowControl w:val="0"/>
        <w:numPr>
          <w:ilvl w:val="0"/>
          <w:numId w:val="63"/>
        </w:numPr>
        <w:ind w:left="426" w:hanging="426"/>
      </w:pPr>
      <w:r>
        <w:t>pracovní skupina pro oblast stavebního práva hmotného</w:t>
      </w:r>
      <w:r w:rsidR="00475B1D">
        <w:t>.</w:t>
      </w:r>
    </w:p>
    <w:p w:rsidR="00B22276" w:rsidRDefault="005A24BC" w:rsidP="00B22276">
      <w:pPr>
        <w:widowControl w:val="0"/>
      </w:pPr>
      <w:r w:rsidRPr="005A24BC">
        <w:t xml:space="preserve">Účastníky pracovních komisí byli zástupci z řad </w:t>
      </w:r>
      <w:r w:rsidR="00B22276" w:rsidRPr="005A24BC">
        <w:t>předkladatel</w:t>
      </w:r>
      <w:r w:rsidRPr="005A24BC">
        <w:t>e</w:t>
      </w:r>
      <w:r w:rsidR="00B22276" w:rsidRPr="005A24BC">
        <w:t xml:space="preserve">, </w:t>
      </w:r>
      <w:r w:rsidRPr="005A24BC">
        <w:t xml:space="preserve">dotčených </w:t>
      </w:r>
      <w:r w:rsidR="00B22276" w:rsidRPr="005A24BC">
        <w:t xml:space="preserve">rezortů, </w:t>
      </w:r>
      <w:r w:rsidR="0078162F">
        <w:t>DO</w:t>
      </w:r>
      <w:r w:rsidR="00603082">
        <w:t xml:space="preserve"> i </w:t>
      </w:r>
      <w:r w:rsidRPr="005A24BC">
        <w:t xml:space="preserve">reprezentanti </w:t>
      </w:r>
      <w:r w:rsidR="00B22276" w:rsidRPr="005A24BC">
        <w:t xml:space="preserve">HK </w:t>
      </w:r>
      <w:r w:rsidR="00D236AD">
        <w:t xml:space="preserve">ČR </w:t>
      </w:r>
      <w:r w:rsidR="00B22276" w:rsidRPr="005A24BC">
        <w:t>zastupující</w:t>
      </w:r>
      <w:r w:rsidRPr="005A24BC">
        <w:t xml:space="preserve"> své</w:t>
      </w:r>
      <w:r w:rsidR="00B22276" w:rsidRPr="005A24BC">
        <w:t xml:space="preserve"> členy.</w:t>
      </w:r>
    </w:p>
    <w:p w:rsidR="005A24BC" w:rsidRPr="004051D9" w:rsidRDefault="005A24BC" w:rsidP="005A24BC">
      <w:pPr>
        <w:pStyle w:val="Nadpis10"/>
      </w:pPr>
      <w:bookmarkStart w:id="96" w:name="_Toc461105417"/>
      <w:bookmarkStart w:id="97" w:name="_Toc536553945"/>
      <w:r w:rsidRPr="004051D9">
        <w:t xml:space="preserve">Hodnocení korupčních rizik </w:t>
      </w:r>
      <w:r>
        <w:t>zvoleného řešení</w:t>
      </w:r>
      <w:bookmarkEnd w:id="96"/>
      <w:bookmarkEnd w:id="97"/>
    </w:p>
    <w:p w:rsidR="005A24BC" w:rsidRPr="004051D9" w:rsidRDefault="005A24BC" w:rsidP="005A24BC">
      <w:pPr>
        <w:pStyle w:val="Nadpis20"/>
      </w:pPr>
      <w:bookmarkStart w:id="98" w:name="_Toc443851739"/>
      <w:bookmarkStart w:id="99" w:name="_Toc536553946"/>
      <w:r w:rsidRPr="004051D9">
        <w:t>Posouzení stanovených kritérií</w:t>
      </w:r>
      <w:bookmarkStart w:id="100" w:name="_Toc443851740"/>
      <w:bookmarkEnd w:id="98"/>
      <w:bookmarkEnd w:id="99"/>
    </w:p>
    <w:p w:rsidR="005A24BC" w:rsidRPr="004051D9" w:rsidRDefault="005A24BC" w:rsidP="005A24BC">
      <w:pPr>
        <w:pStyle w:val="Nadpis30"/>
        <w:ind w:left="709" w:hanging="709"/>
      </w:pPr>
      <w:bookmarkStart w:id="101" w:name="_Toc536553947"/>
      <w:r w:rsidRPr="004051D9">
        <w:t>Přiměřenost</w:t>
      </w:r>
      <w:bookmarkEnd w:id="100"/>
      <w:bookmarkEnd w:id="101"/>
    </w:p>
    <w:p w:rsidR="005A24BC" w:rsidRPr="005A24BC" w:rsidRDefault="005A24BC" w:rsidP="005A24BC">
      <w:pPr>
        <w:pStyle w:val="Normln-tun"/>
        <w:widowControl w:val="0"/>
      </w:pPr>
      <w:r w:rsidRPr="005A24BC">
        <w:t xml:space="preserve">České veřejné stavební právo zahrnuje územní plánování, </w:t>
      </w:r>
      <w:r w:rsidR="003C5643">
        <w:t xml:space="preserve">územní rozhodování, stavební řád </w:t>
      </w:r>
      <w:r w:rsidRPr="005A24BC">
        <w:lastRenderedPageBreak/>
        <w:t xml:space="preserve">a složkové předpisy chránící dílčí veřejné zájmy aplikované při výstavbě. I více než 10 let po přijetí </w:t>
      </w:r>
      <w:r w:rsidR="00570732">
        <w:t xml:space="preserve">stávajícího </w:t>
      </w:r>
      <w:r w:rsidRPr="005A24BC">
        <w:t>stavebního zákona, kterého se dotklo již více než 20 novel, včetně poslední z kategorie tzv. velkých novel provedené na základě zákona č. 225/2017 Sb</w:t>
      </w:r>
      <w:r w:rsidRPr="00CA6A16">
        <w:t>.</w:t>
      </w:r>
      <w:r w:rsidRPr="00E26030">
        <w:rPr>
          <w:rStyle w:val="Znakapoznpodarou"/>
          <w:color w:val="000000" w:themeColor="text1"/>
          <w:sz w:val="20"/>
          <w:szCs w:val="20"/>
        </w:rPr>
        <w:footnoteReference w:id="14"/>
      </w:r>
      <w:r w:rsidRPr="005A24BC">
        <w:t xml:space="preserve"> však má stále daleko k ideálnímu stavu.</w:t>
      </w:r>
    </w:p>
    <w:p w:rsidR="005A24BC" w:rsidRPr="005A24BC" w:rsidRDefault="005A24BC" w:rsidP="005A24BC">
      <w:pPr>
        <w:pStyle w:val="Normln-tun"/>
        <w:widowControl w:val="0"/>
      </w:pPr>
      <w:r w:rsidRPr="005A24BC">
        <w:t xml:space="preserve">Jde nejen o převažující závěry odborníků na české stavební právo a dotčených osob ze stavební praxe. Tento závěr plyne i z celosvětových srovnávacích dat, které publikuje Světová banka ve studiích </w:t>
      </w:r>
      <w:proofErr w:type="spellStart"/>
      <w:r w:rsidRPr="005A24BC">
        <w:t>Doing</w:t>
      </w:r>
      <w:proofErr w:type="spellEnd"/>
      <w:r w:rsidRPr="005A24BC">
        <w:t xml:space="preserve"> Business. Podle studie </w:t>
      </w:r>
      <w:proofErr w:type="spellStart"/>
      <w:r w:rsidRPr="005A24BC">
        <w:t>Doing</w:t>
      </w:r>
      <w:proofErr w:type="spellEnd"/>
      <w:r w:rsidRPr="005A24BC">
        <w:t xml:space="preserve"> Business 2019 je proces povolování staveb v </w:t>
      </w:r>
      <w:r w:rsidR="0097207F" w:rsidRPr="0097207F">
        <w:t>ČR</w:t>
      </w:r>
      <w:r w:rsidRPr="005A24BC">
        <w:t xml:space="preserve"> jeden z nejpomalejších na světě. Podle délky standardizovaného stavebního řízení se Česká republika umístila na 156. místě ze 190 posuzovaných zemí s délkou 246 dnů.</w:t>
      </w:r>
      <w:r w:rsidR="00CC3866" w:rsidRPr="00CC3866">
        <w:rPr>
          <w:rStyle w:val="Znakapoznpodarou"/>
          <w:color w:val="000000" w:themeColor="text1"/>
          <w:sz w:val="20"/>
          <w:szCs w:val="20"/>
        </w:rPr>
        <w:t xml:space="preserve"> </w:t>
      </w:r>
      <w:r w:rsidR="00CC3866" w:rsidRPr="00FB334D">
        <w:rPr>
          <w:rStyle w:val="Znakapoznpodarou"/>
          <w:color w:val="000000" w:themeColor="text1"/>
          <w:sz w:val="20"/>
          <w:szCs w:val="20"/>
        </w:rPr>
        <w:footnoteRef/>
      </w:r>
      <w:r w:rsidR="00CC3866">
        <w:rPr>
          <w:rStyle w:val="Znakapoznpodarou"/>
          <w:color w:val="000000" w:themeColor="text1"/>
          <w:sz w:val="20"/>
          <w:szCs w:val="20"/>
        </w:rPr>
        <w:t>8</w:t>
      </w:r>
      <w:r w:rsidRPr="005A24BC">
        <w:t xml:space="preserve"> </w:t>
      </w:r>
    </w:p>
    <w:p w:rsidR="005A24BC" w:rsidRPr="005A24BC" w:rsidRDefault="005A24BC" w:rsidP="005A24BC">
      <w:pPr>
        <w:pStyle w:val="Normln-tun"/>
        <w:widowControl w:val="0"/>
      </w:pPr>
      <w:r w:rsidRPr="005A24BC">
        <w:t>Na výše uvedené aspekty reagovala v programovém prohlášení vláda, která se kromě jiného zavázala, že podpoří a zrychlí výstavbu v </w:t>
      </w:r>
      <w:r w:rsidR="0097207F" w:rsidRPr="0097207F">
        <w:t>ČR</w:t>
      </w:r>
      <w:r w:rsidRPr="005A24BC">
        <w:t>, prosadí rekodifikaci veřejného stavebního práva a zjednoduší a zkrátí přípravu staveb pro zvýšení konkurenceschopnosti.</w:t>
      </w:r>
    </w:p>
    <w:p w:rsidR="005A24BC" w:rsidRPr="005A24BC" w:rsidRDefault="005A24BC" w:rsidP="005A24BC">
      <w:pPr>
        <w:pStyle w:val="Normln-tun"/>
        <w:widowControl w:val="0"/>
      </w:pPr>
      <w:r w:rsidRPr="005A24BC">
        <w:t>A i když se rekodifikace dotkne vedle stavebního zákona i desítek dalších souvisejících zákonů, české stavební právo dospělo do stavu, ve kterém už nestačí pouhá další novelizace stavebního zákona.</w:t>
      </w:r>
      <w:r w:rsidR="00570732">
        <w:t xml:space="preserve"> </w:t>
      </w:r>
      <w:r w:rsidRPr="005A24BC">
        <w:t>V posledních letech bylo přijato hned několik tzv. velkých</w:t>
      </w:r>
      <w:r w:rsidR="00570732" w:rsidRPr="00570732">
        <w:t xml:space="preserve"> </w:t>
      </w:r>
      <w:r w:rsidRPr="005A24BC">
        <w:t>novel stavebního zákona a souvisejících předpisů. Ty však nedosáhly zamýšlených cílů. Dílčím novelizacím stavebního zákona chyběla hlubší systémová koncepce i odvaha dotknout se samotných základů stávajícího stavebního práva. Tyto změny byly jen řešením některých nejakutnějších dílčích problémů a</w:t>
      </w:r>
      <w:r w:rsidR="00DB07B5">
        <w:t> </w:t>
      </w:r>
      <w:r w:rsidRPr="005A24BC">
        <w:t>neřešily problémy systémové. Zároveň změny indukovaly problémy nové a nezamýšlené.</w:t>
      </w:r>
      <w:r w:rsidR="00DB07B5">
        <w:t xml:space="preserve"> </w:t>
      </w:r>
      <w:r w:rsidRPr="005A24BC">
        <w:t>Českému veřejnému stavebnímu právu je proto třeba konečně dát novou ucelenou koncepci. Bez zásadní změny veřejného stavebního práva, která by přinesla úplně novou právní úpravu, nezatíženou stavebně-právními problémy dneška, nelze současné problémy stavebního sektoru a navazujících segmentů vyřešit.</w:t>
      </w:r>
    </w:p>
    <w:p w:rsidR="005A24BC" w:rsidRPr="005A24BC" w:rsidRDefault="005A24BC" w:rsidP="005A24BC">
      <w:pPr>
        <w:pStyle w:val="Normln-tun"/>
        <w:widowControl w:val="0"/>
      </w:pPr>
      <w:r w:rsidRPr="005A24BC">
        <w:t xml:space="preserve">Proto </w:t>
      </w:r>
      <w:r w:rsidR="00570732">
        <w:t>je třeba</w:t>
      </w:r>
      <w:r w:rsidR="00DB07B5">
        <w:t xml:space="preserve"> </w:t>
      </w:r>
      <w:r w:rsidRPr="005A24BC">
        <w:t xml:space="preserve">rozsah změn a zvolené varianty v RIA </w:t>
      </w:r>
      <w:r w:rsidR="00570732">
        <w:t>považovat</w:t>
      </w:r>
      <w:r w:rsidR="00570732" w:rsidRPr="005A24BC">
        <w:t xml:space="preserve"> </w:t>
      </w:r>
      <w:r w:rsidRPr="005A24BC">
        <w:t xml:space="preserve">za přiměřené množině vztahů, které mají upravovat. I když na základě zvolených variant dochází k významným systematickým změnám, návrh celkově neúměrně nerozšiřuje kompetence orgánů veřejné správy. Dochází pouze k jejich přesunům. Do samotného rozhodovacího procesu nevstupuje nový aktér. Mění se pouze začlenění správních orgánů v rámci veřejné správy, které však </w:t>
      </w:r>
      <w:r w:rsidR="00CC3866">
        <w:t xml:space="preserve">rozhodně </w:t>
      </w:r>
      <w:r w:rsidRPr="005A24BC">
        <w:t xml:space="preserve">neznamená zvýšení korupčního potenciálu. </w:t>
      </w:r>
    </w:p>
    <w:p w:rsidR="005A24BC" w:rsidRPr="004051D9" w:rsidRDefault="005A24BC" w:rsidP="005A24BC">
      <w:pPr>
        <w:pStyle w:val="Nadpis30"/>
        <w:ind w:left="709" w:hanging="709"/>
      </w:pPr>
      <w:bookmarkStart w:id="102" w:name="_Toc443851741"/>
      <w:bookmarkStart w:id="103" w:name="_Toc536553948"/>
      <w:r w:rsidRPr="004051D9">
        <w:t>Efektivita</w:t>
      </w:r>
      <w:bookmarkEnd w:id="102"/>
      <w:bookmarkEnd w:id="103"/>
    </w:p>
    <w:p w:rsidR="005A24BC" w:rsidRDefault="005A24BC" w:rsidP="005A24BC">
      <w:pPr>
        <w:pStyle w:val="Normln-tun"/>
        <w:widowControl w:val="0"/>
      </w:pPr>
      <w:r w:rsidRPr="004051D9">
        <w:t xml:space="preserve">Protože na základě zvolených </w:t>
      </w:r>
      <w:r w:rsidR="00570732">
        <w:t>v</w:t>
      </w:r>
      <w:r w:rsidR="00570732" w:rsidRPr="004051D9">
        <w:t xml:space="preserve">ariant </w:t>
      </w:r>
      <w:r w:rsidRPr="004051D9">
        <w:t xml:space="preserve">dochází k významným systematickým změnám, </w:t>
      </w:r>
      <w:r>
        <w:t xml:space="preserve">jejichž samotným cílem je posílení efektivity systému, </w:t>
      </w:r>
      <w:r w:rsidR="00570732">
        <w:t>lze předpokládat</w:t>
      </w:r>
      <w:r>
        <w:t>, že rekodifikací bude tohoto cíle dosaženo. Z tohoto titulu RIA navrhuje set indikátorů, které bude třeba sledovat, příp. na jejich základě model dolaďovat tak, aby dosažená míra úspor oproti současnému stavu byla maximální.</w:t>
      </w:r>
      <w:r w:rsidRPr="004051D9">
        <w:t xml:space="preserve"> </w:t>
      </w:r>
    </w:p>
    <w:p w:rsidR="005A24BC" w:rsidRPr="005A24BC" w:rsidRDefault="005A24BC" w:rsidP="005A24BC">
      <w:pPr>
        <w:pStyle w:val="Normln-tun"/>
        <w:widowControl w:val="0"/>
      </w:pPr>
      <w:r>
        <w:t>Jedním z klíčových aspektů rekodifikace bude vytvořen</w:t>
      </w:r>
      <w:r w:rsidR="00603082">
        <w:t xml:space="preserve">í </w:t>
      </w:r>
      <w:r w:rsidR="00BF4B2F">
        <w:t>NSÚ</w:t>
      </w:r>
      <w:r w:rsidR="00603082">
        <w:t xml:space="preserve"> a </w:t>
      </w:r>
      <w:r>
        <w:t>delimitace zaměstnanců. Korupční potenciál zde může být spojen pouze s procesem jmenováním</w:t>
      </w:r>
      <w:r w:rsidR="003025AA" w:rsidRPr="003025AA" w:rsidDel="003025AA">
        <w:t xml:space="preserve"> </w:t>
      </w:r>
      <w:r w:rsidR="003025AA">
        <w:t>ředitele tohoto úřady.</w:t>
      </w:r>
      <w:r w:rsidR="003025AA" w:rsidRPr="005A24BC">
        <w:t xml:space="preserve"> </w:t>
      </w:r>
      <w:r w:rsidR="003025AA">
        <w:t>Tento model je navržen tak, aby se korupční potenciál v porovnání se současným stavem snížil a model tak vykazoval vyšší efektivitu</w:t>
      </w:r>
      <w:r>
        <w:t>.</w:t>
      </w:r>
      <w:r w:rsidR="00BF4B2F">
        <w:t xml:space="preserve"> </w:t>
      </w:r>
    </w:p>
    <w:p w:rsidR="005A24BC" w:rsidRPr="004051D9" w:rsidRDefault="005A24BC" w:rsidP="005A24BC">
      <w:pPr>
        <w:pStyle w:val="Normln-tun"/>
        <w:widowControl w:val="0"/>
      </w:pPr>
      <w:r>
        <w:t xml:space="preserve">Díky nové struktuře dojde k eliminaci současné fragmentace stavebních úřadů, zlepšení metodického vedení podřízených úřadů a </w:t>
      </w:r>
      <w:r w:rsidR="000D021D">
        <w:t>územní</w:t>
      </w:r>
      <w:r>
        <w:t xml:space="preserve">ch pracovišť, zvýšení koordinace a zlepšení komunikace mezi stavebními úřady a </w:t>
      </w:r>
      <w:r w:rsidR="0078162F">
        <w:t>DO</w:t>
      </w:r>
      <w:r>
        <w:t xml:space="preserve"> či posílení k</w:t>
      </w:r>
      <w:r w:rsidRPr="004051D9">
        <w:t>ontrolní</w:t>
      </w:r>
      <w:r>
        <w:t>ch</w:t>
      </w:r>
      <w:r w:rsidRPr="004051D9">
        <w:t xml:space="preserve"> mechanizm</w:t>
      </w:r>
      <w:r>
        <w:t>ů.</w:t>
      </w:r>
      <w:r w:rsidRPr="004051D9">
        <w:t xml:space="preserve"> </w:t>
      </w:r>
      <w:r>
        <w:t>M</w:t>
      </w:r>
      <w:r w:rsidRPr="004051D9">
        <w:t xml:space="preserve">íra vynutitelnosti plnění povinností daných regulací </w:t>
      </w:r>
      <w:r>
        <w:t xml:space="preserve">správním orgánům by se proto </w:t>
      </w:r>
      <w:r w:rsidRPr="004051D9">
        <w:t xml:space="preserve">měla </w:t>
      </w:r>
      <w:r>
        <w:t>zvýšit</w:t>
      </w:r>
      <w:r w:rsidRPr="004051D9">
        <w:t>.</w:t>
      </w:r>
    </w:p>
    <w:p w:rsidR="005A24BC" w:rsidRPr="004051D9" w:rsidRDefault="005A24BC" w:rsidP="005A24BC">
      <w:pPr>
        <w:pStyle w:val="Nadpis30"/>
        <w:ind w:left="709" w:hanging="709"/>
      </w:pPr>
      <w:bookmarkStart w:id="104" w:name="_Toc443851742"/>
      <w:bookmarkStart w:id="105" w:name="_Toc536553949"/>
      <w:r w:rsidRPr="004051D9">
        <w:lastRenderedPageBreak/>
        <w:t>Odpovědnost</w:t>
      </w:r>
      <w:bookmarkEnd w:id="104"/>
      <w:bookmarkEnd w:id="105"/>
    </w:p>
    <w:p w:rsidR="005A24BC" w:rsidRDefault="005A24BC" w:rsidP="005A24BC">
      <w:pPr>
        <w:pStyle w:val="Normln-tun"/>
        <w:widowControl w:val="0"/>
      </w:pPr>
      <w:bookmarkStart w:id="106" w:name="_Toc443851743"/>
      <w:r>
        <w:t xml:space="preserve">Zvolené varianty se výrazně pozitivně promítnou v oblasti odpovědnosti úřadů a úředních osob za škodu způsobenou nezákonným rozhodnutím nebo úředním postupem. Na činnost stavebních úřadů bude nadále dopadat právní úprava a režim zákona č. 82/1998 Sb. V této souvislosti lze očekávat snížení počtu opodstatněných nároků na náhradu škody z důvodu odstranění rizik systémové podjatosti úředních osob s ohledem na vyjmutí předmětné agendy ze spojeného modelu veřejné správy. </w:t>
      </w:r>
    </w:p>
    <w:p w:rsidR="005A24BC" w:rsidRDefault="005A24BC" w:rsidP="005A24BC">
      <w:pPr>
        <w:pStyle w:val="Normln-tun"/>
        <w:widowControl w:val="0"/>
      </w:pPr>
      <w:r>
        <w:t>Vedle toho se očekává i zjednodušení a zefektivnění aplika</w:t>
      </w:r>
      <w:r w:rsidR="00603082">
        <w:t>ční praxe, a to jednak rovněž s </w:t>
      </w:r>
      <w:r>
        <w:t xml:space="preserve">ohledem na vyjmutí agendy stavební správy ze spojeného modelu veřejné správy (v důsledku čehož odpadne mj. proces regresního vymáhání škody po </w:t>
      </w:r>
      <w:r w:rsidR="00603082">
        <w:t>územním samosprávném celku), a </w:t>
      </w:r>
      <w:r>
        <w:t xml:space="preserve">jednak i vzhledem k principu integrace vybraných agend </w:t>
      </w:r>
      <w:r w:rsidR="0078162F">
        <w:t>DO</w:t>
      </w:r>
      <w:r>
        <w:t xml:space="preserve"> </w:t>
      </w:r>
      <w:proofErr w:type="spellStart"/>
      <w:r>
        <w:t>do</w:t>
      </w:r>
      <w:proofErr w:type="spellEnd"/>
      <w:r>
        <w:t xml:space="preserve"> činnosti stavebních úřadů (při současné roztříštěnosti těchto agend, zajišťovaných velkým množstvím různých správních orgánů, může být komplikované určit už jen „původce“ škody, tzn. správný orgán, jehož pochybením byla škoda způsobena).  </w:t>
      </w:r>
    </w:p>
    <w:p w:rsidR="005A24BC" w:rsidRDefault="005A24BC" w:rsidP="005A24BC">
      <w:pPr>
        <w:pStyle w:val="Normln-tun"/>
        <w:widowControl w:val="0"/>
      </w:pPr>
      <w:r>
        <w:t>Z hlediska osobní odpovědnosti jednotlivých úředních osob vůči jejich zaměstnavateli bude nadále plně aplikovatelný režim zákoníku práce (kterým se řídí i odpovědnost státních zaměstnanců za škodu), nadto však bude (nově) jednotně aplikována i kárná odpovědnost v</w:t>
      </w:r>
      <w:r w:rsidR="00603082">
        <w:t> </w:t>
      </w:r>
      <w:r>
        <w:t>režimu zákona o státní službě. I tato skutečnost může přispět k posílení důrazu na odpovědný výkon dané agendy.</w:t>
      </w:r>
    </w:p>
    <w:p w:rsidR="005A24BC" w:rsidRPr="004051D9" w:rsidRDefault="005A24BC" w:rsidP="005A24BC">
      <w:pPr>
        <w:pStyle w:val="Nadpis30"/>
        <w:ind w:left="709" w:hanging="709"/>
      </w:pPr>
      <w:bookmarkStart w:id="107" w:name="_Toc536553950"/>
      <w:r w:rsidRPr="004051D9">
        <w:t>Opravné prostředky</w:t>
      </w:r>
      <w:bookmarkEnd w:id="106"/>
      <w:bookmarkEnd w:id="107"/>
    </w:p>
    <w:p w:rsidR="005A24BC" w:rsidRDefault="005A24BC" w:rsidP="005A24BC">
      <w:pPr>
        <w:pStyle w:val="Normln-tun"/>
        <w:widowControl w:val="0"/>
      </w:pPr>
      <w:r w:rsidRPr="004051D9">
        <w:t xml:space="preserve">Na základě zvolených </w:t>
      </w:r>
      <w:r w:rsidR="003025AA">
        <w:t>v</w:t>
      </w:r>
      <w:r w:rsidR="003025AA" w:rsidRPr="004051D9">
        <w:t xml:space="preserve">ariant </w:t>
      </w:r>
      <w:r w:rsidRPr="004051D9">
        <w:t>nedochází k</w:t>
      </w:r>
      <w:r>
        <w:t>e</w:t>
      </w:r>
      <w:r w:rsidRPr="004051D9">
        <w:t xml:space="preserve"> změnám, které by vyžadovaly zakotvení nových opravných prostředků. </w:t>
      </w:r>
      <w:r>
        <w:t xml:space="preserve">Navrhován je systém dvojinstančního správního řízení v rámci jednoho správního orgánu (ústředí rozhoduje o opravném prostředku proti rozhodnutí </w:t>
      </w:r>
      <w:r w:rsidR="000D021D">
        <w:t>územní</w:t>
      </w:r>
      <w:r>
        <w:t xml:space="preserve">ho pracoviště). Tato procesní konstrukce je sice výjimkou z obecného principu, avšak výjimkou ústavně plně konformní. Podle konstantní správní judikatury ostatně není </w:t>
      </w:r>
      <w:proofErr w:type="spellStart"/>
      <w:r w:rsidR="002B5CF2">
        <w:t>dvouinstančnost</w:t>
      </w:r>
      <w:proofErr w:type="spellEnd"/>
      <w:r>
        <w:t xml:space="preserve"> správního řízení ústavním principem ani základní zásadou správního řízení a lze ji proto vyloučit. Tím spíše není ústavním deficitem, rozhoduje-li správní orgán o opravném prostředku proti rozhodnutí vydanému organizační jednotkou téhož správního orgánu. Kromě toho podobnou konstrukci český právní řád již zná, aniž ji judikatura dosud jakkoli zpochybnila. Zmínit lze v této souvislosti </w:t>
      </w:r>
      <w:r w:rsidR="00686D84">
        <w:t>například</w:t>
      </w:r>
      <w:r>
        <w:t xml:space="preserve"> organizaci a rozhodování České obchodní i</w:t>
      </w:r>
      <w:r w:rsidR="00603082">
        <w:t>nspekce (§ 1 odst. 5 zákona č. </w:t>
      </w:r>
      <w:r>
        <w:t xml:space="preserve">64/1986 Sb.), Státní zemědělské a potravinářské inspekce (§ 1 odst. 6 zákona č. 146/2002 Sb.), Státního pozemkového úřadu (§ 2 odst. 4 zákona č. 503/2012 Sb.) aj. Všem zmíněným případům je společné, že v prvním stupni rozhoduje vnitřní organizační jednotka úřadu a o odvolání pak „ústředí“ téhož úřadu. </w:t>
      </w:r>
      <w:r w:rsidRPr="009A195D">
        <w:t>K případným námitkám, že toto řešení (dvě instance v rámci jednoho správního orgánu) je problematické z hlediska rizika podjatosti úředních osob a</w:t>
      </w:r>
      <w:r>
        <w:t> </w:t>
      </w:r>
      <w:r w:rsidRPr="009A195D">
        <w:t xml:space="preserve">ohrožení nestrannosti přezkoumávání rozhodnutí (pokud </w:t>
      </w:r>
      <w:r w:rsidR="00686D84">
        <w:t>například</w:t>
      </w:r>
      <w:r w:rsidRPr="009A195D">
        <w:t xml:space="preserve"> pracovník ústředí poskytne konzultace vyřizující úřední osobě </w:t>
      </w:r>
      <w:r w:rsidR="000D021D">
        <w:t>územní</w:t>
      </w:r>
      <w:r w:rsidRPr="009A195D">
        <w:t>ho pracoviště</w:t>
      </w:r>
      <w:r w:rsidR="00CD6E7F" w:rsidRPr="00FB334D">
        <w:rPr>
          <w:rStyle w:val="Znakapoznpodarou"/>
          <w:color w:val="000000" w:themeColor="text1"/>
          <w:sz w:val="20"/>
          <w:szCs w:val="20"/>
        </w:rPr>
        <w:footnoteRef/>
      </w:r>
      <w:r w:rsidR="00CD6E7F">
        <w:rPr>
          <w:rStyle w:val="Znakapoznpodarou"/>
          <w:color w:val="000000" w:themeColor="text1"/>
          <w:sz w:val="20"/>
          <w:szCs w:val="20"/>
        </w:rPr>
        <w:t>9</w:t>
      </w:r>
      <w:r w:rsidRPr="009A195D">
        <w:t xml:space="preserve">), </w:t>
      </w:r>
      <w:r>
        <w:t>lze</w:t>
      </w:r>
      <w:r w:rsidRPr="009A195D">
        <w:t xml:space="preserve"> uvést, že</w:t>
      </w:r>
      <w:r>
        <w:t> </w:t>
      </w:r>
      <w:r w:rsidRPr="009A195D">
        <w:t>navržená konstrukce neznamená v tomto ohledu žádn</w:t>
      </w:r>
      <w:r>
        <w:t>ý</w:t>
      </w:r>
      <w:r w:rsidRPr="009A195D">
        <w:t xml:space="preserve"> posun </w:t>
      </w:r>
      <w:r>
        <w:t>oproti</w:t>
      </w:r>
      <w:r w:rsidRPr="009A195D">
        <w:t xml:space="preserve"> současnému systému (ve kterém může pracovník nadřízeného správního orgánu rovněž poskytnout konzultaci pracovníku orgánu prvního stupně, jak se ostatně v praxi děje)</w:t>
      </w:r>
      <w:r>
        <w:t xml:space="preserve"> a především </w:t>
      </w:r>
      <w:r w:rsidRPr="00C6648F">
        <w:t xml:space="preserve">nijak nesnižuje procesní standard ochrany před podjatostí úředních osob v intencích § 14 správního řádu </w:t>
      </w:r>
      <w:r>
        <w:t>(</w:t>
      </w:r>
      <w:r w:rsidR="00CD6E7F">
        <w:t>c</w:t>
      </w:r>
      <w:r>
        <w:t>ož nelze říci ve vztahu k systémové podjatosti pracovníků územních samosprávných celků, kde novelizované ustanovení správního řádu § 14 odst. 2 tento standard potenciálně naopak snižuje).</w:t>
      </w:r>
    </w:p>
    <w:p w:rsidR="005A24BC" w:rsidRPr="004051D9" w:rsidRDefault="005A24BC" w:rsidP="00C42FC4">
      <w:pPr>
        <w:pStyle w:val="Normln-tun"/>
      </w:pPr>
      <w:r>
        <w:t>Na základě výše uvedeného lze říci, že</w:t>
      </w:r>
      <w:r w:rsidR="003025AA" w:rsidRPr="003025AA">
        <w:t xml:space="preserve"> </w:t>
      </w:r>
      <w:r w:rsidR="003025AA">
        <w:t>nelze očekávat</w:t>
      </w:r>
      <w:r>
        <w:t>, že rekodifikací dojde</w:t>
      </w:r>
      <w:r w:rsidRPr="004051D9">
        <w:t xml:space="preserve"> k </w:t>
      </w:r>
      <w:r w:rsidR="00CD6E7F">
        <w:t xml:space="preserve">negativní </w:t>
      </w:r>
      <w:r w:rsidRPr="004051D9">
        <w:t>změně korupčních rizik.</w:t>
      </w:r>
    </w:p>
    <w:p w:rsidR="005A24BC" w:rsidRPr="004051D9" w:rsidRDefault="005A24BC" w:rsidP="005A24BC">
      <w:pPr>
        <w:pStyle w:val="Nadpis30"/>
        <w:ind w:left="709" w:hanging="709"/>
      </w:pPr>
      <w:bookmarkStart w:id="108" w:name="_Toc443851744"/>
      <w:bookmarkStart w:id="109" w:name="_Toc536553951"/>
      <w:r w:rsidRPr="004051D9">
        <w:t>Kontrolní mechanismy</w:t>
      </w:r>
      <w:bookmarkEnd w:id="108"/>
      <w:bookmarkEnd w:id="109"/>
      <w:r w:rsidRPr="004051D9">
        <w:t xml:space="preserve"> </w:t>
      </w:r>
    </w:p>
    <w:p w:rsidR="005A24BC" w:rsidRDefault="00D00936" w:rsidP="005A24BC">
      <w:pPr>
        <w:pStyle w:val="Normln-tun"/>
        <w:widowControl w:val="0"/>
      </w:pPr>
      <w:bookmarkStart w:id="110" w:name="_Toc443851745"/>
      <w:r>
        <w:t>Předpokládá se</w:t>
      </w:r>
      <w:r w:rsidR="005A24BC">
        <w:t xml:space="preserve">, že rekodifikací dojde k </w:t>
      </w:r>
      <w:r w:rsidR="005A24BC" w:rsidRPr="00610EB9">
        <w:t xml:space="preserve">posílení kontrolních mechanizmů. </w:t>
      </w:r>
      <w:r w:rsidR="005A24BC">
        <w:t>Korupční potenciál by se měl proto snížit</w:t>
      </w:r>
      <w:r w:rsidR="005A24BC" w:rsidRPr="00610EB9">
        <w:t>.</w:t>
      </w:r>
    </w:p>
    <w:p w:rsidR="005A24BC" w:rsidRPr="004051D9" w:rsidRDefault="005A24BC" w:rsidP="005A24BC">
      <w:pPr>
        <w:pStyle w:val="Nadpis20"/>
      </w:pPr>
      <w:bookmarkStart w:id="111" w:name="_Toc536553952"/>
      <w:r w:rsidRPr="004051D9">
        <w:lastRenderedPageBreak/>
        <w:t>Specifické podmínky vyplývající z charakteru korupčních příležitostí a jejich dopad</w:t>
      </w:r>
      <w:bookmarkEnd w:id="110"/>
      <w:bookmarkEnd w:id="111"/>
      <w:r w:rsidRPr="004051D9">
        <w:t xml:space="preserve"> </w:t>
      </w:r>
    </w:p>
    <w:p w:rsidR="005A24BC" w:rsidRPr="004051D9" w:rsidRDefault="005A24BC" w:rsidP="005A24BC">
      <w:pPr>
        <w:pStyle w:val="Nadpis30"/>
        <w:ind w:left="709" w:hanging="709"/>
      </w:pPr>
      <w:bookmarkStart w:id="112" w:name="_Toc443851746"/>
      <w:bookmarkStart w:id="113" w:name="_Toc536553953"/>
      <w:r>
        <w:t>„</w:t>
      </w:r>
      <w:r w:rsidRPr="004051D9">
        <w:t>Poptávková</w:t>
      </w:r>
      <w:r>
        <w:t>“</w:t>
      </w:r>
      <w:r w:rsidRPr="004051D9">
        <w:t xml:space="preserve"> strana</w:t>
      </w:r>
      <w:bookmarkEnd w:id="112"/>
      <w:bookmarkEnd w:id="113"/>
    </w:p>
    <w:p w:rsidR="005A24BC" w:rsidRPr="004051D9" w:rsidRDefault="005A24BC" w:rsidP="005A24BC">
      <w:pPr>
        <w:pStyle w:val="Normln-tun"/>
        <w:widowControl w:val="0"/>
      </w:pPr>
      <w:r w:rsidRPr="004051D9">
        <w:t xml:space="preserve">Specifika poptávkové strany vyplývají především z počtu </w:t>
      </w:r>
      <w:r w:rsidR="00DC5A5C">
        <w:t>stupňů/subjektů rozhodujících o </w:t>
      </w:r>
      <w:r w:rsidRPr="004051D9">
        <w:t>konkrétní věci.</w:t>
      </w:r>
      <w:r w:rsidRPr="00CA793B">
        <w:t xml:space="preserve"> </w:t>
      </w:r>
      <w:r>
        <w:t>V případě vztahu žadatelů a orgánů státní správy nejsou o</w:t>
      </w:r>
      <w:r w:rsidRPr="00CA793B">
        <w:t>soby zpracovávající podklady známy široké veřejnosti</w:t>
      </w:r>
      <w:r>
        <w:t>, vybrané p</w:t>
      </w:r>
      <w:r w:rsidRPr="00CA793B">
        <w:t xml:space="preserve">odklady jsou </w:t>
      </w:r>
      <w:r>
        <w:t>jen zpřístupňovány (elektronické) úřední desce</w:t>
      </w:r>
      <w:r w:rsidRPr="00CA793B">
        <w:t>.</w:t>
      </w:r>
      <w:r>
        <w:t xml:space="preserve"> Předpis nově nastavuje vztahy mezi jednotlivými aktéry „poptávkové“ strany (vytvoření NSÚ, integrace příslušných </w:t>
      </w:r>
      <w:r w:rsidR="0078162F">
        <w:t>DO</w:t>
      </w:r>
      <w:r>
        <w:t xml:space="preserve"> pod NSÚ). Navíc je v rámci rekodifikace požadována realizace digitalizace.</w:t>
      </w:r>
      <w:r w:rsidR="00D00936" w:rsidRPr="00D00936">
        <w:t xml:space="preserve"> </w:t>
      </w:r>
      <w:r w:rsidR="00D00936">
        <w:t>Předpokládá se, že</w:t>
      </w:r>
      <w:r w:rsidR="00D00936" w:rsidRPr="004051D9">
        <w:t xml:space="preserve"> </w:t>
      </w:r>
      <w:r w:rsidR="00D00936">
        <w:t>po rekodifikaci</w:t>
      </w:r>
      <w:r w:rsidR="00D00936" w:rsidRPr="004051D9">
        <w:t xml:space="preserve"> </w:t>
      </w:r>
      <w:r w:rsidR="00D00936">
        <w:t xml:space="preserve">dojde k </w:t>
      </w:r>
      <w:r w:rsidR="00D00936" w:rsidRPr="004051D9">
        <w:t>výrazné</w:t>
      </w:r>
      <w:r w:rsidR="003025AA">
        <w:t>mu</w:t>
      </w:r>
      <w:r w:rsidR="00D00936" w:rsidRPr="004051D9">
        <w:t xml:space="preserve"> </w:t>
      </w:r>
      <w:r w:rsidR="00D00936">
        <w:t>snížení</w:t>
      </w:r>
      <w:r w:rsidR="00D00936" w:rsidRPr="004051D9">
        <w:t xml:space="preserve"> korupčních rizik</w:t>
      </w:r>
      <w:r w:rsidRPr="004051D9">
        <w:t>.</w:t>
      </w:r>
      <w:r w:rsidRPr="00D37C13">
        <w:t xml:space="preserve"> </w:t>
      </w:r>
    </w:p>
    <w:p w:rsidR="005A24BC" w:rsidRPr="005A24BC" w:rsidRDefault="005A24BC" w:rsidP="005A24BC">
      <w:pPr>
        <w:pStyle w:val="Nadpis30"/>
        <w:ind w:left="709" w:hanging="709"/>
      </w:pPr>
      <w:bookmarkStart w:id="114" w:name="_Toc443851747"/>
      <w:bookmarkStart w:id="115" w:name="_Toc536553954"/>
      <w:r w:rsidRPr="005A24BC">
        <w:t>Nabídková strana</w:t>
      </w:r>
      <w:bookmarkEnd w:id="114"/>
      <w:bookmarkEnd w:id="115"/>
    </w:p>
    <w:p w:rsidR="005A24BC" w:rsidRPr="005A24BC" w:rsidRDefault="005A24BC" w:rsidP="005A24BC">
      <w:pPr>
        <w:pStyle w:val="Normln-tun"/>
        <w:widowControl w:val="0"/>
      </w:pPr>
      <w:r w:rsidRPr="00D22308">
        <w:t xml:space="preserve">Nabídková strana zahrnuje </w:t>
      </w:r>
      <w:r>
        <w:t xml:space="preserve">žadatele či další dotčené fyzické či právnické osoby. </w:t>
      </w:r>
      <w:r w:rsidR="00BF4B2F">
        <w:t>Případnou z</w:t>
      </w:r>
      <w:r>
        <w:t xml:space="preserve">měnou OOP na OZV </w:t>
      </w:r>
      <w:r w:rsidR="00BF4B2F">
        <w:t xml:space="preserve">nebo úpravou stávajícího OOP </w:t>
      </w:r>
      <w:r>
        <w:t xml:space="preserve">dojde k omezení okruhu subjektů, které mohou do povolovacího procesu zasáhnout. Obdobný vliv může mít instrument vydávání pouze jednoho rozhodnutí. Z tohoto titulu by se mohl korupční potenciál zvýšit. Tento potenciál je možné redukovat vhodnými kontrolními mechanizmy či instrumenty samoregulace (etický kodex apod.).   </w:t>
      </w:r>
      <w:r w:rsidRPr="004051D9">
        <w:t xml:space="preserve"> </w:t>
      </w:r>
    </w:p>
    <w:p w:rsidR="005A24BC" w:rsidRPr="00CF33E7" w:rsidRDefault="005A24BC" w:rsidP="005A24BC">
      <w:pPr>
        <w:pStyle w:val="Nadpis20"/>
      </w:pPr>
      <w:bookmarkStart w:id="116" w:name="_Toc443851748"/>
      <w:bookmarkStart w:id="117" w:name="_Toc536553955"/>
      <w:r w:rsidRPr="00CF33E7">
        <w:t>Transparence a otevřená data</w:t>
      </w:r>
      <w:bookmarkEnd w:id="116"/>
      <w:bookmarkEnd w:id="117"/>
      <w:r w:rsidRPr="00CF33E7">
        <w:t xml:space="preserve"> </w:t>
      </w:r>
    </w:p>
    <w:p w:rsidR="005A24BC" w:rsidRDefault="005A24BC" w:rsidP="005A24BC">
      <w:pPr>
        <w:pStyle w:val="Normln-tun"/>
        <w:widowControl w:val="0"/>
      </w:pPr>
      <w:r>
        <w:t>Pokud bude v rámci rekodifikace posílena digitalizace tak, jak je v RIA požadováno, bude mít rekodifikace výrazný pozitivní vliv na možnou míru korupce</w:t>
      </w:r>
      <w:r w:rsidRPr="004051D9">
        <w:t xml:space="preserve">. </w:t>
      </w:r>
    </w:p>
    <w:p w:rsidR="005A24BC" w:rsidRPr="00CF33E7" w:rsidRDefault="005A24BC" w:rsidP="005A24BC">
      <w:pPr>
        <w:pStyle w:val="Nadpis20"/>
      </w:pPr>
      <w:bookmarkStart w:id="118" w:name="_Toc443851749"/>
      <w:bookmarkStart w:id="119" w:name="_Toc536553956"/>
      <w:r w:rsidRPr="00CF33E7">
        <w:t>Shoda s dobrou praxí, přiměřenost ke stávající legislativě</w:t>
      </w:r>
      <w:bookmarkEnd w:id="118"/>
      <w:bookmarkEnd w:id="119"/>
    </w:p>
    <w:p w:rsidR="005A24BC" w:rsidRDefault="005A24BC" w:rsidP="008712FB">
      <w:pPr>
        <w:pStyle w:val="Normln-tun"/>
        <w:widowControl w:val="0"/>
        <w:rPr>
          <w:b/>
        </w:rPr>
      </w:pPr>
      <w:r w:rsidRPr="004051D9">
        <w:t xml:space="preserve">Navrhované změny jsou v souladu se známou praxí. Postupy a procesy v ní obsažené odpovídají stávajícím právním předpisům upravujícím srovnatelné vztahy a mechanizmy. Zvolené varianty přináší nové, inovativní postupy, </w:t>
      </w:r>
      <w:r>
        <w:t>které jsou však plně v souladu s Ústavou a možnými</w:t>
      </w:r>
      <w:r w:rsidR="00CD6E7F">
        <w:t xml:space="preserve"> zákonnými</w:t>
      </w:r>
      <w:r>
        <w:t xml:space="preserve"> </w:t>
      </w:r>
      <w:r w:rsidRPr="004051D9">
        <w:t>postup</w:t>
      </w:r>
      <w:r>
        <w:t>y</w:t>
      </w:r>
      <w:r w:rsidRPr="004051D9">
        <w:t>.</w:t>
      </w:r>
      <w:r w:rsidR="00630CFE">
        <w:rPr>
          <w:b/>
        </w:rPr>
        <w:tab/>
      </w:r>
    </w:p>
    <w:p w:rsidR="00CA6A16" w:rsidRPr="00CA6A16" w:rsidRDefault="00CA6A16" w:rsidP="00CA6A16">
      <w:pPr>
        <w:pStyle w:val="Nadpis10"/>
      </w:pPr>
      <w:bookmarkStart w:id="120" w:name="_Toc536553957"/>
      <w:r>
        <w:t>Seznam zkratek</w:t>
      </w:r>
      <w:bookmarkEnd w:id="120"/>
    </w:p>
    <w:tbl>
      <w:tblPr>
        <w:tblStyle w:val="Mkatabulky"/>
        <w:tblW w:w="9072" w:type="dxa"/>
        <w:tblInd w:w="108" w:type="dxa"/>
        <w:tblLook w:val="04A0" w:firstRow="1" w:lastRow="0" w:firstColumn="1" w:lastColumn="0" w:noHBand="0" w:noVBand="1"/>
      </w:tblPr>
      <w:tblGrid>
        <w:gridCol w:w="1276"/>
        <w:gridCol w:w="7796"/>
      </w:tblGrid>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AIS</w:t>
            </w:r>
          </w:p>
        </w:tc>
        <w:tc>
          <w:tcPr>
            <w:tcW w:w="7796" w:type="dxa"/>
            <w:vAlign w:val="center"/>
          </w:tcPr>
          <w:p w:rsidR="00533FC0" w:rsidRPr="00CA6A16" w:rsidRDefault="00533FC0" w:rsidP="00CA6A16">
            <w:pPr>
              <w:spacing w:before="0" w:after="0"/>
              <w:jc w:val="left"/>
              <w:rPr>
                <w:rFonts w:cs="Arial"/>
                <w:szCs w:val="24"/>
              </w:rPr>
            </w:pPr>
            <w:proofErr w:type="spellStart"/>
            <w:r w:rsidRPr="00CA6A16">
              <w:rPr>
                <w:rFonts w:cs="Arial"/>
                <w:szCs w:val="24"/>
              </w:rPr>
              <w:t>agendový</w:t>
            </w:r>
            <w:proofErr w:type="spellEnd"/>
            <w:r w:rsidRPr="00CA6A16">
              <w:rPr>
                <w:rFonts w:cs="Arial"/>
                <w:szCs w:val="24"/>
              </w:rPr>
              <w:t xml:space="preserve"> informační systém</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APV</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aplikační programové vybavení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BD</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bytový dům</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ČAS</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Česká agentura pro standardizaci </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ČKA</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Česká komora architektů</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ČKAIT</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Česká komora autorizovaných inženýrů a techniků činných ve výstavbě</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ČR</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Česká republika</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ČSN</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české technické normy</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ČÚZK</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Český úřad zeměměřický a katastrální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DO</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dotčený orgán</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DPH</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daň z přidané hodnoty</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DPS</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dotčený právní subjekt</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DÚR</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dokumentace pro územní řízení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EIA</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vyhodnocení vlivů na životní prostředí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EU</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Evropské unie</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E05DA4">
              <w:rPr>
                <w:rFonts w:cs="Arial"/>
                <w:szCs w:val="24"/>
              </w:rPr>
              <w:t>GFŘ</w:t>
            </w:r>
          </w:p>
        </w:tc>
        <w:tc>
          <w:tcPr>
            <w:tcW w:w="7796" w:type="dxa"/>
            <w:vAlign w:val="center"/>
          </w:tcPr>
          <w:p w:rsidR="00533FC0" w:rsidRPr="00CA6A16" w:rsidRDefault="00533FC0" w:rsidP="00CA6A16">
            <w:pPr>
              <w:spacing w:before="0" w:after="0"/>
              <w:jc w:val="left"/>
              <w:rPr>
                <w:rFonts w:cs="Arial"/>
                <w:noProof/>
                <w:szCs w:val="24"/>
              </w:rPr>
            </w:pPr>
            <w:r>
              <w:rPr>
                <w:rFonts w:cs="Arial"/>
                <w:noProof/>
                <w:szCs w:val="24"/>
              </w:rPr>
              <w:t>generální finanční ředitelství</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GIS</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geografický informační systém</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Pr>
                <w:rFonts w:cs="Arial"/>
                <w:szCs w:val="24"/>
              </w:rPr>
              <w:t>HDP</w:t>
            </w:r>
          </w:p>
        </w:tc>
        <w:tc>
          <w:tcPr>
            <w:tcW w:w="7796" w:type="dxa"/>
            <w:vAlign w:val="center"/>
          </w:tcPr>
          <w:p w:rsidR="00533FC0" w:rsidRPr="00CA6A16" w:rsidRDefault="00533FC0">
            <w:pPr>
              <w:spacing w:before="0" w:after="0"/>
              <w:jc w:val="left"/>
              <w:rPr>
                <w:rFonts w:cs="Arial"/>
                <w:szCs w:val="24"/>
              </w:rPr>
            </w:pPr>
            <w:r>
              <w:rPr>
                <w:rFonts w:cs="Arial"/>
                <w:szCs w:val="24"/>
              </w:rPr>
              <w:t>hrubý domácí produkt</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HK ČR</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Hospodářská komora České republiky</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lastRenderedPageBreak/>
              <w:t>HPH</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hrubá přidaná hodnota</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HW</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fyzická výpočetní a jiná technika využívaná v rámci ICT</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ICT</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informační a komunikační technologie</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ICTU</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ICT unie</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IPPC</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integrovaná prevence a omezování znečištění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IROP</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integrovaný regionální operační program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IRR</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vnitřní výnosové procento (</w:t>
            </w:r>
            <w:proofErr w:type="spellStart"/>
            <w:r w:rsidRPr="00CA6A16">
              <w:rPr>
                <w:rFonts w:cs="Arial"/>
                <w:szCs w:val="24"/>
              </w:rPr>
              <w:t>Internal</w:t>
            </w:r>
            <w:proofErr w:type="spellEnd"/>
            <w:r w:rsidRPr="00CA6A16">
              <w:rPr>
                <w:rFonts w:cs="Arial"/>
                <w:szCs w:val="24"/>
              </w:rPr>
              <w:t xml:space="preserve"> </w:t>
            </w:r>
            <w:proofErr w:type="spellStart"/>
            <w:r w:rsidRPr="00CA6A16">
              <w:rPr>
                <w:rFonts w:cs="Arial"/>
                <w:szCs w:val="24"/>
              </w:rPr>
              <w:t>Rate</w:t>
            </w:r>
            <w:proofErr w:type="spellEnd"/>
            <w:r w:rsidRPr="00CA6A16">
              <w:rPr>
                <w:rFonts w:cs="Arial"/>
                <w:szCs w:val="24"/>
              </w:rPr>
              <w:t xml:space="preserve"> </w:t>
            </w:r>
            <w:proofErr w:type="spellStart"/>
            <w:r w:rsidRPr="00CA6A16">
              <w:rPr>
                <w:rFonts w:cs="Arial"/>
                <w:szCs w:val="24"/>
              </w:rPr>
              <w:t>of</w:t>
            </w:r>
            <w:proofErr w:type="spellEnd"/>
            <w:r w:rsidRPr="00CA6A16">
              <w:rPr>
                <w:rFonts w:cs="Arial"/>
                <w:szCs w:val="24"/>
              </w:rPr>
              <w:t xml:space="preserve"> Return)</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IS</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informační systém</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MD</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Ministerstvo dopravy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mil.</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milion</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MK</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Ministerstvo kultury</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mld.</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miliarda</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noProof/>
                <w:szCs w:val="24"/>
              </w:rPr>
              <w:t>MMR</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Ministerstvo pro místní rozvoj</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MPO</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Ministerstvo průmyslu a obchodu</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MS</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Ministerstvo spravedlnosti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MSP</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malý a střední podnikatelé</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MV</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Ministerstvo vnitra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proofErr w:type="spellStart"/>
            <w:r w:rsidRPr="00CA6A16">
              <w:rPr>
                <w:rFonts w:cs="Arial"/>
                <w:szCs w:val="24"/>
              </w:rPr>
              <w:t>MZe</w:t>
            </w:r>
            <w:proofErr w:type="spellEnd"/>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Ministerstvo zemědělství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MŽP</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Ministerstvo životního prostředí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NIPOS</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Národní informační a poradenské středisko pro kulturu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NKÚ</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Nejvyšší kontrolní úřad</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Pr>
                <w:rFonts w:cs="Arial"/>
                <w:szCs w:val="24"/>
              </w:rPr>
              <w:t>NSS</w:t>
            </w:r>
          </w:p>
        </w:tc>
        <w:tc>
          <w:tcPr>
            <w:tcW w:w="7796" w:type="dxa"/>
            <w:vAlign w:val="center"/>
          </w:tcPr>
          <w:p w:rsidR="00533FC0" w:rsidRPr="00CA6A16" w:rsidRDefault="00533FC0" w:rsidP="00CA6A16">
            <w:pPr>
              <w:spacing w:before="0" w:after="0"/>
              <w:jc w:val="left"/>
              <w:rPr>
                <w:rFonts w:cs="Arial"/>
                <w:szCs w:val="24"/>
              </w:rPr>
            </w:pPr>
            <w:r>
              <w:rPr>
                <w:rFonts w:cs="Arial"/>
                <w:szCs w:val="24"/>
              </w:rPr>
              <w:t>Nejvyšší správní soud</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NSÚ</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Nejvyšší stavební úřad</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OOP</w:t>
            </w:r>
          </w:p>
        </w:tc>
        <w:tc>
          <w:tcPr>
            <w:tcW w:w="7796" w:type="dxa"/>
            <w:vAlign w:val="center"/>
          </w:tcPr>
          <w:p w:rsidR="00533FC0" w:rsidRPr="00CA6A16" w:rsidRDefault="00533FC0" w:rsidP="00CA6A16">
            <w:pPr>
              <w:spacing w:before="0" w:after="0"/>
              <w:jc w:val="left"/>
              <w:rPr>
                <w:rFonts w:cs="Arial"/>
                <w:szCs w:val="24"/>
              </w:rPr>
            </w:pPr>
            <w:r w:rsidRPr="00CA6A16">
              <w:rPr>
                <w:rFonts w:cs="Arial"/>
                <w:noProof/>
                <w:szCs w:val="24"/>
              </w:rPr>
              <w:t>opatření obecné povahy</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1D3B77">
              <w:rPr>
                <w:rFonts w:cs="Arial"/>
                <w:szCs w:val="24"/>
              </w:rPr>
              <w:t>ORP</w:t>
            </w:r>
          </w:p>
        </w:tc>
        <w:tc>
          <w:tcPr>
            <w:tcW w:w="7796" w:type="dxa"/>
            <w:vAlign w:val="center"/>
          </w:tcPr>
          <w:p w:rsidR="00533FC0" w:rsidRPr="00CA6A16" w:rsidRDefault="00533FC0" w:rsidP="00CA6A16">
            <w:pPr>
              <w:spacing w:before="0" w:after="0"/>
              <w:jc w:val="left"/>
              <w:rPr>
                <w:rFonts w:cs="Arial"/>
                <w:szCs w:val="24"/>
              </w:rPr>
            </w:pPr>
            <w:r w:rsidRPr="001D3B77">
              <w:rPr>
                <w:rFonts w:cs="Arial"/>
                <w:szCs w:val="24"/>
              </w:rPr>
              <w:t>obec s rozšířenou působností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OSÚ</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obecný stavební úřad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Pr>
                <w:rFonts w:cs="Arial"/>
                <w:szCs w:val="24"/>
              </w:rPr>
              <w:t xml:space="preserve">OÚ </w:t>
            </w:r>
            <w:r w:rsidRPr="00CA6A16">
              <w:rPr>
                <w:rFonts w:cs="Arial"/>
                <w:szCs w:val="24"/>
              </w:rPr>
              <w:t>ORP</w:t>
            </w:r>
          </w:p>
        </w:tc>
        <w:tc>
          <w:tcPr>
            <w:tcW w:w="7796" w:type="dxa"/>
            <w:vAlign w:val="center"/>
          </w:tcPr>
          <w:p w:rsidR="00533FC0" w:rsidRPr="00CA6A16" w:rsidRDefault="00533FC0" w:rsidP="00CA6A16">
            <w:pPr>
              <w:spacing w:before="0" w:after="0"/>
              <w:jc w:val="left"/>
              <w:rPr>
                <w:rFonts w:cs="Arial"/>
                <w:szCs w:val="24"/>
              </w:rPr>
            </w:pPr>
            <w:r>
              <w:rPr>
                <w:rFonts w:cs="Arial"/>
                <w:szCs w:val="24"/>
              </w:rPr>
              <w:t xml:space="preserve">obecní úřad </w:t>
            </w:r>
            <w:r w:rsidRPr="00CA6A16">
              <w:rPr>
                <w:rFonts w:cs="Arial"/>
                <w:szCs w:val="24"/>
              </w:rPr>
              <w:t>obec s rozšířenou působností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OVV</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ostatní věcné výdaje</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OZV</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obecně závazná vyhláška</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PI</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Památková inspekce</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POÚ</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pověřený obecní úřad</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PP</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přenesená působnost</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PR</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památkové rezervace</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PT</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platová třída</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noProof/>
                <w:szCs w:val="24"/>
              </w:rPr>
              <w:t>PÚR</w:t>
            </w:r>
          </w:p>
        </w:tc>
        <w:tc>
          <w:tcPr>
            <w:tcW w:w="7796" w:type="dxa"/>
            <w:vAlign w:val="center"/>
          </w:tcPr>
          <w:p w:rsidR="00533FC0" w:rsidRPr="00CA6A16" w:rsidRDefault="00533FC0" w:rsidP="00CA6A16">
            <w:pPr>
              <w:spacing w:before="0" w:after="0"/>
              <w:jc w:val="left"/>
              <w:rPr>
                <w:rFonts w:cs="Arial"/>
                <w:szCs w:val="24"/>
              </w:rPr>
            </w:pPr>
            <w:r w:rsidRPr="00CA6A16">
              <w:rPr>
                <w:rFonts w:cs="Arial"/>
                <w:noProof/>
                <w:szCs w:val="24"/>
              </w:rPr>
              <w:t>Ppolitika územního rozvoje</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PZ</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památkové zóny</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RD</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rodinný dům</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RIA</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hodnocení dopadů regulace</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noProof/>
                <w:szCs w:val="24"/>
              </w:rPr>
              <w:t>RP</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regulační plán</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ŘSD</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Ředitelství silnic a dálnic ČR</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SFDI</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Státní fond dopravní infrastruktury</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SP</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samostatná působnost</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SSÚ</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speciální stavební úřad</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SSÚ – D</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speciální stavební úřad pro stavby pozemních komunikací</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SSÚ – V</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speciální stavební úřad pro stavby vodních děl</w:t>
            </w:r>
          </w:p>
        </w:tc>
      </w:tr>
      <w:tr w:rsidR="00533FC0" w:rsidRPr="004155BD" w:rsidTr="00BA30EC">
        <w:tc>
          <w:tcPr>
            <w:tcW w:w="1276" w:type="dxa"/>
            <w:vAlign w:val="center"/>
          </w:tcPr>
          <w:p w:rsidR="00533FC0" w:rsidRPr="00CA6A16" w:rsidRDefault="00533FC0" w:rsidP="00BA30EC">
            <w:pPr>
              <w:spacing w:before="0" w:after="0"/>
              <w:jc w:val="left"/>
              <w:rPr>
                <w:rFonts w:cs="Arial"/>
                <w:szCs w:val="24"/>
              </w:rPr>
            </w:pPr>
            <w:r>
              <w:rPr>
                <w:rFonts w:cs="Arial"/>
                <w:szCs w:val="24"/>
              </w:rPr>
              <w:t xml:space="preserve">stávající stavební zákon nebo </w:t>
            </w:r>
            <w:r w:rsidRPr="00CA6A16">
              <w:rPr>
                <w:rFonts w:cs="Arial"/>
                <w:szCs w:val="24"/>
              </w:rPr>
              <w:t>SZ</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zákona č. 183/2006 Sb., o územním plánování a stavebním řádu (stavební zákon), ve znění pozdějších předpisů</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SŽDC</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Správa železniční dopravní cesty, státní organizace</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lastRenderedPageBreak/>
              <w:t>ÚNMZ</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Úřadem pro technickou normalizaci, metrologii a státní zkušebnictví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ÚPD</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územně plánovací dokumentace</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Pr>
                <w:rFonts w:cs="Arial"/>
                <w:szCs w:val="24"/>
              </w:rPr>
              <w:t>ÚS</w:t>
            </w:r>
          </w:p>
        </w:tc>
        <w:tc>
          <w:tcPr>
            <w:tcW w:w="7796" w:type="dxa"/>
            <w:vAlign w:val="center"/>
          </w:tcPr>
          <w:p w:rsidR="00533FC0" w:rsidRPr="00CA6A16" w:rsidRDefault="00533FC0" w:rsidP="00CA6A16">
            <w:pPr>
              <w:spacing w:before="0" w:after="0"/>
              <w:jc w:val="left"/>
              <w:rPr>
                <w:rFonts w:cs="Arial"/>
                <w:szCs w:val="24"/>
              </w:rPr>
            </w:pPr>
            <w:r>
              <w:rPr>
                <w:rFonts w:cs="Arial"/>
                <w:szCs w:val="24"/>
              </w:rPr>
              <w:t>ústavní soud</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ÚÚP</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úřad územního plánování na obecním úřadu ORP</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ÚÚR</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Ústav územního rozvoje</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VHD</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veřejná hromadná doprava</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VRT</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vysokorychlostní tratě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VÚ</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 xml:space="preserve">vodoprávní úřad </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WACC</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průměrné náklady kapitálu (</w:t>
            </w:r>
            <w:proofErr w:type="spellStart"/>
            <w:r w:rsidRPr="00CA6A16">
              <w:rPr>
                <w:rFonts w:cs="Arial"/>
                <w:szCs w:val="24"/>
              </w:rPr>
              <w:t>Weighted</w:t>
            </w:r>
            <w:proofErr w:type="spellEnd"/>
            <w:r w:rsidRPr="00CA6A16">
              <w:rPr>
                <w:rFonts w:cs="Arial"/>
                <w:szCs w:val="24"/>
              </w:rPr>
              <w:t xml:space="preserve"> </w:t>
            </w:r>
            <w:proofErr w:type="spellStart"/>
            <w:r w:rsidRPr="00CA6A16">
              <w:rPr>
                <w:rFonts w:cs="Arial"/>
                <w:szCs w:val="24"/>
              </w:rPr>
              <w:t>Average</w:t>
            </w:r>
            <w:proofErr w:type="spellEnd"/>
            <w:r w:rsidRPr="00CA6A16">
              <w:rPr>
                <w:rFonts w:cs="Arial"/>
                <w:szCs w:val="24"/>
              </w:rPr>
              <w:t xml:space="preserve"> </w:t>
            </w:r>
            <w:proofErr w:type="spellStart"/>
            <w:r w:rsidRPr="00CA6A16">
              <w:rPr>
                <w:rFonts w:cs="Arial"/>
                <w:szCs w:val="24"/>
              </w:rPr>
              <w:t>Cost</w:t>
            </w:r>
            <w:proofErr w:type="spellEnd"/>
            <w:r w:rsidRPr="00CA6A16">
              <w:rPr>
                <w:rFonts w:cs="Arial"/>
                <w:szCs w:val="24"/>
              </w:rPr>
              <w:t xml:space="preserve"> </w:t>
            </w:r>
            <w:proofErr w:type="spellStart"/>
            <w:r w:rsidRPr="00CA6A16">
              <w:rPr>
                <w:rFonts w:cs="Arial"/>
                <w:szCs w:val="24"/>
              </w:rPr>
              <w:t>of</w:t>
            </w:r>
            <w:proofErr w:type="spellEnd"/>
            <w:r w:rsidRPr="00CA6A16">
              <w:rPr>
                <w:rFonts w:cs="Arial"/>
                <w:szCs w:val="24"/>
              </w:rPr>
              <w:t xml:space="preserve"> </w:t>
            </w:r>
            <w:proofErr w:type="spellStart"/>
            <w:r w:rsidRPr="00CA6A16">
              <w:rPr>
                <w:rFonts w:cs="Arial"/>
                <w:szCs w:val="24"/>
              </w:rPr>
              <w:t>Capital</w:t>
            </w:r>
            <w:proofErr w:type="spellEnd"/>
            <w:r w:rsidRPr="00CA6A16">
              <w:rPr>
                <w:rFonts w:cs="Arial"/>
                <w:szCs w:val="24"/>
              </w:rPr>
              <w:t>)</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ZP</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základní působností (obce I. typu)</w:t>
            </w:r>
          </w:p>
        </w:tc>
      </w:tr>
      <w:tr w:rsidR="00533FC0"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ZPF</w:t>
            </w:r>
          </w:p>
        </w:tc>
        <w:tc>
          <w:tcPr>
            <w:tcW w:w="7796" w:type="dxa"/>
            <w:vAlign w:val="center"/>
          </w:tcPr>
          <w:p w:rsidR="00533FC0" w:rsidRPr="00CA6A16" w:rsidRDefault="00533FC0" w:rsidP="00CA6A16">
            <w:pPr>
              <w:spacing w:before="0" w:after="0"/>
              <w:jc w:val="left"/>
              <w:rPr>
                <w:rFonts w:cs="Arial"/>
                <w:szCs w:val="24"/>
              </w:rPr>
            </w:pPr>
            <w:r w:rsidRPr="00CA6A16">
              <w:rPr>
                <w:rFonts w:cs="Arial"/>
                <w:szCs w:val="24"/>
              </w:rPr>
              <w:t>zemědělský půdní fond</w:t>
            </w:r>
          </w:p>
        </w:tc>
      </w:tr>
      <w:tr w:rsidR="00533FC0" w:rsidRPr="004155BD" w:rsidTr="00BA30EC">
        <w:tc>
          <w:tcPr>
            <w:tcW w:w="1276" w:type="dxa"/>
            <w:vAlign w:val="center"/>
          </w:tcPr>
          <w:p w:rsidR="00533FC0" w:rsidRPr="00CA6A16" w:rsidRDefault="00533FC0" w:rsidP="00CA6A16">
            <w:pPr>
              <w:spacing w:before="0" w:after="0"/>
              <w:jc w:val="left"/>
              <w:rPr>
                <w:rFonts w:cs="Arial"/>
                <w:szCs w:val="24"/>
              </w:rPr>
            </w:pPr>
            <w:r w:rsidRPr="00CA6A16">
              <w:rPr>
                <w:rFonts w:cs="Arial"/>
                <w:szCs w:val="24"/>
              </w:rPr>
              <w:t>ZÚR</w:t>
            </w:r>
          </w:p>
        </w:tc>
        <w:tc>
          <w:tcPr>
            <w:tcW w:w="7796" w:type="dxa"/>
            <w:vAlign w:val="center"/>
          </w:tcPr>
          <w:p w:rsidR="00533FC0" w:rsidRPr="00CA6A16" w:rsidRDefault="00533FC0" w:rsidP="00CA6A16">
            <w:pPr>
              <w:spacing w:before="0" w:after="0"/>
              <w:jc w:val="left"/>
              <w:rPr>
                <w:rFonts w:cs="Arial"/>
                <w:szCs w:val="24"/>
              </w:rPr>
            </w:pPr>
            <w:r w:rsidRPr="00CA6A16">
              <w:rPr>
                <w:rFonts w:cs="Arial"/>
                <w:noProof/>
                <w:szCs w:val="24"/>
              </w:rPr>
              <w:t>zásady územního rozvoje</w:t>
            </w:r>
          </w:p>
        </w:tc>
      </w:tr>
    </w:tbl>
    <w:p w:rsidR="005A24BC" w:rsidRDefault="005A24BC" w:rsidP="00B22276">
      <w:pPr>
        <w:widowControl w:val="0"/>
      </w:pPr>
    </w:p>
    <w:p w:rsidR="008D1952" w:rsidRPr="00CA6A16" w:rsidRDefault="008D1952" w:rsidP="008D1952">
      <w:pPr>
        <w:pStyle w:val="Nadpis10"/>
      </w:pPr>
      <w:bookmarkStart w:id="121" w:name="_Toc536553958"/>
      <w:r>
        <w:t>Kontakt na zpracovatele RIA</w:t>
      </w:r>
      <w:bookmarkEnd w:id="121"/>
    </w:p>
    <w:p w:rsidR="0018122C" w:rsidRDefault="0018122C" w:rsidP="0018122C">
      <w:pPr>
        <w:widowControl w:val="0"/>
        <w:spacing w:before="0" w:after="0"/>
      </w:pPr>
      <w:r w:rsidRPr="0018122C">
        <w:t>PhDr. Dita Tesárková</w:t>
      </w:r>
    </w:p>
    <w:p w:rsidR="00B22276" w:rsidRDefault="008D1952" w:rsidP="0018122C">
      <w:pPr>
        <w:widowControl w:val="0"/>
        <w:spacing w:before="0" w:after="0"/>
      </w:pPr>
      <w:r>
        <w:t>EEIP, a. s.</w:t>
      </w:r>
    </w:p>
    <w:p w:rsidR="0018122C" w:rsidRDefault="0018122C" w:rsidP="0018122C">
      <w:pPr>
        <w:widowControl w:val="0"/>
        <w:spacing w:before="0" w:after="0"/>
      </w:pPr>
      <w:r w:rsidRPr="0018122C">
        <w:t>tel</w:t>
      </w:r>
      <w:r>
        <w:t>.</w:t>
      </w:r>
      <w:r w:rsidRPr="0018122C">
        <w:t>: +420 257 222</w:t>
      </w:r>
      <w:r>
        <w:t> </w:t>
      </w:r>
      <w:r w:rsidRPr="0018122C">
        <w:t>406</w:t>
      </w:r>
    </w:p>
    <w:p w:rsidR="0018122C" w:rsidRPr="00B22276" w:rsidRDefault="0018122C" w:rsidP="0018122C">
      <w:pPr>
        <w:widowControl w:val="0"/>
        <w:spacing w:before="0" w:after="0"/>
      </w:pPr>
      <w:r w:rsidRPr="0018122C">
        <w:t>e-mail: dita.tesarkova@eeip.cz</w:t>
      </w:r>
    </w:p>
    <w:sectPr w:rsidR="0018122C" w:rsidRPr="00B22276" w:rsidSect="00E42312">
      <w:footerReference w:type="default" r:id="rId57"/>
      <w:type w:val="continuous"/>
      <w:pgSz w:w="11906" w:h="16838" w:code="9"/>
      <w:pgMar w:top="1843" w:right="1418" w:bottom="99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110" w:rsidRDefault="00CE1110" w:rsidP="0030783E">
      <w:r>
        <w:separator/>
      </w:r>
    </w:p>
  </w:endnote>
  <w:endnote w:type="continuationSeparator" w:id="0">
    <w:p w:rsidR="00CE1110" w:rsidRDefault="00CE1110" w:rsidP="00307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T*Switzerland">
    <w:altName w:val="Times New Roman"/>
    <w:charset w:val="00"/>
    <w:family w:val="auto"/>
    <w:pitch w:val="variable"/>
    <w:sig w:usb0="00000003" w:usb1="00000000" w:usb2="00000000" w:usb3="00000000" w:csb0="00000001" w:csb1="00000000"/>
  </w:font>
  <w:font w:name="H-Helvetica">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Frutiger Next Pro">
    <w:altName w:val="Arial"/>
    <w:panose1 w:val="00000000000000000000"/>
    <w:charset w:val="00"/>
    <w:family w:val="swiss"/>
    <w:notTrueType/>
    <w:pitch w:val="default"/>
    <w:sig w:usb0="00000003" w:usb1="00000000" w:usb2="00000000" w:usb3="00000000" w:csb0="00000001" w:csb1="00000000"/>
  </w:font>
  <w:font w:name="CMSSB X 10">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Times-Roman">
    <w:altName w:val="MS Mincho"/>
    <w:panose1 w:val="00000000000000000000"/>
    <w:charset w:val="00"/>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witzerland">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632468219"/>
      <w:docPartObj>
        <w:docPartGallery w:val="Page Numbers (Bottom of Page)"/>
        <w:docPartUnique/>
      </w:docPartObj>
    </w:sdtPr>
    <w:sdtEndPr/>
    <w:sdtContent>
      <w:p w:rsidR="00CE3723" w:rsidRPr="00D46380" w:rsidRDefault="00CE3723">
        <w:pPr>
          <w:pStyle w:val="Zpat"/>
          <w:jc w:val="center"/>
          <w:rPr>
            <w:rFonts w:ascii="Arial" w:hAnsi="Arial" w:cs="Arial"/>
            <w:sz w:val="16"/>
            <w:szCs w:val="16"/>
          </w:rPr>
        </w:pPr>
        <w:r w:rsidRPr="00D46380">
          <w:rPr>
            <w:rFonts w:ascii="Arial" w:hAnsi="Arial" w:cs="Arial"/>
            <w:sz w:val="16"/>
            <w:szCs w:val="16"/>
          </w:rPr>
          <w:t xml:space="preserve">str. </w:t>
        </w:r>
        <w:r w:rsidRPr="00D46380">
          <w:rPr>
            <w:rFonts w:ascii="Arial" w:hAnsi="Arial" w:cs="Arial"/>
            <w:sz w:val="16"/>
            <w:szCs w:val="16"/>
          </w:rPr>
          <w:fldChar w:fldCharType="begin"/>
        </w:r>
        <w:r w:rsidRPr="00D46380">
          <w:rPr>
            <w:rFonts w:ascii="Arial" w:hAnsi="Arial" w:cs="Arial"/>
            <w:sz w:val="16"/>
            <w:szCs w:val="16"/>
          </w:rPr>
          <w:instrText xml:space="preserve"> PAGE   \* MERGEFORMAT </w:instrText>
        </w:r>
        <w:r w:rsidRPr="00D46380">
          <w:rPr>
            <w:rFonts w:ascii="Arial" w:hAnsi="Arial" w:cs="Arial"/>
            <w:sz w:val="16"/>
            <w:szCs w:val="16"/>
          </w:rPr>
          <w:fldChar w:fldCharType="separate"/>
        </w:r>
        <w:r w:rsidR="00C63C57">
          <w:rPr>
            <w:rFonts w:ascii="Arial" w:hAnsi="Arial" w:cs="Arial"/>
            <w:noProof/>
            <w:sz w:val="16"/>
            <w:szCs w:val="16"/>
          </w:rPr>
          <w:t>1</w:t>
        </w:r>
        <w:r w:rsidRPr="00D46380">
          <w:rPr>
            <w:rFonts w:ascii="Arial" w:hAnsi="Arial" w:cs="Arial"/>
            <w:noProof/>
            <w:sz w:val="16"/>
            <w:szCs w:val="16"/>
          </w:rPr>
          <w:fldChar w:fldCharType="end"/>
        </w:r>
        <w:r w:rsidRPr="00D46380">
          <w:rPr>
            <w:rFonts w:ascii="Arial" w:hAnsi="Arial" w:cs="Arial"/>
            <w:noProof/>
            <w:sz w:val="16"/>
            <w:szCs w:val="16"/>
          </w:rPr>
          <w:t>/</w:t>
        </w:r>
        <w:r w:rsidRPr="00D46380">
          <w:rPr>
            <w:rFonts w:ascii="Arial" w:hAnsi="Arial" w:cs="Arial"/>
            <w:noProof/>
            <w:sz w:val="16"/>
            <w:szCs w:val="16"/>
          </w:rPr>
          <w:fldChar w:fldCharType="begin"/>
        </w:r>
        <w:r w:rsidRPr="00D46380">
          <w:rPr>
            <w:rFonts w:ascii="Arial" w:hAnsi="Arial" w:cs="Arial"/>
            <w:noProof/>
            <w:sz w:val="16"/>
            <w:szCs w:val="16"/>
          </w:rPr>
          <w:instrText xml:space="preserve"> NUMPAGES   \* MERGEFORMAT </w:instrText>
        </w:r>
        <w:r w:rsidRPr="00D46380">
          <w:rPr>
            <w:rFonts w:ascii="Arial" w:hAnsi="Arial" w:cs="Arial"/>
            <w:noProof/>
            <w:sz w:val="16"/>
            <w:szCs w:val="16"/>
          </w:rPr>
          <w:fldChar w:fldCharType="separate"/>
        </w:r>
        <w:r w:rsidR="00C63C57">
          <w:rPr>
            <w:rFonts w:ascii="Arial" w:hAnsi="Arial" w:cs="Arial"/>
            <w:noProof/>
            <w:sz w:val="16"/>
            <w:szCs w:val="16"/>
          </w:rPr>
          <w:t>107</w:t>
        </w:r>
        <w:r w:rsidRPr="00D46380">
          <w:rPr>
            <w:rFonts w:ascii="Arial" w:hAnsi="Arial" w:cs="Arial"/>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110" w:rsidRDefault="00CE1110" w:rsidP="0030783E">
      <w:r>
        <w:separator/>
      </w:r>
    </w:p>
  </w:footnote>
  <w:footnote w:type="continuationSeparator" w:id="0">
    <w:p w:rsidR="00CE1110" w:rsidRDefault="00CE1110" w:rsidP="0030783E">
      <w:r>
        <w:continuationSeparator/>
      </w:r>
    </w:p>
  </w:footnote>
  <w:footnote w:id="1">
    <w:p w:rsidR="00CE3723" w:rsidRDefault="00CE3723">
      <w:pPr>
        <w:pStyle w:val="Textpoznpodarou"/>
      </w:pPr>
      <w:r>
        <w:rPr>
          <w:rStyle w:val="Znakapoznpodarou"/>
        </w:rPr>
        <w:footnoteRef/>
      </w:r>
      <w:r>
        <w:t xml:space="preserve"> </w:t>
      </w:r>
      <w:r w:rsidRPr="006F13D5">
        <w:t>http://www.statistikaamy.cz/2018/06/pocet-stavebnich-povoleni-dosahl-urovne-roku-2013/</w:t>
      </w:r>
      <w:r>
        <w:t>.</w:t>
      </w:r>
    </w:p>
  </w:footnote>
  <w:footnote w:id="2">
    <w:p w:rsidR="00CE3723" w:rsidRDefault="00CE3723" w:rsidP="006F13D5">
      <w:pPr>
        <w:pStyle w:val="Textpoznpodarou"/>
      </w:pPr>
      <w:r>
        <w:rPr>
          <w:rStyle w:val="Znakapoznpodarou"/>
        </w:rPr>
        <w:footnoteRef/>
      </w:r>
      <w:r>
        <w:t xml:space="preserve"> </w:t>
      </w:r>
      <w:r w:rsidRPr="006F13D5">
        <w:t>http://www.statistikaamy.cz/2018/06/pocet-stavebnich-povoleni-dosahl-urovne-roku-2013/</w:t>
      </w:r>
    </w:p>
  </w:footnote>
  <w:footnote w:id="3">
    <w:p w:rsidR="00CE3723" w:rsidRDefault="00CE3723" w:rsidP="006F13D5">
      <w:pPr>
        <w:pStyle w:val="Textpoznpodarou"/>
      </w:pPr>
      <w:r>
        <w:rPr>
          <w:rStyle w:val="Znakapoznpodarou"/>
        </w:rPr>
        <w:footnoteRef/>
      </w:r>
      <w:r>
        <w:t xml:space="preserve"> </w:t>
      </w:r>
      <w:r w:rsidRPr="006F13D5">
        <w:t>http://www.statistikaamy.cz/2018/06/pocet-stavebnich-povoleni-dosahl-urovne-roku-2013/</w:t>
      </w:r>
    </w:p>
  </w:footnote>
  <w:footnote w:id="4">
    <w:p w:rsidR="00CE3723" w:rsidRDefault="00CE3723">
      <w:pPr>
        <w:pStyle w:val="Textpoznpodarou"/>
      </w:pPr>
      <w:r>
        <w:rPr>
          <w:rStyle w:val="Znakapoznpodarou"/>
        </w:rPr>
        <w:footnoteRef/>
      </w:r>
      <w:r>
        <w:t xml:space="preserve"> V následující části budou používány především dva termíny popisující multiplikaci efektů stavebnictví v národní ekonomice – tj. transakční a fiskální multiplikátor. </w:t>
      </w:r>
      <w:r w:rsidRPr="003C2587">
        <w:t xml:space="preserve">Často bývá při kvantifikaci a interpretaci chybně zaměňován multiplikátor fiskální za multiplikátor transakční, který ukazuje nárůst produkce včetně veškeré </w:t>
      </w:r>
      <w:proofErr w:type="spellStart"/>
      <w:r w:rsidRPr="003C2587">
        <w:t>mezispotřeby</w:t>
      </w:r>
      <w:proofErr w:type="spellEnd"/>
      <w:r w:rsidRPr="003C2587">
        <w:t xml:space="preserve"> jednotlivých odvětví, čímž celkový ekonomický dopad nadhodnocuje. </w:t>
      </w:r>
      <w:r>
        <w:t>T</w:t>
      </w:r>
      <w:r w:rsidRPr="003C2587">
        <w:t>ransakční multiplikátor vypočítaný z input-output tabulek obsahuje jen nárůst produkce v</w:t>
      </w:r>
      <w:r>
        <w:t> </w:t>
      </w:r>
      <w:r w:rsidRPr="003C2587">
        <w:t>důsledku prvotního navýšení poptávky a následných poptávek jednotlivých odvětví po vstupech nutných k realizování produkce. Neobsahuje již nárůst spotřeby v důsledku zvýšených čistých příjmů domácností a</w:t>
      </w:r>
      <w:r>
        <w:t> </w:t>
      </w:r>
      <w:r w:rsidRPr="003C2587">
        <w:t>investice z provozních přebytků jednotlivých odvětví.</w:t>
      </w:r>
    </w:p>
  </w:footnote>
  <w:footnote w:id="5">
    <w:p w:rsidR="00CE3723" w:rsidRDefault="00CE3723" w:rsidP="00BB7844">
      <w:pPr>
        <w:pStyle w:val="Textpoznpodarou"/>
      </w:pPr>
      <w:r>
        <w:rPr>
          <w:rStyle w:val="Znakapoznpodarou"/>
        </w:rPr>
        <w:footnoteRef/>
      </w:r>
      <w:r>
        <w:t xml:space="preserve"> </w:t>
      </w:r>
      <w:r w:rsidRPr="00BB7844">
        <w:rPr>
          <w:u w:val="single"/>
        </w:rPr>
        <w:t>přímý dopad</w:t>
      </w:r>
      <w:r>
        <w:t xml:space="preserve"> - změna v produkci, přidané hodnotě, zaměstnanosti průmyslu; </w:t>
      </w:r>
      <w:r w:rsidRPr="00BB7844">
        <w:rPr>
          <w:u w:val="single"/>
        </w:rPr>
        <w:t>nepřímý dopad</w:t>
      </w:r>
      <w:r>
        <w:t xml:space="preserve"> - vliv změněné poptávky po produktech průmyslu na produkci, přidanou hodnotu, zaměstnanost apod. jiných odvětví a jejich dalších subdodavatelů atd. až na samotný začátek hodnotového řetězce; </w:t>
      </w:r>
      <w:r w:rsidRPr="00BB7844">
        <w:rPr>
          <w:u w:val="single"/>
        </w:rPr>
        <w:t>indukovaný dopad</w:t>
      </w:r>
      <w:r>
        <w:t xml:space="preserve"> - produkce vyvolaná přímým a nepřímým dopadem automaticky představuje zvýšený příjem domácností; z tohoto příjmu domácnosti část uspoří a část utratí - částečně za zahraniční zboží, částečně za české, což vyvolá další zvýšenou produkci, přidanou hodnotu atd. a tento efekt je indukovaným dopadem; </w:t>
      </w:r>
      <w:proofErr w:type="spellStart"/>
      <w:r w:rsidRPr="00BB7844">
        <w:rPr>
          <w:u w:val="single"/>
        </w:rPr>
        <w:t>spillover</w:t>
      </w:r>
      <w:proofErr w:type="spellEnd"/>
      <w:r w:rsidRPr="00BB7844">
        <w:rPr>
          <w:u w:val="single"/>
        </w:rPr>
        <w:t xml:space="preserve"> efekty</w:t>
      </w:r>
      <w:r>
        <w:t xml:space="preserve"> - ekonomické dopady, které nejsou nijak zobrazeny v odvětvových statistikách, jde o parametry, které lze obtížně kvantifikovat</w:t>
      </w:r>
    </w:p>
  </w:footnote>
  <w:footnote w:id="6">
    <w:p w:rsidR="00CE3723" w:rsidRDefault="00CE3723" w:rsidP="002E3F08">
      <w:pPr>
        <w:pStyle w:val="Textpoznpodarou"/>
      </w:pPr>
      <w:r>
        <w:rPr>
          <w:rStyle w:val="Znakapoznpodarou"/>
        </w:rPr>
        <w:footnoteRef/>
      </w:r>
      <w:r>
        <w:t xml:space="preserve"> Předpokládáme stejný poměr spotřeby domácností pro nárůst spotřeby jako je v celkové spotřebě domácností jednotlivých statků. Dále předpokládáme průměrný mezní sklon ke spotřebě ve výši 90 % (vychází z konzervativního předpokladu předchozích studií), průměrný poměr mezi čistým příjmem zaměstnanců a osobními náklady ve výši 60 % a část zisků převedených do zahraničí ve výši 19,5 % (vychází z bilance výnosů, HDP a provozních přebytků).</w:t>
      </w:r>
    </w:p>
  </w:footnote>
  <w:footnote w:id="7">
    <w:p w:rsidR="00CE3723" w:rsidRDefault="00CE3723" w:rsidP="002E3F08">
      <w:pPr>
        <w:pStyle w:val="Textpoznpodarou"/>
      </w:pPr>
      <w:r>
        <w:rPr>
          <w:rStyle w:val="Znakapoznpodarou"/>
        </w:rPr>
        <w:footnoteRef/>
      </w:r>
      <w:r>
        <w:t xml:space="preserve"> Přibližně 10 % investičních nákladů tvoří příprava, dokumentace, náklady </w:t>
      </w:r>
      <w:r w:rsidRPr="0039256C">
        <w:t>povolovací</w:t>
      </w:r>
      <w:r>
        <w:t>ho řízení, příp. výkupy pozemků aj. Zbývajících 90 % tvoří náklady na stavební práce.</w:t>
      </w:r>
    </w:p>
  </w:footnote>
  <w:footnote w:id="8">
    <w:p w:rsidR="00CE3723" w:rsidRDefault="00CE3723" w:rsidP="00F16D67">
      <w:pPr>
        <w:pStyle w:val="Textpoznpodarou"/>
      </w:pPr>
      <w:r>
        <w:rPr>
          <w:rStyle w:val="Znakapoznpodarou"/>
        </w:rPr>
        <w:footnoteRef/>
      </w:r>
      <w:r>
        <w:t xml:space="preserve"> Mimoúrovňová křižovatka</w:t>
      </w:r>
    </w:p>
  </w:footnote>
  <w:footnote w:id="9">
    <w:p w:rsidR="00CE3723" w:rsidRDefault="00CE3723" w:rsidP="007E62EE">
      <w:pPr>
        <w:pStyle w:val="Textpoznpodarou"/>
      </w:pPr>
      <w:r>
        <w:rPr>
          <w:rStyle w:val="Znakapoznpodarou"/>
        </w:rPr>
        <w:footnoteRef/>
      </w:r>
      <w:r>
        <w:t xml:space="preserve"> Zařazení do 15. platové třídy odpovídá platnému zařazení předsedy ČÚZK stanovenému vládou ČR a současně i charakteristice platových tříd uvedené v příloze č. 1 k zákonu č. 234/2014 Sb., o státní službě, kterou je stanovena charakteristika platových tříd státních zaměstnanců. Odpovídá cca 50 000,- Kč měsíčně při 12. platovém stupni (2018).</w:t>
      </w:r>
    </w:p>
  </w:footnote>
  <w:footnote w:id="10">
    <w:p w:rsidR="00CE3723" w:rsidRDefault="00CE3723" w:rsidP="00F33442">
      <w:pPr>
        <w:pStyle w:val="Textpoznpodarou"/>
      </w:pPr>
      <w:r>
        <w:rPr>
          <w:rStyle w:val="Znakapoznpodarou"/>
        </w:rPr>
        <w:footnoteRef/>
      </w:r>
      <w:r>
        <w:t xml:space="preserve"> </w:t>
      </w:r>
      <w:r w:rsidRPr="00F33442">
        <w:t>Analýzy financování výkonu státní správy a samosprávy územních samosprávných celků, která poskytne relevantní množství dat pro přípravu nového zákona o RUD, VŠE, 2009)</w:t>
      </w:r>
    </w:p>
  </w:footnote>
  <w:footnote w:id="11">
    <w:p w:rsidR="00CE3723" w:rsidRDefault="00CE3723" w:rsidP="007E62EE">
      <w:pPr>
        <w:pStyle w:val="Textpoznpodarou"/>
      </w:pPr>
      <w:r>
        <w:rPr>
          <w:rStyle w:val="Znakapoznpodarou"/>
        </w:rPr>
        <w:footnoteRef/>
      </w:r>
      <w:r>
        <w:t xml:space="preserve"> Odhad administrativních nákladů ušetřených díky zefektivnění a elektronizaci procesů v rámci výkonu veřejné správy bude vycházet z průměrné časové náročnosti úkonu a ceny práce (včetně režijních nákladů). Pro výpočet osobních a režijních nákladů vycházíme z Obecných zásad hodnocení dopadů regulace a rovněž z metodiky Ministerstva vnitra (2007) pro výpočet mzdových a režijních nákladů viz kapitola „</w:t>
      </w:r>
      <w:r w:rsidRPr="00B50F2B">
        <w:t>2 - 3 Návrh variant řešení, vyhodnocení nákladů a přínosů - hodnocení dopadů opatření jednotlivých věcně souvisejících okruhů</w:t>
      </w:r>
      <w:r>
        <w:t xml:space="preserve">“. </w:t>
      </w:r>
    </w:p>
  </w:footnote>
  <w:footnote w:id="12">
    <w:p w:rsidR="00CE3723" w:rsidRDefault="00CE3723" w:rsidP="00A15323">
      <w:pPr>
        <w:pStyle w:val="Textpoznpodarou"/>
      </w:pPr>
      <w:r>
        <w:rPr>
          <w:rStyle w:val="Znakapoznpodarou"/>
        </w:rPr>
        <w:footnoteRef/>
      </w:r>
      <w:r>
        <w:t xml:space="preserve"> </w:t>
      </w:r>
      <w:r w:rsidRPr="00FB380D">
        <w:t>HRUŠKA, L.; HRUŠKOVÁ, A.; FOLDYNOVÁ, I.; a kol. Analýza vybraných prostorových aspektů veřejné správy a zlepšení dostupnosti jejích služeb. Ostrava: PROCES – Centrum pro rozvoj obcí a regionů, s.r.o., 2018.</w:t>
      </w:r>
    </w:p>
  </w:footnote>
  <w:footnote w:id="13">
    <w:p w:rsidR="00CE3723" w:rsidRDefault="00CE3723" w:rsidP="001F5FD6">
      <w:pPr>
        <w:pStyle w:val="Textpoznpodarou"/>
      </w:pPr>
      <w:r>
        <w:rPr>
          <w:rStyle w:val="Znakapoznpodarou"/>
        </w:rPr>
        <w:footnoteRef/>
      </w:r>
      <w:r>
        <w:t xml:space="preserve"> Společnost </w:t>
      </w:r>
      <w:proofErr w:type="spellStart"/>
      <w:r>
        <w:t>eNovation</w:t>
      </w:r>
      <w:proofErr w:type="spellEnd"/>
      <w:r>
        <w:t xml:space="preserve"> s.r.o. v dubnu 2015 zpracovala pro ČTÚ </w:t>
      </w:r>
      <w:r w:rsidRPr="00560D8B">
        <w:t>Projekt studie Registru pasivní infrastruktury – Výstup II Studie proveditelnosti.</w:t>
      </w:r>
    </w:p>
  </w:footnote>
  <w:footnote w:id="14">
    <w:p w:rsidR="00CE3723" w:rsidRPr="00FB334D" w:rsidRDefault="00CE3723" w:rsidP="005A24BC">
      <w:pPr>
        <w:pStyle w:val="Textpoznpodarou"/>
        <w:rPr>
          <w:color w:val="000000" w:themeColor="text1"/>
          <w:sz w:val="20"/>
        </w:rPr>
      </w:pPr>
      <w:r w:rsidRPr="00FB334D">
        <w:rPr>
          <w:rStyle w:val="Znakapoznpodarou"/>
          <w:color w:val="000000" w:themeColor="text1"/>
          <w:sz w:val="20"/>
        </w:rPr>
        <w:footnoteRef/>
      </w:r>
      <w:r w:rsidRPr="00FB334D">
        <w:rPr>
          <w:color w:val="000000" w:themeColor="text1"/>
          <w:sz w:val="20"/>
        </w:rPr>
        <w:t xml:space="preserve"> Tato novela nabyla účinnosti dne 1. 1. 2018. Poslední novela byla provedena zákonem č. 169/2018 Sb. s účinností od 1. 9. 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4F06EDC4"/>
    <w:lvl w:ilvl="0">
      <w:start w:val="1"/>
      <w:numFmt w:val="decimal"/>
      <w:pStyle w:val="slovanseznam3"/>
      <w:lvlText w:val="%1."/>
      <w:lvlJc w:val="left"/>
      <w:pPr>
        <w:tabs>
          <w:tab w:val="num" w:pos="1209"/>
        </w:tabs>
        <w:ind w:left="1209" w:hanging="360"/>
      </w:pPr>
      <w:rPr>
        <w:rFonts w:cs="Times New Roman"/>
      </w:rPr>
    </w:lvl>
  </w:abstractNum>
  <w:abstractNum w:abstractNumId="1">
    <w:nsid w:val="FFFFFF82"/>
    <w:multiLevelType w:val="singleLevel"/>
    <w:tmpl w:val="2E0CF6AA"/>
    <w:lvl w:ilvl="0">
      <w:start w:val="1"/>
      <w:numFmt w:val="bullet"/>
      <w:pStyle w:val="Seznamsodrkami3"/>
      <w:lvlText w:val=""/>
      <w:lvlJc w:val="left"/>
      <w:pPr>
        <w:tabs>
          <w:tab w:val="num" w:pos="926"/>
        </w:tabs>
        <w:ind w:left="926" w:hanging="360"/>
      </w:pPr>
      <w:rPr>
        <w:rFonts w:ascii="Symbol" w:hAnsi="Symbol" w:hint="default"/>
      </w:rPr>
    </w:lvl>
  </w:abstractNum>
  <w:abstractNum w:abstractNumId="2">
    <w:nsid w:val="0296507A"/>
    <w:multiLevelType w:val="hybridMultilevel"/>
    <w:tmpl w:val="20A263BC"/>
    <w:lvl w:ilvl="0" w:tplc="E2461A9A">
      <w:start w:val="1"/>
      <w:numFmt w:val="bullet"/>
      <w:lvlText w:val="→"/>
      <w:lvlJc w:val="left"/>
      <w:pPr>
        <w:ind w:left="710" w:hanging="360"/>
      </w:pPr>
      <w:rPr>
        <w:rFonts w:ascii="Garamond" w:hAnsi="Garamond" w:hint="default"/>
      </w:rPr>
    </w:lvl>
    <w:lvl w:ilvl="1" w:tplc="04050003" w:tentative="1">
      <w:start w:val="1"/>
      <w:numFmt w:val="bullet"/>
      <w:lvlText w:val="o"/>
      <w:lvlJc w:val="left"/>
      <w:pPr>
        <w:ind w:left="1430" w:hanging="360"/>
      </w:pPr>
      <w:rPr>
        <w:rFonts w:ascii="Courier New" w:hAnsi="Courier New" w:cs="Courier New" w:hint="default"/>
      </w:rPr>
    </w:lvl>
    <w:lvl w:ilvl="2" w:tplc="04050005" w:tentative="1">
      <w:start w:val="1"/>
      <w:numFmt w:val="bullet"/>
      <w:lvlText w:val=""/>
      <w:lvlJc w:val="left"/>
      <w:pPr>
        <w:ind w:left="2150" w:hanging="360"/>
      </w:pPr>
      <w:rPr>
        <w:rFonts w:ascii="Wingdings" w:hAnsi="Wingdings" w:hint="default"/>
      </w:rPr>
    </w:lvl>
    <w:lvl w:ilvl="3" w:tplc="04050001" w:tentative="1">
      <w:start w:val="1"/>
      <w:numFmt w:val="bullet"/>
      <w:lvlText w:val=""/>
      <w:lvlJc w:val="left"/>
      <w:pPr>
        <w:ind w:left="2870" w:hanging="360"/>
      </w:pPr>
      <w:rPr>
        <w:rFonts w:ascii="Symbol" w:hAnsi="Symbol" w:hint="default"/>
      </w:rPr>
    </w:lvl>
    <w:lvl w:ilvl="4" w:tplc="04050003" w:tentative="1">
      <w:start w:val="1"/>
      <w:numFmt w:val="bullet"/>
      <w:lvlText w:val="o"/>
      <w:lvlJc w:val="left"/>
      <w:pPr>
        <w:ind w:left="3590" w:hanging="360"/>
      </w:pPr>
      <w:rPr>
        <w:rFonts w:ascii="Courier New" w:hAnsi="Courier New" w:cs="Courier New" w:hint="default"/>
      </w:rPr>
    </w:lvl>
    <w:lvl w:ilvl="5" w:tplc="04050005" w:tentative="1">
      <w:start w:val="1"/>
      <w:numFmt w:val="bullet"/>
      <w:lvlText w:val=""/>
      <w:lvlJc w:val="left"/>
      <w:pPr>
        <w:ind w:left="4310" w:hanging="360"/>
      </w:pPr>
      <w:rPr>
        <w:rFonts w:ascii="Wingdings" w:hAnsi="Wingdings" w:hint="default"/>
      </w:rPr>
    </w:lvl>
    <w:lvl w:ilvl="6" w:tplc="04050001" w:tentative="1">
      <w:start w:val="1"/>
      <w:numFmt w:val="bullet"/>
      <w:lvlText w:val=""/>
      <w:lvlJc w:val="left"/>
      <w:pPr>
        <w:ind w:left="5030" w:hanging="360"/>
      </w:pPr>
      <w:rPr>
        <w:rFonts w:ascii="Symbol" w:hAnsi="Symbol" w:hint="default"/>
      </w:rPr>
    </w:lvl>
    <w:lvl w:ilvl="7" w:tplc="04050003" w:tentative="1">
      <w:start w:val="1"/>
      <w:numFmt w:val="bullet"/>
      <w:lvlText w:val="o"/>
      <w:lvlJc w:val="left"/>
      <w:pPr>
        <w:ind w:left="5750" w:hanging="360"/>
      </w:pPr>
      <w:rPr>
        <w:rFonts w:ascii="Courier New" w:hAnsi="Courier New" w:cs="Courier New" w:hint="default"/>
      </w:rPr>
    </w:lvl>
    <w:lvl w:ilvl="8" w:tplc="04050005" w:tentative="1">
      <w:start w:val="1"/>
      <w:numFmt w:val="bullet"/>
      <w:lvlText w:val=""/>
      <w:lvlJc w:val="left"/>
      <w:pPr>
        <w:ind w:left="6470" w:hanging="360"/>
      </w:pPr>
      <w:rPr>
        <w:rFonts w:ascii="Wingdings" w:hAnsi="Wingdings" w:hint="default"/>
      </w:rPr>
    </w:lvl>
  </w:abstractNum>
  <w:abstractNum w:abstractNumId="3">
    <w:nsid w:val="02DA14B6"/>
    <w:multiLevelType w:val="hybridMultilevel"/>
    <w:tmpl w:val="59A8EA46"/>
    <w:lvl w:ilvl="0" w:tplc="A532135E">
      <w:start w:val="1"/>
      <w:numFmt w:val="bullet"/>
      <w:lvlText w:val=""/>
      <w:lvlJc w:val="left"/>
      <w:pPr>
        <w:ind w:left="717" w:hanging="360"/>
      </w:pPr>
      <w:rPr>
        <w:rFonts w:ascii="Symbol" w:hAnsi="Symbol" w:hint="default"/>
      </w:rPr>
    </w:lvl>
    <w:lvl w:ilvl="1" w:tplc="04050003">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4">
    <w:nsid w:val="04490D73"/>
    <w:multiLevelType w:val="hybridMultilevel"/>
    <w:tmpl w:val="512ED764"/>
    <w:lvl w:ilvl="0" w:tplc="04050017">
      <w:start w:val="1"/>
      <w:numFmt w:val="lowerLetter"/>
      <w:lvlText w:val="%1)"/>
      <w:lvlJc w:val="left"/>
      <w:pPr>
        <w:ind w:left="718" w:hanging="360"/>
      </w:pPr>
    </w:lvl>
    <w:lvl w:ilvl="1" w:tplc="04050019" w:tentative="1">
      <w:start w:val="1"/>
      <w:numFmt w:val="lowerLetter"/>
      <w:lvlText w:val="%2."/>
      <w:lvlJc w:val="left"/>
      <w:pPr>
        <w:ind w:left="1438" w:hanging="360"/>
      </w:pPr>
    </w:lvl>
    <w:lvl w:ilvl="2" w:tplc="0405001B" w:tentative="1">
      <w:start w:val="1"/>
      <w:numFmt w:val="lowerRoman"/>
      <w:lvlText w:val="%3."/>
      <w:lvlJc w:val="right"/>
      <w:pPr>
        <w:ind w:left="2158" w:hanging="180"/>
      </w:pPr>
    </w:lvl>
    <w:lvl w:ilvl="3" w:tplc="0405000F" w:tentative="1">
      <w:start w:val="1"/>
      <w:numFmt w:val="decimal"/>
      <w:lvlText w:val="%4."/>
      <w:lvlJc w:val="left"/>
      <w:pPr>
        <w:ind w:left="2878" w:hanging="360"/>
      </w:pPr>
    </w:lvl>
    <w:lvl w:ilvl="4" w:tplc="04050019" w:tentative="1">
      <w:start w:val="1"/>
      <w:numFmt w:val="lowerLetter"/>
      <w:lvlText w:val="%5."/>
      <w:lvlJc w:val="left"/>
      <w:pPr>
        <w:ind w:left="3598" w:hanging="360"/>
      </w:pPr>
    </w:lvl>
    <w:lvl w:ilvl="5" w:tplc="0405001B" w:tentative="1">
      <w:start w:val="1"/>
      <w:numFmt w:val="lowerRoman"/>
      <w:lvlText w:val="%6."/>
      <w:lvlJc w:val="right"/>
      <w:pPr>
        <w:ind w:left="4318" w:hanging="180"/>
      </w:pPr>
    </w:lvl>
    <w:lvl w:ilvl="6" w:tplc="0405000F" w:tentative="1">
      <w:start w:val="1"/>
      <w:numFmt w:val="decimal"/>
      <w:lvlText w:val="%7."/>
      <w:lvlJc w:val="left"/>
      <w:pPr>
        <w:ind w:left="5038" w:hanging="360"/>
      </w:pPr>
    </w:lvl>
    <w:lvl w:ilvl="7" w:tplc="04050019" w:tentative="1">
      <w:start w:val="1"/>
      <w:numFmt w:val="lowerLetter"/>
      <w:lvlText w:val="%8."/>
      <w:lvlJc w:val="left"/>
      <w:pPr>
        <w:ind w:left="5758" w:hanging="360"/>
      </w:pPr>
    </w:lvl>
    <w:lvl w:ilvl="8" w:tplc="0405001B" w:tentative="1">
      <w:start w:val="1"/>
      <w:numFmt w:val="lowerRoman"/>
      <w:lvlText w:val="%9."/>
      <w:lvlJc w:val="right"/>
      <w:pPr>
        <w:ind w:left="6478" w:hanging="180"/>
      </w:pPr>
    </w:lvl>
  </w:abstractNum>
  <w:abstractNum w:abstractNumId="5">
    <w:nsid w:val="049E608E"/>
    <w:multiLevelType w:val="hybridMultilevel"/>
    <w:tmpl w:val="93B4EDA4"/>
    <w:lvl w:ilvl="0" w:tplc="2AF09662">
      <w:numFmt w:val="bullet"/>
      <w:pStyle w:val="Seznamsodrkami"/>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4BD6D2A"/>
    <w:multiLevelType w:val="hybridMultilevel"/>
    <w:tmpl w:val="EEDC0ADA"/>
    <w:lvl w:ilvl="0" w:tplc="A2BA41CE">
      <w:start w:val="1"/>
      <w:numFmt w:val="bullet"/>
      <w:pStyle w:val="odrazka"/>
      <w:lvlText w:val=""/>
      <w:lvlJc w:val="left"/>
      <w:pPr>
        <w:ind w:left="1140" w:hanging="360"/>
      </w:pPr>
      <w:rPr>
        <w:rFonts w:ascii="Symbol" w:hAnsi="Symbol" w:hint="default"/>
      </w:rPr>
    </w:lvl>
    <w:lvl w:ilvl="1" w:tplc="04050003">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7">
    <w:nsid w:val="07021736"/>
    <w:multiLevelType w:val="hybridMultilevel"/>
    <w:tmpl w:val="2676E64A"/>
    <w:lvl w:ilvl="0" w:tplc="606EF93C">
      <w:start w:val="1"/>
      <w:numFmt w:val="bullet"/>
      <w:pStyle w:val="Odrazka11"/>
      <w:lvlText w:val="-"/>
      <w:lvlJc w:val="left"/>
      <w:pPr>
        <w:ind w:left="1494" w:hanging="360"/>
      </w:pPr>
      <w:rPr>
        <w:rFonts w:ascii="Times New Roman" w:hAnsi="Times New Roman" w:cs="Times New Roman"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8">
    <w:nsid w:val="093A295A"/>
    <w:multiLevelType w:val="hybridMultilevel"/>
    <w:tmpl w:val="1E224C96"/>
    <w:lvl w:ilvl="0" w:tplc="A532135E">
      <w:start w:val="1"/>
      <w:numFmt w:val="bullet"/>
      <w:lvlText w:val=""/>
      <w:lvlJc w:val="left"/>
      <w:pPr>
        <w:ind w:left="1070" w:hanging="360"/>
      </w:pPr>
      <w:rPr>
        <w:rFonts w:ascii="Symbol" w:hAnsi="Symbol"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9">
    <w:nsid w:val="09470B2E"/>
    <w:multiLevelType w:val="hybridMultilevel"/>
    <w:tmpl w:val="3BBAA4B2"/>
    <w:lvl w:ilvl="0" w:tplc="A532135E">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10">
    <w:nsid w:val="0A4700C8"/>
    <w:multiLevelType w:val="hybridMultilevel"/>
    <w:tmpl w:val="4DBA360C"/>
    <w:lvl w:ilvl="0" w:tplc="603A0FB2">
      <w:start w:val="21"/>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A963DEA"/>
    <w:multiLevelType w:val="hybridMultilevel"/>
    <w:tmpl w:val="F8E61B5E"/>
    <w:lvl w:ilvl="0" w:tplc="04050017">
      <w:start w:val="1"/>
      <w:numFmt w:val="lowerLetter"/>
      <w:lvlText w:val="%1)"/>
      <w:lvlJc w:val="left"/>
      <w:pPr>
        <w:ind w:left="718" w:hanging="360"/>
      </w:pPr>
    </w:lvl>
    <w:lvl w:ilvl="1" w:tplc="04050019" w:tentative="1">
      <w:start w:val="1"/>
      <w:numFmt w:val="lowerLetter"/>
      <w:lvlText w:val="%2."/>
      <w:lvlJc w:val="left"/>
      <w:pPr>
        <w:ind w:left="1438" w:hanging="360"/>
      </w:pPr>
    </w:lvl>
    <w:lvl w:ilvl="2" w:tplc="0405001B" w:tentative="1">
      <w:start w:val="1"/>
      <w:numFmt w:val="lowerRoman"/>
      <w:lvlText w:val="%3."/>
      <w:lvlJc w:val="right"/>
      <w:pPr>
        <w:ind w:left="2158" w:hanging="180"/>
      </w:pPr>
    </w:lvl>
    <w:lvl w:ilvl="3" w:tplc="0405000F" w:tentative="1">
      <w:start w:val="1"/>
      <w:numFmt w:val="decimal"/>
      <w:lvlText w:val="%4."/>
      <w:lvlJc w:val="left"/>
      <w:pPr>
        <w:ind w:left="2878" w:hanging="360"/>
      </w:pPr>
    </w:lvl>
    <w:lvl w:ilvl="4" w:tplc="04050019" w:tentative="1">
      <w:start w:val="1"/>
      <w:numFmt w:val="lowerLetter"/>
      <w:lvlText w:val="%5."/>
      <w:lvlJc w:val="left"/>
      <w:pPr>
        <w:ind w:left="3598" w:hanging="360"/>
      </w:pPr>
    </w:lvl>
    <w:lvl w:ilvl="5" w:tplc="0405001B" w:tentative="1">
      <w:start w:val="1"/>
      <w:numFmt w:val="lowerRoman"/>
      <w:lvlText w:val="%6."/>
      <w:lvlJc w:val="right"/>
      <w:pPr>
        <w:ind w:left="4318" w:hanging="180"/>
      </w:pPr>
    </w:lvl>
    <w:lvl w:ilvl="6" w:tplc="0405000F" w:tentative="1">
      <w:start w:val="1"/>
      <w:numFmt w:val="decimal"/>
      <w:lvlText w:val="%7."/>
      <w:lvlJc w:val="left"/>
      <w:pPr>
        <w:ind w:left="5038" w:hanging="360"/>
      </w:pPr>
    </w:lvl>
    <w:lvl w:ilvl="7" w:tplc="04050019" w:tentative="1">
      <w:start w:val="1"/>
      <w:numFmt w:val="lowerLetter"/>
      <w:lvlText w:val="%8."/>
      <w:lvlJc w:val="left"/>
      <w:pPr>
        <w:ind w:left="5758" w:hanging="360"/>
      </w:pPr>
    </w:lvl>
    <w:lvl w:ilvl="8" w:tplc="0405001B" w:tentative="1">
      <w:start w:val="1"/>
      <w:numFmt w:val="lowerRoman"/>
      <w:lvlText w:val="%9."/>
      <w:lvlJc w:val="right"/>
      <w:pPr>
        <w:ind w:left="6478" w:hanging="180"/>
      </w:pPr>
    </w:lvl>
  </w:abstractNum>
  <w:abstractNum w:abstractNumId="12">
    <w:nsid w:val="0C473890"/>
    <w:multiLevelType w:val="hybridMultilevel"/>
    <w:tmpl w:val="51104BE6"/>
    <w:lvl w:ilvl="0" w:tplc="E098CFEC">
      <w:start w:val="1"/>
      <w:numFmt w:val="upperLetter"/>
      <w:pStyle w:val="slovanseznam4"/>
      <w:lvlText w:val="%1."/>
      <w:lvlJc w:val="left"/>
      <w:pPr>
        <w:tabs>
          <w:tab w:val="num" w:pos="1429"/>
        </w:tabs>
        <w:ind w:left="1429"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0DE54D0F"/>
    <w:multiLevelType w:val="hybridMultilevel"/>
    <w:tmpl w:val="7EF03348"/>
    <w:lvl w:ilvl="0" w:tplc="BCCA24F2">
      <w:start w:val="1"/>
      <w:numFmt w:val="decimal"/>
      <w:pStyle w:val="vpis"/>
      <w:lvlText w:val="%1."/>
      <w:lvlJc w:val="left"/>
      <w:pPr>
        <w:ind w:left="720" w:hanging="360"/>
      </w:pPr>
      <w:rPr>
        <w:rFonts w:hint="default"/>
      </w:rPr>
    </w:lvl>
    <w:lvl w:ilvl="1" w:tplc="E3222E40" w:tentative="1">
      <w:start w:val="1"/>
      <w:numFmt w:val="lowerLetter"/>
      <w:lvlText w:val="%2."/>
      <w:lvlJc w:val="left"/>
      <w:pPr>
        <w:ind w:left="1440" w:hanging="360"/>
      </w:pPr>
    </w:lvl>
    <w:lvl w:ilvl="2" w:tplc="C944BB86" w:tentative="1">
      <w:start w:val="1"/>
      <w:numFmt w:val="lowerRoman"/>
      <w:lvlText w:val="%3."/>
      <w:lvlJc w:val="right"/>
      <w:pPr>
        <w:ind w:left="2160" w:hanging="180"/>
      </w:pPr>
    </w:lvl>
    <w:lvl w:ilvl="3" w:tplc="7DDCC8E6" w:tentative="1">
      <w:start w:val="1"/>
      <w:numFmt w:val="decimal"/>
      <w:lvlText w:val="%4."/>
      <w:lvlJc w:val="left"/>
      <w:pPr>
        <w:ind w:left="2880" w:hanging="360"/>
      </w:pPr>
    </w:lvl>
    <w:lvl w:ilvl="4" w:tplc="9C0E2D0E" w:tentative="1">
      <w:start w:val="1"/>
      <w:numFmt w:val="lowerLetter"/>
      <w:lvlText w:val="%5."/>
      <w:lvlJc w:val="left"/>
      <w:pPr>
        <w:ind w:left="3600" w:hanging="360"/>
      </w:pPr>
    </w:lvl>
    <w:lvl w:ilvl="5" w:tplc="F884A804" w:tentative="1">
      <w:start w:val="1"/>
      <w:numFmt w:val="lowerRoman"/>
      <w:lvlText w:val="%6."/>
      <w:lvlJc w:val="right"/>
      <w:pPr>
        <w:ind w:left="4320" w:hanging="180"/>
      </w:pPr>
    </w:lvl>
    <w:lvl w:ilvl="6" w:tplc="1C425342" w:tentative="1">
      <w:start w:val="1"/>
      <w:numFmt w:val="decimal"/>
      <w:lvlText w:val="%7."/>
      <w:lvlJc w:val="left"/>
      <w:pPr>
        <w:ind w:left="5040" w:hanging="360"/>
      </w:pPr>
    </w:lvl>
    <w:lvl w:ilvl="7" w:tplc="8728853C" w:tentative="1">
      <w:start w:val="1"/>
      <w:numFmt w:val="lowerLetter"/>
      <w:lvlText w:val="%8."/>
      <w:lvlJc w:val="left"/>
      <w:pPr>
        <w:ind w:left="5760" w:hanging="360"/>
      </w:pPr>
    </w:lvl>
    <w:lvl w:ilvl="8" w:tplc="B464E53A" w:tentative="1">
      <w:start w:val="1"/>
      <w:numFmt w:val="lowerRoman"/>
      <w:lvlText w:val="%9."/>
      <w:lvlJc w:val="right"/>
      <w:pPr>
        <w:ind w:left="6480" w:hanging="180"/>
      </w:pPr>
    </w:lvl>
  </w:abstractNum>
  <w:abstractNum w:abstractNumId="14">
    <w:nsid w:val="0DF06F3F"/>
    <w:multiLevelType w:val="hybridMultilevel"/>
    <w:tmpl w:val="37CE37D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0EDE1D2A"/>
    <w:multiLevelType w:val="hybridMultilevel"/>
    <w:tmpl w:val="1646B8D0"/>
    <w:lvl w:ilvl="0" w:tplc="A532135E">
      <w:start w:val="1"/>
      <w:numFmt w:val="bullet"/>
      <w:lvlText w:val=""/>
      <w:lvlJc w:val="left"/>
      <w:pPr>
        <w:ind w:left="717" w:hanging="360"/>
      </w:pPr>
      <w:rPr>
        <w:rFonts w:ascii="Symbol" w:hAnsi="Symbol"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16">
    <w:nsid w:val="123B1BF3"/>
    <w:multiLevelType w:val="hybridMultilevel"/>
    <w:tmpl w:val="D57A52D6"/>
    <w:lvl w:ilvl="0" w:tplc="A802CEAA">
      <w:start w:val="1"/>
      <w:numFmt w:val="bullet"/>
      <w:pStyle w:val="neslovanseznam2"/>
      <w:lvlText w:val="o"/>
      <w:lvlJc w:val="left"/>
      <w:pPr>
        <w:tabs>
          <w:tab w:val="num" w:pos="717"/>
        </w:tabs>
        <w:ind w:left="717" w:hanging="360"/>
      </w:pPr>
      <w:rPr>
        <w:rFonts w:ascii="Courier New" w:hAnsi="Courier New" w:hint="default"/>
      </w:rPr>
    </w:lvl>
    <w:lvl w:ilvl="1" w:tplc="04050019">
      <w:start w:val="1"/>
      <w:numFmt w:val="lowerLetter"/>
      <w:lvlText w:val="%2."/>
      <w:lvlJc w:val="left"/>
      <w:pPr>
        <w:tabs>
          <w:tab w:val="num" w:pos="1428"/>
        </w:tabs>
        <w:ind w:left="1428" w:hanging="360"/>
      </w:pPr>
    </w:lvl>
    <w:lvl w:ilvl="2" w:tplc="0405001B">
      <w:start w:val="1"/>
      <w:numFmt w:val="lowerRoman"/>
      <w:lvlText w:val="%3."/>
      <w:lvlJc w:val="right"/>
      <w:pPr>
        <w:tabs>
          <w:tab w:val="num" w:pos="2148"/>
        </w:tabs>
        <w:ind w:left="2148" w:hanging="180"/>
      </w:pPr>
    </w:lvl>
    <w:lvl w:ilvl="3" w:tplc="0405000F" w:tentative="1">
      <w:start w:val="1"/>
      <w:numFmt w:val="decimal"/>
      <w:lvlText w:val="%4."/>
      <w:lvlJc w:val="left"/>
      <w:pPr>
        <w:tabs>
          <w:tab w:val="num" w:pos="2868"/>
        </w:tabs>
        <w:ind w:left="2868" w:hanging="360"/>
      </w:pPr>
    </w:lvl>
    <w:lvl w:ilvl="4" w:tplc="04050019" w:tentative="1">
      <w:start w:val="1"/>
      <w:numFmt w:val="lowerLetter"/>
      <w:lvlText w:val="%5."/>
      <w:lvlJc w:val="left"/>
      <w:pPr>
        <w:tabs>
          <w:tab w:val="num" w:pos="3588"/>
        </w:tabs>
        <w:ind w:left="3588" w:hanging="360"/>
      </w:pPr>
    </w:lvl>
    <w:lvl w:ilvl="5" w:tplc="0405001B" w:tentative="1">
      <w:start w:val="1"/>
      <w:numFmt w:val="lowerRoman"/>
      <w:lvlText w:val="%6."/>
      <w:lvlJc w:val="right"/>
      <w:pPr>
        <w:tabs>
          <w:tab w:val="num" w:pos="4308"/>
        </w:tabs>
        <w:ind w:left="4308" w:hanging="180"/>
      </w:pPr>
    </w:lvl>
    <w:lvl w:ilvl="6" w:tplc="0405000F" w:tentative="1">
      <w:start w:val="1"/>
      <w:numFmt w:val="decimal"/>
      <w:lvlText w:val="%7."/>
      <w:lvlJc w:val="left"/>
      <w:pPr>
        <w:tabs>
          <w:tab w:val="num" w:pos="5028"/>
        </w:tabs>
        <w:ind w:left="5028" w:hanging="360"/>
      </w:pPr>
    </w:lvl>
    <w:lvl w:ilvl="7" w:tplc="04050019" w:tentative="1">
      <w:start w:val="1"/>
      <w:numFmt w:val="lowerLetter"/>
      <w:lvlText w:val="%8."/>
      <w:lvlJc w:val="left"/>
      <w:pPr>
        <w:tabs>
          <w:tab w:val="num" w:pos="5748"/>
        </w:tabs>
        <w:ind w:left="5748" w:hanging="360"/>
      </w:pPr>
    </w:lvl>
    <w:lvl w:ilvl="8" w:tplc="0405001B" w:tentative="1">
      <w:start w:val="1"/>
      <w:numFmt w:val="lowerRoman"/>
      <w:lvlText w:val="%9."/>
      <w:lvlJc w:val="right"/>
      <w:pPr>
        <w:tabs>
          <w:tab w:val="num" w:pos="6468"/>
        </w:tabs>
        <w:ind w:left="6468" w:hanging="180"/>
      </w:pPr>
    </w:lvl>
  </w:abstractNum>
  <w:abstractNum w:abstractNumId="17">
    <w:nsid w:val="19906D64"/>
    <w:multiLevelType w:val="singleLevel"/>
    <w:tmpl w:val="E9028870"/>
    <w:lvl w:ilvl="0">
      <w:start w:val="1"/>
      <w:numFmt w:val="upperRoman"/>
      <w:pStyle w:val="Podtitul"/>
      <w:lvlText w:val="%1."/>
      <w:lvlJc w:val="left"/>
      <w:pPr>
        <w:tabs>
          <w:tab w:val="num" w:pos="720"/>
        </w:tabs>
        <w:ind w:left="720" w:hanging="720"/>
      </w:pPr>
      <w:rPr>
        <w:rFonts w:hint="default"/>
      </w:rPr>
    </w:lvl>
  </w:abstractNum>
  <w:abstractNum w:abstractNumId="18">
    <w:nsid w:val="1C5B108A"/>
    <w:multiLevelType w:val="hybridMultilevel"/>
    <w:tmpl w:val="9F62EDE8"/>
    <w:lvl w:ilvl="0" w:tplc="82E280E8">
      <w:start w:val="1"/>
      <w:numFmt w:val="bullet"/>
      <w:pStyle w:val="Bullet2"/>
      <w:lvlText w:val="o"/>
      <w:lvlJc w:val="left"/>
      <w:pPr>
        <w:tabs>
          <w:tab w:val="num" w:pos="720"/>
        </w:tabs>
        <w:ind w:left="720" w:hanging="360"/>
      </w:pPr>
      <w:rPr>
        <w:rFonts w:ascii="Courier New" w:hAnsi="Courier New" w:hint="default"/>
      </w:rPr>
    </w:lvl>
    <w:lvl w:ilvl="1" w:tplc="CC7C4B5C" w:tentative="1">
      <w:start w:val="1"/>
      <w:numFmt w:val="bullet"/>
      <w:lvlText w:val="o"/>
      <w:lvlJc w:val="left"/>
      <w:pPr>
        <w:tabs>
          <w:tab w:val="num" w:pos="1440"/>
        </w:tabs>
        <w:ind w:left="1440" w:hanging="360"/>
      </w:pPr>
      <w:rPr>
        <w:rFonts w:ascii="Courier New" w:hAnsi="Courier New" w:hint="default"/>
      </w:rPr>
    </w:lvl>
    <w:lvl w:ilvl="2" w:tplc="77F6998E" w:tentative="1">
      <w:start w:val="1"/>
      <w:numFmt w:val="bullet"/>
      <w:lvlText w:val=""/>
      <w:lvlJc w:val="left"/>
      <w:pPr>
        <w:tabs>
          <w:tab w:val="num" w:pos="2160"/>
        </w:tabs>
        <w:ind w:left="2160" w:hanging="360"/>
      </w:pPr>
      <w:rPr>
        <w:rFonts w:ascii="Wingdings" w:hAnsi="Wingdings" w:hint="default"/>
      </w:rPr>
    </w:lvl>
    <w:lvl w:ilvl="3" w:tplc="61CA0874" w:tentative="1">
      <w:start w:val="1"/>
      <w:numFmt w:val="bullet"/>
      <w:lvlText w:val=""/>
      <w:lvlJc w:val="left"/>
      <w:pPr>
        <w:tabs>
          <w:tab w:val="num" w:pos="2880"/>
        </w:tabs>
        <w:ind w:left="2880" w:hanging="360"/>
      </w:pPr>
      <w:rPr>
        <w:rFonts w:ascii="Symbol" w:hAnsi="Symbol" w:hint="default"/>
      </w:rPr>
    </w:lvl>
    <w:lvl w:ilvl="4" w:tplc="A58C6D90" w:tentative="1">
      <w:start w:val="1"/>
      <w:numFmt w:val="bullet"/>
      <w:lvlText w:val="o"/>
      <w:lvlJc w:val="left"/>
      <w:pPr>
        <w:tabs>
          <w:tab w:val="num" w:pos="3600"/>
        </w:tabs>
        <w:ind w:left="3600" w:hanging="360"/>
      </w:pPr>
      <w:rPr>
        <w:rFonts w:ascii="Courier New" w:hAnsi="Courier New" w:hint="default"/>
      </w:rPr>
    </w:lvl>
    <w:lvl w:ilvl="5" w:tplc="CF8A61F0" w:tentative="1">
      <w:start w:val="1"/>
      <w:numFmt w:val="bullet"/>
      <w:lvlText w:val=""/>
      <w:lvlJc w:val="left"/>
      <w:pPr>
        <w:tabs>
          <w:tab w:val="num" w:pos="4320"/>
        </w:tabs>
        <w:ind w:left="4320" w:hanging="360"/>
      </w:pPr>
      <w:rPr>
        <w:rFonts w:ascii="Wingdings" w:hAnsi="Wingdings" w:hint="default"/>
      </w:rPr>
    </w:lvl>
    <w:lvl w:ilvl="6" w:tplc="B978A902" w:tentative="1">
      <w:start w:val="1"/>
      <w:numFmt w:val="bullet"/>
      <w:lvlText w:val=""/>
      <w:lvlJc w:val="left"/>
      <w:pPr>
        <w:tabs>
          <w:tab w:val="num" w:pos="5040"/>
        </w:tabs>
        <w:ind w:left="5040" w:hanging="360"/>
      </w:pPr>
      <w:rPr>
        <w:rFonts w:ascii="Symbol" w:hAnsi="Symbol" w:hint="default"/>
      </w:rPr>
    </w:lvl>
    <w:lvl w:ilvl="7" w:tplc="23F01EC6" w:tentative="1">
      <w:start w:val="1"/>
      <w:numFmt w:val="bullet"/>
      <w:lvlText w:val="o"/>
      <w:lvlJc w:val="left"/>
      <w:pPr>
        <w:tabs>
          <w:tab w:val="num" w:pos="5760"/>
        </w:tabs>
        <w:ind w:left="5760" w:hanging="360"/>
      </w:pPr>
      <w:rPr>
        <w:rFonts w:ascii="Courier New" w:hAnsi="Courier New" w:hint="default"/>
      </w:rPr>
    </w:lvl>
    <w:lvl w:ilvl="8" w:tplc="0A54AD8E" w:tentative="1">
      <w:start w:val="1"/>
      <w:numFmt w:val="bullet"/>
      <w:lvlText w:val=""/>
      <w:lvlJc w:val="left"/>
      <w:pPr>
        <w:tabs>
          <w:tab w:val="num" w:pos="6480"/>
        </w:tabs>
        <w:ind w:left="6480" w:hanging="360"/>
      </w:pPr>
      <w:rPr>
        <w:rFonts w:ascii="Wingdings" w:hAnsi="Wingdings" w:hint="default"/>
      </w:rPr>
    </w:lvl>
  </w:abstractNum>
  <w:abstractNum w:abstractNumId="19">
    <w:nsid w:val="1E96271C"/>
    <w:multiLevelType w:val="hybridMultilevel"/>
    <w:tmpl w:val="4046303C"/>
    <w:lvl w:ilvl="0" w:tplc="A532135E">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0">
    <w:nsid w:val="1FBC14F1"/>
    <w:multiLevelType w:val="hybridMultilevel"/>
    <w:tmpl w:val="46545F54"/>
    <w:lvl w:ilvl="0" w:tplc="603A0FB2">
      <w:start w:val="21"/>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nsid w:val="22124EB6"/>
    <w:multiLevelType w:val="hybridMultilevel"/>
    <w:tmpl w:val="ABD8EDF4"/>
    <w:lvl w:ilvl="0" w:tplc="A532135E">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22">
    <w:nsid w:val="251D13B3"/>
    <w:multiLevelType w:val="hybridMultilevel"/>
    <w:tmpl w:val="F652400E"/>
    <w:lvl w:ilvl="0" w:tplc="54526206">
      <w:numFmt w:val="bullet"/>
      <w:lvlText w:val=""/>
      <w:lvlJc w:val="left"/>
      <w:pPr>
        <w:ind w:left="360" w:hanging="360"/>
      </w:pPr>
      <w:rPr>
        <w:rFonts w:ascii="Symbol" w:eastAsia="Calibri" w:hAnsi="Symbol"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nsid w:val="2C8E04D9"/>
    <w:multiLevelType w:val="hybridMultilevel"/>
    <w:tmpl w:val="501EF664"/>
    <w:lvl w:ilvl="0" w:tplc="A532135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nsid w:val="30F431A3"/>
    <w:multiLevelType w:val="hybridMultilevel"/>
    <w:tmpl w:val="CBC82ED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nsid w:val="329A7890"/>
    <w:multiLevelType w:val="multilevel"/>
    <w:tmpl w:val="F178159A"/>
    <w:lvl w:ilvl="0">
      <w:start w:val="1"/>
      <w:numFmt w:val="decimal"/>
      <w:pStyle w:val="Nadpis1"/>
      <w:lvlText w:val="%1"/>
      <w:lvlJc w:val="left"/>
      <w:pPr>
        <w:ind w:left="432" w:hanging="432"/>
      </w:pPr>
      <w:rPr>
        <w:rFonts w:asciiTheme="majorHAnsi" w:hAnsiTheme="majorHAnsi"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3981"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6">
    <w:nsid w:val="33086958"/>
    <w:multiLevelType w:val="hybridMultilevel"/>
    <w:tmpl w:val="2730C5C2"/>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nsid w:val="33935683"/>
    <w:multiLevelType w:val="hybridMultilevel"/>
    <w:tmpl w:val="73C24F16"/>
    <w:lvl w:ilvl="0" w:tplc="C51E8EC8">
      <w:start w:val="1"/>
      <w:numFmt w:val="bullet"/>
      <w:pStyle w:val="odrky1"/>
      <w:lvlText w:val=""/>
      <w:lvlJc w:val="left"/>
      <w:pPr>
        <w:ind w:left="360" w:hanging="360"/>
      </w:pPr>
      <w:rPr>
        <w:rFonts w:ascii="Wingdings" w:hAnsi="Wingdings" w:hint="default"/>
      </w:rPr>
    </w:lvl>
    <w:lvl w:ilvl="1" w:tplc="388A59D6">
      <w:start w:val="1"/>
      <w:numFmt w:val="bullet"/>
      <w:lvlText w:val="o"/>
      <w:lvlJc w:val="left"/>
      <w:pPr>
        <w:tabs>
          <w:tab w:val="num" w:pos="1440"/>
        </w:tabs>
        <w:ind w:left="1440" w:hanging="360"/>
      </w:pPr>
      <w:rPr>
        <w:rFonts w:ascii="Courier New" w:hAnsi="Courier New" w:hint="default"/>
      </w:rPr>
    </w:lvl>
    <w:lvl w:ilvl="2" w:tplc="EF065FE4">
      <w:start w:val="1"/>
      <w:numFmt w:val="bullet"/>
      <w:lvlText w:val=""/>
      <w:lvlJc w:val="left"/>
      <w:pPr>
        <w:tabs>
          <w:tab w:val="num" w:pos="2160"/>
        </w:tabs>
        <w:ind w:left="2160" w:hanging="360"/>
      </w:pPr>
      <w:rPr>
        <w:rFonts w:ascii="Wingdings" w:hAnsi="Wingdings" w:hint="default"/>
      </w:rPr>
    </w:lvl>
    <w:lvl w:ilvl="3" w:tplc="073604AC">
      <w:start w:val="1"/>
      <w:numFmt w:val="bullet"/>
      <w:lvlText w:val=""/>
      <w:lvlJc w:val="left"/>
      <w:pPr>
        <w:tabs>
          <w:tab w:val="num" w:pos="2880"/>
        </w:tabs>
        <w:ind w:left="2880" w:hanging="360"/>
      </w:pPr>
      <w:rPr>
        <w:rFonts w:ascii="Symbol" w:hAnsi="Symbol" w:hint="default"/>
      </w:rPr>
    </w:lvl>
    <w:lvl w:ilvl="4" w:tplc="AC5CD714">
      <w:start w:val="1"/>
      <w:numFmt w:val="bullet"/>
      <w:lvlText w:val="o"/>
      <w:lvlJc w:val="left"/>
      <w:pPr>
        <w:tabs>
          <w:tab w:val="num" w:pos="3600"/>
        </w:tabs>
        <w:ind w:left="3600" w:hanging="360"/>
      </w:pPr>
      <w:rPr>
        <w:rFonts w:ascii="Courier New" w:hAnsi="Courier New" w:hint="default"/>
      </w:rPr>
    </w:lvl>
    <w:lvl w:ilvl="5" w:tplc="C09A72AC">
      <w:start w:val="1"/>
      <w:numFmt w:val="bullet"/>
      <w:lvlText w:val=""/>
      <w:lvlJc w:val="left"/>
      <w:pPr>
        <w:tabs>
          <w:tab w:val="num" w:pos="4320"/>
        </w:tabs>
        <w:ind w:left="4320" w:hanging="360"/>
      </w:pPr>
      <w:rPr>
        <w:rFonts w:ascii="Wingdings" w:hAnsi="Wingdings" w:hint="default"/>
      </w:rPr>
    </w:lvl>
    <w:lvl w:ilvl="6" w:tplc="8BD4D9AE">
      <w:start w:val="1"/>
      <w:numFmt w:val="bullet"/>
      <w:lvlText w:val=""/>
      <w:lvlJc w:val="left"/>
      <w:pPr>
        <w:tabs>
          <w:tab w:val="num" w:pos="5040"/>
        </w:tabs>
        <w:ind w:left="5040" w:hanging="360"/>
      </w:pPr>
      <w:rPr>
        <w:rFonts w:ascii="Symbol" w:hAnsi="Symbol" w:hint="default"/>
      </w:rPr>
    </w:lvl>
    <w:lvl w:ilvl="7" w:tplc="7F9E43D0">
      <w:start w:val="1"/>
      <w:numFmt w:val="bullet"/>
      <w:lvlText w:val="o"/>
      <w:lvlJc w:val="left"/>
      <w:pPr>
        <w:tabs>
          <w:tab w:val="num" w:pos="5760"/>
        </w:tabs>
        <w:ind w:left="5760" w:hanging="360"/>
      </w:pPr>
      <w:rPr>
        <w:rFonts w:ascii="Courier New" w:hAnsi="Courier New" w:hint="default"/>
      </w:rPr>
    </w:lvl>
    <w:lvl w:ilvl="8" w:tplc="D28241EC">
      <w:start w:val="1"/>
      <w:numFmt w:val="bullet"/>
      <w:lvlText w:val=""/>
      <w:lvlJc w:val="left"/>
      <w:pPr>
        <w:tabs>
          <w:tab w:val="num" w:pos="6480"/>
        </w:tabs>
        <w:ind w:left="6480" w:hanging="360"/>
      </w:pPr>
      <w:rPr>
        <w:rFonts w:ascii="Wingdings" w:hAnsi="Wingdings" w:hint="default"/>
      </w:rPr>
    </w:lvl>
  </w:abstractNum>
  <w:abstractNum w:abstractNumId="28">
    <w:nsid w:val="345E4161"/>
    <w:multiLevelType w:val="multilevel"/>
    <w:tmpl w:val="DA26A34E"/>
    <w:lvl w:ilvl="0">
      <w:start w:val="1"/>
      <w:numFmt w:val="decimal"/>
      <w:pStyle w:val="Nadpes"/>
      <w:lvlText w:val="%1."/>
      <w:lvlJc w:val="left"/>
      <w:pPr>
        <w:tabs>
          <w:tab w:val="num" w:pos="360"/>
        </w:tabs>
        <w:ind w:left="0" w:firstLine="0"/>
      </w:pPr>
      <w:rPr>
        <w:rFonts w:hint="default"/>
      </w:rPr>
    </w:lvl>
    <w:lvl w:ilvl="1">
      <w:start w:val="1"/>
      <w:numFmt w:val="decimal"/>
      <w:pStyle w:val="Nadpepes"/>
      <w:lvlText w:val="%1.%2."/>
      <w:lvlJc w:val="left"/>
      <w:pPr>
        <w:tabs>
          <w:tab w:val="num" w:pos="720"/>
        </w:tabs>
        <w:ind w:left="284" w:hanging="284"/>
      </w:pPr>
      <w:rPr>
        <w:rFonts w:hint="default"/>
      </w:rPr>
    </w:lvl>
    <w:lvl w:ilvl="2">
      <w:start w:val="1"/>
      <w:numFmt w:val="decimal"/>
      <w:pStyle w:val="Nadpepepes"/>
      <w:lvlText w:val="%1.%2.%3."/>
      <w:lvlJc w:val="left"/>
      <w:pPr>
        <w:tabs>
          <w:tab w:val="num" w:pos="720"/>
        </w:tabs>
        <w:ind w:left="284" w:hanging="28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36534455"/>
    <w:multiLevelType w:val="hybridMultilevel"/>
    <w:tmpl w:val="43C8E2C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nsid w:val="37A571CA"/>
    <w:multiLevelType w:val="hybridMultilevel"/>
    <w:tmpl w:val="5D5E614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nsid w:val="3F207B55"/>
    <w:multiLevelType w:val="hybridMultilevel"/>
    <w:tmpl w:val="CF52265C"/>
    <w:lvl w:ilvl="0" w:tplc="D432FB6A">
      <w:start w:val="1"/>
      <w:numFmt w:val="bullet"/>
      <w:pStyle w:val="neslovanseznam3"/>
      <w:lvlText w:val=""/>
      <w:lvlJc w:val="left"/>
      <w:pPr>
        <w:tabs>
          <w:tab w:val="num" w:pos="1074"/>
        </w:tabs>
        <w:ind w:left="1074" w:hanging="360"/>
      </w:pPr>
      <w:rPr>
        <w:rFonts w:ascii="Symbol" w:hAnsi="Symbol"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41977E2B"/>
    <w:multiLevelType w:val="hybridMultilevel"/>
    <w:tmpl w:val="EF121946"/>
    <w:lvl w:ilvl="0" w:tplc="04050017">
      <w:start w:val="1"/>
      <w:numFmt w:val="lowerLetter"/>
      <w:lvlText w:val="%1)"/>
      <w:lvlJc w:val="left"/>
      <w:pPr>
        <w:ind w:left="360" w:hanging="360"/>
      </w:pPr>
      <w:rPr>
        <w:rFonts w:hint="default"/>
      </w:rPr>
    </w:lvl>
    <w:lvl w:ilvl="1" w:tplc="DAB88324">
      <w:start w:val="1"/>
      <w:numFmt w:val="lowerRoman"/>
      <w:lvlText w:val="(%2)"/>
      <w:lvlJc w:val="left"/>
      <w:pPr>
        <w:ind w:left="1440" w:hanging="72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nsid w:val="43391C9E"/>
    <w:multiLevelType w:val="multilevel"/>
    <w:tmpl w:val="45344E96"/>
    <w:lvl w:ilvl="0">
      <w:start w:val="1"/>
      <w:numFmt w:val="decimal"/>
      <w:lvlText w:val="%1"/>
      <w:lvlJc w:val="left"/>
      <w:pPr>
        <w:ind w:left="432" w:hanging="432"/>
      </w:pPr>
      <w:rPr>
        <w:rFonts w:asciiTheme="majorHAnsi" w:hAnsiTheme="majorHAnsi" w:hint="default"/>
      </w:rPr>
    </w:lvl>
    <w:lvl w:ilvl="1">
      <w:start w:val="1"/>
      <w:numFmt w:val="upperLetter"/>
      <w:lvlText w:val="%2."/>
      <w:lvlJc w:val="left"/>
      <w:pPr>
        <w:ind w:left="576" w:hanging="576"/>
      </w:pPr>
      <w:rPr>
        <w:rFonts w:hint="default"/>
      </w:rPr>
    </w:lvl>
    <w:lvl w:ilvl="2">
      <w:start w:val="1"/>
      <w:numFmt w:val="decimal"/>
      <w:pStyle w:val="Nadpis3a"/>
      <w:lvlText w:val="%2.%3"/>
      <w:lvlJc w:val="left"/>
      <w:pPr>
        <w:ind w:left="720"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438C1AAD"/>
    <w:multiLevelType w:val="hybridMultilevel"/>
    <w:tmpl w:val="26C0D99C"/>
    <w:lvl w:ilvl="0" w:tplc="A532135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nsid w:val="43B4034D"/>
    <w:multiLevelType w:val="hybridMultilevel"/>
    <w:tmpl w:val="AAA63F98"/>
    <w:lvl w:ilvl="0" w:tplc="A532135E">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6">
    <w:nsid w:val="444C6C4F"/>
    <w:multiLevelType w:val="hybridMultilevel"/>
    <w:tmpl w:val="C2361FAE"/>
    <w:lvl w:ilvl="0" w:tplc="8CFE4CA4">
      <w:start w:val="1"/>
      <w:numFmt w:val="bullet"/>
      <w:pStyle w:val="neslovanseznam4"/>
      <w:lvlText w:val="◊"/>
      <w:lvlJc w:val="left"/>
      <w:pPr>
        <w:tabs>
          <w:tab w:val="num" w:pos="1432"/>
        </w:tabs>
        <w:ind w:left="1432" w:hanging="360"/>
      </w:pPr>
      <w:rPr>
        <w:rFonts w:ascii="Courier New" w:hAnsi="Courier New" w:hint="default"/>
      </w:rPr>
    </w:lvl>
    <w:lvl w:ilvl="1" w:tplc="04050019" w:tentative="1">
      <w:start w:val="1"/>
      <w:numFmt w:val="lowerLetter"/>
      <w:lvlText w:val="%2."/>
      <w:lvlJc w:val="left"/>
      <w:pPr>
        <w:tabs>
          <w:tab w:val="num" w:pos="2869"/>
        </w:tabs>
        <w:ind w:left="2869" w:hanging="360"/>
      </w:pPr>
    </w:lvl>
    <w:lvl w:ilvl="2" w:tplc="0405001B" w:tentative="1">
      <w:start w:val="1"/>
      <w:numFmt w:val="lowerRoman"/>
      <w:lvlText w:val="%3."/>
      <w:lvlJc w:val="right"/>
      <w:pPr>
        <w:tabs>
          <w:tab w:val="num" w:pos="3589"/>
        </w:tabs>
        <w:ind w:left="3589" w:hanging="180"/>
      </w:pPr>
    </w:lvl>
    <w:lvl w:ilvl="3" w:tplc="0405000F" w:tentative="1">
      <w:start w:val="1"/>
      <w:numFmt w:val="decimal"/>
      <w:lvlText w:val="%4."/>
      <w:lvlJc w:val="left"/>
      <w:pPr>
        <w:tabs>
          <w:tab w:val="num" w:pos="4309"/>
        </w:tabs>
        <w:ind w:left="4309" w:hanging="360"/>
      </w:pPr>
    </w:lvl>
    <w:lvl w:ilvl="4" w:tplc="04050019" w:tentative="1">
      <w:start w:val="1"/>
      <w:numFmt w:val="lowerLetter"/>
      <w:lvlText w:val="%5."/>
      <w:lvlJc w:val="left"/>
      <w:pPr>
        <w:tabs>
          <w:tab w:val="num" w:pos="5029"/>
        </w:tabs>
        <w:ind w:left="5029" w:hanging="360"/>
      </w:pPr>
    </w:lvl>
    <w:lvl w:ilvl="5" w:tplc="0405001B" w:tentative="1">
      <w:start w:val="1"/>
      <w:numFmt w:val="lowerRoman"/>
      <w:lvlText w:val="%6."/>
      <w:lvlJc w:val="right"/>
      <w:pPr>
        <w:tabs>
          <w:tab w:val="num" w:pos="5749"/>
        </w:tabs>
        <w:ind w:left="5749" w:hanging="180"/>
      </w:pPr>
    </w:lvl>
    <w:lvl w:ilvl="6" w:tplc="0405000F" w:tentative="1">
      <w:start w:val="1"/>
      <w:numFmt w:val="decimal"/>
      <w:lvlText w:val="%7."/>
      <w:lvlJc w:val="left"/>
      <w:pPr>
        <w:tabs>
          <w:tab w:val="num" w:pos="6469"/>
        </w:tabs>
        <w:ind w:left="6469" w:hanging="360"/>
      </w:pPr>
    </w:lvl>
    <w:lvl w:ilvl="7" w:tplc="04050019" w:tentative="1">
      <w:start w:val="1"/>
      <w:numFmt w:val="lowerLetter"/>
      <w:lvlText w:val="%8."/>
      <w:lvlJc w:val="left"/>
      <w:pPr>
        <w:tabs>
          <w:tab w:val="num" w:pos="7189"/>
        </w:tabs>
        <w:ind w:left="7189" w:hanging="360"/>
      </w:pPr>
    </w:lvl>
    <w:lvl w:ilvl="8" w:tplc="0405001B" w:tentative="1">
      <w:start w:val="1"/>
      <w:numFmt w:val="lowerRoman"/>
      <w:lvlText w:val="%9."/>
      <w:lvlJc w:val="right"/>
      <w:pPr>
        <w:tabs>
          <w:tab w:val="num" w:pos="7909"/>
        </w:tabs>
        <w:ind w:left="7909" w:hanging="180"/>
      </w:pPr>
    </w:lvl>
  </w:abstractNum>
  <w:abstractNum w:abstractNumId="37">
    <w:nsid w:val="44E55798"/>
    <w:multiLevelType w:val="multilevel"/>
    <w:tmpl w:val="2C949522"/>
    <w:styleLink w:val="seznamliteratury"/>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456B50DB"/>
    <w:multiLevelType w:val="hybridMultilevel"/>
    <w:tmpl w:val="4AB430C4"/>
    <w:lvl w:ilvl="0" w:tplc="28A8273A">
      <w:start w:val="1"/>
      <w:numFmt w:val="bullet"/>
      <w:pStyle w:val="Odraky2"/>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9">
    <w:nsid w:val="459811CB"/>
    <w:multiLevelType w:val="hybridMultilevel"/>
    <w:tmpl w:val="8B7C9718"/>
    <w:lvl w:ilvl="0" w:tplc="D6147BFA">
      <w:start w:val="1"/>
      <w:numFmt w:val="lowerRoman"/>
      <w:pStyle w:val="slovanseznam30"/>
      <w:lvlText w:val="%1."/>
      <w:lvlJc w:val="left"/>
      <w:pPr>
        <w:tabs>
          <w:tab w:val="num" w:pos="1072"/>
        </w:tabs>
        <w:ind w:left="1074"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nsid w:val="49BF7390"/>
    <w:multiLevelType w:val="hybridMultilevel"/>
    <w:tmpl w:val="50DEE52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41">
    <w:nsid w:val="4B024D5A"/>
    <w:multiLevelType w:val="hybridMultilevel"/>
    <w:tmpl w:val="5F84CED4"/>
    <w:lvl w:ilvl="0" w:tplc="A532135E">
      <w:start w:val="1"/>
      <w:numFmt w:val="bullet"/>
      <w:lvlText w:val=""/>
      <w:lvlJc w:val="left"/>
      <w:pPr>
        <w:ind w:left="716" w:hanging="360"/>
      </w:pPr>
      <w:rPr>
        <w:rFonts w:ascii="Symbol" w:hAnsi="Symbol" w:hint="default"/>
      </w:rPr>
    </w:lvl>
    <w:lvl w:ilvl="1" w:tplc="04050003" w:tentative="1">
      <w:start w:val="1"/>
      <w:numFmt w:val="bullet"/>
      <w:lvlText w:val="o"/>
      <w:lvlJc w:val="left"/>
      <w:pPr>
        <w:ind w:left="1436" w:hanging="360"/>
      </w:pPr>
      <w:rPr>
        <w:rFonts w:ascii="Courier New" w:hAnsi="Courier New" w:cs="Courier New" w:hint="default"/>
      </w:rPr>
    </w:lvl>
    <w:lvl w:ilvl="2" w:tplc="04050005" w:tentative="1">
      <w:start w:val="1"/>
      <w:numFmt w:val="bullet"/>
      <w:lvlText w:val=""/>
      <w:lvlJc w:val="left"/>
      <w:pPr>
        <w:ind w:left="2156" w:hanging="360"/>
      </w:pPr>
      <w:rPr>
        <w:rFonts w:ascii="Wingdings" w:hAnsi="Wingdings" w:hint="default"/>
      </w:rPr>
    </w:lvl>
    <w:lvl w:ilvl="3" w:tplc="04050001" w:tentative="1">
      <w:start w:val="1"/>
      <w:numFmt w:val="bullet"/>
      <w:lvlText w:val=""/>
      <w:lvlJc w:val="left"/>
      <w:pPr>
        <w:ind w:left="2876" w:hanging="360"/>
      </w:pPr>
      <w:rPr>
        <w:rFonts w:ascii="Symbol" w:hAnsi="Symbol" w:hint="default"/>
      </w:rPr>
    </w:lvl>
    <w:lvl w:ilvl="4" w:tplc="04050003" w:tentative="1">
      <w:start w:val="1"/>
      <w:numFmt w:val="bullet"/>
      <w:lvlText w:val="o"/>
      <w:lvlJc w:val="left"/>
      <w:pPr>
        <w:ind w:left="3596" w:hanging="360"/>
      </w:pPr>
      <w:rPr>
        <w:rFonts w:ascii="Courier New" w:hAnsi="Courier New" w:cs="Courier New" w:hint="default"/>
      </w:rPr>
    </w:lvl>
    <w:lvl w:ilvl="5" w:tplc="04050005" w:tentative="1">
      <w:start w:val="1"/>
      <w:numFmt w:val="bullet"/>
      <w:lvlText w:val=""/>
      <w:lvlJc w:val="left"/>
      <w:pPr>
        <w:ind w:left="4316" w:hanging="360"/>
      </w:pPr>
      <w:rPr>
        <w:rFonts w:ascii="Wingdings" w:hAnsi="Wingdings" w:hint="default"/>
      </w:rPr>
    </w:lvl>
    <w:lvl w:ilvl="6" w:tplc="04050001" w:tentative="1">
      <w:start w:val="1"/>
      <w:numFmt w:val="bullet"/>
      <w:lvlText w:val=""/>
      <w:lvlJc w:val="left"/>
      <w:pPr>
        <w:ind w:left="5036" w:hanging="360"/>
      </w:pPr>
      <w:rPr>
        <w:rFonts w:ascii="Symbol" w:hAnsi="Symbol" w:hint="default"/>
      </w:rPr>
    </w:lvl>
    <w:lvl w:ilvl="7" w:tplc="04050003" w:tentative="1">
      <w:start w:val="1"/>
      <w:numFmt w:val="bullet"/>
      <w:lvlText w:val="o"/>
      <w:lvlJc w:val="left"/>
      <w:pPr>
        <w:ind w:left="5756" w:hanging="360"/>
      </w:pPr>
      <w:rPr>
        <w:rFonts w:ascii="Courier New" w:hAnsi="Courier New" w:cs="Courier New" w:hint="default"/>
      </w:rPr>
    </w:lvl>
    <w:lvl w:ilvl="8" w:tplc="04050005" w:tentative="1">
      <w:start w:val="1"/>
      <w:numFmt w:val="bullet"/>
      <w:lvlText w:val=""/>
      <w:lvlJc w:val="left"/>
      <w:pPr>
        <w:ind w:left="6476" w:hanging="360"/>
      </w:pPr>
      <w:rPr>
        <w:rFonts w:ascii="Wingdings" w:hAnsi="Wingdings" w:hint="default"/>
      </w:rPr>
    </w:lvl>
  </w:abstractNum>
  <w:abstractNum w:abstractNumId="42">
    <w:nsid w:val="4CB4640A"/>
    <w:multiLevelType w:val="hybridMultilevel"/>
    <w:tmpl w:val="2C90E5CC"/>
    <w:lvl w:ilvl="0" w:tplc="A532135E">
      <w:start w:val="1"/>
      <w:numFmt w:val="bullet"/>
      <w:lvlText w:val=""/>
      <w:lvlJc w:val="left"/>
      <w:pPr>
        <w:ind w:left="716" w:hanging="360"/>
      </w:pPr>
      <w:rPr>
        <w:rFonts w:ascii="Symbol" w:hAnsi="Symbol" w:hint="default"/>
      </w:rPr>
    </w:lvl>
    <w:lvl w:ilvl="1" w:tplc="04050003" w:tentative="1">
      <w:start w:val="1"/>
      <w:numFmt w:val="bullet"/>
      <w:lvlText w:val="o"/>
      <w:lvlJc w:val="left"/>
      <w:pPr>
        <w:ind w:left="1436" w:hanging="360"/>
      </w:pPr>
      <w:rPr>
        <w:rFonts w:ascii="Courier New" w:hAnsi="Courier New" w:cs="Courier New" w:hint="default"/>
      </w:rPr>
    </w:lvl>
    <w:lvl w:ilvl="2" w:tplc="04050005" w:tentative="1">
      <w:start w:val="1"/>
      <w:numFmt w:val="bullet"/>
      <w:lvlText w:val=""/>
      <w:lvlJc w:val="left"/>
      <w:pPr>
        <w:ind w:left="2156" w:hanging="360"/>
      </w:pPr>
      <w:rPr>
        <w:rFonts w:ascii="Wingdings" w:hAnsi="Wingdings" w:hint="default"/>
      </w:rPr>
    </w:lvl>
    <w:lvl w:ilvl="3" w:tplc="04050001" w:tentative="1">
      <w:start w:val="1"/>
      <w:numFmt w:val="bullet"/>
      <w:lvlText w:val=""/>
      <w:lvlJc w:val="left"/>
      <w:pPr>
        <w:ind w:left="2876" w:hanging="360"/>
      </w:pPr>
      <w:rPr>
        <w:rFonts w:ascii="Symbol" w:hAnsi="Symbol" w:hint="default"/>
      </w:rPr>
    </w:lvl>
    <w:lvl w:ilvl="4" w:tplc="04050003" w:tentative="1">
      <w:start w:val="1"/>
      <w:numFmt w:val="bullet"/>
      <w:lvlText w:val="o"/>
      <w:lvlJc w:val="left"/>
      <w:pPr>
        <w:ind w:left="3596" w:hanging="360"/>
      </w:pPr>
      <w:rPr>
        <w:rFonts w:ascii="Courier New" w:hAnsi="Courier New" w:cs="Courier New" w:hint="default"/>
      </w:rPr>
    </w:lvl>
    <w:lvl w:ilvl="5" w:tplc="04050005" w:tentative="1">
      <w:start w:val="1"/>
      <w:numFmt w:val="bullet"/>
      <w:lvlText w:val=""/>
      <w:lvlJc w:val="left"/>
      <w:pPr>
        <w:ind w:left="4316" w:hanging="360"/>
      </w:pPr>
      <w:rPr>
        <w:rFonts w:ascii="Wingdings" w:hAnsi="Wingdings" w:hint="default"/>
      </w:rPr>
    </w:lvl>
    <w:lvl w:ilvl="6" w:tplc="04050001" w:tentative="1">
      <w:start w:val="1"/>
      <w:numFmt w:val="bullet"/>
      <w:lvlText w:val=""/>
      <w:lvlJc w:val="left"/>
      <w:pPr>
        <w:ind w:left="5036" w:hanging="360"/>
      </w:pPr>
      <w:rPr>
        <w:rFonts w:ascii="Symbol" w:hAnsi="Symbol" w:hint="default"/>
      </w:rPr>
    </w:lvl>
    <w:lvl w:ilvl="7" w:tplc="04050003" w:tentative="1">
      <w:start w:val="1"/>
      <w:numFmt w:val="bullet"/>
      <w:lvlText w:val="o"/>
      <w:lvlJc w:val="left"/>
      <w:pPr>
        <w:ind w:left="5756" w:hanging="360"/>
      </w:pPr>
      <w:rPr>
        <w:rFonts w:ascii="Courier New" w:hAnsi="Courier New" w:cs="Courier New" w:hint="default"/>
      </w:rPr>
    </w:lvl>
    <w:lvl w:ilvl="8" w:tplc="04050005" w:tentative="1">
      <w:start w:val="1"/>
      <w:numFmt w:val="bullet"/>
      <w:lvlText w:val=""/>
      <w:lvlJc w:val="left"/>
      <w:pPr>
        <w:ind w:left="6476" w:hanging="360"/>
      </w:pPr>
      <w:rPr>
        <w:rFonts w:ascii="Wingdings" w:hAnsi="Wingdings" w:hint="default"/>
      </w:rPr>
    </w:lvl>
  </w:abstractNum>
  <w:abstractNum w:abstractNumId="43">
    <w:nsid w:val="4F610EF2"/>
    <w:multiLevelType w:val="hybridMultilevel"/>
    <w:tmpl w:val="F2C07988"/>
    <w:lvl w:ilvl="0" w:tplc="04050011">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F0301E40">
      <w:start w:val="1"/>
      <w:numFmt w:val="lowerLetter"/>
      <w:lvlText w:val="%3)"/>
      <w:lvlJc w:val="left"/>
      <w:pPr>
        <w:ind w:left="1800" w:hanging="360"/>
      </w:pPr>
      <w:rPr>
        <w:rFont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nsid w:val="51F26F75"/>
    <w:multiLevelType w:val="hybridMultilevel"/>
    <w:tmpl w:val="71AAFF04"/>
    <w:lvl w:ilvl="0" w:tplc="04050001">
      <w:start w:val="1"/>
      <w:numFmt w:val="bullet"/>
      <w:pStyle w:val="Bullet1"/>
      <w:lvlText w:val=""/>
      <w:lvlJc w:val="left"/>
      <w:pPr>
        <w:tabs>
          <w:tab w:val="num" w:pos="567"/>
        </w:tabs>
        <w:ind w:left="567" w:hanging="39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535230BA"/>
    <w:multiLevelType w:val="hybridMultilevel"/>
    <w:tmpl w:val="01F6AC8A"/>
    <w:lvl w:ilvl="0" w:tplc="C76ACC00">
      <w:start w:val="1"/>
      <w:numFmt w:val="lowerLetter"/>
      <w:pStyle w:val="slovanseznam2"/>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nsid w:val="546C73DE"/>
    <w:multiLevelType w:val="hybridMultilevel"/>
    <w:tmpl w:val="C2560ABC"/>
    <w:lvl w:ilvl="0" w:tplc="603A0FB2">
      <w:start w:val="21"/>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
    <w:nsid w:val="57995F18"/>
    <w:multiLevelType w:val="hybridMultilevel"/>
    <w:tmpl w:val="B2C4B87E"/>
    <w:lvl w:ilvl="0" w:tplc="04050017">
      <w:start w:val="1"/>
      <w:numFmt w:val="lowerLetter"/>
      <w:lvlText w:val="%1)"/>
      <w:lvlJc w:val="left"/>
      <w:pPr>
        <w:ind w:left="719" w:hanging="360"/>
      </w:pPr>
    </w:lvl>
    <w:lvl w:ilvl="1" w:tplc="04050019">
      <w:start w:val="1"/>
      <w:numFmt w:val="lowerLetter"/>
      <w:lvlText w:val="%2."/>
      <w:lvlJc w:val="left"/>
      <w:pPr>
        <w:ind w:left="1439" w:hanging="360"/>
      </w:pPr>
    </w:lvl>
    <w:lvl w:ilvl="2" w:tplc="04050017">
      <w:start w:val="1"/>
      <w:numFmt w:val="lowerLetter"/>
      <w:lvlText w:val="%3)"/>
      <w:lvlJc w:val="left"/>
      <w:pPr>
        <w:ind w:left="2159" w:hanging="180"/>
      </w:pPr>
    </w:lvl>
    <w:lvl w:ilvl="3" w:tplc="0405000F" w:tentative="1">
      <w:start w:val="1"/>
      <w:numFmt w:val="decimal"/>
      <w:lvlText w:val="%4."/>
      <w:lvlJc w:val="left"/>
      <w:pPr>
        <w:ind w:left="2879" w:hanging="360"/>
      </w:pPr>
    </w:lvl>
    <w:lvl w:ilvl="4" w:tplc="04050019" w:tentative="1">
      <w:start w:val="1"/>
      <w:numFmt w:val="lowerLetter"/>
      <w:lvlText w:val="%5."/>
      <w:lvlJc w:val="left"/>
      <w:pPr>
        <w:ind w:left="3599" w:hanging="360"/>
      </w:pPr>
    </w:lvl>
    <w:lvl w:ilvl="5" w:tplc="0405001B" w:tentative="1">
      <w:start w:val="1"/>
      <w:numFmt w:val="lowerRoman"/>
      <w:lvlText w:val="%6."/>
      <w:lvlJc w:val="right"/>
      <w:pPr>
        <w:ind w:left="4319" w:hanging="180"/>
      </w:pPr>
    </w:lvl>
    <w:lvl w:ilvl="6" w:tplc="0405000F" w:tentative="1">
      <w:start w:val="1"/>
      <w:numFmt w:val="decimal"/>
      <w:lvlText w:val="%7."/>
      <w:lvlJc w:val="left"/>
      <w:pPr>
        <w:ind w:left="5039" w:hanging="360"/>
      </w:pPr>
    </w:lvl>
    <w:lvl w:ilvl="7" w:tplc="04050019" w:tentative="1">
      <w:start w:val="1"/>
      <w:numFmt w:val="lowerLetter"/>
      <w:lvlText w:val="%8."/>
      <w:lvlJc w:val="left"/>
      <w:pPr>
        <w:ind w:left="5759" w:hanging="360"/>
      </w:pPr>
    </w:lvl>
    <w:lvl w:ilvl="8" w:tplc="0405001B" w:tentative="1">
      <w:start w:val="1"/>
      <w:numFmt w:val="lowerRoman"/>
      <w:lvlText w:val="%9."/>
      <w:lvlJc w:val="right"/>
      <w:pPr>
        <w:ind w:left="6479" w:hanging="180"/>
      </w:pPr>
    </w:lvl>
  </w:abstractNum>
  <w:abstractNum w:abstractNumId="48">
    <w:nsid w:val="59D86FB7"/>
    <w:multiLevelType w:val="hybridMultilevel"/>
    <w:tmpl w:val="3976D39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9">
    <w:nsid w:val="5B57623B"/>
    <w:multiLevelType w:val="hybridMultilevel"/>
    <w:tmpl w:val="86C0D7F6"/>
    <w:lvl w:ilvl="0" w:tplc="D6AC1F7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0">
    <w:nsid w:val="5C381702"/>
    <w:multiLevelType w:val="hybridMultilevel"/>
    <w:tmpl w:val="2730C5C2"/>
    <w:lvl w:ilvl="0" w:tplc="04050017">
      <w:start w:val="1"/>
      <w:numFmt w:val="lowerLetter"/>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1">
    <w:nsid w:val="5C7006B0"/>
    <w:multiLevelType w:val="hybridMultilevel"/>
    <w:tmpl w:val="F91672DA"/>
    <w:lvl w:ilvl="0" w:tplc="AFA49EF6">
      <w:start w:val="1"/>
      <w:numFmt w:val="bullet"/>
      <w:pStyle w:val="Odraky1"/>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5FBA3BC8"/>
    <w:multiLevelType w:val="hybridMultilevel"/>
    <w:tmpl w:val="2730C5C2"/>
    <w:lvl w:ilvl="0" w:tplc="04050017">
      <w:start w:val="1"/>
      <w:numFmt w:val="lowerLetter"/>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3">
    <w:nsid w:val="60346EDA"/>
    <w:multiLevelType w:val="hybridMultilevel"/>
    <w:tmpl w:val="2730C5C2"/>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4">
    <w:nsid w:val="60DB06D2"/>
    <w:multiLevelType w:val="hybridMultilevel"/>
    <w:tmpl w:val="A9FA6DB8"/>
    <w:lvl w:ilvl="0" w:tplc="603A0FB2">
      <w:start w:val="21"/>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5">
    <w:nsid w:val="61B818E1"/>
    <w:multiLevelType w:val="hybridMultilevel"/>
    <w:tmpl w:val="5842344A"/>
    <w:lvl w:ilvl="0" w:tplc="04050011">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6">
    <w:nsid w:val="62C850AC"/>
    <w:multiLevelType w:val="hybridMultilevel"/>
    <w:tmpl w:val="A1D61B1E"/>
    <w:lvl w:ilvl="0" w:tplc="0409000F">
      <w:start w:val="1"/>
      <w:numFmt w:val="bullet"/>
      <w:pStyle w:val="OdrazkaIstav"/>
      <w:lvlText w:val=""/>
      <w:lvlJc w:val="left"/>
      <w:pPr>
        <w:tabs>
          <w:tab w:val="num" w:pos="388"/>
        </w:tabs>
        <w:ind w:left="388" w:hanging="360"/>
      </w:pPr>
      <w:rPr>
        <w:rFonts w:ascii="Wingdings" w:hAnsi="Wingdings" w:cs="Wingdings" w:hint="default"/>
        <w:color w:val="auto"/>
        <w:sz w:val="20"/>
        <w:szCs w:val="20"/>
      </w:rPr>
    </w:lvl>
    <w:lvl w:ilvl="1" w:tplc="04090019">
      <w:start w:val="6"/>
      <w:numFmt w:val="bullet"/>
      <w:lvlText w:val="-"/>
      <w:lvlJc w:val="left"/>
      <w:pPr>
        <w:tabs>
          <w:tab w:val="num" w:pos="1108"/>
        </w:tabs>
        <w:ind w:left="1108" w:hanging="360"/>
      </w:pPr>
      <w:rPr>
        <w:rFonts w:ascii="Arial" w:eastAsia="Times New Roman" w:hAnsi="Arial" w:cs="Times New Roman" w:hint="default"/>
      </w:rPr>
    </w:lvl>
    <w:lvl w:ilvl="2" w:tplc="0409001B">
      <w:start w:val="1"/>
      <w:numFmt w:val="bullet"/>
      <w:lvlText w:val=""/>
      <w:lvlJc w:val="left"/>
      <w:pPr>
        <w:tabs>
          <w:tab w:val="num" w:pos="1828"/>
        </w:tabs>
        <w:ind w:left="1828" w:hanging="360"/>
      </w:pPr>
      <w:rPr>
        <w:rFonts w:ascii="Wingdings" w:hAnsi="Wingdings" w:cs="Wingdings" w:hint="default"/>
      </w:rPr>
    </w:lvl>
    <w:lvl w:ilvl="3" w:tplc="0409000F">
      <w:start w:val="1"/>
      <w:numFmt w:val="bullet"/>
      <w:lvlText w:val=""/>
      <w:lvlJc w:val="left"/>
      <w:pPr>
        <w:tabs>
          <w:tab w:val="num" w:pos="2548"/>
        </w:tabs>
        <w:ind w:left="2548" w:hanging="360"/>
      </w:pPr>
      <w:rPr>
        <w:rFonts w:ascii="Symbol" w:hAnsi="Symbol" w:cs="Symbol" w:hint="default"/>
      </w:rPr>
    </w:lvl>
    <w:lvl w:ilvl="4" w:tplc="04090019">
      <w:start w:val="1"/>
      <w:numFmt w:val="bullet"/>
      <w:lvlText w:val="o"/>
      <w:lvlJc w:val="left"/>
      <w:pPr>
        <w:tabs>
          <w:tab w:val="num" w:pos="3268"/>
        </w:tabs>
        <w:ind w:left="3268" w:hanging="360"/>
      </w:pPr>
      <w:rPr>
        <w:rFonts w:ascii="Courier New" w:hAnsi="Courier New" w:cs="Courier New" w:hint="default"/>
      </w:rPr>
    </w:lvl>
    <w:lvl w:ilvl="5" w:tplc="0409001B">
      <w:start w:val="1"/>
      <w:numFmt w:val="bullet"/>
      <w:lvlText w:val=""/>
      <w:lvlJc w:val="left"/>
      <w:pPr>
        <w:tabs>
          <w:tab w:val="num" w:pos="3988"/>
        </w:tabs>
        <w:ind w:left="3988" w:hanging="360"/>
      </w:pPr>
      <w:rPr>
        <w:rFonts w:ascii="Wingdings" w:hAnsi="Wingdings" w:cs="Wingdings" w:hint="default"/>
      </w:rPr>
    </w:lvl>
    <w:lvl w:ilvl="6" w:tplc="0409000F">
      <w:start w:val="1"/>
      <w:numFmt w:val="bullet"/>
      <w:lvlText w:val=""/>
      <w:lvlJc w:val="left"/>
      <w:pPr>
        <w:tabs>
          <w:tab w:val="num" w:pos="4708"/>
        </w:tabs>
        <w:ind w:left="4708" w:hanging="360"/>
      </w:pPr>
      <w:rPr>
        <w:rFonts w:ascii="Symbol" w:hAnsi="Symbol" w:cs="Symbol" w:hint="default"/>
      </w:rPr>
    </w:lvl>
    <w:lvl w:ilvl="7" w:tplc="04090019">
      <w:start w:val="1"/>
      <w:numFmt w:val="bullet"/>
      <w:lvlText w:val="o"/>
      <w:lvlJc w:val="left"/>
      <w:pPr>
        <w:tabs>
          <w:tab w:val="num" w:pos="5428"/>
        </w:tabs>
        <w:ind w:left="5428" w:hanging="360"/>
      </w:pPr>
      <w:rPr>
        <w:rFonts w:ascii="Courier New" w:hAnsi="Courier New" w:cs="Courier New" w:hint="default"/>
      </w:rPr>
    </w:lvl>
    <w:lvl w:ilvl="8" w:tplc="0409001B">
      <w:start w:val="1"/>
      <w:numFmt w:val="bullet"/>
      <w:lvlText w:val=""/>
      <w:lvlJc w:val="left"/>
      <w:pPr>
        <w:tabs>
          <w:tab w:val="num" w:pos="6148"/>
        </w:tabs>
        <w:ind w:left="6148" w:hanging="360"/>
      </w:pPr>
      <w:rPr>
        <w:rFonts w:ascii="Wingdings" w:hAnsi="Wingdings" w:cs="Wingdings" w:hint="default"/>
      </w:rPr>
    </w:lvl>
  </w:abstractNum>
  <w:abstractNum w:abstractNumId="57">
    <w:nsid w:val="6578686E"/>
    <w:multiLevelType w:val="hybridMultilevel"/>
    <w:tmpl w:val="016AA782"/>
    <w:lvl w:ilvl="0" w:tplc="9594D6F4">
      <w:start w:val="1"/>
      <w:numFmt w:val="decimal"/>
      <w:pStyle w:val="slovanseznam"/>
      <w:lvlText w:val="%1."/>
      <w:lvlJc w:val="left"/>
      <w:pPr>
        <w:tabs>
          <w:tab w:val="num" w:pos="357"/>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8">
    <w:nsid w:val="658B4263"/>
    <w:multiLevelType w:val="hybridMultilevel"/>
    <w:tmpl w:val="1BF4CE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9">
    <w:nsid w:val="6AAF1A1F"/>
    <w:multiLevelType w:val="multilevel"/>
    <w:tmpl w:val="1EE46C5A"/>
    <w:lvl w:ilvl="0">
      <w:start w:val="1"/>
      <w:numFmt w:val="decimal"/>
      <w:pStyle w:val="Textodstavce"/>
      <w:isLgl/>
      <w:lvlText w:val="(%1)"/>
      <w:lvlJc w:val="left"/>
      <w:pPr>
        <w:tabs>
          <w:tab w:val="num" w:pos="786"/>
        </w:tabs>
        <w:ind w:left="1" w:firstLine="425"/>
      </w:pPr>
      <w:rPr>
        <w:rFonts w:hint="default"/>
      </w:rPr>
    </w:lvl>
    <w:lvl w:ilvl="1">
      <w:start w:val="1"/>
      <w:numFmt w:val="lowerLetter"/>
      <w:pStyle w:val="Textpsmene"/>
      <w:lvlText w:val="%2)"/>
      <w:lvlJc w:val="left"/>
      <w:pPr>
        <w:tabs>
          <w:tab w:val="num" w:pos="426"/>
        </w:tabs>
        <w:ind w:left="426" w:hanging="425"/>
      </w:pPr>
      <w:rPr>
        <w:rFonts w:hint="default"/>
      </w:rPr>
    </w:lvl>
    <w:lvl w:ilvl="2">
      <w:start w:val="1"/>
      <w:numFmt w:val="decimal"/>
      <w:pStyle w:val="Textbodu"/>
      <w:isLgl/>
      <w:lvlText w:val="%3."/>
      <w:lvlJc w:val="left"/>
      <w:pPr>
        <w:tabs>
          <w:tab w:val="num" w:pos="852"/>
        </w:tabs>
        <w:ind w:left="852" w:hanging="426"/>
      </w:pPr>
      <w:rPr>
        <w:rFonts w:hint="default"/>
      </w:rPr>
    </w:lvl>
    <w:lvl w:ilvl="3">
      <w:start w:val="1"/>
      <w:numFmt w:val="decimal"/>
      <w:lvlText w:val="(%4)"/>
      <w:lvlJc w:val="left"/>
      <w:pPr>
        <w:tabs>
          <w:tab w:val="num" w:pos="1441"/>
        </w:tabs>
        <w:ind w:left="1441" w:hanging="3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52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601"/>
        </w:tabs>
        <w:ind w:left="3241" w:hanging="360"/>
      </w:pPr>
      <w:rPr>
        <w:rFonts w:hint="default"/>
      </w:rPr>
    </w:lvl>
  </w:abstractNum>
  <w:abstractNum w:abstractNumId="60">
    <w:nsid w:val="6C815FAF"/>
    <w:multiLevelType w:val="hybridMultilevel"/>
    <w:tmpl w:val="B98805AA"/>
    <w:lvl w:ilvl="0" w:tplc="955A081E">
      <w:start w:val="1"/>
      <w:numFmt w:val="upperLetter"/>
      <w:pStyle w:val="zelen"/>
      <w:lvlText w:val="%1."/>
      <w:lvlJc w:val="left"/>
      <w:pPr>
        <w:ind w:left="360" w:hanging="360"/>
      </w:pPr>
      <w:rPr>
        <w:rFonts w:ascii="Cambria" w:hAnsi="Cambria" w:hint="default"/>
        <w:u w:val="single"/>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9FE0E356">
      <w:numFmt w:val="bullet"/>
      <w:lvlText w:val="•"/>
      <w:lvlJc w:val="left"/>
      <w:pPr>
        <w:ind w:left="2865" w:hanging="705"/>
      </w:pPr>
      <w:rPr>
        <w:rFonts w:ascii="Garamond" w:eastAsia="Calibri" w:hAnsi="Garamond" w:cs="Times New Roman" w:hint="default"/>
      </w:r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1">
    <w:nsid w:val="6F19583B"/>
    <w:multiLevelType w:val="singleLevel"/>
    <w:tmpl w:val="FC060CD6"/>
    <w:lvl w:ilvl="0">
      <w:start w:val="1"/>
      <w:numFmt w:val="bullet"/>
      <w:pStyle w:val="odrky"/>
      <w:lvlText w:val=""/>
      <w:lvlJc w:val="left"/>
      <w:pPr>
        <w:tabs>
          <w:tab w:val="num" w:pos="644"/>
        </w:tabs>
        <w:ind w:left="624" w:hanging="340"/>
      </w:pPr>
      <w:rPr>
        <w:rFonts w:ascii="Symbol" w:hAnsi="Symbol" w:hint="default"/>
      </w:rPr>
    </w:lvl>
  </w:abstractNum>
  <w:abstractNum w:abstractNumId="62">
    <w:nsid w:val="6F1D0374"/>
    <w:multiLevelType w:val="hybridMultilevel"/>
    <w:tmpl w:val="4E48BA1A"/>
    <w:lvl w:ilvl="0" w:tplc="A532135E">
      <w:start w:val="1"/>
      <w:numFmt w:val="bullet"/>
      <w:lvlText w:val=""/>
      <w:lvlJc w:val="left"/>
      <w:pPr>
        <w:ind w:left="712" w:hanging="360"/>
      </w:pPr>
      <w:rPr>
        <w:rFonts w:ascii="Symbol" w:hAnsi="Symbol" w:hint="default"/>
      </w:rPr>
    </w:lvl>
    <w:lvl w:ilvl="1" w:tplc="04050003">
      <w:start w:val="1"/>
      <w:numFmt w:val="bullet"/>
      <w:lvlText w:val="o"/>
      <w:lvlJc w:val="left"/>
      <w:pPr>
        <w:ind w:left="1432" w:hanging="360"/>
      </w:pPr>
      <w:rPr>
        <w:rFonts w:ascii="Courier New" w:hAnsi="Courier New" w:cs="Courier New" w:hint="default"/>
      </w:rPr>
    </w:lvl>
    <w:lvl w:ilvl="2" w:tplc="04050005" w:tentative="1">
      <w:start w:val="1"/>
      <w:numFmt w:val="bullet"/>
      <w:lvlText w:val=""/>
      <w:lvlJc w:val="left"/>
      <w:pPr>
        <w:ind w:left="2152" w:hanging="360"/>
      </w:pPr>
      <w:rPr>
        <w:rFonts w:ascii="Wingdings" w:hAnsi="Wingdings" w:hint="default"/>
      </w:rPr>
    </w:lvl>
    <w:lvl w:ilvl="3" w:tplc="04050001" w:tentative="1">
      <w:start w:val="1"/>
      <w:numFmt w:val="bullet"/>
      <w:lvlText w:val=""/>
      <w:lvlJc w:val="left"/>
      <w:pPr>
        <w:ind w:left="2872" w:hanging="360"/>
      </w:pPr>
      <w:rPr>
        <w:rFonts w:ascii="Symbol" w:hAnsi="Symbol" w:hint="default"/>
      </w:rPr>
    </w:lvl>
    <w:lvl w:ilvl="4" w:tplc="04050003" w:tentative="1">
      <w:start w:val="1"/>
      <w:numFmt w:val="bullet"/>
      <w:lvlText w:val="o"/>
      <w:lvlJc w:val="left"/>
      <w:pPr>
        <w:ind w:left="3592" w:hanging="360"/>
      </w:pPr>
      <w:rPr>
        <w:rFonts w:ascii="Courier New" w:hAnsi="Courier New" w:cs="Courier New" w:hint="default"/>
      </w:rPr>
    </w:lvl>
    <w:lvl w:ilvl="5" w:tplc="04050005" w:tentative="1">
      <w:start w:val="1"/>
      <w:numFmt w:val="bullet"/>
      <w:lvlText w:val=""/>
      <w:lvlJc w:val="left"/>
      <w:pPr>
        <w:ind w:left="4312" w:hanging="360"/>
      </w:pPr>
      <w:rPr>
        <w:rFonts w:ascii="Wingdings" w:hAnsi="Wingdings" w:hint="default"/>
      </w:rPr>
    </w:lvl>
    <w:lvl w:ilvl="6" w:tplc="04050001" w:tentative="1">
      <w:start w:val="1"/>
      <w:numFmt w:val="bullet"/>
      <w:lvlText w:val=""/>
      <w:lvlJc w:val="left"/>
      <w:pPr>
        <w:ind w:left="5032" w:hanging="360"/>
      </w:pPr>
      <w:rPr>
        <w:rFonts w:ascii="Symbol" w:hAnsi="Symbol" w:hint="default"/>
      </w:rPr>
    </w:lvl>
    <w:lvl w:ilvl="7" w:tplc="04050003" w:tentative="1">
      <w:start w:val="1"/>
      <w:numFmt w:val="bullet"/>
      <w:lvlText w:val="o"/>
      <w:lvlJc w:val="left"/>
      <w:pPr>
        <w:ind w:left="5752" w:hanging="360"/>
      </w:pPr>
      <w:rPr>
        <w:rFonts w:ascii="Courier New" w:hAnsi="Courier New" w:cs="Courier New" w:hint="default"/>
      </w:rPr>
    </w:lvl>
    <w:lvl w:ilvl="8" w:tplc="04050005" w:tentative="1">
      <w:start w:val="1"/>
      <w:numFmt w:val="bullet"/>
      <w:lvlText w:val=""/>
      <w:lvlJc w:val="left"/>
      <w:pPr>
        <w:ind w:left="6472" w:hanging="360"/>
      </w:pPr>
      <w:rPr>
        <w:rFonts w:ascii="Wingdings" w:hAnsi="Wingdings" w:hint="default"/>
      </w:rPr>
    </w:lvl>
  </w:abstractNum>
  <w:abstractNum w:abstractNumId="63">
    <w:nsid w:val="6F431EEB"/>
    <w:multiLevelType w:val="hybridMultilevel"/>
    <w:tmpl w:val="BE405066"/>
    <w:lvl w:ilvl="0" w:tplc="A532135E">
      <w:start w:val="1"/>
      <w:numFmt w:val="bullet"/>
      <w:lvlText w:val=""/>
      <w:lvlJc w:val="left"/>
      <w:pPr>
        <w:ind w:left="1990" w:hanging="360"/>
      </w:pPr>
      <w:rPr>
        <w:rFonts w:ascii="Symbol" w:hAnsi="Symbol" w:hint="default"/>
      </w:rPr>
    </w:lvl>
    <w:lvl w:ilvl="1" w:tplc="04050003" w:tentative="1">
      <w:start w:val="1"/>
      <w:numFmt w:val="bullet"/>
      <w:lvlText w:val="o"/>
      <w:lvlJc w:val="left"/>
      <w:pPr>
        <w:ind w:left="2710" w:hanging="360"/>
      </w:pPr>
      <w:rPr>
        <w:rFonts w:ascii="Courier New" w:hAnsi="Courier New" w:cs="Courier New" w:hint="default"/>
      </w:rPr>
    </w:lvl>
    <w:lvl w:ilvl="2" w:tplc="04050005" w:tentative="1">
      <w:start w:val="1"/>
      <w:numFmt w:val="bullet"/>
      <w:lvlText w:val=""/>
      <w:lvlJc w:val="left"/>
      <w:pPr>
        <w:ind w:left="3430" w:hanging="360"/>
      </w:pPr>
      <w:rPr>
        <w:rFonts w:ascii="Wingdings" w:hAnsi="Wingdings" w:hint="default"/>
      </w:rPr>
    </w:lvl>
    <w:lvl w:ilvl="3" w:tplc="04050001" w:tentative="1">
      <w:start w:val="1"/>
      <w:numFmt w:val="bullet"/>
      <w:lvlText w:val=""/>
      <w:lvlJc w:val="left"/>
      <w:pPr>
        <w:ind w:left="4150" w:hanging="360"/>
      </w:pPr>
      <w:rPr>
        <w:rFonts w:ascii="Symbol" w:hAnsi="Symbol" w:hint="default"/>
      </w:rPr>
    </w:lvl>
    <w:lvl w:ilvl="4" w:tplc="04050003" w:tentative="1">
      <w:start w:val="1"/>
      <w:numFmt w:val="bullet"/>
      <w:lvlText w:val="o"/>
      <w:lvlJc w:val="left"/>
      <w:pPr>
        <w:ind w:left="4870" w:hanging="360"/>
      </w:pPr>
      <w:rPr>
        <w:rFonts w:ascii="Courier New" w:hAnsi="Courier New" w:cs="Courier New" w:hint="default"/>
      </w:rPr>
    </w:lvl>
    <w:lvl w:ilvl="5" w:tplc="04050005" w:tentative="1">
      <w:start w:val="1"/>
      <w:numFmt w:val="bullet"/>
      <w:lvlText w:val=""/>
      <w:lvlJc w:val="left"/>
      <w:pPr>
        <w:ind w:left="5590" w:hanging="360"/>
      </w:pPr>
      <w:rPr>
        <w:rFonts w:ascii="Wingdings" w:hAnsi="Wingdings" w:hint="default"/>
      </w:rPr>
    </w:lvl>
    <w:lvl w:ilvl="6" w:tplc="04050001" w:tentative="1">
      <w:start w:val="1"/>
      <w:numFmt w:val="bullet"/>
      <w:lvlText w:val=""/>
      <w:lvlJc w:val="left"/>
      <w:pPr>
        <w:ind w:left="6310" w:hanging="360"/>
      </w:pPr>
      <w:rPr>
        <w:rFonts w:ascii="Symbol" w:hAnsi="Symbol" w:hint="default"/>
      </w:rPr>
    </w:lvl>
    <w:lvl w:ilvl="7" w:tplc="04050003" w:tentative="1">
      <w:start w:val="1"/>
      <w:numFmt w:val="bullet"/>
      <w:lvlText w:val="o"/>
      <w:lvlJc w:val="left"/>
      <w:pPr>
        <w:ind w:left="7030" w:hanging="360"/>
      </w:pPr>
      <w:rPr>
        <w:rFonts w:ascii="Courier New" w:hAnsi="Courier New" w:cs="Courier New" w:hint="default"/>
      </w:rPr>
    </w:lvl>
    <w:lvl w:ilvl="8" w:tplc="04050005" w:tentative="1">
      <w:start w:val="1"/>
      <w:numFmt w:val="bullet"/>
      <w:lvlText w:val=""/>
      <w:lvlJc w:val="left"/>
      <w:pPr>
        <w:ind w:left="7750" w:hanging="360"/>
      </w:pPr>
      <w:rPr>
        <w:rFonts w:ascii="Wingdings" w:hAnsi="Wingdings" w:hint="default"/>
      </w:rPr>
    </w:lvl>
  </w:abstractNum>
  <w:abstractNum w:abstractNumId="64">
    <w:nsid w:val="6F586521"/>
    <w:multiLevelType w:val="hybridMultilevel"/>
    <w:tmpl w:val="BAE2E418"/>
    <w:lvl w:ilvl="0" w:tplc="D6AC1F7E">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65">
    <w:nsid w:val="765C00EB"/>
    <w:multiLevelType w:val="hybridMultilevel"/>
    <w:tmpl w:val="D868A8F0"/>
    <w:lvl w:ilvl="0" w:tplc="A532135E">
      <w:start w:val="1"/>
      <w:numFmt w:val="bullet"/>
      <w:lvlText w:val=""/>
      <w:lvlJc w:val="left"/>
      <w:pPr>
        <w:ind w:left="717" w:hanging="360"/>
      </w:pPr>
      <w:rPr>
        <w:rFonts w:ascii="Symbol" w:hAnsi="Symbol"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66">
    <w:nsid w:val="76794AAF"/>
    <w:multiLevelType w:val="hybridMultilevel"/>
    <w:tmpl w:val="C6680386"/>
    <w:lvl w:ilvl="0" w:tplc="04050011">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7">
    <w:nsid w:val="78C57569"/>
    <w:multiLevelType w:val="hybridMultilevel"/>
    <w:tmpl w:val="2DB4D57E"/>
    <w:lvl w:ilvl="0" w:tplc="DAB88324">
      <w:start w:val="1"/>
      <w:numFmt w:val="lowerRoman"/>
      <w:lvlText w:val="(%1)"/>
      <w:lvlJc w:val="left"/>
      <w:pPr>
        <w:ind w:left="360" w:hanging="360"/>
      </w:pPr>
      <w:rPr>
        <w:rFonts w:hint="default"/>
      </w:rPr>
    </w:lvl>
    <w:lvl w:ilvl="1" w:tplc="DAB88324">
      <w:start w:val="1"/>
      <w:numFmt w:val="lowerRoman"/>
      <w:lvlText w:val="(%2)"/>
      <w:lvlJc w:val="left"/>
      <w:pPr>
        <w:ind w:left="1440" w:hanging="72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8">
    <w:nsid w:val="7A625691"/>
    <w:multiLevelType w:val="hybridMultilevel"/>
    <w:tmpl w:val="7C8CA11C"/>
    <w:lvl w:ilvl="0" w:tplc="3ECC643A">
      <w:start w:val="1"/>
      <w:numFmt w:val="bullet"/>
      <w:pStyle w:val="Odstavecseseznamem1"/>
      <w:lvlText w:val=""/>
      <w:lvlJc w:val="left"/>
      <w:pPr>
        <w:ind w:left="1440" w:hanging="360"/>
      </w:pPr>
      <w:rPr>
        <w:rFonts w:ascii="Wingdings" w:hAnsi="Wingdings" w:hint="default"/>
      </w:rPr>
    </w:lvl>
    <w:lvl w:ilvl="1" w:tplc="04050019" w:tentative="1">
      <w:start w:val="1"/>
      <w:numFmt w:val="bullet"/>
      <w:lvlText w:val="o"/>
      <w:lvlJc w:val="left"/>
      <w:pPr>
        <w:ind w:left="2160" w:hanging="360"/>
      </w:pPr>
      <w:rPr>
        <w:rFonts w:ascii="Courier New" w:hAnsi="Courier New" w:cs="Courier New" w:hint="default"/>
      </w:rPr>
    </w:lvl>
    <w:lvl w:ilvl="2" w:tplc="0405001B" w:tentative="1">
      <w:start w:val="1"/>
      <w:numFmt w:val="bullet"/>
      <w:lvlText w:val=""/>
      <w:lvlJc w:val="left"/>
      <w:pPr>
        <w:ind w:left="2880" w:hanging="360"/>
      </w:pPr>
      <w:rPr>
        <w:rFonts w:ascii="Wingdings" w:hAnsi="Wingdings" w:hint="default"/>
      </w:rPr>
    </w:lvl>
    <w:lvl w:ilvl="3" w:tplc="0405000F" w:tentative="1">
      <w:start w:val="1"/>
      <w:numFmt w:val="bullet"/>
      <w:lvlText w:val=""/>
      <w:lvlJc w:val="left"/>
      <w:pPr>
        <w:ind w:left="3600" w:hanging="360"/>
      </w:pPr>
      <w:rPr>
        <w:rFonts w:ascii="Symbol" w:hAnsi="Symbol" w:hint="default"/>
      </w:rPr>
    </w:lvl>
    <w:lvl w:ilvl="4" w:tplc="04050019" w:tentative="1">
      <w:start w:val="1"/>
      <w:numFmt w:val="bullet"/>
      <w:lvlText w:val="o"/>
      <w:lvlJc w:val="left"/>
      <w:pPr>
        <w:ind w:left="4320" w:hanging="360"/>
      </w:pPr>
      <w:rPr>
        <w:rFonts w:ascii="Courier New" w:hAnsi="Courier New" w:cs="Courier New" w:hint="default"/>
      </w:rPr>
    </w:lvl>
    <w:lvl w:ilvl="5" w:tplc="0405001B" w:tentative="1">
      <w:start w:val="1"/>
      <w:numFmt w:val="bullet"/>
      <w:lvlText w:val=""/>
      <w:lvlJc w:val="left"/>
      <w:pPr>
        <w:ind w:left="5040" w:hanging="360"/>
      </w:pPr>
      <w:rPr>
        <w:rFonts w:ascii="Wingdings" w:hAnsi="Wingdings" w:hint="default"/>
      </w:rPr>
    </w:lvl>
    <w:lvl w:ilvl="6" w:tplc="0405000F" w:tentative="1">
      <w:start w:val="1"/>
      <w:numFmt w:val="bullet"/>
      <w:lvlText w:val=""/>
      <w:lvlJc w:val="left"/>
      <w:pPr>
        <w:ind w:left="5760" w:hanging="360"/>
      </w:pPr>
      <w:rPr>
        <w:rFonts w:ascii="Symbol" w:hAnsi="Symbol" w:hint="default"/>
      </w:rPr>
    </w:lvl>
    <w:lvl w:ilvl="7" w:tplc="04050019" w:tentative="1">
      <w:start w:val="1"/>
      <w:numFmt w:val="bullet"/>
      <w:lvlText w:val="o"/>
      <w:lvlJc w:val="left"/>
      <w:pPr>
        <w:ind w:left="6480" w:hanging="360"/>
      </w:pPr>
      <w:rPr>
        <w:rFonts w:ascii="Courier New" w:hAnsi="Courier New" w:cs="Courier New" w:hint="default"/>
      </w:rPr>
    </w:lvl>
    <w:lvl w:ilvl="8" w:tplc="0405001B" w:tentative="1">
      <w:start w:val="1"/>
      <w:numFmt w:val="bullet"/>
      <w:lvlText w:val=""/>
      <w:lvlJc w:val="left"/>
      <w:pPr>
        <w:ind w:left="7200" w:hanging="360"/>
      </w:pPr>
      <w:rPr>
        <w:rFonts w:ascii="Wingdings" w:hAnsi="Wingdings" w:hint="default"/>
      </w:rPr>
    </w:lvl>
  </w:abstractNum>
  <w:abstractNum w:abstractNumId="69">
    <w:nsid w:val="7AED3648"/>
    <w:multiLevelType w:val="multilevel"/>
    <w:tmpl w:val="AA96D182"/>
    <w:lvl w:ilvl="0">
      <w:start w:val="1"/>
      <w:numFmt w:val="decimal"/>
      <w:lvlText w:val="%1"/>
      <w:lvlJc w:val="left"/>
      <w:pPr>
        <w:ind w:left="432" w:hanging="432"/>
      </w:pPr>
      <w:rPr>
        <w:rFonts w:asciiTheme="majorHAnsi" w:hAnsiTheme="majorHAnsi" w:hint="default"/>
      </w:rPr>
    </w:lvl>
    <w:lvl w:ilvl="1">
      <w:start w:val="1"/>
      <w:numFmt w:val="upperLetter"/>
      <w:pStyle w:val="Nadpis2a"/>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nsid w:val="7B8609CC"/>
    <w:multiLevelType w:val="multilevel"/>
    <w:tmpl w:val="09426706"/>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nsid w:val="7BC5078C"/>
    <w:multiLevelType w:val="hybridMultilevel"/>
    <w:tmpl w:val="8B78FFB6"/>
    <w:lvl w:ilvl="0" w:tplc="A532135E">
      <w:start w:val="1"/>
      <w:numFmt w:val="bullet"/>
      <w:lvlText w:val=""/>
      <w:lvlJc w:val="left"/>
      <w:pPr>
        <w:ind w:left="719" w:hanging="360"/>
      </w:pPr>
      <w:rPr>
        <w:rFonts w:ascii="Symbol" w:hAnsi="Symbol" w:hint="default"/>
      </w:rPr>
    </w:lvl>
    <w:lvl w:ilvl="1" w:tplc="04050003">
      <w:start w:val="1"/>
      <w:numFmt w:val="bullet"/>
      <w:lvlText w:val="o"/>
      <w:lvlJc w:val="left"/>
      <w:pPr>
        <w:ind w:left="1439" w:hanging="360"/>
      </w:pPr>
      <w:rPr>
        <w:rFonts w:ascii="Courier New" w:hAnsi="Courier New" w:cs="Courier New" w:hint="default"/>
      </w:rPr>
    </w:lvl>
    <w:lvl w:ilvl="2" w:tplc="04050005">
      <w:start w:val="1"/>
      <w:numFmt w:val="bullet"/>
      <w:lvlText w:val=""/>
      <w:lvlJc w:val="left"/>
      <w:pPr>
        <w:ind w:left="2159" w:hanging="360"/>
      </w:pPr>
      <w:rPr>
        <w:rFonts w:ascii="Wingdings" w:hAnsi="Wingdings" w:hint="default"/>
      </w:rPr>
    </w:lvl>
    <w:lvl w:ilvl="3" w:tplc="04050001">
      <w:start w:val="1"/>
      <w:numFmt w:val="bullet"/>
      <w:lvlText w:val=""/>
      <w:lvlJc w:val="left"/>
      <w:pPr>
        <w:ind w:left="2879" w:hanging="360"/>
      </w:pPr>
      <w:rPr>
        <w:rFonts w:ascii="Symbol" w:hAnsi="Symbol" w:hint="default"/>
      </w:rPr>
    </w:lvl>
    <w:lvl w:ilvl="4" w:tplc="04050003">
      <w:start w:val="1"/>
      <w:numFmt w:val="bullet"/>
      <w:lvlText w:val="o"/>
      <w:lvlJc w:val="left"/>
      <w:pPr>
        <w:ind w:left="3599" w:hanging="360"/>
      </w:pPr>
      <w:rPr>
        <w:rFonts w:ascii="Courier New" w:hAnsi="Courier New" w:cs="Courier New" w:hint="default"/>
      </w:rPr>
    </w:lvl>
    <w:lvl w:ilvl="5" w:tplc="04050005">
      <w:start w:val="1"/>
      <w:numFmt w:val="bullet"/>
      <w:lvlText w:val=""/>
      <w:lvlJc w:val="left"/>
      <w:pPr>
        <w:ind w:left="4319" w:hanging="360"/>
      </w:pPr>
      <w:rPr>
        <w:rFonts w:ascii="Wingdings" w:hAnsi="Wingdings" w:hint="default"/>
      </w:rPr>
    </w:lvl>
    <w:lvl w:ilvl="6" w:tplc="04050001">
      <w:start w:val="1"/>
      <w:numFmt w:val="bullet"/>
      <w:lvlText w:val=""/>
      <w:lvlJc w:val="left"/>
      <w:pPr>
        <w:ind w:left="5039" w:hanging="360"/>
      </w:pPr>
      <w:rPr>
        <w:rFonts w:ascii="Symbol" w:hAnsi="Symbol" w:hint="default"/>
      </w:rPr>
    </w:lvl>
    <w:lvl w:ilvl="7" w:tplc="04050003">
      <w:start w:val="1"/>
      <w:numFmt w:val="bullet"/>
      <w:lvlText w:val="o"/>
      <w:lvlJc w:val="left"/>
      <w:pPr>
        <w:ind w:left="5759" w:hanging="360"/>
      </w:pPr>
      <w:rPr>
        <w:rFonts w:ascii="Courier New" w:hAnsi="Courier New" w:cs="Courier New" w:hint="default"/>
      </w:rPr>
    </w:lvl>
    <w:lvl w:ilvl="8" w:tplc="04050005">
      <w:start w:val="1"/>
      <w:numFmt w:val="bullet"/>
      <w:lvlText w:val=""/>
      <w:lvlJc w:val="left"/>
      <w:pPr>
        <w:ind w:left="6479" w:hanging="360"/>
      </w:pPr>
      <w:rPr>
        <w:rFonts w:ascii="Wingdings" w:hAnsi="Wingdings" w:hint="default"/>
      </w:rPr>
    </w:lvl>
  </w:abstractNum>
  <w:abstractNum w:abstractNumId="72">
    <w:nsid w:val="7DE93192"/>
    <w:multiLevelType w:val="multilevel"/>
    <w:tmpl w:val="646C230A"/>
    <w:lvl w:ilvl="0">
      <w:start w:val="1"/>
      <w:numFmt w:val="decimal"/>
      <w:pStyle w:val="Literatura"/>
      <w:lvlText w:val="[%1]"/>
      <w:lvlJc w:val="left"/>
      <w:pPr>
        <w:tabs>
          <w:tab w:val="num" w:pos="652"/>
        </w:tabs>
        <w:ind w:left="624" w:hanging="397"/>
      </w:pPr>
      <w:rPr>
        <w:b w:val="0"/>
      </w:rPr>
    </w:lvl>
    <w:lvl w:ilvl="1">
      <w:start w:val="1"/>
      <w:numFmt w:val="lowerLetter"/>
      <w:lvlText w:val="%2."/>
      <w:lvlJc w:val="left"/>
      <w:pPr>
        <w:tabs>
          <w:tab w:val="num" w:pos="1667"/>
        </w:tabs>
        <w:ind w:left="1667" w:hanging="360"/>
      </w:pPr>
    </w:lvl>
    <w:lvl w:ilvl="2">
      <w:start w:val="1"/>
      <w:numFmt w:val="lowerRoman"/>
      <w:lvlText w:val="%3."/>
      <w:lvlJc w:val="right"/>
      <w:pPr>
        <w:tabs>
          <w:tab w:val="num" w:pos="2387"/>
        </w:tabs>
        <w:ind w:left="2387" w:hanging="180"/>
      </w:pPr>
    </w:lvl>
    <w:lvl w:ilvl="3">
      <w:start w:val="1"/>
      <w:numFmt w:val="decimal"/>
      <w:lvlText w:val="%4."/>
      <w:lvlJc w:val="left"/>
      <w:pPr>
        <w:tabs>
          <w:tab w:val="num" w:pos="3107"/>
        </w:tabs>
        <w:ind w:left="3107" w:hanging="360"/>
      </w:pPr>
    </w:lvl>
    <w:lvl w:ilvl="4">
      <w:start w:val="1"/>
      <w:numFmt w:val="lowerLetter"/>
      <w:lvlText w:val="%5."/>
      <w:lvlJc w:val="left"/>
      <w:pPr>
        <w:tabs>
          <w:tab w:val="num" w:pos="3827"/>
        </w:tabs>
        <w:ind w:left="3827" w:hanging="360"/>
      </w:pPr>
    </w:lvl>
    <w:lvl w:ilvl="5">
      <w:start w:val="1"/>
      <w:numFmt w:val="lowerRoman"/>
      <w:lvlText w:val="%6."/>
      <w:lvlJc w:val="right"/>
      <w:pPr>
        <w:tabs>
          <w:tab w:val="num" w:pos="4547"/>
        </w:tabs>
        <w:ind w:left="4547" w:hanging="180"/>
      </w:pPr>
    </w:lvl>
    <w:lvl w:ilvl="6">
      <w:start w:val="1"/>
      <w:numFmt w:val="decimal"/>
      <w:lvlText w:val="%7."/>
      <w:lvlJc w:val="left"/>
      <w:pPr>
        <w:tabs>
          <w:tab w:val="num" w:pos="5267"/>
        </w:tabs>
        <w:ind w:left="5267" w:hanging="360"/>
      </w:pPr>
    </w:lvl>
    <w:lvl w:ilvl="7">
      <w:start w:val="1"/>
      <w:numFmt w:val="lowerLetter"/>
      <w:lvlText w:val="%8."/>
      <w:lvlJc w:val="left"/>
      <w:pPr>
        <w:tabs>
          <w:tab w:val="num" w:pos="5987"/>
        </w:tabs>
        <w:ind w:left="5987" w:hanging="360"/>
      </w:pPr>
    </w:lvl>
    <w:lvl w:ilvl="8">
      <w:start w:val="1"/>
      <w:numFmt w:val="lowerRoman"/>
      <w:lvlText w:val="%9."/>
      <w:lvlJc w:val="right"/>
      <w:pPr>
        <w:tabs>
          <w:tab w:val="num" w:pos="6707"/>
        </w:tabs>
        <w:ind w:left="6707" w:hanging="180"/>
      </w:pPr>
    </w:lvl>
  </w:abstractNum>
  <w:abstractNum w:abstractNumId="73">
    <w:nsid w:val="7E084B59"/>
    <w:multiLevelType w:val="hybridMultilevel"/>
    <w:tmpl w:val="A1E09356"/>
    <w:lvl w:ilvl="0" w:tplc="0718937C">
      <w:start w:val="1"/>
      <w:numFmt w:val="bullet"/>
      <w:pStyle w:val="neslovanseznam1"/>
      <w:lvlText w:val=""/>
      <w:lvlJc w:val="left"/>
      <w:pPr>
        <w:tabs>
          <w:tab w:val="num" w:pos="360"/>
        </w:tabs>
        <w:ind w:left="360" w:hanging="360"/>
      </w:pPr>
      <w:rPr>
        <w:rFonts w:ascii="Symbol" w:hAnsi="Symbol"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4">
    <w:nsid w:val="7FF954A1"/>
    <w:multiLevelType w:val="multilevel"/>
    <w:tmpl w:val="CE3AFBC8"/>
    <w:lvl w:ilvl="0">
      <w:start w:val="1"/>
      <w:numFmt w:val="decimal"/>
      <w:lvlText w:val="%1"/>
      <w:lvlJc w:val="left"/>
      <w:pPr>
        <w:tabs>
          <w:tab w:val="num" w:pos="360"/>
        </w:tabs>
        <w:ind w:left="360" w:hanging="360"/>
      </w:pPr>
      <w:rPr>
        <w:rFonts w:hint="default"/>
      </w:rPr>
    </w:lvl>
    <w:lvl w:ilvl="1">
      <w:start w:val="1"/>
      <w:numFmt w:val="decimal"/>
      <w:pStyle w:val="Nadpis-11"/>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5"/>
  </w:num>
  <w:num w:numId="2">
    <w:abstractNumId w:val="17"/>
  </w:num>
  <w:num w:numId="3">
    <w:abstractNumId w:val="59"/>
  </w:num>
  <w:num w:numId="4">
    <w:abstractNumId w:val="74"/>
  </w:num>
  <w:num w:numId="5">
    <w:abstractNumId w:val="28"/>
  </w:num>
  <w:num w:numId="6">
    <w:abstractNumId w:val="44"/>
  </w:num>
  <w:num w:numId="7">
    <w:abstractNumId w:val="18"/>
  </w:num>
  <w:num w:numId="8">
    <w:abstractNumId w:val="56"/>
  </w:num>
  <w:num w:numId="9">
    <w:abstractNumId w:val="68"/>
  </w:num>
  <w:num w:numId="10">
    <w:abstractNumId w:val="13"/>
  </w:num>
  <w:num w:numId="11">
    <w:abstractNumId w:val="38"/>
  </w:num>
  <w:num w:numId="12">
    <w:abstractNumId w:val="27"/>
  </w:num>
  <w:num w:numId="13">
    <w:abstractNumId w:val="51"/>
  </w:num>
  <w:num w:numId="14">
    <w:abstractNumId w:val="69"/>
  </w:num>
  <w:num w:numId="15">
    <w:abstractNumId w:val="33"/>
  </w:num>
  <w:num w:numId="16">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num>
  <w:num w:numId="18">
    <w:abstractNumId w:val="16"/>
  </w:num>
  <w:num w:numId="19">
    <w:abstractNumId w:val="31"/>
  </w:num>
  <w:num w:numId="20">
    <w:abstractNumId w:val="36"/>
  </w:num>
  <w:num w:numId="21">
    <w:abstractNumId w:val="57"/>
  </w:num>
  <w:num w:numId="22">
    <w:abstractNumId w:val="45"/>
  </w:num>
  <w:num w:numId="23">
    <w:abstractNumId w:val="39"/>
  </w:num>
  <w:num w:numId="24">
    <w:abstractNumId w:val="12"/>
  </w:num>
  <w:num w:numId="25">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60"/>
  </w:num>
  <w:num w:numId="28">
    <w:abstractNumId w:val="49"/>
  </w:num>
  <w:num w:numId="29">
    <w:abstractNumId w:val="26"/>
  </w:num>
  <w:num w:numId="30">
    <w:abstractNumId w:val="5"/>
  </w:num>
  <w:num w:numId="31">
    <w:abstractNumId w:val="32"/>
  </w:num>
  <w:num w:numId="32">
    <w:abstractNumId w:val="53"/>
  </w:num>
  <w:num w:numId="33">
    <w:abstractNumId w:val="50"/>
  </w:num>
  <w:num w:numId="34">
    <w:abstractNumId w:val="52"/>
  </w:num>
  <w:num w:numId="35">
    <w:abstractNumId w:val="67"/>
  </w:num>
  <w:num w:numId="36">
    <w:abstractNumId w:val="64"/>
  </w:num>
  <w:num w:numId="37">
    <w:abstractNumId w:val="58"/>
  </w:num>
  <w:num w:numId="38">
    <w:abstractNumId w:val="55"/>
  </w:num>
  <w:num w:numId="39">
    <w:abstractNumId w:val="66"/>
  </w:num>
  <w:num w:numId="40">
    <w:abstractNumId w:val="22"/>
  </w:num>
  <w:num w:numId="41">
    <w:abstractNumId w:val="0"/>
  </w:num>
  <w:num w:numId="42">
    <w:abstractNumId w:val="61"/>
  </w:num>
  <w:num w:numId="43">
    <w:abstractNumId w:val="1"/>
  </w:num>
  <w:num w:numId="44">
    <w:abstractNumId w:val="37"/>
  </w:num>
  <w:num w:numId="4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0"/>
  </w:num>
  <w:num w:numId="47">
    <w:abstractNumId w:val="6"/>
  </w:num>
  <w:num w:numId="48">
    <w:abstractNumId w:val="46"/>
  </w:num>
  <w:num w:numId="49">
    <w:abstractNumId w:val="43"/>
  </w:num>
  <w:num w:numId="50">
    <w:abstractNumId w:val="29"/>
  </w:num>
  <w:num w:numId="51">
    <w:abstractNumId w:val="10"/>
  </w:num>
  <w:num w:numId="52">
    <w:abstractNumId w:val="20"/>
  </w:num>
  <w:num w:numId="53">
    <w:abstractNumId w:val="54"/>
  </w:num>
  <w:num w:numId="54">
    <w:abstractNumId w:val="41"/>
  </w:num>
  <w:num w:numId="55">
    <w:abstractNumId w:val="30"/>
  </w:num>
  <w:num w:numId="56">
    <w:abstractNumId w:val="3"/>
  </w:num>
  <w:num w:numId="57">
    <w:abstractNumId w:val="15"/>
  </w:num>
  <w:num w:numId="58">
    <w:abstractNumId w:val="9"/>
  </w:num>
  <w:num w:numId="59">
    <w:abstractNumId w:val="24"/>
  </w:num>
  <w:num w:numId="60">
    <w:abstractNumId w:val="48"/>
  </w:num>
  <w:num w:numId="61">
    <w:abstractNumId w:val="7"/>
  </w:num>
  <w:num w:numId="62">
    <w:abstractNumId w:val="63"/>
  </w:num>
  <w:num w:numId="63">
    <w:abstractNumId w:val="21"/>
  </w:num>
  <w:num w:numId="64">
    <w:abstractNumId w:val="8"/>
  </w:num>
  <w:num w:numId="65">
    <w:abstractNumId w:val="42"/>
  </w:num>
  <w:num w:numId="66">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num>
  <w:num w:numId="68">
    <w:abstractNumId w:val="35"/>
  </w:num>
  <w:num w:numId="69">
    <w:abstractNumId w:val="8"/>
  </w:num>
  <w:num w:numId="70">
    <w:abstractNumId w:val="49"/>
  </w:num>
  <w:num w:numId="71">
    <w:abstractNumId w:val="65"/>
  </w:num>
  <w:num w:numId="72">
    <w:abstractNumId w:val="47"/>
  </w:num>
  <w:num w:numId="73">
    <w:abstractNumId w:val="19"/>
  </w:num>
  <w:num w:numId="74">
    <w:abstractNumId w:val="62"/>
  </w:num>
  <w:num w:numId="75">
    <w:abstractNumId w:val="2"/>
  </w:num>
  <w:num w:numId="76">
    <w:abstractNumId w:val="11"/>
  </w:num>
  <w:num w:numId="77">
    <w:abstractNumId w:val="4"/>
  </w:num>
  <w:num w:numId="78">
    <w:abstractNumId w:val="14"/>
  </w:num>
  <w:num w:numId="79">
    <w:abstractNumId w:val="34"/>
  </w:num>
  <w:num w:numId="80">
    <w:abstractNumId w:val="2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0"/>
  <w:hyphenationZone w:val="425"/>
  <w:drawingGridHorizontalSpacing w:val="120"/>
  <w:displayHorizontalDrawingGridEvery w:val="2"/>
  <w:characterSpacingControl w:val="doNotCompress"/>
  <w:hdrShapeDefaults>
    <o:shapedefaults v:ext="edit" spidmax="2049" fill="f" fillcolor="white" strokecolor="red">
      <v:fill color="white" on="f"/>
      <v:stroke dashstyle="1 1" color="red" weight="2.2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405"/>
    <w:rsid w:val="000003D9"/>
    <w:rsid w:val="000003F2"/>
    <w:rsid w:val="000006EE"/>
    <w:rsid w:val="0000079A"/>
    <w:rsid w:val="00000845"/>
    <w:rsid w:val="00000992"/>
    <w:rsid w:val="00001864"/>
    <w:rsid w:val="00001BD2"/>
    <w:rsid w:val="0000224A"/>
    <w:rsid w:val="000022FD"/>
    <w:rsid w:val="000023A3"/>
    <w:rsid w:val="000023BC"/>
    <w:rsid w:val="00002475"/>
    <w:rsid w:val="0000287D"/>
    <w:rsid w:val="00002926"/>
    <w:rsid w:val="00002979"/>
    <w:rsid w:val="00002BBB"/>
    <w:rsid w:val="00002E6E"/>
    <w:rsid w:val="00002E84"/>
    <w:rsid w:val="00002E96"/>
    <w:rsid w:val="000036DD"/>
    <w:rsid w:val="0000386D"/>
    <w:rsid w:val="00003953"/>
    <w:rsid w:val="00003979"/>
    <w:rsid w:val="00003AC0"/>
    <w:rsid w:val="00003B16"/>
    <w:rsid w:val="00003C04"/>
    <w:rsid w:val="0000411E"/>
    <w:rsid w:val="0000422D"/>
    <w:rsid w:val="000046F8"/>
    <w:rsid w:val="0000477D"/>
    <w:rsid w:val="000048FF"/>
    <w:rsid w:val="000049A8"/>
    <w:rsid w:val="00004B32"/>
    <w:rsid w:val="00004CBE"/>
    <w:rsid w:val="00004CC4"/>
    <w:rsid w:val="00004DCF"/>
    <w:rsid w:val="0000519A"/>
    <w:rsid w:val="00005B47"/>
    <w:rsid w:val="00005F27"/>
    <w:rsid w:val="000061A1"/>
    <w:rsid w:val="0000647A"/>
    <w:rsid w:val="000066AF"/>
    <w:rsid w:val="000066CE"/>
    <w:rsid w:val="00006722"/>
    <w:rsid w:val="00006E0B"/>
    <w:rsid w:val="00007188"/>
    <w:rsid w:val="000073B1"/>
    <w:rsid w:val="0000782F"/>
    <w:rsid w:val="00007FBC"/>
    <w:rsid w:val="00010034"/>
    <w:rsid w:val="000100CE"/>
    <w:rsid w:val="000101A8"/>
    <w:rsid w:val="0001021A"/>
    <w:rsid w:val="00010DEA"/>
    <w:rsid w:val="00010E39"/>
    <w:rsid w:val="00010ED5"/>
    <w:rsid w:val="000111F8"/>
    <w:rsid w:val="0001170A"/>
    <w:rsid w:val="000118B7"/>
    <w:rsid w:val="00011EE8"/>
    <w:rsid w:val="00012186"/>
    <w:rsid w:val="00012257"/>
    <w:rsid w:val="0001271F"/>
    <w:rsid w:val="00012791"/>
    <w:rsid w:val="000128A0"/>
    <w:rsid w:val="00012D24"/>
    <w:rsid w:val="00012D31"/>
    <w:rsid w:val="00012E31"/>
    <w:rsid w:val="00013246"/>
    <w:rsid w:val="00013616"/>
    <w:rsid w:val="0001387D"/>
    <w:rsid w:val="000139E4"/>
    <w:rsid w:val="00013B26"/>
    <w:rsid w:val="000140D2"/>
    <w:rsid w:val="000141C9"/>
    <w:rsid w:val="00014685"/>
    <w:rsid w:val="00014D16"/>
    <w:rsid w:val="00014E8A"/>
    <w:rsid w:val="00015210"/>
    <w:rsid w:val="0001525E"/>
    <w:rsid w:val="0001547C"/>
    <w:rsid w:val="00015A7F"/>
    <w:rsid w:val="00015D84"/>
    <w:rsid w:val="00015E21"/>
    <w:rsid w:val="00015F1A"/>
    <w:rsid w:val="0001616A"/>
    <w:rsid w:val="00016339"/>
    <w:rsid w:val="000165B8"/>
    <w:rsid w:val="00016999"/>
    <w:rsid w:val="00017255"/>
    <w:rsid w:val="000172E1"/>
    <w:rsid w:val="00017355"/>
    <w:rsid w:val="00017479"/>
    <w:rsid w:val="00017BEC"/>
    <w:rsid w:val="00017FC8"/>
    <w:rsid w:val="000200BB"/>
    <w:rsid w:val="00020385"/>
    <w:rsid w:val="000203AE"/>
    <w:rsid w:val="00020455"/>
    <w:rsid w:val="000204E7"/>
    <w:rsid w:val="000206C8"/>
    <w:rsid w:val="00020819"/>
    <w:rsid w:val="00020C96"/>
    <w:rsid w:val="00020EE0"/>
    <w:rsid w:val="00021046"/>
    <w:rsid w:val="000210BC"/>
    <w:rsid w:val="00021481"/>
    <w:rsid w:val="0002170F"/>
    <w:rsid w:val="00021B32"/>
    <w:rsid w:val="00021D77"/>
    <w:rsid w:val="00021E9F"/>
    <w:rsid w:val="00021F34"/>
    <w:rsid w:val="000222EB"/>
    <w:rsid w:val="00022374"/>
    <w:rsid w:val="000223F2"/>
    <w:rsid w:val="00022484"/>
    <w:rsid w:val="0002266A"/>
    <w:rsid w:val="00022672"/>
    <w:rsid w:val="000229CE"/>
    <w:rsid w:val="00023071"/>
    <w:rsid w:val="000230F5"/>
    <w:rsid w:val="00023120"/>
    <w:rsid w:val="000231FC"/>
    <w:rsid w:val="0002325A"/>
    <w:rsid w:val="000233B2"/>
    <w:rsid w:val="000234AE"/>
    <w:rsid w:val="000235E6"/>
    <w:rsid w:val="0002361E"/>
    <w:rsid w:val="00023911"/>
    <w:rsid w:val="00023A5A"/>
    <w:rsid w:val="00023D89"/>
    <w:rsid w:val="0002405F"/>
    <w:rsid w:val="000241C6"/>
    <w:rsid w:val="00024377"/>
    <w:rsid w:val="000245EE"/>
    <w:rsid w:val="000247D8"/>
    <w:rsid w:val="00024D4F"/>
    <w:rsid w:val="00024D90"/>
    <w:rsid w:val="00024E55"/>
    <w:rsid w:val="00025001"/>
    <w:rsid w:val="0002506E"/>
    <w:rsid w:val="000250C8"/>
    <w:rsid w:val="00025275"/>
    <w:rsid w:val="000253D8"/>
    <w:rsid w:val="000254F1"/>
    <w:rsid w:val="0002559A"/>
    <w:rsid w:val="00025AA5"/>
    <w:rsid w:val="00025D6B"/>
    <w:rsid w:val="00026645"/>
    <w:rsid w:val="00026A5E"/>
    <w:rsid w:val="00026B3D"/>
    <w:rsid w:val="00026FAF"/>
    <w:rsid w:val="00027505"/>
    <w:rsid w:val="00027A09"/>
    <w:rsid w:val="00027E9C"/>
    <w:rsid w:val="000303D0"/>
    <w:rsid w:val="0003086D"/>
    <w:rsid w:val="00030997"/>
    <w:rsid w:val="00030CC4"/>
    <w:rsid w:val="00030CEC"/>
    <w:rsid w:val="00030E7C"/>
    <w:rsid w:val="00030E84"/>
    <w:rsid w:val="000312A7"/>
    <w:rsid w:val="0003153E"/>
    <w:rsid w:val="00031557"/>
    <w:rsid w:val="00031AA3"/>
    <w:rsid w:val="00031DFC"/>
    <w:rsid w:val="00032201"/>
    <w:rsid w:val="000322D0"/>
    <w:rsid w:val="00032840"/>
    <w:rsid w:val="000332A8"/>
    <w:rsid w:val="000336BC"/>
    <w:rsid w:val="00033A2C"/>
    <w:rsid w:val="00033A86"/>
    <w:rsid w:val="00033C63"/>
    <w:rsid w:val="00033D75"/>
    <w:rsid w:val="00033EA4"/>
    <w:rsid w:val="00033F74"/>
    <w:rsid w:val="000344D6"/>
    <w:rsid w:val="00034527"/>
    <w:rsid w:val="000346B2"/>
    <w:rsid w:val="00034A3B"/>
    <w:rsid w:val="00034BD9"/>
    <w:rsid w:val="00034E9D"/>
    <w:rsid w:val="0003512D"/>
    <w:rsid w:val="00035636"/>
    <w:rsid w:val="00035AB0"/>
    <w:rsid w:val="00035B3B"/>
    <w:rsid w:val="00035C0B"/>
    <w:rsid w:val="000363AC"/>
    <w:rsid w:val="00036D8B"/>
    <w:rsid w:val="00036D9B"/>
    <w:rsid w:val="0003767C"/>
    <w:rsid w:val="000378A6"/>
    <w:rsid w:val="000379C3"/>
    <w:rsid w:val="000403A7"/>
    <w:rsid w:val="000406E5"/>
    <w:rsid w:val="00040DC5"/>
    <w:rsid w:val="00040F55"/>
    <w:rsid w:val="000410C9"/>
    <w:rsid w:val="0004147F"/>
    <w:rsid w:val="000414A4"/>
    <w:rsid w:val="00041A24"/>
    <w:rsid w:val="00041B6B"/>
    <w:rsid w:val="00041D2C"/>
    <w:rsid w:val="00041DDF"/>
    <w:rsid w:val="00041E6F"/>
    <w:rsid w:val="00042376"/>
    <w:rsid w:val="00042702"/>
    <w:rsid w:val="000428C2"/>
    <w:rsid w:val="00042BCA"/>
    <w:rsid w:val="00042C51"/>
    <w:rsid w:val="00042EEC"/>
    <w:rsid w:val="00043179"/>
    <w:rsid w:val="000435FB"/>
    <w:rsid w:val="00043613"/>
    <w:rsid w:val="00043D33"/>
    <w:rsid w:val="00044369"/>
    <w:rsid w:val="000443FA"/>
    <w:rsid w:val="0004479C"/>
    <w:rsid w:val="00044831"/>
    <w:rsid w:val="00044B50"/>
    <w:rsid w:val="00044C5E"/>
    <w:rsid w:val="00044D43"/>
    <w:rsid w:val="00044D91"/>
    <w:rsid w:val="00045035"/>
    <w:rsid w:val="000456BB"/>
    <w:rsid w:val="0004576A"/>
    <w:rsid w:val="0004576B"/>
    <w:rsid w:val="00045929"/>
    <w:rsid w:val="00045B10"/>
    <w:rsid w:val="00045F48"/>
    <w:rsid w:val="00046299"/>
    <w:rsid w:val="000462F8"/>
    <w:rsid w:val="0004634C"/>
    <w:rsid w:val="0004645E"/>
    <w:rsid w:val="000467E4"/>
    <w:rsid w:val="000469C4"/>
    <w:rsid w:val="0004770E"/>
    <w:rsid w:val="000477E1"/>
    <w:rsid w:val="00047B1A"/>
    <w:rsid w:val="00047C25"/>
    <w:rsid w:val="00050001"/>
    <w:rsid w:val="0005009F"/>
    <w:rsid w:val="000501F5"/>
    <w:rsid w:val="00050349"/>
    <w:rsid w:val="00050665"/>
    <w:rsid w:val="000506A1"/>
    <w:rsid w:val="00050A2A"/>
    <w:rsid w:val="00050B98"/>
    <w:rsid w:val="00050C4B"/>
    <w:rsid w:val="00050E00"/>
    <w:rsid w:val="00050E1E"/>
    <w:rsid w:val="00051393"/>
    <w:rsid w:val="000519F1"/>
    <w:rsid w:val="00051CC4"/>
    <w:rsid w:val="00051D97"/>
    <w:rsid w:val="0005229E"/>
    <w:rsid w:val="000523AC"/>
    <w:rsid w:val="000525CB"/>
    <w:rsid w:val="0005287C"/>
    <w:rsid w:val="00052986"/>
    <w:rsid w:val="00052C1A"/>
    <w:rsid w:val="00052C4D"/>
    <w:rsid w:val="00052C78"/>
    <w:rsid w:val="00052FC0"/>
    <w:rsid w:val="0005367F"/>
    <w:rsid w:val="00053688"/>
    <w:rsid w:val="00053B15"/>
    <w:rsid w:val="00053B5D"/>
    <w:rsid w:val="000540C7"/>
    <w:rsid w:val="000545DF"/>
    <w:rsid w:val="00054767"/>
    <w:rsid w:val="00054780"/>
    <w:rsid w:val="00054984"/>
    <w:rsid w:val="00054B39"/>
    <w:rsid w:val="00054B4F"/>
    <w:rsid w:val="00054DC5"/>
    <w:rsid w:val="00054DF0"/>
    <w:rsid w:val="00054E4E"/>
    <w:rsid w:val="00055062"/>
    <w:rsid w:val="0005519D"/>
    <w:rsid w:val="00055508"/>
    <w:rsid w:val="000555AD"/>
    <w:rsid w:val="00055A1A"/>
    <w:rsid w:val="00055B69"/>
    <w:rsid w:val="00055B6E"/>
    <w:rsid w:val="00055D32"/>
    <w:rsid w:val="00055DE6"/>
    <w:rsid w:val="000562DF"/>
    <w:rsid w:val="00056573"/>
    <w:rsid w:val="0005670E"/>
    <w:rsid w:val="00056C03"/>
    <w:rsid w:val="00056CAD"/>
    <w:rsid w:val="00057590"/>
    <w:rsid w:val="000575D5"/>
    <w:rsid w:val="00057868"/>
    <w:rsid w:val="000579CD"/>
    <w:rsid w:val="00057BCF"/>
    <w:rsid w:val="00057D97"/>
    <w:rsid w:val="00060CB6"/>
    <w:rsid w:val="00060EE3"/>
    <w:rsid w:val="00061220"/>
    <w:rsid w:val="00061395"/>
    <w:rsid w:val="0006162F"/>
    <w:rsid w:val="00061739"/>
    <w:rsid w:val="00061870"/>
    <w:rsid w:val="000618EC"/>
    <w:rsid w:val="00061C13"/>
    <w:rsid w:val="00061CB1"/>
    <w:rsid w:val="00061CB4"/>
    <w:rsid w:val="00061D26"/>
    <w:rsid w:val="00061E14"/>
    <w:rsid w:val="00062286"/>
    <w:rsid w:val="00062589"/>
    <w:rsid w:val="00062A35"/>
    <w:rsid w:val="00062F7A"/>
    <w:rsid w:val="000630B8"/>
    <w:rsid w:val="000630DD"/>
    <w:rsid w:val="000634D5"/>
    <w:rsid w:val="000635A5"/>
    <w:rsid w:val="0006377A"/>
    <w:rsid w:val="000637BD"/>
    <w:rsid w:val="000638FC"/>
    <w:rsid w:val="00063B26"/>
    <w:rsid w:val="00063B6F"/>
    <w:rsid w:val="00063C15"/>
    <w:rsid w:val="00063F7C"/>
    <w:rsid w:val="0006431F"/>
    <w:rsid w:val="000649C3"/>
    <w:rsid w:val="00065179"/>
    <w:rsid w:val="000654AE"/>
    <w:rsid w:val="0006588D"/>
    <w:rsid w:val="00066320"/>
    <w:rsid w:val="00066537"/>
    <w:rsid w:val="00066D6C"/>
    <w:rsid w:val="00066E0D"/>
    <w:rsid w:val="00066ED3"/>
    <w:rsid w:val="00067968"/>
    <w:rsid w:val="00067A17"/>
    <w:rsid w:val="00067D9F"/>
    <w:rsid w:val="00067E3E"/>
    <w:rsid w:val="000701D1"/>
    <w:rsid w:val="00070257"/>
    <w:rsid w:val="000702A4"/>
    <w:rsid w:val="00070744"/>
    <w:rsid w:val="00070AF3"/>
    <w:rsid w:val="00070CDC"/>
    <w:rsid w:val="00070E1F"/>
    <w:rsid w:val="00070F11"/>
    <w:rsid w:val="00070FB9"/>
    <w:rsid w:val="000712BE"/>
    <w:rsid w:val="0007178A"/>
    <w:rsid w:val="0007180B"/>
    <w:rsid w:val="00071A5F"/>
    <w:rsid w:val="00071DA7"/>
    <w:rsid w:val="00071EE4"/>
    <w:rsid w:val="00072429"/>
    <w:rsid w:val="000724D8"/>
    <w:rsid w:val="0007278D"/>
    <w:rsid w:val="00072AE1"/>
    <w:rsid w:val="00072D58"/>
    <w:rsid w:val="000730D4"/>
    <w:rsid w:val="000730E5"/>
    <w:rsid w:val="000731C9"/>
    <w:rsid w:val="00073230"/>
    <w:rsid w:val="0007325B"/>
    <w:rsid w:val="000733A7"/>
    <w:rsid w:val="00073713"/>
    <w:rsid w:val="00073C1F"/>
    <w:rsid w:val="00073EF3"/>
    <w:rsid w:val="000740EB"/>
    <w:rsid w:val="00074474"/>
    <w:rsid w:val="000745E0"/>
    <w:rsid w:val="00074668"/>
    <w:rsid w:val="00074876"/>
    <w:rsid w:val="000748B2"/>
    <w:rsid w:val="00074DC0"/>
    <w:rsid w:val="00074FB0"/>
    <w:rsid w:val="000753FF"/>
    <w:rsid w:val="0007592A"/>
    <w:rsid w:val="00075977"/>
    <w:rsid w:val="000759A1"/>
    <w:rsid w:val="00075B43"/>
    <w:rsid w:val="00075B6F"/>
    <w:rsid w:val="00075E62"/>
    <w:rsid w:val="00076029"/>
    <w:rsid w:val="000761A4"/>
    <w:rsid w:val="0007666E"/>
    <w:rsid w:val="00076859"/>
    <w:rsid w:val="00076AB9"/>
    <w:rsid w:val="00076B0E"/>
    <w:rsid w:val="00076F9B"/>
    <w:rsid w:val="00077150"/>
    <w:rsid w:val="000773A4"/>
    <w:rsid w:val="000773A6"/>
    <w:rsid w:val="000775C7"/>
    <w:rsid w:val="000777D7"/>
    <w:rsid w:val="0007786B"/>
    <w:rsid w:val="00077890"/>
    <w:rsid w:val="000779EE"/>
    <w:rsid w:val="00077A2A"/>
    <w:rsid w:val="00077A36"/>
    <w:rsid w:val="00077AFF"/>
    <w:rsid w:val="00077D02"/>
    <w:rsid w:val="00077FDC"/>
    <w:rsid w:val="000802E8"/>
    <w:rsid w:val="0008064D"/>
    <w:rsid w:val="0008069D"/>
    <w:rsid w:val="000807F3"/>
    <w:rsid w:val="00080A2A"/>
    <w:rsid w:val="00080B65"/>
    <w:rsid w:val="00080BFB"/>
    <w:rsid w:val="00080F72"/>
    <w:rsid w:val="0008114F"/>
    <w:rsid w:val="00081595"/>
    <w:rsid w:val="0008164B"/>
    <w:rsid w:val="00082168"/>
    <w:rsid w:val="00082188"/>
    <w:rsid w:val="000822D7"/>
    <w:rsid w:val="0008243B"/>
    <w:rsid w:val="000824E4"/>
    <w:rsid w:val="00082863"/>
    <w:rsid w:val="00083194"/>
    <w:rsid w:val="00083582"/>
    <w:rsid w:val="00083A52"/>
    <w:rsid w:val="00083CF6"/>
    <w:rsid w:val="00083E58"/>
    <w:rsid w:val="0008400A"/>
    <w:rsid w:val="00084265"/>
    <w:rsid w:val="00084556"/>
    <w:rsid w:val="000845B0"/>
    <w:rsid w:val="0008505F"/>
    <w:rsid w:val="000855AB"/>
    <w:rsid w:val="00085680"/>
    <w:rsid w:val="00085CE1"/>
    <w:rsid w:val="000863CA"/>
    <w:rsid w:val="00086456"/>
    <w:rsid w:val="00086487"/>
    <w:rsid w:val="00086641"/>
    <w:rsid w:val="000866E3"/>
    <w:rsid w:val="000869BF"/>
    <w:rsid w:val="00086A53"/>
    <w:rsid w:val="00086AF3"/>
    <w:rsid w:val="00086B70"/>
    <w:rsid w:val="00086C05"/>
    <w:rsid w:val="00086E1C"/>
    <w:rsid w:val="00086E5C"/>
    <w:rsid w:val="00087003"/>
    <w:rsid w:val="00087279"/>
    <w:rsid w:val="00087735"/>
    <w:rsid w:val="00087751"/>
    <w:rsid w:val="00087A33"/>
    <w:rsid w:val="00087AF2"/>
    <w:rsid w:val="00087D65"/>
    <w:rsid w:val="00087F01"/>
    <w:rsid w:val="0009011E"/>
    <w:rsid w:val="00090171"/>
    <w:rsid w:val="00090765"/>
    <w:rsid w:val="00090B2E"/>
    <w:rsid w:val="00090B9F"/>
    <w:rsid w:val="00090DF8"/>
    <w:rsid w:val="00090EA0"/>
    <w:rsid w:val="00090EE9"/>
    <w:rsid w:val="00090EEE"/>
    <w:rsid w:val="00091883"/>
    <w:rsid w:val="000918B3"/>
    <w:rsid w:val="0009234F"/>
    <w:rsid w:val="0009260E"/>
    <w:rsid w:val="00092662"/>
    <w:rsid w:val="00092C20"/>
    <w:rsid w:val="00092CEA"/>
    <w:rsid w:val="000931DB"/>
    <w:rsid w:val="000933AA"/>
    <w:rsid w:val="0009348A"/>
    <w:rsid w:val="00093542"/>
    <w:rsid w:val="000935C9"/>
    <w:rsid w:val="0009370C"/>
    <w:rsid w:val="00093C24"/>
    <w:rsid w:val="00093EC2"/>
    <w:rsid w:val="00093F3D"/>
    <w:rsid w:val="00094120"/>
    <w:rsid w:val="0009426E"/>
    <w:rsid w:val="00094A74"/>
    <w:rsid w:val="00094E05"/>
    <w:rsid w:val="0009550C"/>
    <w:rsid w:val="000956FA"/>
    <w:rsid w:val="00095A64"/>
    <w:rsid w:val="00095A8E"/>
    <w:rsid w:val="00095AC6"/>
    <w:rsid w:val="000961A5"/>
    <w:rsid w:val="00096627"/>
    <w:rsid w:val="00096A17"/>
    <w:rsid w:val="00096E37"/>
    <w:rsid w:val="00096EE3"/>
    <w:rsid w:val="0009736B"/>
    <w:rsid w:val="0009736F"/>
    <w:rsid w:val="0009760C"/>
    <w:rsid w:val="00097955"/>
    <w:rsid w:val="00097BD0"/>
    <w:rsid w:val="00097BE8"/>
    <w:rsid w:val="000A0009"/>
    <w:rsid w:val="000A010E"/>
    <w:rsid w:val="000A036B"/>
    <w:rsid w:val="000A0674"/>
    <w:rsid w:val="000A06CF"/>
    <w:rsid w:val="000A076B"/>
    <w:rsid w:val="000A0B9F"/>
    <w:rsid w:val="000A0D2A"/>
    <w:rsid w:val="000A0F84"/>
    <w:rsid w:val="000A10A8"/>
    <w:rsid w:val="000A16A1"/>
    <w:rsid w:val="000A1823"/>
    <w:rsid w:val="000A1ABE"/>
    <w:rsid w:val="000A1D88"/>
    <w:rsid w:val="000A1F85"/>
    <w:rsid w:val="000A2918"/>
    <w:rsid w:val="000A2ACB"/>
    <w:rsid w:val="000A2B2B"/>
    <w:rsid w:val="000A2F0D"/>
    <w:rsid w:val="000A30AF"/>
    <w:rsid w:val="000A33B8"/>
    <w:rsid w:val="000A3462"/>
    <w:rsid w:val="000A37BB"/>
    <w:rsid w:val="000A37DC"/>
    <w:rsid w:val="000A387E"/>
    <w:rsid w:val="000A3A47"/>
    <w:rsid w:val="000A3E92"/>
    <w:rsid w:val="000A3F21"/>
    <w:rsid w:val="000A4055"/>
    <w:rsid w:val="000A42A6"/>
    <w:rsid w:val="000A46A1"/>
    <w:rsid w:val="000A499D"/>
    <w:rsid w:val="000A5037"/>
    <w:rsid w:val="000A524A"/>
    <w:rsid w:val="000A5433"/>
    <w:rsid w:val="000A56CF"/>
    <w:rsid w:val="000A590C"/>
    <w:rsid w:val="000A594D"/>
    <w:rsid w:val="000A5965"/>
    <w:rsid w:val="000A5C0B"/>
    <w:rsid w:val="000A5CF7"/>
    <w:rsid w:val="000A612D"/>
    <w:rsid w:val="000A633A"/>
    <w:rsid w:val="000A6398"/>
    <w:rsid w:val="000A64B6"/>
    <w:rsid w:val="000A65A2"/>
    <w:rsid w:val="000A6E5C"/>
    <w:rsid w:val="000A7331"/>
    <w:rsid w:val="000A785E"/>
    <w:rsid w:val="000A7BBC"/>
    <w:rsid w:val="000A7EBE"/>
    <w:rsid w:val="000A7FCC"/>
    <w:rsid w:val="000B0061"/>
    <w:rsid w:val="000B02BF"/>
    <w:rsid w:val="000B0327"/>
    <w:rsid w:val="000B06BD"/>
    <w:rsid w:val="000B070A"/>
    <w:rsid w:val="000B0945"/>
    <w:rsid w:val="000B09F7"/>
    <w:rsid w:val="000B0C7B"/>
    <w:rsid w:val="000B0DC1"/>
    <w:rsid w:val="000B1430"/>
    <w:rsid w:val="000B159C"/>
    <w:rsid w:val="000B1BD2"/>
    <w:rsid w:val="000B210D"/>
    <w:rsid w:val="000B3214"/>
    <w:rsid w:val="000B33F6"/>
    <w:rsid w:val="000B3597"/>
    <w:rsid w:val="000B3792"/>
    <w:rsid w:val="000B3835"/>
    <w:rsid w:val="000B399F"/>
    <w:rsid w:val="000B3CE9"/>
    <w:rsid w:val="000B408B"/>
    <w:rsid w:val="000B4367"/>
    <w:rsid w:val="000B453F"/>
    <w:rsid w:val="000B4CFB"/>
    <w:rsid w:val="000B4F34"/>
    <w:rsid w:val="000B5151"/>
    <w:rsid w:val="000B546B"/>
    <w:rsid w:val="000B5822"/>
    <w:rsid w:val="000B5837"/>
    <w:rsid w:val="000B5A03"/>
    <w:rsid w:val="000B5B18"/>
    <w:rsid w:val="000B5D3A"/>
    <w:rsid w:val="000B5D64"/>
    <w:rsid w:val="000B61C0"/>
    <w:rsid w:val="000B633C"/>
    <w:rsid w:val="000B63CA"/>
    <w:rsid w:val="000B6455"/>
    <w:rsid w:val="000B64D9"/>
    <w:rsid w:val="000B6527"/>
    <w:rsid w:val="000B67E8"/>
    <w:rsid w:val="000B6B70"/>
    <w:rsid w:val="000B6C61"/>
    <w:rsid w:val="000B720C"/>
    <w:rsid w:val="000B72B0"/>
    <w:rsid w:val="000B7FE7"/>
    <w:rsid w:val="000C016D"/>
    <w:rsid w:val="000C034B"/>
    <w:rsid w:val="000C0701"/>
    <w:rsid w:val="000C09D2"/>
    <w:rsid w:val="000C0A7E"/>
    <w:rsid w:val="000C0AAE"/>
    <w:rsid w:val="000C0DF9"/>
    <w:rsid w:val="000C13AD"/>
    <w:rsid w:val="000C178B"/>
    <w:rsid w:val="000C17C0"/>
    <w:rsid w:val="000C18A8"/>
    <w:rsid w:val="000C1F0E"/>
    <w:rsid w:val="000C2018"/>
    <w:rsid w:val="000C20A6"/>
    <w:rsid w:val="000C20FF"/>
    <w:rsid w:val="000C2109"/>
    <w:rsid w:val="000C234B"/>
    <w:rsid w:val="000C28C0"/>
    <w:rsid w:val="000C2B31"/>
    <w:rsid w:val="000C2C5B"/>
    <w:rsid w:val="000C2D6B"/>
    <w:rsid w:val="000C2E83"/>
    <w:rsid w:val="000C3203"/>
    <w:rsid w:val="000C3498"/>
    <w:rsid w:val="000C35B4"/>
    <w:rsid w:val="000C3904"/>
    <w:rsid w:val="000C3B90"/>
    <w:rsid w:val="000C4151"/>
    <w:rsid w:val="000C4C86"/>
    <w:rsid w:val="000C4EE9"/>
    <w:rsid w:val="000C4FD3"/>
    <w:rsid w:val="000C5455"/>
    <w:rsid w:val="000C548A"/>
    <w:rsid w:val="000C5520"/>
    <w:rsid w:val="000C5607"/>
    <w:rsid w:val="000C56BD"/>
    <w:rsid w:val="000C58DB"/>
    <w:rsid w:val="000C5A61"/>
    <w:rsid w:val="000C5BB4"/>
    <w:rsid w:val="000C5C07"/>
    <w:rsid w:val="000C5D5D"/>
    <w:rsid w:val="000C5D86"/>
    <w:rsid w:val="000C62C9"/>
    <w:rsid w:val="000C6885"/>
    <w:rsid w:val="000C68C3"/>
    <w:rsid w:val="000C69D5"/>
    <w:rsid w:val="000C6A86"/>
    <w:rsid w:val="000C6AC2"/>
    <w:rsid w:val="000C7019"/>
    <w:rsid w:val="000C7843"/>
    <w:rsid w:val="000C7AC9"/>
    <w:rsid w:val="000D01B7"/>
    <w:rsid w:val="000D020A"/>
    <w:rsid w:val="000D021D"/>
    <w:rsid w:val="000D0575"/>
    <w:rsid w:val="000D0693"/>
    <w:rsid w:val="000D0C02"/>
    <w:rsid w:val="000D0C32"/>
    <w:rsid w:val="000D0D40"/>
    <w:rsid w:val="000D0E0E"/>
    <w:rsid w:val="000D0EF4"/>
    <w:rsid w:val="000D1102"/>
    <w:rsid w:val="000D113D"/>
    <w:rsid w:val="000D1174"/>
    <w:rsid w:val="000D139A"/>
    <w:rsid w:val="000D1431"/>
    <w:rsid w:val="000D1535"/>
    <w:rsid w:val="000D15D7"/>
    <w:rsid w:val="000D17AE"/>
    <w:rsid w:val="000D1BE9"/>
    <w:rsid w:val="000D1E11"/>
    <w:rsid w:val="000D1EDB"/>
    <w:rsid w:val="000D2379"/>
    <w:rsid w:val="000D254F"/>
    <w:rsid w:val="000D2600"/>
    <w:rsid w:val="000D2AE2"/>
    <w:rsid w:val="000D2EBA"/>
    <w:rsid w:val="000D30C4"/>
    <w:rsid w:val="000D3F0C"/>
    <w:rsid w:val="000D4154"/>
    <w:rsid w:val="000D4199"/>
    <w:rsid w:val="000D41DA"/>
    <w:rsid w:val="000D45A9"/>
    <w:rsid w:val="000D46B4"/>
    <w:rsid w:val="000D473E"/>
    <w:rsid w:val="000D48A5"/>
    <w:rsid w:val="000D4A60"/>
    <w:rsid w:val="000D4DC3"/>
    <w:rsid w:val="000D527C"/>
    <w:rsid w:val="000D5708"/>
    <w:rsid w:val="000D5990"/>
    <w:rsid w:val="000D5DE3"/>
    <w:rsid w:val="000D60D6"/>
    <w:rsid w:val="000D63D8"/>
    <w:rsid w:val="000D63ED"/>
    <w:rsid w:val="000D6E2D"/>
    <w:rsid w:val="000D6EF0"/>
    <w:rsid w:val="000D755C"/>
    <w:rsid w:val="000D7D99"/>
    <w:rsid w:val="000E00E2"/>
    <w:rsid w:val="000E00EF"/>
    <w:rsid w:val="000E0113"/>
    <w:rsid w:val="000E0459"/>
    <w:rsid w:val="000E06D0"/>
    <w:rsid w:val="000E090A"/>
    <w:rsid w:val="000E0915"/>
    <w:rsid w:val="000E0AA9"/>
    <w:rsid w:val="000E0EE6"/>
    <w:rsid w:val="000E1360"/>
    <w:rsid w:val="000E14B3"/>
    <w:rsid w:val="000E1579"/>
    <w:rsid w:val="000E1595"/>
    <w:rsid w:val="000E1EC3"/>
    <w:rsid w:val="000E21F6"/>
    <w:rsid w:val="000E28B7"/>
    <w:rsid w:val="000E2A8D"/>
    <w:rsid w:val="000E2E10"/>
    <w:rsid w:val="000E2FEE"/>
    <w:rsid w:val="000E31E3"/>
    <w:rsid w:val="000E35E9"/>
    <w:rsid w:val="000E37B5"/>
    <w:rsid w:val="000E39A9"/>
    <w:rsid w:val="000E3A87"/>
    <w:rsid w:val="000E3AE5"/>
    <w:rsid w:val="000E41C3"/>
    <w:rsid w:val="000E42EA"/>
    <w:rsid w:val="000E44AB"/>
    <w:rsid w:val="000E45AE"/>
    <w:rsid w:val="000E48E2"/>
    <w:rsid w:val="000E4AB4"/>
    <w:rsid w:val="000E4BA0"/>
    <w:rsid w:val="000E4F51"/>
    <w:rsid w:val="000E5177"/>
    <w:rsid w:val="000E5416"/>
    <w:rsid w:val="000E54F4"/>
    <w:rsid w:val="000E56A2"/>
    <w:rsid w:val="000E5885"/>
    <w:rsid w:val="000E5924"/>
    <w:rsid w:val="000E5AC0"/>
    <w:rsid w:val="000E6276"/>
    <w:rsid w:val="000E635F"/>
    <w:rsid w:val="000E645F"/>
    <w:rsid w:val="000E655A"/>
    <w:rsid w:val="000E6A6B"/>
    <w:rsid w:val="000E6AEE"/>
    <w:rsid w:val="000E6B0E"/>
    <w:rsid w:val="000E7682"/>
    <w:rsid w:val="000E76F8"/>
    <w:rsid w:val="000F060F"/>
    <w:rsid w:val="000F061E"/>
    <w:rsid w:val="000F0675"/>
    <w:rsid w:val="000F0930"/>
    <w:rsid w:val="000F09AB"/>
    <w:rsid w:val="000F0ACA"/>
    <w:rsid w:val="000F0BA0"/>
    <w:rsid w:val="000F12BD"/>
    <w:rsid w:val="000F1302"/>
    <w:rsid w:val="000F144C"/>
    <w:rsid w:val="000F159D"/>
    <w:rsid w:val="000F1C21"/>
    <w:rsid w:val="000F1E75"/>
    <w:rsid w:val="000F20DE"/>
    <w:rsid w:val="000F20EC"/>
    <w:rsid w:val="000F2695"/>
    <w:rsid w:val="000F27A6"/>
    <w:rsid w:val="000F2E0B"/>
    <w:rsid w:val="000F2E60"/>
    <w:rsid w:val="000F2F05"/>
    <w:rsid w:val="000F3011"/>
    <w:rsid w:val="000F351F"/>
    <w:rsid w:val="000F3739"/>
    <w:rsid w:val="000F398A"/>
    <w:rsid w:val="000F39D6"/>
    <w:rsid w:val="000F3B59"/>
    <w:rsid w:val="000F3CE0"/>
    <w:rsid w:val="000F3E36"/>
    <w:rsid w:val="000F4604"/>
    <w:rsid w:val="000F48D8"/>
    <w:rsid w:val="000F4BB1"/>
    <w:rsid w:val="000F4E9D"/>
    <w:rsid w:val="000F5107"/>
    <w:rsid w:val="000F518D"/>
    <w:rsid w:val="000F574F"/>
    <w:rsid w:val="000F57C2"/>
    <w:rsid w:val="000F5F53"/>
    <w:rsid w:val="000F5F69"/>
    <w:rsid w:val="000F5F87"/>
    <w:rsid w:val="000F6208"/>
    <w:rsid w:val="000F62AB"/>
    <w:rsid w:val="000F6364"/>
    <w:rsid w:val="000F6722"/>
    <w:rsid w:val="000F68E7"/>
    <w:rsid w:val="000F6C94"/>
    <w:rsid w:val="000F71B8"/>
    <w:rsid w:val="000F7230"/>
    <w:rsid w:val="000F73A7"/>
    <w:rsid w:val="000F7588"/>
    <w:rsid w:val="000F7598"/>
    <w:rsid w:val="000F7869"/>
    <w:rsid w:val="000F7870"/>
    <w:rsid w:val="000F7A8D"/>
    <w:rsid w:val="000F7B87"/>
    <w:rsid w:val="000F7B8B"/>
    <w:rsid w:val="000F7C6C"/>
    <w:rsid w:val="000F7C88"/>
    <w:rsid w:val="000F7DA9"/>
    <w:rsid w:val="00100050"/>
    <w:rsid w:val="00100393"/>
    <w:rsid w:val="001009A4"/>
    <w:rsid w:val="00101196"/>
    <w:rsid w:val="0010119E"/>
    <w:rsid w:val="00101606"/>
    <w:rsid w:val="00101895"/>
    <w:rsid w:val="00101B3B"/>
    <w:rsid w:val="00101CFA"/>
    <w:rsid w:val="00101E0F"/>
    <w:rsid w:val="00101EDC"/>
    <w:rsid w:val="001021F9"/>
    <w:rsid w:val="0010294C"/>
    <w:rsid w:val="001036B5"/>
    <w:rsid w:val="00103730"/>
    <w:rsid w:val="0010398D"/>
    <w:rsid w:val="00103CEA"/>
    <w:rsid w:val="00104179"/>
    <w:rsid w:val="00104295"/>
    <w:rsid w:val="00104341"/>
    <w:rsid w:val="00104437"/>
    <w:rsid w:val="00104476"/>
    <w:rsid w:val="001046D1"/>
    <w:rsid w:val="0010473B"/>
    <w:rsid w:val="00104783"/>
    <w:rsid w:val="00104913"/>
    <w:rsid w:val="0010504A"/>
    <w:rsid w:val="00105059"/>
    <w:rsid w:val="00105475"/>
    <w:rsid w:val="00105478"/>
    <w:rsid w:val="001054DB"/>
    <w:rsid w:val="00105A5C"/>
    <w:rsid w:val="00105B53"/>
    <w:rsid w:val="00105B83"/>
    <w:rsid w:val="00105B98"/>
    <w:rsid w:val="00105E11"/>
    <w:rsid w:val="00106023"/>
    <w:rsid w:val="00106560"/>
    <w:rsid w:val="00106658"/>
    <w:rsid w:val="00106BC1"/>
    <w:rsid w:val="00107306"/>
    <w:rsid w:val="00107477"/>
    <w:rsid w:val="001076E9"/>
    <w:rsid w:val="001078C3"/>
    <w:rsid w:val="00107921"/>
    <w:rsid w:val="001079ED"/>
    <w:rsid w:val="00107EDD"/>
    <w:rsid w:val="001100F7"/>
    <w:rsid w:val="00110616"/>
    <w:rsid w:val="00110849"/>
    <w:rsid w:val="00110B23"/>
    <w:rsid w:val="001110E5"/>
    <w:rsid w:val="00111346"/>
    <w:rsid w:val="001114AA"/>
    <w:rsid w:val="00111544"/>
    <w:rsid w:val="001115B7"/>
    <w:rsid w:val="00111988"/>
    <w:rsid w:val="00111BF2"/>
    <w:rsid w:val="00111F32"/>
    <w:rsid w:val="00112099"/>
    <w:rsid w:val="00112233"/>
    <w:rsid w:val="0011226B"/>
    <w:rsid w:val="0011247F"/>
    <w:rsid w:val="0011291D"/>
    <w:rsid w:val="00112962"/>
    <w:rsid w:val="00112BD5"/>
    <w:rsid w:val="00112CA4"/>
    <w:rsid w:val="0011321F"/>
    <w:rsid w:val="0011354C"/>
    <w:rsid w:val="0011355D"/>
    <w:rsid w:val="0011357C"/>
    <w:rsid w:val="0011360C"/>
    <w:rsid w:val="00113A5E"/>
    <w:rsid w:val="00113AEB"/>
    <w:rsid w:val="00113B5C"/>
    <w:rsid w:val="0011409E"/>
    <w:rsid w:val="001145EC"/>
    <w:rsid w:val="00114697"/>
    <w:rsid w:val="001147F7"/>
    <w:rsid w:val="001148D2"/>
    <w:rsid w:val="00114B5D"/>
    <w:rsid w:val="00114C9A"/>
    <w:rsid w:val="00114E42"/>
    <w:rsid w:val="00114F8D"/>
    <w:rsid w:val="00115052"/>
    <w:rsid w:val="001152B9"/>
    <w:rsid w:val="00115611"/>
    <w:rsid w:val="00115918"/>
    <w:rsid w:val="00115FCD"/>
    <w:rsid w:val="001160EB"/>
    <w:rsid w:val="00116563"/>
    <w:rsid w:val="0011667B"/>
    <w:rsid w:val="00116682"/>
    <w:rsid w:val="001166F7"/>
    <w:rsid w:val="00116818"/>
    <w:rsid w:val="00116863"/>
    <w:rsid w:val="00116877"/>
    <w:rsid w:val="00116D1D"/>
    <w:rsid w:val="00116D73"/>
    <w:rsid w:val="00117069"/>
    <w:rsid w:val="0011727A"/>
    <w:rsid w:val="001178ED"/>
    <w:rsid w:val="0011793A"/>
    <w:rsid w:val="0011797D"/>
    <w:rsid w:val="00117A19"/>
    <w:rsid w:val="00117C26"/>
    <w:rsid w:val="00117CDA"/>
    <w:rsid w:val="0012010C"/>
    <w:rsid w:val="00120472"/>
    <w:rsid w:val="001205F2"/>
    <w:rsid w:val="00120866"/>
    <w:rsid w:val="0012086F"/>
    <w:rsid w:val="00120987"/>
    <w:rsid w:val="00120D56"/>
    <w:rsid w:val="00120F8D"/>
    <w:rsid w:val="00120FF5"/>
    <w:rsid w:val="00121028"/>
    <w:rsid w:val="0012152B"/>
    <w:rsid w:val="001217E6"/>
    <w:rsid w:val="00121C62"/>
    <w:rsid w:val="00121EC0"/>
    <w:rsid w:val="00121FA8"/>
    <w:rsid w:val="001220B5"/>
    <w:rsid w:val="001221FC"/>
    <w:rsid w:val="00122243"/>
    <w:rsid w:val="00122290"/>
    <w:rsid w:val="001226C2"/>
    <w:rsid w:val="00122843"/>
    <w:rsid w:val="00122B1F"/>
    <w:rsid w:val="00122E80"/>
    <w:rsid w:val="0012301E"/>
    <w:rsid w:val="001230B9"/>
    <w:rsid w:val="0012335B"/>
    <w:rsid w:val="001234EA"/>
    <w:rsid w:val="0012354B"/>
    <w:rsid w:val="0012376E"/>
    <w:rsid w:val="0012391E"/>
    <w:rsid w:val="00123A04"/>
    <w:rsid w:val="00123A62"/>
    <w:rsid w:val="00123A99"/>
    <w:rsid w:val="00123AF2"/>
    <w:rsid w:val="00123E17"/>
    <w:rsid w:val="00123F10"/>
    <w:rsid w:val="001240D1"/>
    <w:rsid w:val="00124258"/>
    <w:rsid w:val="00124511"/>
    <w:rsid w:val="001248DF"/>
    <w:rsid w:val="0012495C"/>
    <w:rsid w:val="00124DE0"/>
    <w:rsid w:val="00124E79"/>
    <w:rsid w:val="00124FA6"/>
    <w:rsid w:val="0012501E"/>
    <w:rsid w:val="00125057"/>
    <w:rsid w:val="0012507C"/>
    <w:rsid w:val="001253D1"/>
    <w:rsid w:val="0012548F"/>
    <w:rsid w:val="00125494"/>
    <w:rsid w:val="0012553B"/>
    <w:rsid w:val="001258EB"/>
    <w:rsid w:val="001259FE"/>
    <w:rsid w:val="00125C64"/>
    <w:rsid w:val="00125E26"/>
    <w:rsid w:val="0012659C"/>
    <w:rsid w:val="001266BB"/>
    <w:rsid w:val="0012675B"/>
    <w:rsid w:val="00126A8F"/>
    <w:rsid w:val="00126AAF"/>
    <w:rsid w:val="00126E7D"/>
    <w:rsid w:val="00126F0B"/>
    <w:rsid w:val="001273DC"/>
    <w:rsid w:val="0012744D"/>
    <w:rsid w:val="0012750F"/>
    <w:rsid w:val="00127B5C"/>
    <w:rsid w:val="00127B74"/>
    <w:rsid w:val="00127D02"/>
    <w:rsid w:val="00127DF9"/>
    <w:rsid w:val="00127EE4"/>
    <w:rsid w:val="001308A1"/>
    <w:rsid w:val="001309F9"/>
    <w:rsid w:val="00130B35"/>
    <w:rsid w:val="00130C22"/>
    <w:rsid w:val="00130C77"/>
    <w:rsid w:val="001311E9"/>
    <w:rsid w:val="0013142B"/>
    <w:rsid w:val="00131633"/>
    <w:rsid w:val="0013163E"/>
    <w:rsid w:val="001317EB"/>
    <w:rsid w:val="001318ED"/>
    <w:rsid w:val="0013296B"/>
    <w:rsid w:val="00132A1A"/>
    <w:rsid w:val="00132A83"/>
    <w:rsid w:val="00133058"/>
    <w:rsid w:val="00133522"/>
    <w:rsid w:val="00133580"/>
    <w:rsid w:val="001337CA"/>
    <w:rsid w:val="001339A9"/>
    <w:rsid w:val="00133A48"/>
    <w:rsid w:val="00133B05"/>
    <w:rsid w:val="00133B3B"/>
    <w:rsid w:val="00133DCF"/>
    <w:rsid w:val="00133FA0"/>
    <w:rsid w:val="00134617"/>
    <w:rsid w:val="00134DA2"/>
    <w:rsid w:val="00135847"/>
    <w:rsid w:val="00135CDC"/>
    <w:rsid w:val="00135D01"/>
    <w:rsid w:val="001360D2"/>
    <w:rsid w:val="0013620B"/>
    <w:rsid w:val="001368EE"/>
    <w:rsid w:val="00136A87"/>
    <w:rsid w:val="00136E59"/>
    <w:rsid w:val="00136E5B"/>
    <w:rsid w:val="00136E88"/>
    <w:rsid w:val="00137521"/>
    <w:rsid w:val="00137906"/>
    <w:rsid w:val="00137A87"/>
    <w:rsid w:val="00137E1C"/>
    <w:rsid w:val="00137EF4"/>
    <w:rsid w:val="0014017C"/>
    <w:rsid w:val="001401AD"/>
    <w:rsid w:val="001401C1"/>
    <w:rsid w:val="001401CD"/>
    <w:rsid w:val="001402AF"/>
    <w:rsid w:val="00140B0A"/>
    <w:rsid w:val="00140E0F"/>
    <w:rsid w:val="00140ED7"/>
    <w:rsid w:val="00141055"/>
    <w:rsid w:val="001411EF"/>
    <w:rsid w:val="001413B6"/>
    <w:rsid w:val="00141512"/>
    <w:rsid w:val="0014171C"/>
    <w:rsid w:val="0014178D"/>
    <w:rsid w:val="00141936"/>
    <w:rsid w:val="0014194A"/>
    <w:rsid w:val="001419C4"/>
    <w:rsid w:val="00141D37"/>
    <w:rsid w:val="00142034"/>
    <w:rsid w:val="00142233"/>
    <w:rsid w:val="001422EE"/>
    <w:rsid w:val="0014257F"/>
    <w:rsid w:val="00142968"/>
    <w:rsid w:val="00142971"/>
    <w:rsid w:val="001429E2"/>
    <w:rsid w:val="00142F6F"/>
    <w:rsid w:val="001430CA"/>
    <w:rsid w:val="001432B9"/>
    <w:rsid w:val="00143553"/>
    <w:rsid w:val="001436C8"/>
    <w:rsid w:val="001436F8"/>
    <w:rsid w:val="0014372A"/>
    <w:rsid w:val="001438A3"/>
    <w:rsid w:val="00143945"/>
    <w:rsid w:val="00143949"/>
    <w:rsid w:val="001439DB"/>
    <w:rsid w:val="00143B4F"/>
    <w:rsid w:val="00144557"/>
    <w:rsid w:val="0014465C"/>
    <w:rsid w:val="00144939"/>
    <w:rsid w:val="00144A19"/>
    <w:rsid w:val="00144E2B"/>
    <w:rsid w:val="00144EE0"/>
    <w:rsid w:val="00145247"/>
    <w:rsid w:val="001452F5"/>
    <w:rsid w:val="001454A9"/>
    <w:rsid w:val="001455D2"/>
    <w:rsid w:val="00145910"/>
    <w:rsid w:val="00145F80"/>
    <w:rsid w:val="001460F9"/>
    <w:rsid w:val="00146233"/>
    <w:rsid w:val="00146236"/>
    <w:rsid w:val="0014624E"/>
    <w:rsid w:val="0014651F"/>
    <w:rsid w:val="0014687C"/>
    <w:rsid w:val="001469DC"/>
    <w:rsid w:val="00146BEF"/>
    <w:rsid w:val="00146E63"/>
    <w:rsid w:val="00147059"/>
    <w:rsid w:val="00147208"/>
    <w:rsid w:val="00147209"/>
    <w:rsid w:val="0014756C"/>
    <w:rsid w:val="0014761B"/>
    <w:rsid w:val="00147BCF"/>
    <w:rsid w:val="00147CC5"/>
    <w:rsid w:val="00147FAF"/>
    <w:rsid w:val="0015000E"/>
    <w:rsid w:val="00150852"/>
    <w:rsid w:val="00150BA3"/>
    <w:rsid w:val="00150C1A"/>
    <w:rsid w:val="00150C4A"/>
    <w:rsid w:val="00150CDB"/>
    <w:rsid w:val="00150E3E"/>
    <w:rsid w:val="00151596"/>
    <w:rsid w:val="00151668"/>
    <w:rsid w:val="00151757"/>
    <w:rsid w:val="00151816"/>
    <w:rsid w:val="0015199B"/>
    <w:rsid w:val="00151B76"/>
    <w:rsid w:val="00151BE6"/>
    <w:rsid w:val="00151E36"/>
    <w:rsid w:val="00151F87"/>
    <w:rsid w:val="0015211F"/>
    <w:rsid w:val="00152154"/>
    <w:rsid w:val="00152331"/>
    <w:rsid w:val="00152590"/>
    <w:rsid w:val="00152597"/>
    <w:rsid w:val="0015275C"/>
    <w:rsid w:val="0015291C"/>
    <w:rsid w:val="00152AD0"/>
    <w:rsid w:val="001530CE"/>
    <w:rsid w:val="00153407"/>
    <w:rsid w:val="0015343A"/>
    <w:rsid w:val="0015375F"/>
    <w:rsid w:val="0015395B"/>
    <w:rsid w:val="00153CE7"/>
    <w:rsid w:val="00154010"/>
    <w:rsid w:val="001540B9"/>
    <w:rsid w:val="00154115"/>
    <w:rsid w:val="00154574"/>
    <w:rsid w:val="00154990"/>
    <w:rsid w:val="001549A7"/>
    <w:rsid w:val="00154B79"/>
    <w:rsid w:val="00155076"/>
    <w:rsid w:val="001552AA"/>
    <w:rsid w:val="0015537A"/>
    <w:rsid w:val="00155460"/>
    <w:rsid w:val="00155610"/>
    <w:rsid w:val="001557C9"/>
    <w:rsid w:val="00155AA0"/>
    <w:rsid w:val="00155BE2"/>
    <w:rsid w:val="00155C4C"/>
    <w:rsid w:val="00155CD3"/>
    <w:rsid w:val="00156156"/>
    <w:rsid w:val="00156258"/>
    <w:rsid w:val="00156275"/>
    <w:rsid w:val="0015628A"/>
    <w:rsid w:val="00156EA8"/>
    <w:rsid w:val="00156FFF"/>
    <w:rsid w:val="001571EC"/>
    <w:rsid w:val="0015726B"/>
    <w:rsid w:val="001573CD"/>
    <w:rsid w:val="00157477"/>
    <w:rsid w:val="001574B2"/>
    <w:rsid w:val="0015777E"/>
    <w:rsid w:val="00157A60"/>
    <w:rsid w:val="00157A61"/>
    <w:rsid w:val="00157D7B"/>
    <w:rsid w:val="00157F19"/>
    <w:rsid w:val="0016039F"/>
    <w:rsid w:val="001605FA"/>
    <w:rsid w:val="00160823"/>
    <w:rsid w:val="00160931"/>
    <w:rsid w:val="00160958"/>
    <w:rsid w:val="00160C45"/>
    <w:rsid w:val="00160D83"/>
    <w:rsid w:val="00161307"/>
    <w:rsid w:val="00161349"/>
    <w:rsid w:val="0016183B"/>
    <w:rsid w:val="001618B0"/>
    <w:rsid w:val="00161DC8"/>
    <w:rsid w:val="00161E81"/>
    <w:rsid w:val="0016200D"/>
    <w:rsid w:val="0016201E"/>
    <w:rsid w:val="0016206D"/>
    <w:rsid w:val="001624B8"/>
    <w:rsid w:val="001625AD"/>
    <w:rsid w:val="00162711"/>
    <w:rsid w:val="0016290F"/>
    <w:rsid w:val="00162B51"/>
    <w:rsid w:val="00162CB7"/>
    <w:rsid w:val="00162D38"/>
    <w:rsid w:val="00162F62"/>
    <w:rsid w:val="00162FF5"/>
    <w:rsid w:val="001635AA"/>
    <w:rsid w:val="001637AB"/>
    <w:rsid w:val="001638A7"/>
    <w:rsid w:val="001639EE"/>
    <w:rsid w:val="00163A1B"/>
    <w:rsid w:val="00163D1C"/>
    <w:rsid w:val="00163D9D"/>
    <w:rsid w:val="00163DF4"/>
    <w:rsid w:val="00163EEC"/>
    <w:rsid w:val="00164585"/>
    <w:rsid w:val="00164926"/>
    <w:rsid w:val="00164955"/>
    <w:rsid w:val="00164C97"/>
    <w:rsid w:val="00164DEF"/>
    <w:rsid w:val="00164F56"/>
    <w:rsid w:val="00164F62"/>
    <w:rsid w:val="00165117"/>
    <w:rsid w:val="0016523E"/>
    <w:rsid w:val="001652F4"/>
    <w:rsid w:val="0016546A"/>
    <w:rsid w:val="001655F1"/>
    <w:rsid w:val="001658D7"/>
    <w:rsid w:val="00165A1B"/>
    <w:rsid w:val="00165A48"/>
    <w:rsid w:val="00165A9F"/>
    <w:rsid w:val="00165F9B"/>
    <w:rsid w:val="00166086"/>
    <w:rsid w:val="0016614E"/>
    <w:rsid w:val="0016640E"/>
    <w:rsid w:val="00166704"/>
    <w:rsid w:val="001667B4"/>
    <w:rsid w:val="001668EE"/>
    <w:rsid w:val="00166B8A"/>
    <w:rsid w:val="00167068"/>
    <w:rsid w:val="001672F3"/>
    <w:rsid w:val="0016737F"/>
    <w:rsid w:val="0016740E"/>
    <w:rsid w:val="001679AD"/>
    <w:rsid w:val="00167A7C"/>
    <w:rsid w:val="00167EE6"/>
    <w:rsid w:val="00167EEF"/>
    <w:rsid w:val="001700EA"/>
    <w:rsid w:val="001701F0"/>
    <w:rsid w:val="001704C8"/>
    <w:rsid w:val="001705A3"/>
    <w:rsid w:val="00170629"/>
    <w:rsid w:val="00170795"/>
    <w:rsid w:val="00170797"/>
    <w:rsid w:val="001707A9"/>
    <w:rsid w:val="001707D5"/>
    <w:rsid w:val="00170C52"/>
    <w:rsid w:val="00170C8D"/>
    <w:rsid w:val="001710F0"/>
    <w:rsid w:val="0017118D"/>
    <w:rsid w:val="0017133E"/>
    <w:rsid w:val="001713AA"/>
    <w:rsid w:val="0017142A"/>
    <w:rsid w:val="00171534"/>
    <w:rsid w:val="0017158C"/>
    <w:rsid w:val="00171CC3"/>
    <w:rsid w:val="00171F06"/>
    <w:rsid w:val="00171F0D"/>
    <w:rsid w:val="001724AB"/>
    <w:rsid w:val="00172513"/>
    <w:rsid w:val="0017262D"/>
    <w:rsid w:val="0017271B"/>
    <w:rsid w:val="00172773"/>
    <w:rsid w:val="00172D17"/>
    <w:rsid w:val="00172D29"/>
    <w:rsid w:val="00172E6F"/>
    <w:rsid w:val="0017304B"/>
    <w:rsid w:val="001730C9"/>
    <w:rsid w:val="00173215"/>
    <w:rsid w:val="00173754"/>
    <w:rsid w:val="001738E3"/>
    <w:rsid w:val="00173A63"/>
    <w:rsid w:val="00173B16"/>
    <w:rsid w:val="00173C36"/>
    <w:rsid w:val="00173EC1"/>
    <w:rsid w:val="0017417D"/>
    <w:rsid w:val="00174201"/>
    <w:rsid w:val="001748F8"/>
    <w:rsid w:val="00174A84"/>
    <w:rsid w:val="00174B3C"/>
    <w:rsid w:val="00174EFA"/>
    <w:rsid w:val="00175025"/>
    <w:rsid w:val="00175422"/>
    <w:rsid w:val="00175806"/>
    <w:rsid w:val="001758F7"/>
    <w:rsid w:val="0017590F"/>
    <w:rsid w:val="00175D7E"/>
    <w:rsid w:val="00175FB9"/>
    <w:rsid w:val="00176219"/>
    <w:rsid w:val="001762A3"/>
    <w:rsid w:val="001763A2"/>
    <w:rsid w:val="00176EFE"/>
    <w:rsid w:val="00176F81"/>
    <w:rsid w:val="001770F7"/>
    <w:rsid w:val="001774A0"/>
    <w:rsid w:val="0017757D"/>
    <w:rsid w:val="001777AC"/>
    <w:rsid w:val="00177A37"/>
    <w:rsid w:val="00177A3C"/>
    <w:rsid w:val="00177D78"/>
    <w:rsid w:val="00177DC6"/>
    <w:rsid w:val="00177EA9"/>
    <w:rsid w:val="00177F10"/>
    <w:rsid w:val="0018034C"/>
    <w:rsid w:val="00180912"/>
    <w:rsid w:val="00180C63"/>
    <w:rsid w:val="00180F3C"/>
    <w:rsid w:val="0018122C"/>
    <w:rsid w:val="00181315"/>
    <w:rsid w:val="00181F4D"/>
    <w:rsid w:val="00182719"/>
    <w:rsid w:val="00182C77"/>
    <w:rsid w:val="00183312"/>
    <w:rsid w:val="001835C4"/>
    <w:rsid w:val="001836CC"/>
    <w:rsid w:val="001836FC"/>
    <w:rsid w:val="00183EB2"/>
    <w:rsid w:val="00183FDE"/>
    <w:rsid w:val="00184019"/>
    <w:rsid w:val="00184165"/>
    <w:rsid w:val="001845C9"/>
    <w:rsid w:val="001849D3"/>
    <w:rsid w:val="00184DC0"/>
    <w:rsid w:val="00184FA1"/>
    <w:rsid w:val="001855BD"/>
    <w:rsid w:val="00185A7D"/>
    <w:rsid w:val="00185A98"/>
    <w:rsid w:val="00185DFF"/>
    <w:rsid w:val="00186041"/>
    <w:rsid w:val="001862A4"/>
    <w:rsid w:val="001865D3"/>
    <w:rsid w:val="0018665C"/>
    <w:rsid w:val="0018679A"/>
    <w:rsid w:val="001867C9"/>
    <w:rsid w:val="001868D0"/>
    <w:rsid w:val="00186C4B"/>
    <w:rsid w:val="00186FC6"/>
    <w:rsid w:val="001870CB"/>
    <w:rsid w:val="001871E0"/>
    <w:rsid w:val="001873DA"/>
    <w:rsid w:val="001874A7"/>
    <w:rsid w:val="00187744"/>
    <w:rsid w:val="00187912"/>
    <w:rsid w:val="00187B9A"/>
    <w:rsid w:val="00187CE7"/>
    <w:rsid w:val="00187F38"/>
    <w:rsid w:val="00190405"/>
    <w:rsid w:val="001905AD"/>
    <w:rsid w:val="0019084F"/>
    <w:rsid w:val="00190AC0"/>
    <w:rsid w:val="00190C69"/>
    <w:rsid w:val="001911D9"/>
    <w:rsid w:val="001912D6"/>
    <w:rsid w:val="00191567"/>
    <w:rsid w:val="0019191F"/>
    <w:rsid w:val="0019194C"/>
    <w:rsid w:val="001919BA"/>
    <w:rsid w:val="00191ADA"/>
    <w:rsid w:val="00192039"/>
    <w:rsid w:val="00192348"/>
    <w:rsid w:val="0019240D"/>
    <w:rsid w:val="00192596"/>
    <w:rsid w:val="00192668"/>
    <w:rsid w:val="00192741"/>
    <w:rsid w:val="0019276F"/>
    <w:rsid w:val="00192A48"/>
    <w:rsid w:val="00192AA6"/>
    <w:rsid w:val="00192CFE"/>
    <w:rsid w:val="00193036"/>
    <w:rsid w:val="001930D6"/>
    <w:rsid w:val="00193185"/>
    <w:rsid w:val="001931A8"/>
    <w:rsid w:val="00193230"/>
    <w:rsid w:val="001932C8"/>
    <w:rsid w:val="00193333"/>
    <w:rsid w:val="00193782"/>
    <w:rsid w:val="00193947"/>
    <w:rsid w:val="00193C35"/>
    <w:rsid w:val="00193E60"/>
    <w:rsid w:val="00193ED2"/>
    <w:rsid w:val="00193F45"/>
    <w:rsid w:val="001946FB"/>
    <w:rsid w:val="00194994"/>
    <w:rsid w:val="00194CAA"/>
    <w:rsid w:val="0019555A"/>
    <w:rsid w:val="001956A0"/>
    <w:rsid w:val="001957EE"/>
    <w:rsid w:val="00195823"/>
    <w:rsid w:val="001959F1"/>
    <w:rsid w:val="00195EBF"/>
    <w:rsid w:val="0019626C"/>
    <w:rsid w:val="001962DD"/>
    <w:rsid w:val="00196347"/>
    <w:rsid w:val="00196551"/>
    <w:rsid w:val="001966E9"/>
    <w:rsid w:val="00196836"/>
    <w:rsid w:val="00196B51"/>
    <w:rsid w:val="00196B55"/>
    <w:rsid w:val="00196E5B"/>
    <w:rsid w:val="00196F45"/>
    <w:rsid w:val="00197042"/>
    <w:rsid w:val="00197117"/>
    <w:rsid w:val="001971B9"/>
    <w:rsid w:val="001972F1"/>
    <w:rsid w:val="001977E6"/>
    <w:rsid w:val="00197C09"/>
    <w:rsid w:val="00197F77"/>
    <w:rsid w:val="001A035F"/>
    <w:rsid w:val="001A0C29"/>
    <w:rsid w:val="001A0E7F"/>
    <w:rsid w:val="001A0F18"/>
    <w:rsid w:val="001A1012"/>
    <w:rsid w:val="001A1127"/>
    <w:rsid w:val="001A1B19"/>
    <w:rsid w:val="001A1D29"/>
    <w:rsid w:val="001A1EA4"/>
    <w:rsid w:val="001A22A5"/>
    <w:rsid w:val="001A2482"/>
    <w:rsid w:val="001A268C"/>
    <w:rsid w:val="001A29E2"/>
    <w:rsid w:val="001A2D13"/>
    <w:rsid w:val="001A305C"/>
    <w:rsid w:val="001A30B6"/>
    <w:rsid w:val="001A30E6"/>
    <w:rsid w:val="001A3562"/>
    <w:rsid w:val="001A3828"/>
    <w:rsid w:val="001A3A5D"/>
    <w:rsid w:val="001A3B0F"/>
    <w:rsid w:val="001A4A45"/>
    <w:rsid w:val="001A4B86"/>
    <w:rsid w:val="001A4BD7"/>
    <w:rsid w:val="001A503F"/>
    <w:rsid w:val="001A5317"/>
    <w:rsid w:val="001A5991"/>
    <w:rsid w:val="001A59DC"/>
    <w:rsid w:val="001A5BA1"/>
    <w:rsid w:val="001A6813"/>
    <w:rsid w:val="001A68E7"/>
    <w:rsid w:val="001A699E"/>
    <w:rsid w:val="001A6A07"/>
    <w:rsid w:val="001A6EE0"/>
    <w:rsid w:val="001A73C4"/>
    <w:rsid w:val="001A7975"/>
    <w:rsid w:val="001A7AFF"/>
    <w:rsid w:val="001A7B0A"/>
    <w:rsid w:val="001A7E5A"/>
    <w:rsid w:val="001A7EBE"/>
    <w:rsid w:val="001B0159"/>
    <w:rsid w:val="001B0754"/>
    <w:rsid w:val="001B0D56"/>
    <w:rsid w:val="001B1476"/>
    <w:rsid w:val="001B1489"/>
    <w:rsid w:val="001B155F"/>
    <w:rsid w:val="001B158E"/>
    <w:rsid w:val="001B1601"/>
    <w:rsid w:val="001B1627"/>
    <w:rsid w:val="001B18BC"/>
    <w:rsid w:val="001B1B5E"/>
    <w:rsid w:val="001B1BD5"/>
    <w:rsid w:val="001B1E88"/>
    <w:rsid w:val="001B1F3D"/>
    <w:rsid w:val="001B1F9F"/>
    <w:rsid w:val="001B2162"/>
    <w:rsid w:val="001B2817"/>
    <w:rsid w:val="001B2819"/>
    <w:rsid w:val="001B29A6"/>
    <w:rsid w:val="001B3136"/>
    <w:rsid w:val="001B33C6"/>
    <w:rsid w:val="001B393C"/>
    <w:rsid w:val="001B3A59"/>
    <w:rsid w:val="001B3C82"/>
    <w:rsid w:val="001B3CCC"/>
    <w:rsid w:val="001B4581"/>
    <w:rsid w:val="001B460E"/>
    <w:rsid w:val="001B4B7E"/>
    <w:rsid w:val="001B4C5B"/>
    <w:rsid w:val="001B5076"/>
    <w:rsid w:val="001B53DE"/>
    <w:rsid w:val="001B56B3"/>
    <w:rsid w:val="001B5819"/>
    <w:rsid w:val="001B5D00"/>
    <w:rsid w:val="001B6005"/>
    <w:rsid w:val="001B6084"/>
    <w:rsid w:val="001B636B"/>
    <w:rsid w:val="001B63B8"/>
    <w:rsid w:val="001B642D"/>
    <w:rsid w:val="001B64AD"/>
    <w:rsid w:val="001B657F"/>
    <w:rsid w:val="001B6783"/>
    <w:rsid w:val="001B67CE"/>
    <w:rsid w:val="001B6C65"/>
    <w:rsid w:val="001B6F5B"/>
    <w:rsid w:val="001B746F"/>
    <w:rsid w:val="001B7673"/>
    <w:rsid w:val="001B7847"/>
    <w:rsid w:val="001C0193"/>
    <w:rsid w:val="001C062D"/>
    <w:rsid w:val="001C0675"/>
    <w:rsid w:val="001C0C0A"/>
    <w:rsid w:val="001C0D89"/>
    <w:rsid w:val="001C0FFD"/>
    <w:rsid w:val="001C11A0"/>
    <w:rsid w:val="001C11EF"/>
    <w:rsid w:val="001C132E"/>
    <w:rsid w:val="001C16D8"/>
    <w:rsid w:val="001C1A7B"/>
    <w:rsid w:val="001C2BE8"/>
    <w:rsid w:val="001C2FF9"/>
    <w:rsid w:val="001C30B5"/>
    <w:rsid w:val="001C3162"/>
    <w:rsid w:val="001C3281"/>
    <w:rsid w:val="001C3520"/>
    <w:rsid w:val="001C4094"/>
    <w:rsid w:val="001C46D0"/>
    <w:rsid w:val="001C48BC"/>
    <w:rsid w:val="001C495E"/>
    <w:rsid w:val="001C4A4C"/>
    <w:rsid w:val="001C4BAB"/>
    <w:rsid w:val="001C4BBF"/>
    <w:rsid w:val="001C4CE2"/>
    <w:rsid w:val="001C4ED0"/>
    <w:rsid w:val="001C50CD"/>
    <w:rsid w:val="001C5163"/>
    <w:rsid w:val="001C5238"/>
    <w:rsid w:val="001C523D"/>
    <w:rsid w:val="001C52B6"/>
    <w:rsid w:val="001C532F"/>
    <w:rsid w:val="001C5434"/>
    <w:rsid w:val="001C5707"/>
    <w:rsid w:val="001C5B41"/>
    <w:rsid w:val="001C61F1"/>
    <w:rsid w:val="001C65E0"/>
    <w:rsid w:val="001C66E4"/>
    <w:rsid w:val="001C691D"/>
    <w:rsid w:val="001C6940"/>
    <w:rsid w:val="001C6A7D"/>
    <w:rsid w:val="001C6CA0"/>
    <w:rsid w:val="001C6DAA"/>
    <w:rsid w:val="001C6DD4"/>
    <w:rsid w:val="001C6F07"/>
    <w:rsid w:val="001C7079"/>
    <w:rsid w:val="001C70A2"/>
    <w:rsid w:val="001C70ED"/>
    <w:rsid w:val="001C7576"/>
    <w:rsid w:val="001C7666"/>
    <w:rsid w:val="001C773B"/>
    <w:rsid w:val="001C774E"/>
    <w:rsid w:val="001C7951"/>
    <w:rsid w:val="001C79F7"/>
    <w:rsid w:val="001D024C"/>
    <w:rsid w:val="001D0395"/>
    <w:rsid w:val="001D0990"/>
    <w:rsid w:val="001D0DA1"/>
    <w:rsid w:val="001D0DB4"/>
    <w:rsid w:val="001D109B"/>
    <w:rsid w:val="001D1392"/>
    <w:rsid w:val="001D1647"/>
    <w:rsid w:val="001D17F3"/>
    <w:rsid w:val="001D1899"/>
    <w:rsid w:val="001D194C"/>
    <w:rsid w:val="001D1CBE"/>
    <w:rsid w:val="001D1D02"/>
    <w:rsid w:val="001D1DF1"/>
    <w:rsid w:val="001D1F1A"/>
    <w:rsid w:val="001D266B"/>
    <w:rsid w:val="001D2E7F"/>
    <w:rsid w:val="001D32C5"/>
    <w:rsid w:val="001D3440"/>
    <w:rsid w:val="001D3949"/>
    <w:rsid w:val="001D3B77"/>
    <w:rsid w:val="001D3CDF"/>
    <w:rsid w:val="001D3E18"/>
    <w:rsid w:val="001D3F03"/>
    <w:rsid w:val="001D3F91"/>
    <w:rsid w:val="001D4530"/>
    <w:rsid w:val="001D4556"/>
    <w:rsid w:val="001D4573"/>
    <w:rsid w:val="001D46C8"/>
    <w:rsid w:val="001D473D"/>
    <w:rsid w:val="001D48AC"/>
    <w:rsid w:val="001D4B1D"/>
    <w:rsid w:val="001D4D9F"/>
    <w:rsid w:val="001D4EDC"/>
    <w:rsid w:val="001D500F"/>
    <w:rsid w:val="001D5119"/>
    <w:rsid w:val="001D53BB"/>
    <w:rsid w:val="001D55A5"/>
    <w:rsid w:val="001D55E2"/>
    <w:rsid w:val="001D579C"/>
    <w:rsid w:val="001D5839"/>
    <w:rsid w:val="001D5887"/>
    <w:rsid w:val="001D5E88"/>
    <w:rsid w:val="001D5F33"/>
    <w:rsid w:val="001D6135"/>
    <w:rsid w:val="001D620D"/>
    <w:rsid w:val="001D6285"/>
    <w:rsid w:val="001D629A"/>
    <w:rsid w:val="001D6D75"/>
    <w:rsid w:val="001D71F5"/>
    <w:rsid w:val="001D7237"/>
    <w:rsid w:val="001D7468"/>
    <w:rsid w:val="001D74FE"/>
    <w:rsid w:val="001D7540"/>
    <w:rsid w:val="001D78B1"/>
    <w:rsid w:val="001D7B73"/>
    <w:rsid w:val="001E006E"/>
    <w:rsid w:val="001E068A"/>
    <w:rsid w:val="001E07CE"/>
    <w:rsid w:val="001E0A0A"/>
    <w:rsid w:val="001E0E94"/>
    <w:rsid w:val="001E114D"/>
    <w:rsid w:val="001E1917"/>
    <w:rsid w:val="001E1C6E"/>
    <w:rsid w:val="001E1FF5"/>
    <w:rsid w:val="001E2308"/>
    <w:rsid w:val="001E259E"/>
    <w:rsid w:val="001E26D2"/>
    <w:rsid w:val="001E2BC6"/>
    <w:rsid w:val="001E2C49"/>
    <w:rsid w:val="001E2C94"/>
    <w:rsid w:val="001E2CEE"/>
    <w:rsid w:val="001E2D01"/>
    <w:rsid w:val="001E2D0D"/>
    <w:rsid w:val="001E2F75"/>
    <w:rsid w:val="001E2FDF"/>
    <w:rsid w:val="001E349A"/>
    <w:rsid w:val="001E34BF"/>
    <w:rsid w:val="001E353E"/>
    <w:rsid w:val="001E3893"/>
    <w:rsid w:val="001E3CDA"/>
    <w:rsid w:val="001E403B"/>
    <w:rsid w:val="001E40D1"/>
    <w:rsid w:val="001E4146"/>
    <w:rsid w:val="001E4944"/>
    <w:rsid w:val="001E4D7A"/>
    <w:rsid w:val="001E4F24"/>
    <w:rsid w:val="001E5213"/>
    <w:rsid w:val="001E55B9"/>
    <w:rsid w:val="001E5949"/>
    <w:rsid w:val="001E636C"/>
    <w:rsid w:val="001E655E"/>
    <w:rsid w:val="001E65EA"/>
    <w:rsid w:val="001E65FD"/>
    <w:rsid w:val="001E6970"/>
    <w:rsid w:val="001E6EDF"/>
    <w:rsid w:val="001E6FB6"/>
    <w:rsid w:val="001E788B"/>
    <w:rsid w:val="001E7B8E"/>
    <w:rsid w:val="001E7E33"/>
    <w:rsid w:val="001F030F"/>
    <w:rsid w:val="001F12E4"/>
    <w:rsid w:val="001F1631"/>
    <w:rsid w:val="001F17A8"/>
    <w:rsid w:val="001F224F"/>
    <w:rsid w:val="001F279B"/>
    <w:rsid w:val="001F2819"/>
    <w:rsid w:val="001F2AC8"/>
    <w:rsid w:val="001F2B72"/>
    <w:rsid w:val="001F2CE3"/>
    <w:rsid w:val="001F341B"/>
    <w:rsid w:val="001F3890"/>
    <w:rsid w:val="001F394F"/>
    <w:rsid w:val="001F3A3A"/>
    <w:rsid w:val="001F3A42"/>
    <w:rsid w:val="001F3FA8"/>
    <w:rsid w:val="001F412E"/>
    <w:rsid w:val="001F41A1"/>
    <w:rsid w:val="001F41B9"/>
    <w:rsid w:val="001F4675"/>
    <w:rsid w:val="001F4B1A"/>
    <w:rsid w:val="001F4BE5"/>
    <w:rsid w:val="001F4C3D"/>
    <w:rsid w:val="001F594C"/>
    <w:rsid w:val="001F59F2"/>
    <w:rsid w:val="001F5E65"/>
    <w:rsid w:val="001F5FD6"/>
    <w:rsid w:val="001F65F9"/>
    <w:rsid w:val="001F71F9"/>
    <w:rsid w:val="001F720F"/>
    <w:rsid w:val="001F761D"/>
    <w:rsid w:val="001F772F"/>
    <w:rsid w:val="001F7A95"/>
    <w:rsid w:val="001F7D1F"/>
    <w:rsid w:val="001F7E4B"/>
    <w:rsid w:val="001F7FAB"/>
    <w:rsid w:val="00200104"/>
    <w:rsid w:val="0020037F"/>
    <w:rsid w:val="00200A2B"/>
    <w:rsid w:val="00200A47"/>
    <w:rsid w:val="00200AAF"/>
    <w:rsid w:val="00200ABD"/>
    <w:rsid w:val="00200DEC"/>
    <w:rsid w:val="00200E98"/>
    <w:rsid w:val="00200FA0"/>
    <w:rsid w:val="002014A6"/>
    <w:rsid w:val="0020164D"/>
    <w:rsid w:val="002016AE"/>
    <w:rsid w:val="0020171B"/>
    <w:rsid w:val="00201969"/>
    <w:rsid w:val="002019EB"/>
    <w:rsid w:val="002022B2"/>
    <w:rsid w:val="002025E4"/>
    <w:rsid w:val="00202621"/>
    <w:rsid w:val="00202659"/>
    <w:rsid w:val="00202B05"/>
    <w:rsid w:val="00202BB5"/>
    <w:rsid w:val="00202BFF"/>
    <w:rsid w:val="00202F8C"/>
    <w:rsid w:val="002030FF"/>
    <w:rsid w:val="00203578"/>
    <w:rsid w:val="00203705"/>
    <w:rsid w:val="002038AD"/>
    <w:rsid w:val="00203AD2"/>
    <w:rsid w:val="00203E5D"/>
    <w:rsid w:val="00203FC9"/>
    <w:rsid w:val="00204307"/>
    <w:rsid w:val="00204FDF"/>
    <w:rsid w:val="0020505D"/>
    <w:rsid w:val="00205140"/>
    <w:rsid w:val="002053E3"/>
    <w:rsid w:val="0020549F"/>
    <w:rsid w:val="002054A5"/>
    <w:rsid w:val="002055F4"/>
    <w:rsid w:val="002059B9"/>
    <w:rsid w:val="0020609A"/>
    <w:rsid w:val="002066E3"/>
    <w:rsid w:val="00206712"/>
    <w:rsid w:val="00206DEB"/>
    <w:rsid w:val="002070B2"/>
    <w:rsid w:val="002070BB"/>
    <w:rsid w:val="00207285"/>
    <w:rsid w:val="002072AA"/>
    <w:rsid w:val="00207323"/>
    <w:rsid w:val="00207434"/>
    <w:rsid w:val="00207CC2"/>
    <w:rsid w:val="00207D56"/>
    <w:rsid w:val="002105D2"/>
    <w:rsid w:val="00210652"/>
    <w:rsid w:val="002106E4"/>
    <w:rsid w:val="00210929"/>
    <w:rsid w:val="00210C45"/>
    <w:rsid w:val="00210D7B"/>
    <w:rsid w:val="00211158"/>
    <w:rsid w:val="0021128E"/>
    <w:rsid w:val="00211940"/>
    <w:rsid w:val="00211B95"/>
    <w:rsid w:val="00211F6F"/>
    <w:rsid w:val="002127FA"/>
    <w:rsid w:val="00212EE8"/>
    <w:rsid w:val="00213014"/>
    <w:rsid w:val="0021301E"/>
    <w:rsid w:val="002131F7"/>
    <w:rsid w:val="0021339B"/>
    <w:rsid w:val="002134F2"/>
    <w:rsid w:val="0021376C"/>
    <w:rsid w:val="00213A33"/>
    <w:rsid w:val="00213B14"/>
    <w:rsid w:val="00213DCD"/>
    <w:rsid w:val="00213E05"/>
    <w:rsid w:val="00213EB6"/>
    <w:rsid w:val="00214048"/>
    <w:rsid w:val="00214224"/>
    <w:rsid w:val="00214482"/>
    <w:rsid w:val="002144C3"/>
    <w:rsid w:val="002149DD"/>
    <w:rsid w:val="002149EF"/>
    <w:rsid w:val="00214B12"/>
    <w:rsid w:val="0021540F"/>
    <w:rsid w:val="002156C3"/>
    <w:rsid w:val="0021599D"/>
    <w:rsid w:val="00215D45"/>
    <w:rsid w:val="00215D86"/>
    <w:rsid w:val="0021643F"/>
    <w:rsid w:val="002164F4"/>
    <w:rsid w:val="0021651D"/>
    <w:rsid w:val="0021676D"/>
    <w:rsid w:val="00216775"/>
    <w:rsid w:val="00216A4E"/>
    <w:rsid w:val="00217077"/>
    <w:rsid w:val="002176D4"/>
    <w:rsid w:val="00217BC4"/>
    <w:rsid w:val="002201B2"/>
    <w:rsid w:val="00220365"/>
    <w:rsid w:val="002206B4"/>
    <w:rsid w:val="002207E7"/>
    <w:rsid w:val="00220A84"/>
    <w:rsid w:val="00220B84"/>
    <w:rsid w:val="00220E68"/>
    <w:rsid w:val="00221531"/>
    <w:rsid w:val="0022169C"/>
    <w:rsid w:val="00221739"/>
    <w:rsid w:val="00222251"/>
    <w:rsid w:val="002224FF"/>
    <w:rsid w:val="002225AA"/>
    <w:rsid w:val="00222805"/>
    <w:rsid w:val="002228A3"/>
    <w:rsid w:val="002229D3"/>
    <w:rsid w:val="00222B3F"/>
    <w:rsid w:val="0022319D"/>
    <w:rsid w:val="002235F4"/>
    <w:rsid w:val="00223662"/>
    <w:rsid w:val="00223C11"/>
    <w:rsid w:val="00223E6C"/>
    <w:rsid w:val="00223F7F"/>
    <w:rsid w:val="0022431A"/>
    <w:rsid w:val="00224451"/>
    <w:rsid w:val="002246B2"/>
    <w:rsid w:val="00224B48"/>
    <w:rsid w:val="00224B64"/>
    <w:rsid w:val="00224C6A"/>
    <w:rsid w:val="00224E33"/>
    <w:rsid w:val="00224E7B"/>
    <w:rsid w:val="00224F20"/>
    <w:rsid w:val="00225172"/>
    <w:rsid w:val="002251E9"/>
    <w:rsid w:val="002252A0"/>
    <w:rsid w:val="002253F8"/>
    <w:rsid w:val="00225562"/>
    <w:rsid w:val="002256EE"/>
    <w:rsid w:val="002257AA"/>
    <w:rsid w:val="002258EC"/>
    <w:rsid w:val="00225983"/>
    <w:rsid w:val="00225CCD"/>
    <w:rsid w:val="00226519"/>
    <w:rsid w:val="0022655B"/>
    <w:rsid w:val="002265BC"/>
    <w:rsid w:val="002266B8"/>
    <w:rsid w:val="00226A7B"/>
    <w:rsid w:val="00226B26"/>
    <w:rsid w:val="00226D4C"/>
    <w:rsid w:val="0022799C"/>
    <w:rsid w:val="002303C3"/>
    <w:rsid w:val="00230459"/>
    <w:rsid w:val="0023075A"/>
    <w:rsid w:val="00230871"/>
    <w:rsid w:val="0023136C"/>
    <w:rsid w:val="002317AC"/>
    <w:rsid w:val="0023186F"/>
    <w:rsid w:val="00231A7F"/>
    <w:rsid w:val="00231C00"/>
    <w:rsid w:val="00231CEB"/>
    <w:rsid w:val="00231E2F"/>
    <w:rsid w:val="00231E3B"/>
    <w:rsid w:val="00231EB8"/>
    <w:rsid w:val="002322C4"/>
    <w:rsid w:val="002323E6"/>
    <w:rsid w:val="002325F8"/>
    <w:rsid w:val="00232638"/>
    <w:rsid w:val="0023265D"/>
    <w:rsid w:val="00232B47"/>
    <w:rsid w:val="00232B4C"/>
    <w:rsid w:val="0023309D"/>
    <w:rsid w:val="00233271"/>
    <w:rsid w:val="002337D6"/>
    <w:rsid w:val="00233B46"/>
    <w:rsid w:val="00233F8A"/>
    <w:rsid w:val="00234457"/>
    <w:rsid w:val="0023457F"/>
    <w:rsid w:val="00234781"/>
    <w:rsid w:val="002348F2"/>
    <w:rsid w:val="00234A28"/>
    <w:rsid w:val="00234FC3"/>
    <w:rsid w:val="0023500A"/>
    <w:rsid w:val="002350EE"/>
    <w:rsid w:val="00235150"/>
    <w:rsid w:val="002353D1"/>
    <w:rsid w:val="002354B9"/>
    <w:rsid w:val="002358EF"/>
    <w:rsid w:val="00235EB3"/>
    <w:rsid w:val="00236984"/>
    <w:rsid w:val="002369FE"/>
    <w:rsid w:val="00237194"/>
    <w:rsid w:val="00237669"/>
    <w:rsid w:val="002376BE"/>
    <w:rsid w:val="002377AA"/>
    <w:rsid w:val="00237897"/>
    <w:rsid w:val="00237C70"/>
    <w:rsid w:val="00237E3B"/>
    <w:rsid w:val="00240564"/>
    <w:rsid w:val="002406D7"/>
    <w:rsid w:val="00240947"/>
    <w:rsid w:val="002409E8"/>
    <w:rsid w:val="002410B2"/>
    <w:rsid w:val="002412A9"/>
    <w:rsid w:val="00241691"/>
    <w:rsid w:val="002416E8"/>
    <w:rsid w:val="00241726"/>
    <w:rsid w:val="00241B46"/>
    <w:rsid w:val="00241D46"/>
    <w:rsid w:val="00241E02"/>
    <w:rsid w:val="00241ECA"/>
    <w:rsid w:val="00241FA9"/>
    <w:rsid w:val="00241FBD"/>
    <w:rsid w:val="00242148"/>
    <w:rsid w:val="00242264"/>
    <w:rsid w:val="00242403"/>
    <w:rsid w:val="002426B8"/>
    <w:rsid w:val="00242A7D"/>
    <w:rsid w:val="00242C00"/>
    <w:rsid w:val="00242C7A"/>
    <w:rsid w:val="00242F2E"/>
    <w:rsid w:val="00242F53"/>
    <w:rsid w:val="00242FD4"/>
    <w:rsid w:val="00243636"/>
    <w:rsid w:val="002437C7"/>
    <w:rsid w:val="00243B4C"/>
    <w:rsid w:val="00243CA3"/>
    <w:rsid w:val="00243EB8"/>
    <w:rsid w:val="00244099"/>
    <w:rsid w:val="00244804"/>
    <w:rsid w:val="0024504B"/>
    <w:rsid w:val="002450A4"/>
    <w:rsid w:val="00245161"/>
    <w:rsid w:val="00245174"/>
    <w:rsid w:val="00245546"/>
    <w:rsid w:val="002459CF"/>
    <w:rsid w:val="00245EA4"/>
    <w:rsid w:val="00245EC6"/>
    <w:rsid w:val="00245F2C"/>
    <w:rsid w:val="00245F58"/>
    <w:rsid w:val="00245FBF"/>
    <w:rsid w:val="002460F9"/>
    <w:rsid w:val="002464BC"/>
    <w:rsid w:val="0024708D"/>
    <w:rsid w:val="00247108"/>
    <w:rsid w:val="00247319"/>
    <w:rsid w:val="0024743E"/>
    <w:rsid w:val="0024760F"/>
    <w:rsid w:val="002476C4"/>
    <w:rsid w:val="00247A06"/>
    <w:rsid w:val="00247FAD"/>
    <w:rsid w:val="00247FE4"/>
    <w:rsid w:val="0025021A"/>
    <w:rsid w:val="00250672"/>
    <w:rsid w:val="00250C2A"/>
    <w:rsid w:val="00250EEE"/>
    <w:rsid w:val="002510BC"/>
    <w:rsid w:val="0025130E"/>
    <w:rsid w:val="00251935"/>
    <w:rsid w:val="0025197D"/>
    <w:rsid w:val="00251CED"/>
    <w:rsid w:val="00251ED7"/>
    <w:rsid w:val="00252000"/>
    <w:rsid w:val="002520DC"/>
    <w:rsid w:val="002522A3"/>
    <w:rsid w:val="002527DF"/>
    <w:rsid w:val="00252D20"/>
    <w:rsid w:val="00253537"/>
    <w:rsid w:val="00253B15"/>
    <w:rsid w:val="00253B93"/>
    <w:rsid w:val="00253DF6"/>
    <w:rsid w:val="00253E54"/>
    <w:rsid w:val="00253ECF"/>
    <w:rsid w:val="00253F04"/>
    <w:rsid w:val="002541B4"/>
    <w:rsid w:val="00254213"/>
    <w:rsid w:val="002543D9"/>
    <w:rsid w:val="00254711"/>
    <w:rsid w:val="00254774"/>
    <w:rsid w:val="00254899"/>
    <w:rsid w:val="00254E61"/>
    <w:rsid w:val="0025502E"/>
    <w:rsid w:val="002554EC"/>
    <w:rsid w:val="0025562E"/>
    <w:rsid w:val="0025594D"/>
    <w:rsid w:val="00255B26"/>
    <w:rsid w:val="00255B43"/>
    <w:rsid w:val="00255FD9"/>
    <w:rsid w:val="00256077"/>
    <w:rsid w:val="002564B1"/>
    <w:rsid w:val="00256701"/>
    <w:rsid w:val="00256B06"/>
    <w:rsid w:val="00256EDC"/>
    <w:rsid w:val="002572AB"/>
    <w:rsid w:val="002573AC"/>
    <w:rsid w:val="0025756B"/>
    <w:rsid w:val="00257593"/>
    <w:rsid w:val="002575AA"/>
    <w:rsid w:val="0025786C"/>
    <w:rsid w:val="0026019C"/>
    <w:rsid w:val="0026022B"/>
    <w:rsid w:val="0026029A"/>
    <w:rsid w:val="00260484"/>
    <w:rsid w:val="002606FE"/>
    <w:rsid w:val="002607E7"/>
    <w:rsid w:val="002609A7"/>
    <w:rsid w:val="00260D49"/>
    <w:rsid w:val="00261069"/>
    <w:rsid w:val="00261194"/>
    <w:rsid w:val="002613B6"/>
    <w:rsid w:val="0026144F"/>
    <w:rsid w:val="002614E9"/>
    <w:rsid w:val="00261777"/>
    <w:rsid w:val="00261B48"/>
    <w:rsid w:val="00261CA7"/>
    <w:rsid w:val="00262160"/>
    <w:rsid w:val="00262173"/>
    <w:rsid w:val="002624F9"/>
    <w:rsid w:val="00262719"/>
    <w:rsid w:val="0026343B"/>
    <w:rsid w:val="002635F5"/>
    <w:rsid w:val="00263716"/>
    <w:rsid w:val="00263A1B"/>
    <w:rsid w:val="00263AEA"/>
    <w:rsid w:val="00263C8B"/>
    <w:rsid w:val="00264558"/>
    <w:rsid w:val="002645D6"/>
    <w:rsid w:val="00264650"/>
    <w:rsid w:val="0026496A"/>
    <w:rsid w:val="00264983"/>
    <w:rsid w:val="00264A2A"/>
    <w:rsid w:val="0026528B"/>
    <w:rsid w:val="002664E8"/>
    <w:rsid w:val="002666AE"/>
    <w:rsid w:val="002666B2"/>
    <w:rsid w:val="0026695D"/>
    <w:rsid w:val="00266C79"/>
    <w:rsid w:val="0026709C"/>
    <w:rsid w:val="00267187"/>
    <w:rsid w:val="00267348"/>
    <w:rsid w:val="002675AE"/>
    <w:rsid w:val="0026761A"/>
    <w:rsid w:val="00267738"/>
    <w:rsid w:val="00267AF8"/>
    <w:rsid w:val="00267D82"/>
    <w:rsid w:val="0027030F"/>
    <w:rsid w:val="002705B0"/>
    <w:rsid w:val="002705FB"/>
    <w:rsid w:val="0027096A"/>
    <w:rsid w:val="00270B53"/>
    <w:rsid w:val="00270E7B"/>
    <w:rsid w:val="00270FA7"/>
    <w:rsid w:val="00271270"/>
    <w:rsid w:val="00271310"/>
    <w:rsid w:val="0027144C"/>
    <w:rsid w:val="0027175F"/>
    <w:rsid w:val="00271B14"/>
    <w:rsid w:val="00271D7D"/>
    <w:rsid w:val="00271F33"/>
    <w:rsid w:val="002720A2"/>
    <w:rsid w:val="0027215C"/>
    <w:rsid w:val="0027222D"/>
    <w:rsid w:val="002723BB"/>
    <w:rsid w:val="00272609"/>
    <w:rsid w:val="00272A47"/>
    <w:rsid w:val="00272B1F"/>
    <w:rsid w:val="00272C52"/>
    <w:rsid w:val="00272EDB"/>
    <w:rsid w:val="0027340B"/>
    <w:rsid w:val="0027349F"/>
    <w:rsid w:val="002735D4"/>
    <w:rsid w:val="00273632"/>
    <w:rsid w:val="00273937"/>
    <w:rsid w:val="00273CED"/>
    <w:rsid w:val="00273F5D"/>
    <w:rsid w:val="002741E7"/>
    <w:rsid w:val="002747F5"/>
    <w:rsid w:val="00274801"/>
    <w:rsid w:val="00274866"/>
    <w:rsid w:val="00274BBE"/>
    <w:rsid w:val="00274CCB"/>
    <w:rsid w:val="00274D56"/>
    <w:rsid w:val="00274DFE"/>
    <w:rsid w:val="002750DC"/>
    <w:rsid w:val="002751BD"/>
    <w:rsid w:val="00275205"/>
    <w:rsid w:val="0027523A"/>
    <w:rsid w:val="0027593F"/>
    <w:rsid w:val="00275A4F"/>
    <w:rsid w:val="00275BBD"/>
    <w:rsid w:val="00275FE1"/>
    <w:rsid w:val="00276382"/>
    <w:rsid w:val="002763F2"/>
    <w:rsid w:val="0027696E"/>
    <w:rsid w:val="002769E7"/>
    <w:rsid w:val="00276B09"/>
    <w:rsid w:val="0027755D"/>
    <w:rsid w:val="0027792F"/>
    <w:rsid w:val="00277A4C"/>
    <w:rsid w:val="00277FB6"/>
    <w:rsid w:val="00280301"/>
    <w:rsid w:val="002804BF"/>
    <w:rsid w:val="00280B88"/>
    <w:rsid w:val="00281431"/>
    <w:rsid w:val="00281543"/>
    <w:rsid w:val="00281575"/>
    <w:rsid w:val="00281CBC"/>
    <w:rsid w:val="0028206A"/>
    <w:rsid w:val="002820D5"/>
    <w:rsid w:val="00282193"/>
    <w:rsid w:val="002821FF"/>
    <w:rsid w:val="00282CFA"/>
    <w:rsid w:val="00282D4C"/>
    <w:rsid w:val="00282DE4"/>
    <w:rsid w:val="0028347D"/>
    <w:rsid w:val="002834A1"/>
    <w:rsid w:val="0028392C"/>
    <w:rsid w:val="002839A3"/>
    <w:rsid w:val="00283AF1"/>
    <w:rsid w:val="002840A4"/>
    <w:rsid w:val="002840B3"/>
    <w:rsid w:val="002840B5"/>
    <w:rsid w:val="00284421"/>
    <w:rsid w:val="00284A64"/>
    <w:rsid w:val="00284B95"/>
    <w:rsid w:val="00284CDF"/>
    <w:rsid w:val="00285403"/>
    <w:rsid w:val="0028560E"/>
    <w:rsid w:val="00285736"/>
    <w:rsid w:val="00285E95"/>
    <w:rsid w:val="00285F43"/>
    <w:rsid w:val="00285F86"/>
    <w:rsid w:val="00286534"/>
    <w:rsid w:val="002868FB"/>
    <w:rsid w:val="00286E41"/>
    <w:rsid w:val="0028736E"/>
    <w:rsid w:val="0028782D"/>
    <w:rsid w:val="00287848"/>
    <w:rsid w:val="0028785C"/>
    <w:rsid w:val="00287D45"/>
    <w:rsid w:val="00287EE6"/>
    <w:rsid w:val="00287FCF"/>
    <w:rsid w:val="002901E8"/>
    <w:rsid w:val="00290439"/>
    <w:rsid w:val="00290B33"/>
    <w:rsid w:val="00290D0A"/>
    <w:rsid w:val="00290D2F"/>
    <w:rsid w:val="00291289"/>
    <w:rsid w:val="002912E4"/>
    <w:rsid w:val="00291550"/>
    <w:rsid w:val="002915F1"/>
    <w:rsid w:val="00291BD5"/>
    <w:rsid w:val="00291C9C"/>
    <w:rsid w:val="00291F95"/>
    <w:rsid w:val="00292153"/>
    <w:rsid w:val="002924E7"/>
    <w:rsid w:val="00292B9E"/>
    <w:rsid w:val="00292BFE"/>
    <w:rsid w:val="00292F92"/>
    <w:rsid w:val="002931AC"/>
    <w:rsid w:val="002934BC"/>
    <w:rsid w:val="002934E0"/>
    <w:rsid w:val="0029356C"/>
    <w:rsid w:val="002935D4"/>
    <w:rsid w:val="002937F1"/>
    <w:rsid w:val="00293A58"/>
    <w:rsid w:val="00293D21"/>
    <w:rsid w:val="002944F0"/>
    <w:rsid w:val="00294802"/>
    <w:rsid w:val="00294C4E"/>
    <w:rsid w:val="00294E0D"/>
    <w:rsid w:val="00294F6A"/>
    <w:rsid w:val="00295B7B"/>
    <w:rsid w:val="00296166"/>
    <w:rsid w:val="002962AB"/>
    <w:rsid w:val="002963FB"/>
    <w:rsid w:val="002965F0"/>
    <w:rsid w:val="002966C9"/>
    <w:rsid w:val="00296878"/>
    <w:rsid w:val="00296900"/>
    <w:rsid w:val="00296B7B"/>
    <w:rsid w:val="00296F6B"/>
    <w:rsid w:val="002971EB"/>
    <w:rsid w:val="00297224"/>
    <w:rsid w:val="002974E5"/>
    <w:rsid w:val="002975CB"/>
    <w:rsid w:val="00297814"/>
    <w:rsid w:val="00297D3D"/>
    <w:rsid w:val="00297DD3"/>
    <w:rsid w:val="00297DF5"/>
    <w:rsid w:val="002A0013"/>
    <w:rsid w:val="002A0116"/>
    <w:rsid w:val="002A0199"/>
    <w:rsid w:val="002A033C"/>
    <w:rsid w:val="002A07F7"/>
    <w:rsid w:val="002A08D3"/>
    <w:rsid w:val="002A165D"/>
    <w:rsid w:val="002A1A98"/>
    <w:rsid w:val="002A1B2C"/>
    <w:rsid w:val="002A1C03"/>
    <w:rsid w:val="002A1DF8"/>
    <w:rsid w:val="002A233C"/>
    <w:rsid w:val="002A243C"/>
    <w:rsid w:val="002A2495"/>
    <w:rsid w:val="002A2498"/>
    <w:rsid w:val="002A25D1"/>
    <w:rsid w:val="002A25EB"/>
    <w:rsid w:val="002A2BED"/>
    <w:rsid w:val="002A2DDA"/>
    <w:rsid w:val="002A2FD4"/>
    <w:rsid w:val="002A329B"/>
    <w:rsid w:val="002A339B"/>
    <w:rsid w:val="002A361F"/>
    <w:rsid w:val="002A3848"/>
    <w:rsid w:val="002A3A48"/>
    <w:rsid w:val="002A3B26"/>
    <w:rsid w:val="002A418A"/>
    <w:rsid w:val="002A4464"/>
    <w:rsid w:val="002A4503"/>
    <w:rsid w:val="002A46F7"/>
    <w:rsid w:val="002A4C61"/>
    <w:rsid w:val="002A4EE3"/>
    <w:rsid w:val="002A5093"/>
    <w:rsid w:val="002A52F6"/>
    <w:rsid w:val="002A547A"/>
    <w:rsid w:val="002A548C"/>
    <w:rsid w:val="002A583F"/>
    <w:rsid w:val="002A5A10"/>
    <w:rsid w:val="002A5C53"/>
    <w:rsid w:val="002A5D00"/>
    <w:rsid w:val="002A5F1D"/>
    <w:rsid w:val="002A60AE"/>
    <w:rsid w:val="002A627B"/>
    <w:rsid w:val="002A6A23"/>
    <w:rsid w:val="002A6BD8"/>
    <w:rsid w:val="002A6D49"/>
    <w:rsid w:val="002A70C2"/>
    <w:rsid w:val="002A742D"/>
    <w:rsid w:val="002A74B9"/>
    <w:rsid w:val="002A7577"/>
    <w:rsid w:val="002A79F2"/>
    <w:rsid w:val="002A7EFD"/>
    <w:rsid w:val="002B01B4"/>
    <w:rsid w:val="002B02E1"/>
    <w:rsid w:val="002B069C"/>
    <w:rsid w:val="002B08EC"/>
    <w:rsid w:val="002B1004"/>
    <w:rsid w:val="002B1380"/>
    <w:rsid w:val="002B13B0"/>
    <w:rsid w:val="002B1B69"/>
    <w:rsid w:val="002B28E5"/>
    <w:rsid w:val="002B2B70"/>
    <w:rsid w:val="002B2C3F"/>
    <w:rsid w:val="002B2FF4"/>
    <w:rsid w:val="002B3091"/>
    <w:rsid w:val="002B320F"/>
    <w:rsid w:val="002B3331"/>
    <w:rsid w:val="002B35E7"/>
    <w:rsid w:val="002B40BB"/>
    <w:rsid w:val="002B439D"/>
    <w:rsid w:val="002B4708"/>
    <w:rsid w:val="002B4806"/>
    <w:rsid w:val="002B4B11"/>
    <w:rsid w:val="002B4B30"/>
    <w:rsid w:val="002B4BAC"/>
    <w:rsid w:val="002B4EDF"/>
    <w:rsid w:val="002B52C0"/>
    <w:rsid w:val="002B54CA"/>
    <w:rsid w:val="002B5CF2"/>
    <w:rsid w:val="002B5CFB"/>
    <w:rsid w:val="002B5D69"/>
    <w:rsid w:val="002B5DFB"/>
    <w:rsid w:val="002B5ED2"/>
    <w:rsid w:val="002B5F8A"/>
    <w:rsid w:val="002B6085"/>
    <w:rsid w:val="002B6637"/>
    <w:rsid w:val="002B6990"/>
    <w:rsid w:val="002B6CD8"/>
    <w:rsid w:val="002B6E66"/>
    <w:rsid w:val="002B7735"/>
    <w:rsid w:val="002B7780"/>
    <w:rsid w:val="002B786A"/>
    <w:rsid w:val="002B7F7C"/>
    <w:rsid w:val="002C0023"/>
    <w:rsid w:val="002C0551"/>
    <w:rsid w:val="002C0B33"/>
    <w:rsid w:val="002C0CB8"/>
    <w:rsid w:val="002C0E92"/>
    <w:rsid w:val="002C11A9"/>
    <w:rsid w:val="002C1212"/>
    <w:rsid w:val="002C12C4"/>
    <w:rsid w:val="002C1603"/>
    <w:rsid w:val="002C1623"/>
    <w:rsid w:val="002C174B"/>
    <w:rsid w:val="002C1FD5"/>
    <w:rsid w:val="002C2378"/>
    <w:rsid w:val="002C23FD"/>
    <w:rsid w:val="002C3065"/>
    <w:rsid w:val="002C31CA"/>
    <w:rsid w:val="002C32D6"/>
    <w:rsid w:val="002C33F2"/>
    <w:rsid w:val="002C365B"/>
    <w:rsid w:val="002C3680"/>
    <w:rsid w:val="002C387E"/>
    <w:rsid w:val="002C39FC"/>
    <w:rsid w:val="002C3B83"/>
    <w:rsid w:val="002C3DAA"/>
    <w:rsid w:val="002C3E59"/>
    <w:rsid w:val="002C41FD"/>
    <w:rsid w:val="002C432D"/>
    <w:rsid w:val="002C44C8"/>
    <w:rsid w:val="002C44E7"/>
    <w:rsid w:val="002C4662"/>
    <w:rsid w:val="002C476C"/>
    <w:rsid w:val="002C4E17"/>
    <w:rsid w:val="002C5001"/>
    <w:rsid w:val="002C5104"/>
    <w:rsid w:val="002C521C"/>
    <w:rsid w:val="002C5600"/>
    <w:rsid w:val="002C5772"/>
    <w:rsid w:val="002C5782"/>
    <w:rsid w:val="002C5981"/>
    <w:rsid w:val="002C5CA0"/>
    <w:rsid w:val="002C5D14"/>
    <w:rsid w:val="002C5E80"/>
    <w:rsid w:val="002C5F7F"/>
    <w:rsid w:val="002C6083"/>
    <w:rsid w:val="002C614F"/>
    <w:rsid w:val="002C679D"/>
    <w:rsid w:val="002C6C12"/>
    <w:rsid w:val="002C6D08"/>
    <w:rsid w:val="002C6FD1"/>
    <w:rsid w:val="002C70D8"/>
    <w:rsid w:val="002C72E6"/>
    <w:rsid w:val="002C73CE"/>
    <w:rsid w:val="002C7C12"/>
    <w:rsid w:val="002C7E68"/>
    <w:rsid w:val="002D0259"/>
    <w:rsid w:val="002D039C"/>
    <w:rsid w:val="002D03E2"/>
    <w:rsid w:val="002D053C"/>
    <w:rsid w:val="002D06C0"/>
    <w:rsid w:val="002D07A7"/>
    <w:rsid w:val="002D0851"/>
    <w:rsid w:val="002D0E98"/>
    <w:rsid w:val="002D1311"/>
    <w:rsid w:val="002D13A5"/>
    <w:rsid w:val="002D15F5"/>
    <w:rsid w:val="002D1C84"/>
    <w:rsid w:val="002D1D67"/>
    <w:rsid w:val="002D1E4F"/>
    <w:rsid w:val="002D2199"/>
    <w:rsid w:val="002D22B1"/>
    <w:rsid w:val="002D2700"/>
    <w:rsid w:val="002D276A"/>
    <w:rsid w:val="002D276D"/>
    <w:rsid w:val="002D2DAF"/>
    <w:rsid w:val="002D300B"/>
    <w:rsid w:val="002D31F2"/>
    <w:rsid w:val="002D3A11"/>
    <w:rsid w:val="002D3B13"/>
    <w:rsid w:val="002D3B15"/>
    <w:rsid w:val="002D3B8E"/>
    <w:rsid w:val="002D3BD1"/>
    <w:rsid w:val="002D43F7"/>
    <w:rsid w:val="002D46DA"/>
    <w:rsid w:val="002D47AE"/>
    <w:rsid w:val="002D49B5"/>
    <w:rsid w:val="002D4B3E"/>
    <w:rsid w:val="002D4EE0"/>
    <w:rsid w:val="002D5213"/>
    <w:rsid w:val="002D5265"/>
    <w:rsid w:val="002D5365"/>
    <w:rsid w:val="002D567E"/>
    <w:rsid w:val="002D56FD"/>
    <w:rsid w:val="002D5900"/>
    <w:rsid w:val="002D5C8A"/>
    <w:rsid w:val="002D6B1C"/>
    <w:rsid w:val="002D6D3A"/>
    <w:rsid w:val="002D7477"/>
    <w:rsid w:val="002D7714"/>
    <w:rsid w:val="002D7845"/>
    <w:rsid w:val="002D7C20"/>
    <w:rsid w:val="002D7D2C"/>
    <w:rsid w:val="002D7EE1"/>
    <w:rsid w:val="002D7F88"/>
    <w:rsid w:val="002E073A"/>
    <w:rsid w:val="002E0781"/>
    <w:rsid w:val="002E0E68"/>
    <w:rsid w:val="002E0E9F"/>
    <w:rsid w:val="002E1056"/>
    <w:rsid w:val="002E1665"/>
    <w:rsid w:val="002E1845"/>
    <w:rsid w:val="002E1975"/>
    <w:rsid w:val="002E2330"/>
    <w:rsid w:val="002E2383"/>
    <w:rsid w:val="002E25FF"/>
    <w:rsid w:val="002E29DC"/>
    <w:rsid w:val="002E2A5D"/>
    <w:rsid w:val="002E2ADA"/>
    <w:rsid w:val="002E2B9D"/>
    <w:rsid w:val="002E2C4C"/>
    <w:rsid w:val="002E2F8F"/>
    <w:rsid w:val="002E324D"/>
    <w:rsid w:val="002E346D"/>
    <w:rsid w:val="002E3535"/>
    <w:rsid w:val="002E35AD"/>
    <w:rsid w:val="002E3922"/>
    <w:rsid w:val="002E3B5E"/>
    <w:rsid w:val="002E3E78"/>
    <w:rsid w:val="002E3F08"/>
    <w:rsid w:val="002E407A"/>
    <w:rsid w:val="002E4107"/>
    <w:rsid w:val="002E41D3"/>
    <w:rsid w:val="002E41DB"/>
    <w:rsid w:val="002E4B11"/>
    <w:rsid w:val="002E512C"/>
    <w:rsid w:val="002E53F7"/>
    <w:rsid w:val="002E552D"/>
    <w:rsid w:val="002E56CF"/>
    <w:rsid w:val="002E57C8"/>
    <w:rsid w:val="002E5888"/>
    <w:rsid w:val="002E5A1D"/>
    <w:rsid w:val="002E5B3A"/>
    <w:rsid w:val="002E5EAA"/>
    <w:rsid w:val="002E5F5A"/>
    <w:rsid w:val="002E63F8"/>
    <w:rsid w:val="002E6483"/>
    <w:rsid w:val="002E64AC"/>
    <w:rsid w:val="002E658D"/>
    <w:rsid w:val="002E671C"/>
    <w:rsid w:val="002E6A1A"/>
    <w:rsid w:val="002E6CE9"/>
    <w:rsid w:val="002E6D78"/>
    <w:rsid w:val="002E73EA"/>
    <w:rsid w:val="002E75FD"/>
    <w:rsid w:val="002E76E8"/>
    <w:rsid w:val="002F0067"/>
    <w:rsid w:val="002F00A2"/>
    <w:rsid w:val="002F0336"/>
    <w:rsid w:val="002F0852"/>
    <w:rsid w:val="002F08F3"/>
    <w:rsid w:val="002F0BE4"/>
    <w:rsid w:val="002F10FA"/>
    <w:rsid w:val="002F194F"/>
    <w:rsid w:val="002F1E3E"/>
    <w:rsid w:val="002F2705"/>
    <w:rsid w:val="002F2951"/>
    <w:rsid w:val="002F2A93"/>
    <w:rsid w:val="002F307B"/>
    <w:rsid w:val="002F3081"/>
    <w:rsid w:val="002F30CF"/>
    <w:rsid w:val="002F34F0"/>
    <w:rsid w:val="002F37ED"/>
    <w:rsid w:val="002F389B"/>
    <w:rsid w:val="002F3926"/>
    <w:rsid w:val="002F3F5E"/>
    <w:rsid w:val="002F3FCD"/>
    <w:rsid w:val="002F421D"/>
    <w:rsid w:val="002F473A"/>
    <w:rsid w:val="002F482C"/>
    <w:rsid w:val="002F4C55"/>
    <w:rsid w:val="002F4FB5"/>
    <w:rsid w:val="002F5BD6"/>
    <w:rsid w:val="002F6101"/>
    <w:rsid w:val="002F61C8"/>
    <w:rsid w:val="002F6320"/>
    <w:rsid w:val="002F68E3"/>
    <w:rsid w:val="002F6A58"/>
    <w:rsid w:val="002F6C87"/>
    <w:rsid w:val="002F6C8B"/>
    <w:rsid w:val="002F6DAB"/>
    <w:rsid w:val="002F73E0"/>
    <w:rsid w:val="002F76C3"/>
    <w:rsid w:val="002F78D5"/>
    <w:rsid w:val="002F7D16"/>
    <w:rsid w:val="002F7E24"/>
    <w:rsid w:val="002F7F44"/>
    <w:rsid w:val="003000C8"/>
    <w:rsid w:val="003003E4"/>
    <w:rsid w:val="003009C2"/>
    <w:rsid w:val="00300C98"/>
    <w:rsid w:val="00300D93"/>
    <w:rsid w:val="00301161"/>
    <w:rsid w:val="00301467"/>
    <w:rsid w:val="00301BC5"/>
    <w:rsid w:val="00301C54"/>
    <w:rsid w:val="00301D13"/>
    <w:rsid w:val="00301E3A"/>
    <w:rsid w:val="00301FFD"/>
    <w:rsid w:val="00302093"/>
    <w:rsid w:val="0030224A"/>
    <w:rsid w:val="00302451"/>
    <w:rsid w:val="003025AA"/>
    <w:rsid w:val="0030270E"/>
    <w:rsid w:val="00303040"/>
    <w:rsid w:val="0030313C"/>
    <w:rsid w:val="003032C9"/>
    <w:rsid w:val="00303305"/>
    <w:rsid w:val="00303B93"/>
    <w:rsid w:val="00303CD6"/>
    <w:rsid w:val="00304059"/>
    <w:rsid w:val="003042B0"/>
    <w:rsid w:val="003053A5"/>
    <w:rsid w:val="003054F2"/>
    <w:rsid w:val="00305873"/>
    <w:rsid w:val="00305874"/>
    <w:rsid w:val="003058D5"/>
    <w:rsid w:val="00305F4A"/>
    <w:rsid w:val="00305FF0"/>
    <w:rsid w:val="003060DB"/>
    <w:rsid w:val="00306248"/>
    <w:rsid w:val="00306435"/>
    <w:rsid w:val="0030689A"/>
    <w:rsid w:val="00306B25"/>
    <w:rsid w:val="00306E2A"/>
    <w:rsid w:val="003074E2"/>
    <w:rsid w:val="00307541"/>
    <w:rsid w:val="0030783E"/>
    <w:rsid w:val="00307962"/>
    <w:rsid w:val="00307CFB"/>
    <w:rsid w:val="00307E5E"/>
    <w:rsid w:val="003104BD"/>
    <w:rsid w:val="00310724"/>
    <w:rsid w:val="003109F0"/>
    <w:rsid w:val="00310B6F"/>
    <w:rsid w:val="0031158D"/>
    <w:rsid w:val="00311DE5"/>
    <w:rsid w:val="00311F56"/>
    <w:rsid w:val="0031208B"/>
    <w:rsid w:val="003122A1"/>
    <w:rsid w:val="0031237F"/>
    <w:rsid w:val="0031243F"/>
    <w:rsid w:val="00312CF0"/>
    <w:rsid w:val="00312D82"/>
    <w:rsid w:val="00313101"/>
    <w:rsid w:val="003135AF"/>
    <w:rsid w:val="00313831"/>
    <w:rsid w:val="003138C5"/>
    <w:rsid w:val="00313F3F"/>
    <w:rsid w:val="0031422B"/>
    <w:rsid w:val="0031435D"/>
    <w:rsid w:val="003144C5"/>
    <w:rsid w:val="0031463A"/>
    <w:rsid w:val="00314B35"/>
    <w:rsid w:val="00315056"/>
    <w:rsid w:val="0031520D"/>
    <w:rsid w:val="00315287"/>
    <w:rsid w:val="00315586"/>
    <w:rsid w:val="00315A90"/>
    <w:rsid w:val="00315BD1"/>
    <w:rsid w:val="0031602F"/>
    <w:rsid w:val="0031635C"/>
    <w:rsid w:val="00316492"/>
    <w:rsid w:val="00316886"/>
    <w:rsid w:val="00316AE2"/>
    <w:rsid w:val="00316CDC"/>
    <w:rsid w:val="00316EFD"/>
    <w:rsid w:val="00316F7D"/>
    <w:rsid w:val="003173EA"/>
    <w:rsid w:val="00317418"/>
    <w:rsid w:val="003176F5"/>
    <w:rsid w:val="003178BB"/>
    <w:rsid w:val="003179E7"/>
    <w:rsid w:val="00317EF0"/>
    <w:rsid w:val="00320086"/>
    <w:rsid w:val="003202D2"/>
    <w:rsid w:val="003202E9"/>
    <w:rsid w:val="003203F0"/>
    <w:rsid w:val="0032040E"/>
    <w:rsid w:val="0032110B"/>
    <w:rsid w:val="00321439"/>
    <w:rsid w:val="00321580"/>
    <w:rsid w:val="003217A9"/>
    <w:rsid w:val="00321985"/>
    <w:rsid w:val="003219F6"/>
    <w:rsid w:val="00321F6F"/>
    <w:rsid w:val="003220ED"/>
    <w:rsid w:val="003223A6"/>
    <w:rsid w:val="003227C6"/>
    <w:rsid w:val="00322819"/>
    <w:rsid w:val="00322E2C"/>
    <w:rsid w:val="00323395"/>
    <w:rsid w:val="00323606"/>
    <w:rsid w:val="00323612"/>
    <w:rsid w:val="003236A0"/>
    <w:rsid w:val="00323D92"/>
    <w:rsid w:val="003240B3"/>
    <w:rsid w:val="003240F9"/>
    <w:rsid w:val="00324235"/>
    <w:rsid w:val="0032455E"/>
    <w:rsid w:val="003245E6"/>
    <w:rsid w:val="003248F7"/>
    <w:rsid w:val="00324F23"/>
    <w:rsid w:val="00325C4C"/>
    <w:rsid w:val="00325D6C"/>
    <w:rsid w:val="00326051"/>
    <w:rsid w:val="00326197"/>
    <w:rsid w:val="00326367"/>
    <w:rsid w:val="003263EE"/>
    <w:rsid w:val="00326719"/>
    <w:rsid w:val="00326863"/>
    <w:rsid w:val="003268BB"/>
    <w:rsid w:val="003268F0"/>
    <w:rsid w:val="00326EFE"/>
    <w:rsid w:val="00327100"/>
    <w:rsid w:val="0032730A"/>
    <w:rsid w:val="00327466"/>
    <w:rsid w:val="0032783B"/>
    <w:rsid w:val="00327893"/>
    <w:rsid w:val="00327992"/>
    <w:rsid w:val="003303B5"/>
    <w:rsid w:val="003307A5"/>
    <w:rsid w:val="003308BB"/>
    <w:rsid w:val="00330CAE"/>
    <w:rsid w:val="003310B5"/>
    <w:rsid w:val="003316D3"/>
    <w:rsid w:val="00331937"/>
    <w:rsid w:val="00332013"/>
    <w:rsid w:val="00332144"/>
    <w:rsid w:val="00332188"/>
    <w:rsid w:val="0033228B"/>
    <w:rsid w:val="003325F9"/>
    <w:rsid w:val="0033261C"/>
    <w:rsid w:val="00332630"/>
    <w:rsid w:val="003327D0"/>
    <w:rsid w:val="00332B78"/>
    <w:rsid w:val="00332DCF"/>
    <w:rsid w:val="003334A9"/>
    <w:rsid w:val="00333A2E"/>
    <w:rsid w:val="00333D48"/>
    <w:rsid w:val="003340FF"/>
    <w:rsid w:val="00334445"/>
    <w:rsid w:val="003349CC"/>
    <w:rsid w:val="003349D6"/>
    <w:rsid w:val="00335110"/>
    <w:rsid w:val="0033530A"/>
    <w:rsid w:val="00335319"/>
    <w:rsid w:val="00335437"/>
    <w:rsid w:val="00335BDC"/>
    <w:rsid w:val="00335C40"/>
    <w:rsid w:val="00335E93"/>
    <w:rsid w:val="00336264"/>
    <w:rsid w:val="003363A6"/>
    <w:rsid w:val="00336A62"/>
    <w:rsid w:val="00336A97"/>
    <w:rsid w:val="00336B86"/>
    <w:rsid w:val="00337167"/>
    <w:rsid w:val="003373D8"/>
    <w:rsid w:val="0033745D"/>
    <w:rsid w:val="00337685"/>
    <w:rsid w:val="00337C6C"/>
    <w:rsid w:val="00337D0A"/>
    <w:rsid w:val="00337EA2"/>
    <w:rsid w:val="00340267"/>
    <w:rsid w:val="00340A07"/>
    <w:rsid w:val="00340B2F"/>
    <w:rsid w:val="00340CA5"/>
    <w:rsid w:val="00340FC7"/>
    <w:rsid w:val="00341159"/>
    <w:rsid w:val="003413D7"/>
    <w:rsid w:val="00341594"/>
    <w:rsid w:val="00341650"/>
    <w:rsid w:val="00341D00"/>
    <w:rsid w:val="00341FDB"/>
    <w:rsid w:val="0034291B"/>
    <w:rsid w:val="00342CED"/>
    <w:rsid w:val="00342E89"/>
    <w:rsid w:val="00342E9A"/>
    <w:rsid w:val="003431FB"/>
    <w:rsid w:val="0034320F"/>
    <w:rsid w:val="00343249"/>
    <w:rsid w:val="003434B4"/>
    <w:rsid w:val="0034367F"/>
    <w:rsid w:val="003437C7"/>
    <w:rsid w:val="00343E4B"/>
    <w:rsid w:val="00343F2D"/>
    <w:rsid w:val="00344005"/>
    <w:rsid w:val="0034423C"/>
    <w:rsid w:val="003448E8"/>
    <w:rsid w:val="00344AA6"/>
    <w:rsid w:val="00344CE8"/>
    <w:rsid w:val="003451DA"/>
    <w:rsid w:val="00345445"/>
    <w:rsid w:val="003457C9"/>
    <w:rsid w:val="003457CC"/>
    <w:rsid w:val="00345807"/>
    <w:rsid w:val="00345AA0"/>
    <w:rsid w:val="00345ACF"/>
    <w:rsid w:val="00345F5C"/>
    <w:rsid w:val="0034665C"/>
    <w:rsid w:val="003466F5"/>
    <w:rsid w:val="003468F7"/>
    <w:rsid w:val="00346A56"/>
    <w:rsid w:val="00346E7C"/>
    <w:rsid w:val="00347002"/>
    <w:rsid w:val="003471DD"/>
    <w:rsid w:val="00347392"/>
    <w:rsid w:val="0034752C"/>
    <w:rsid w:val="00347CDC"/>
    <w:rsid w:val="003500BF"/>
    <w:rsid w:val="003500F2"/>
    <w:rsid w:val="0035055A"/>
    <w:rsid w:val="00350696"/>
    <w:rsid w:val="003506BB"/>
    <w:rsid w:val="0035078E"/>
    <w:rsid w:val="003507F0"/>
    <w:rsid w:val="00350CC7"/>
    <w:rsid w:val="0035119B"/>
    <w:rsid w:val="003514B7"/>
    <w:rsid w:val="0035159B"/>
    <w:rsid w:val="00351688"/>
    <w:rsid w:val="00351825"/>
    <w:rsid w:val="00351A7F"/>
    <w:rsid w:val="00351BB9"/>
    <w:rsid w:val="003525BC"/>
    <w:rsid w:val="0035260D"/>
    <w:rsid w:val="00352BD6"/>
    <w:rsid w:val="003530BF"/>
    <w:rsid w:val="003534ED"/>
    <w:rsid w:val="0035381B"/>
    <w:rsid w:val="003538B1"/>
    <w:rsid w:val="00353C2F"/>
    <w:rsid w:val="00353DE9"/>
    <w:rsid w:val="00353E5E"/>
    <w:rsid w:val="00353FE6"/>
    <w:rsid w:val="00354001"/>
    <w:rsid w:val="00354112"/>
    <w:rsid w:val="003541AD"/>
    <w:rsid w:val="003541E2"/>
    <w:rsid w:val="003545BE"/>
    <w:rsid w:val="003548FA"/>
    <w:rsid w:val="003556CF"/>
    <w:rsid w:val="00355BEA"/>
    <w:rsid w:val="00355FE9"/>
    <w:rsid w:val="0035621F"/>
    <w:rsid w:val="00356422"/>
    <w:rsid w:val="00356819"/>
    <w:rsid w:val="00356D4B"/>
    <w:rsid w:val="00356E02"/>
    <w:rsid w:val="00356F43"/>
    <w:rsid w:val="00356F70"/>
    <w:rsid w:val="003570B6"/>
    <w:rsid w:val="0035750A"/>
    <w:rsid w:val="00357A53"/>
    <w:rsid w:val="00357A67"/>
    <w:rsid w:val="00357A71"/>
    <w:rsid w:val="00357D92"/>
    <w:rsid w:val="00357E68"/>
    <w:rsid w:val="00357EC2"/>
    <w:rsid w:val="00357FCD"/>
    <w:rsid w:val="00360053"/>
    <w:rsid w:val="00360875"/>
    <w:rsid w:val="00360E1C"/>
    <w:rsid w:val="003614F5"/>
    <w:rsid w:val="003617CB"/>
    <w:rsid w:val="0036188C"/>
    <w:rsid w:val="00361E10"/>
    <w:rsid w:val="00361FD4"/>
    <w:rsid w:val="0036201D"/>
    <w:rsid w:val="0036203A"/>
    <w:rsid w:val="0036218C"/>
    <w:rsid w:val="003624A8"/>
    <w:rsid w:val="0036280B"/>
    <w:rsid w:val="00362924"/>
    <w:rsid w:val="00362991"/>
    <w:rsid w:val="00362BA1"/>
    <w:rsid w:val="00362C5C"/>
    <w:rsid w:val="003630EE"/>
    <w:rsid w:val="003631CE"/>
    <w:rsid w:val="003634EB"/>
    <w:rsid w:val="003635D6"/>
    <w:rsid w:val="003636F2"/>
    <w:rsid w:val="00363B09"/>
    <w:rsid w:val="00364004"/>
    <w:rsid w:val="0036411C"/>
    <w:rsid w:val="00364184"/>
    <w:rsid w:val="0036424C"/>
    <w:rsid w:val="003642AF"/>
    <w:rsid w:val="003646CA"/>
    <w:rsid w:val="00365075"/>
    <w:rsid w:val="0036557A"/>
    <w:rsid w:val="003656E9"/>
    <w:rsid w:val="0036594E"/>
    <w:rsid w:val="00365A23"/>
    <w:rsid w:val="00365E63"/>
    <w:rsid w:val="0036637B"/>
    <w:rsid w:val="0036649F"/>
    <w:rsid w:val="00366691"/>
    <w:rsid w:val="0036695D"/>
    <w:rsid w:val="00366E6E"/>
    <w:rsid w:val="00366EDF"/>
    <w:rsid w:val="00366F76"/>
    <w:rsid w:val="00366F81"/>
    <w:rsid w:val="0036706F"/>
    <w:rsid w:val="003672B8"/>
    <w:rsid w:val="0036779E"/>
    <w:rsid w:val="003677D3"/>
    <w:rsid w:val="00367AAD"/>
    <w:rsid w:val="00367DAD"/>
    <w:rsid w:val="003709EB"/>
    <w:rsid w:val="00370BC5"/>
    <w:rsid w:val="00370C12"/>
    <w:rsid w:val="00370C24"/>
    <w:rsid w:val="00370D9B"/>
    <w:rsid w:val="003715C3"/>
    <w:rsid w:val="003717C8"/>
    <w:rsid w:val="00371833"/>
    <w:rsid w:val="00371952"/>
    <w:rsid w:val="0037196C"/>
    <w:rsid w:val="00371C86"/>
    <w:rsid w:val="00371D5F"/>
    <w:rsid w:val="00371E6B"/>
    <w:rsid w:val="00372240"/>
    <w:rsid w:val="00372578"/>
    <w:rsid w:val="003726E3"/>
    <w:rsid w:val="00372750"/>
    <w:rsid w:val="00372BB5"/>
    <w:rsid w:val="00372C9E"/>
    <w:rsid w:val="00372E3D"/>
    <w:rsid w:val="0037326E"/>
    <w:rsid w:val="003735D8"/>
    <w:rsid w:val="00373652"/>
    <w:rsid w:val="00373898"/>
    <w:rsid w:val="0037396B"/>
    <w:rsid w:val="00373A7C"/>
    <w:rsid w:val="00373B6D"/>
    <w:rsid w:val="00373E36"/>
    <w:rsid w:val="0037402F"/>
    <w:rsid w:val="003741D5"/>
    <w:rsid w:val="003741F9"/>
    <w:rsid w:val="003743B8"/>
    <w:rsid w:val="003748D0"/>
    <w:rsid w:val="003748D4"/>
    <w:rsid w:val="00374D37"/>
    <w:rsid w:val="00374DD6"/>
    <w:rsid w:val="00375B63"/>
    <w:rsid w:val="00375FE6"/>
    <w:rsid w:val="00376052"/>
    <w:rsid w:val="0037630A"/>
    <w:rsid w:val="00376563"/>
    <w:rsid w:val="00376920"/>
    <w:rsid w:val="00376B81"/>
    <w:rsid w:val="00376D15"/>
    <w:rsid w:val="00377C6F"/>
    <w:rsid w:val="00377E42"/>
    <w:rsid w:val="00377FA8"/>
    <w:rsid w:val="003803C4"/>
    <w:rsid w:val="0038052E"/>
    <w:rsid w:val="00380965"/>
    <w:rsid w:val="00380982"/>
    <w:rsid w:val="00380B09"/>
    <w:rsid w:val="00380C4C"/>
    <w:rsid w:val="00380CC7"/>
    <w:rsid w:val="00380D72"/>
    <w:rsid w:val="00380F2B"/>
    <w:rsid w:val="00380FBD"/>
    <w:rsid w:val="0038119C"/>
    <w:rsid w:val="0038124B"/>
    <w:rsid w:val="00381262"/>
    <w:rsid w:val="00381587"/>
    <w:rsid w:val="003817D0"/>
    <w:rsid w:val="003817EE"/>
    <w:rsid w:val="0038182F"/>
    <w:rsid w:val="0038194C"/>
    <w:rsid w:val="00381B27"/>
    <w:rsid w:val="00381D30"/>
    <w:rsid w:val="00381D92"/>
    <w:rsid w:val="00381F09"/>
    <w:rsid w:val="003822EA"/>
    <w:rsid w:val="003822F2"/>
    <w:rsid w:val="0038290B"/>
    <w:rsid w:val="00382CA1"/>
    <w:rsid w:val="00382CCA"/>
    <w:rsid w:val="003837B0"/>
    <w:rsid w:val="00383FFE"/>
    <w:rsid w:val="003845EB"/>
    <w:rsid w:val="0038468D"/>
    <w:rsid w:val="00384E58"/>
    <w:rsid w:val="00385026"/>
    <w:rsid w:val="003856A5"/>
    <w:rsid w:val="00385888"/>
    <w:rsid w:val="00385A6D"/>
    <w:rsid w:val="00385A77"/>
    <w:rsid w:val="00385CE9"/>
    <w:rsid w:val="00385DDA"/>
    <w:rsid w:val="003866C9"/>
    <w:rsid w:val="003869A2"/>
    <w:rsid w:val="00386CE1"/>
    <w:rsid w:val="00386E8E"/>
    <w:rsid w:val="00386F70"/>
    <w:rsid w:val="0038705D"/>
    <w:rsid w:val="003871BF"/>
    <w:rsid w:val="00387222"/>
    <w:rsid w:val="003873EA"/>
    <w:rsid w:val="0038772B"/>
    <w:rsid w:val="00387748"/>
    <w:rsid w:val="00387A52"/>
    <w:rsid w:val="00390014"/>
    <w:rsid w:val="003900E8"/>
    <w:rsid w:val="00390330"/>
    <w:rsid w:val="00390461"/>
    <w:rsid w:val="00390553"/>
    <w:rsid w:val="00390DA6"/>
    <w:rsid w:val="00391208"/>
    <w:rsid w:val="00391648"/>
    <w:rsid w:val="0039180C"/>
    <w:rsid w:val="00391D1C"/>
    <w:rsid w:val="00391E39"/>
    <w:rsid w:val="00392065"/>
    <w:rsid w:val="00392460"/>
    <w:rsid w:val="00392491"/>
    <w:rsid w:val="00392585"/>
    <w:rsid w:val="003925AA"/>
    <w:rsid w:val="00392BE5"/>
    <w:rsid w:val="00392CA0"/>
    <w:rsid w:val="0039305B"/>
    <w:rsid w:val="003930C4"/>
    <w:rsid w:val="00393178"/>
    <w:rsid w:val="00393488"/>
    <w:rsid w:val="003934D0"/>
    <w:rsid w:val="00393521"/>
    <w:rsid w:val="00393981"/>
    <w:rsid w:val="00393DAA"/>
    <w:rsid w:val="003943F9"/>
    <w:rsid w:val="00394793"/>
    <w:rsid w:val="00394926"/>
    <w:rsid w:val="00394BF2"/>
    <w:rsid w:val="00394C2F"/>
    <w:rsid w:val="003954FB"/>
    <w:rsid w:val="0039562F"/>
    <w:rsid w:val="00395C63"/>
    <w:rsid w:val="00395DE5"/>
    <w:rsid w:val="003960C1"/>
    <w:rsid w:val="0039617D"/>
    <w:rsid w:val="00396322"/>
    <w:rsid w:val="0039652D"/>
    <w:rsid w:val="0039674C"/>
    <w:rsid w:val="0039686E"/>
    <w:rsid w:val="003969F3"/>
    <w:rsid w:val="00396A6A"/>
    <w:rsid w:val="00396AA3"/>
    <w:rsid w:val="00396FDB"/>
    <w:rsid w:val="0039721C"/>
    <w:rsid w:val="0039726F"/>
    <w:rsid w:val="00397A1E"/>
    <w:rsid w:val="00397A35"/>
    <w:rsid w:val="00397ED9"/>
    <w:rsid w:val="00397F01"/>
    <w:rsid w:val="00397F9B"/>
    <w:rsid w:val="003A0986"/>
    <w:rsid w:val="003A0C8D"/>
    <w:rsid w:val="003A0FFD"/>
    <w:rsid w:val="003A1570"/>
    <w:rsid w:val="003A1623"/>
    <w:rsid w:val="003A17C7"/>
    <w:rsid w:val="003A1979"/>
    <w:rsid w:val="003A1AE0"/>
    <w:rsid w:val="003A1D0E"/>
    <w:rsid w:val="003A1D64"/>
    <w:rsid w:val="003A23B6"/>
    <w:rsid w:val="003A2598"/>
    <w:rsid w:val="003A2601"/>
    <w:rsid w:val="003A2AA9"/>
    <w:rsid w:val="003A2B53"/>
    <w:rsid w:val="003A30FB"/>
    <w:rsid w:val="003A3348"/>
    <w:rsid w:val="003A3440"/>
    <w:rsid w:val="003A3636"/>
    <w:rsid w:val="003A3954"/>
    <w:rsid w:val="003A395A"/>
    <w:rsid w:val="003A3AD3"/>
    <w:rsid w:val="003A3C49"/>
    <w:rsid w:val="003A3CFA"/>
    <w:rsid w:val="003A3E80"/>
    <w:rsid w:val="003A42B0"/>
    <w:rsid w:val="003A44C2"/>
    <w:rsid w:val="003A494E"/>
    <w:rsid w:val="003A49D7"/>
    <w:rsid w:val="003A4E75"/>
    <w:rsid w:val="003A501F"/>
    <w:rsid w:val="003A531D"/>
    <w:rsid w:val="003A584D"/>
    <w:rsid w:val="003A58CB"/>
    <w:rsid w:val="003A5A06"/>
    <w:rsid w:val="003A5E8E"/>
    <w:rsid w:val="003A63DB"/>
    <w:rsid w:val="003A657E"/>
    <w:rsid w:val="003A6720"/>
    <w:rsid w:val="003A67BA"/>
    <w:rsid w:val="003A67F2"/>
    <w:rsid w:val="003A687A"/>
    <w:rsid w:val="003A6BC5"/>
    <w:rsid w:val="003A6C62"/>
    <w:rsid w:val="003A701D"/>
    <w:rsid w:val="003A71C1"/>
    <w:rsid w:val="003A7318"/>
    <w:rsid w:val="003A7629"/>
    <w:rsid w:val="003A7DAA"/>
    <w:rsid w:val="003B0219"/>
    <w:rsid w:val="003B0A79"/>
    <w:rsid w:val="003B0BBF"/>
    <w:rsid w:val="003B0C0F"/>
    <w:rsid w:val="003B0D33"/>
    <w:rsid w:val="003B0FB2"/>
    <w:rsid w:val="003B0FC9"/>
    <w:rsid w:val="003B1185"/>
    <w:rsid w:val="003B11D4"/>
    <w:rsid w:val="003B141E"/>
    <w:rsid w:val="003B192F"/>
    <w:rsid w:val="003B1CFB"/>
    <w:rsid w:val="003B203D"/>
    <w:rsid w:val="003B20E7"/>
    <w:rsid w:val="003B238B"/>
    <w:rsid w:val="003B2570"/>
    <w:rsid w:val="003B2AC5"/>
    <w:rsid w:val="003B2D01"/>
    <w:rsid w:val="003B2D91"/>
    <w:rsid w:val="003B2E16"/>
    <w:rsid w:val="003B30C2"/>
    <w:rsid w:val="003B3198"/>
    <w:rsid w:val="003B31BD"/>
    <w:rsid w:val="003B323E"/>
    <w:rsid w:val="003B32CD"/>
    <w:rsid w:val="003B3527"/>
    <w:rsid w:val="003B39F6"/>
    <w:rsid w:val="003B3B46"/>
    <w:rsid w:val="003B3D7D"/>
    <w:rsid w:val="003B45C9"/>
    <w:rsid w:val="003B46A8"/>
    <w:rsid w:val="003B4C81"/>
    <w:rsid w:val="003B4D46"/>
    <w:rsid w:val="003B4D69"/>
    <w:rsid w:val="003B4D78"/>
    <w:rsid w:val="003B5027"/>
    <w:rsid w:val="003B5084"/>
    <w:rsid w:val="003B5441"/>
    <w:rsid w:val="003B59E0"/>
    <w:rsid w:val="003B5D43"/>
    <w:rsid w:val="003B6334"/>
    <w:rsid w:val="003B6489"/>
    <w:rsid w:val="003B6EAB"/>
    <w:rsid w:val="003B719B"/>
    <w:rsid w:val="003B72CF"/>
    <w:rsid w:val="003B74E3"/>
    <w:rsid w:val="003B77CC"/>
    <w:rsid w:val="003B7828"/>
    <w:rsid w:val="003B7832"/>
    <w:rsid w:val="003B7C29"/>
    <w:rsid w:val="003B7E4B"/>
    <w:rsid w:val="003C005F"/>
    <w:rsid w:val="003C00A8"/>
    <w:rsid w:val="003C0157"/>
    <w:rsid w:val="003C04A3"/>
    <w:rsid w:val="003C0DA3"/>
    <w:rsid w:val="003C0E88"/>
    <w:rsid w:val="003C1181"/>
    <w:rsid w:val="003C13D2"/>
    <w:rsid w:val="003C1644"/>
    <w:rsid w:val="003C1689"/>
    <w:rsid w:val="003C1727"/>
    <w:rsid w:val="003C1E1A"/>
    <w:rsid w:val="003C200D"/>
    <w:rsid w:val="003C205D"/>
    <w:rsid w:val="003C2505"/>
    <w:rsid w:val="003C2524"/>
    <w:rsid w:val="003C2561"/>
    <w:rsid w:val="003C2587"/>
    <w:rsid w:val="003C28DB"/>
    <w:rsid w:val="003C2B8F"/>
    <w:rsid w:val="003C2D40"/>
    <w:rsid w:val="003C2FD1"/>
    <w:rsid w:val="003C3070"/>
    <w:rsid w:val="003C30B4"/>
    <w:rsid w:val="003C3115"/>
    <w:rsid w:val="003C348E"/>
    <w:rsid w:val="003C357B"/>
    <w:rsid w:val="003C369D"/>
    <w:rsid w:val="003C36C1"/>
    <w:rsid w:val="003C3CA2"/>
    <w:rsid w:val="003C3CAB"/>
    <w:rsid w:val="003C4016"/>
    <w:rsid w:val="003C4623"/>
    <w:rsid w:val="003C47D9"/>
    <w:rsid w:val="003C48EE"/>
    <w:rsid w:val="003C4A87"/>
    <w:rsid w:val="003C4C44"/>
    <w:rsid w:val="003C4FF0"/>
    <w:rsid w:val="003C5014"/>
    <w:rsid w:val="003C50EB"/>
    <w:rsid w:val="003C52B4"/>
    <w:rsid w:val="003C5643"/>
    <w:rsid w:val="003C573A"/>
    <w:rsid w:val="003C5DCC"/>
    <w:rsid w:val="003C605C"/>
    <w:rsid w:val="003C606D"/>
    <w:rsid w:val="003C6462"/>
    <w:rsid w:val="003C6858"/>
    <w:rsid w:val="003C69B6"/>
    <w:rsid w:val="003C6B1B"/>
    <w:rsid w:val="003C6C47"/>
    <w:rsid w:val="003C705B"/>
    <w:rsid w:val="003C730B"/>
    <w:rsid w:val="003C742A"/>
    <w:rsid w:val="003C7522"/>
    <w:rsid w:val="003C774C"/>
    <w:rsid w:val="003C77C2"/>
    <w:rsid w:val="003C79C1"/>
    <w:rsid w:val="003C7E07"/>
    <w:rsid w:val="003C7F62"/>
    <w:rsid w:val="003D0243"/>
    <w:rsid w:val="003D043B"/>
    <w:rsid w:val="003D0471"/>
    <w:rsid w:val="003D0683"/>
    <w:rsid w:val="003D0898"/>
    <w:rsid w:val="003D0939"/>
    <w:rsid w:val="003D11F1"/>
    <w:rsid w:val="003D13DA"/>
    <w:rsid w:val="003D151E"/>
    <w:rsid w:val="003D1A30"/>
    <w:rsid w:val="003D1CC2"/>
    <w:rsid w:val="003D1CCB"/>
    <w:rsid w:val="003D2361"/>
    <w:rsid w:val="003D27BF"/>
    <w:rsid w:val="003D2866"/>
    <w:rsid w:val="003D32F3"/>
    <w:rsid w:val="003D33FF"/>
    <w:rsid w:val="003D34C3"/>
    <w:rsid w:val="003D350C"/>
    <w:rsid w:val="003D3C5A"/>
    <w:rsid w:val="003D3E22"/>
    <w:rsid w:val="003D3E73"/>
    <w:rsid w:val="003D438B"/>
    <w:rsid w:val="003D4585"/>
    <w:rsid w:val="003D4B93"/>
    <w:rsid w:val="003D5032"/>
    <w:rsid w:val="003D51E9"/>
    <w:rsid w:val="003D57EA"/>
    <w:rsid w:val="003D591B"/>
    <w:rsid w:val="003D611D"/>
    <w:rsid w:val="003D618B"/>
    <w:rsid w:val="003D6486"/>
    <w:rsid w:val="003D6557"/>
    <w:rsid w:val="003D6956"/>
    <w:rsid w:val="003D6BF4"/>
    <w:rsid w:val="003D6CD3"/>
    <w:rsid w:val="003D6CF8"/>
    <w:rsid w:val="003D6DED"/>
    <w:rsid w:val="003D6E00"/>
    <w:rsid w:val="003D6EF6"/>
    <w:rsid w:val="003D6FDA"/>
    <w:rsid w:val="003D71B7"/>
    <w:rsid w:val="003D72D4"/>
    <w:rsid w:val="003D7D3A"/>
    <w:rsid w:val="003D7ED1"/>
    <w:rsid w:val="003E0080"/>
    <w:rsid w:val="003E00CA"/>
    <w:rsid w:val="003E02E9"/>
    <w:rsid w:val="003E04BE"/>
    <w:rsid w:val="003E078D"/>
    <w:rsid w:val="003E0884"/>
    <w:rsid w:val="003E0D71"/>
    <w:rsid w:val="003E0FF4"/>
    <w:rsid w:val="003E15E7"/>
    <w:rsid w:val="003E1731"/>
    <w:rsid w:val="003E1A32"/>
    <w:rsid w:val="003E1AE1"/>
    <w:rsid w:val="003E2290"/>
    <w:rsid w:val="003E2460"/>
    <w:rsid w:val="003E24CD"/>
    <w:rsid w:val="003E257F"/>
    <w:rsid w:val="003E28E8"/>
    <w:rsid w:val="003E290B"/>
    <w:rsid w:val="003E2935"/>
    <w:rsid w:val="003E2AAC"/>
    <w:rsid w:val="003E2C32"/>
    <w:rsid w:val="003E343A"/>
    <w:rsid w:val="003E375E"/>
    <w:rsid w:val="003E3A4A"/>
    <w:rsid w:val="003E3FC6"/>
    <w:rsid w:val="003E43B9"/>
    <w:rsid w:val="003E498B"/>
    <w:rsid w:val="003E4A1C"/>
    <w:rsid w:val="003E4A5D"/>
    <w:rsid w:val="003E4B70"/>
    <w:rsid w:val="003E4CDA"/>
    <w:rsid w:val="003E4CED"/>
    <w:rsid w:val="003E4DAD"/>
    <w:rsid w:val="003E51C4"/>
    <w:rsid w:val="003E532F"/>
    <w:rsid w:val="003E537D"/>
    <w:rsid w:val="003E59C6"/>
    <w:rsid w:val="003E5B72"/>
    <w:rsid w:val="003E5DB1"/>
    <w:rsid w:val="003E5FFE"/>
    <w:rsid w:val="003E603E"/>
    <w:rsid w:val="003E629B"/>
    <w:rsid w:val="003E69F3"/>
    <w:rsid w:val="003E6DBF"/>
    <w:rsid w:val="003E7085"/>
    <w:rsid w:val="003E7381"/>
    <w:rsid w:val="003E7729"/>
    <w:rsid w:val="003E779D"/>
    <w:rsid w:val="003F02D7"/>
    <w:rsid w:val="003F04F6"/>
    <w:rsid w:val="003F0926"/>
    <w:rsid w:val="003F092E"/>
    <w:rsid w:val="003F0BFB"/>
    <w:rsid w:val="003F0EB4"/>
    <w:rsid w:val="003F170B"/>
    <w:rsid w:val="003F17BA"/>
    <w:rsid w:val="003F1A90"/>
    <w:rsid w:val="003F1ED7"/>
    <w:rsid w:val="003F1F07"/>
    <w:rsid w:val="003F25F9"/>
    <w:rsid w:val="003F2602"/>
    <w:rsid w:val="003F2FC9"/>
    <w:rsid w:val="003F30EA"/>
    <w:rsid w:val="003F382A"/>
    <w:rsid w:val="003F44FB"/>
    <w:rsid w:val="003F4534"/>
    <w:rsid w:val="003F499F"/>
    <w:rsid w:val="003F4ADE"/>
    <w:rsid w:val="003F4FA5"/>
    <w:rsid w:val="003F5740"/>
    <w:rsid w:val="003F5A1C"/>
    <w:rsid w:val="003F5C41"/>
    <w:rsid w:val="003F5D3D"/>
    <w:rsid w:val="003F5E8E"/>
    <w:rsid w:val="003F5F47"/>
    <w:rsid w:val="003F5F80"/>
    <w:rsid w:val="003F5F95"/>
    <w:rsid w:val="003F60FE"/>
    <w:rsid w:val="003F6232"/>
    <w:rsid w:val="003F6613"/>
    <w:rsid w:val="003F66BD"/>
    <w:rsid w:val="003F687D"/>
    <w:rsid w:val="003F68DA"/>
    <w:rsid w:val="003F6AA4"/>
    <w:rsid w:val="003F6D7C"/>
    <w:rsid w:val="003F72D9"/>
    <w:rsid w:val="003F7349"/>
    <w:rsid w:val="003F7495"/>
    <w:rsid w:val="003F75E2"/>
    <w:rsid w:val="003F7812"/>
    <w:rsid w:val="003F7A05"/>
    <w:rsid w:val="003F7E79"/>
    <w:rsid w:val="003F7E7A"/>
    <w:rsid w:val="003F7F96"/>
    <w:rsid w:val="00400043"/>
    <w:rsid w:val="0040034F"/>
    <w:rsid w:val="00400403"/>
    <w:rsid w:val="00400704"/>
    <w:rsid w:val="004007EF"/>
    <w:rsid w:val="00400AEA"/>
    <w:rsid w:val="0040105F"/>
    <w:rsid w:val="00401A8B"/>
    <w:rsid w:val="00401C1B"/>
    <w:rsid w:val="00401ED9"/>
    <w:rsid w:val="004021BA"/>
    <w:rsid w:val="00402288"/>
    <w:rsid w:val="004025D9"/>
    <w:rsid w:val="00402BA3"/>
    <w:rsid w:val="00402C55"/>
    <w:rsid w:val="00402C88"/>
    <w:rsid w:val="00402CB4"/>
    <w:rsid w:val="00402CE6"/>
    <w:rsid w:val="00402DAE"/>
    <w:rsid w:val="00403263"/>
    <w:rsid w:val="00403489"/>
    <w:rsid w:val="004035E8"/>
    <w:rsid w:val="00403D4E"/>
    <w:rsid w:val="00404176"/>
    <w:rsid w:val="004042AF"/>
    <w:rsid w:val="00404AD8"/>
    <w:rsid w:val="00404D85"/>
    <w:rsid w:val="00404EB2"/>
    <w:rsid w:val="0040502E"/>
    <w:rsid w:val="00405401"/>
    <w:rsid w:val="004055D5"/>
    <w:rsid w:val="0040562F"/>
    <w:rsid w:val="004056E8"/>
    <w:rsid w:val="0040571D"/>
    <w:rsid w:val="00405739"/>
    <w:rsid w:val="00405DBE"/>
    <w:rsid w:val="00406017"/>
    <w:rsid w:val="0040604E"/>
    <w:rsid w:val="00406359"/>
    <w:rsid w:val="0040673D"/>
    <w:rsid w:val="00406962"/>
    <w:rsid w:val="00406A9C"/>
    <w:rsid w:val="00406BCD"/>
    <w:rsid w:val="00406C3D"/>
    <w:rsid w:val="00407084"/>
    <w:rsid w:val="0040733F"/>
    <w:rsid w:val="004076EF"/>
    <w:rsid w:val="004077EA"/>
    <w:rsid w:val="00407CC9"/>
    <w:rsid w:val="00407D56"/>
    <w:rsid w:val="00407F2F"/>
    <w:rsid w:val="004101AF"/>
    <w:rsid w:val="0041033C"/>
    <w:rsid w:val="00410372"/>
    <w:rsid w:val="004105E3"/>
    <w:rsid w:val="004108FE"/>
    <w:rsid w:val="00410A0F"/>
    <w:rsid w:val="00410C88"/>
    <w:rsid w:val="00410EC6"/>
    <w:rsid w:val="00411115"/>
    <w:rsid w:val="0041181C"/>
    <w:rsid w:val="004119CB"/>
    <w:rsid w:val="00411DD0"/>
    <w:rsid w:val="0041203E"/>
    <w:rsid w:val="00412339"/>
    <w:rsid w:val="00412456"/>
    <w:rsid w:val="004125CE"/>
    <w:rsid w:val="0041281D"/>
    <w:rsid w:val="00412898"/>
    <w:rsid w:val="00412925"/>
    <w:rsid w:val="00412F3C"/>
    <w:rsid w:val="00413170"/>
    <w:rsid w:val="0041325E"/>
    <w:rsid w:val="004133E6"/>
    <w:rsid w:val="004136E9"/>
    <w:rsid w:val="004145B9"/>
    <w:rsid w:val="004149FB"/>
    <w:rsid w:val="00414A43"/>
    <w:rsid w:val="00414A83"/>
    <w:rsid w:val="00414A9F"/>
    <w:rsid w:val="00414ED1"/>
    <w:rsid w:val="004150AE"/>
    <w:rsid w:val="00415420"/>
    <w:rsid w:val="004155BD"/>
    <w:rsid w:val="00415629"/>
    <w:rsid w:val="00415969"/>
    <w:rsid w:val="004159DC"/>
    <w:rsid w:val="00415A45"/>
    <w:rsid w:val="00415B91"/>
    <w:rsid w:val="00415CF8"/>
    <w:rsid w:val="00415F49"/>
    <w:rsid w:val="00415F7C"/>
    <w:rsid w:val="00416263"/>
    <w:rsid w:val="0041669A"/>
    <w:rsid w:val="00416811"/>
    <w:rsid w:val="00416A5B"/>
    <w:rsid w:val="00416CFE"/>
    <w:rsid w:val="004171BF"/>
    <w:rsid w:val="00417493"/>
    <w:rsid w:val="00417678"/>
    <w:rsid w:val="004179ED"/>
    <w:rsid w:val="00417B8A"/>
    <w:rsid w:val="00417BC1"/>
    <w:rsid w:val="00420420"/>
    <w:rsid w:val="00420988"/>
    <w:rsid w:val="00420AFB"/>
    <w:rsid w:val="00420C9B"/>
    <w:rsid w:val="00420DB7"/>
    <w:rsid w:val="00420EB9"/>
    <w:rsid w:val="00420F46"/>
    <w:rsid w:val="00420FA7"/>
    <w:rsid w:val="00421173"/>
    <w:rsid w:val="004213CA"/>
    <w:rsid w:val="0042143C"/>
    <w:rsid w:val="0042158C"/>
    <w:rsid w:val="00421A96"/>
    <w:rsid w:val="00421D47"/>
    <w:rsid w:val="00421ED7"/>
    <w:rsid w:val="004223AF"/>
    <w:rsid w:val="00422457"/>
    <w:rsid w:val="00422576"/>
    <w:rsid w:val="00422BB1"/>
    <w:rsid w:val="00422C17"/>
    <w:rsid w:val="00422DDD"/>
    <w:rsid w:val="00423284"/>
    <w:rsid w:val="0042354F"/>
    <w:rsid w:val="00423ED9"/>
    <w:rsid w:val="00424348"/>
    <w:rsid w:val="0042443D"/>
    <w:rsid w:val="004245D5"/>
    <w:rsid w:val="0042466F"/>
    <w:rsid w:val="00424780"/>
    <w:rsid w:val="0042495C"/>
    <w:rsid w:val="004249E9"/>
    <w:rsid w:val="00424F9A"/>
    <w:rsid w:val="004251C8"/>
    <w:rsid w:val="00425670"/>
    <w:rsid w:val="00425AE5"/>
    <w:rsid w:val="00425BC3"/>
    <w:rsid w:val="00425D05"/>
    <w:rsid w:val="00425DE4"/>
    <w:rsid w:val="00426091"/>
    <w:rsid w:val="00426713"/>
    <w:rsid w:val="00426794"/>
    <w:rsid w:val="00426913"/>
    <w:rsid w:val="004269A4"/>
    <w:rsid w:val="00426D38"/>
    <w:rsid w:val="00426E3D"/>
    <w:rsid w:val="00426E6B"/>
    <w:rsid w:val="00426F8F"/>
    <w:rsid w:val="00426FE9"/>
    <w:rsid w:val="00427032"/>
    <w:rsid w:val="0042724E"/>
    <w:rsid w:val="004273BD"/>
    <w:rsid w:val="004301A7"/>
    <w:rsid w:val="004303B5"/>
    <w:rsid w:val="004304CA"/>
    <w:rsid w:val="004308BD"/>
    <w:rsid w:val="00430A29"/>
    <w:rsid w:val="004312C9"/>
    <w:rsid w:val="004317E0"/>
    <w:rsid w:val="004318D5"/>
    <w:rsid w:val="00431C4D"/>
    <w:rsid w:val="00431F8F"/>
    <w:rsid w:val="0043230B"/>
    <w:rsid w:val="004323FC"/>
    <w:rsid w:val="004325B2"/>
    <w:rsid w:val="00432900"/>
    <w:rsid w:val="0043294A"/>
    <w:rsid w:val="004329B6"/>
    <w:rsid w:val="004329D3"/>
    <w:rsid w:val="00432FA2"/>
    <w:rsid w:val="00433481"/>
    <w:rsid w:val="004334B7"/>
    <w:rsid w:val="004338B7"/>
    <w:rsid w:val="00433ECE"/>
    <w:rsid w:val="00434578"/>
    <w:rsid w:val="004345A1"/>
    <w:rsid w:val="0043469D"/>
    <w:rsid w:val="004348E3"/>
    <w:rsid w:val="00434DC3"/>
    <w:rsid w:val="00434EA9"/>
    <w:rsid w:val="0043509E"/>
    <w:rsid w:val="00435255"/>
    <w:rsid w:val="0043533A"/>
    <w:rsid w:val="00435679"/>
    <w:rsid w:val="004356FF"/>
    <w:rsid w:val="00435CA3"/>
    <w:rsid w:val="00435CC0"/>
    <w:rsid w:val="004361A0"/>
    <w:rsid w:val="00436378"/>
    <w:rsid w:val="004367B7"/>
    <w:rsid w:val="00436865"/>
    <w:rsid w:val="00437159"/>
    <w:rsid w:val="00437164"/>
    <w:rsid w:val="00437478"/>
    <w:rsid w:val="004377B8"/>
    <w:rsid w:val="00440305"/>
    <w:rsid w:val="00440345"/>
    <w:rsid w:val="004405AD"/>
    <w:rsid w:val="0044078F"/>
    <w:rsid w:val="004407F5"/>
    <w:rsid w:val="00440C03"/>
    <w:rsid w:val="00440C21"/>
    <w:rsid w:val="00440C53"/>
    <w:rsid w:val="00440EE2"/>
    <w:rsid w:val="00441293"/>
    <w:rsid w:val="004412FF"/>
    <w:rsid w:val="0044162A"/>
    <w:rsid w:val="00441825"/>
    <w:rsid w:val="00441BAE"/>
    <w:rsid w:val="00442243"/>
    <w:rsid w:val="004423BB"/>
    <w:rsid w:val="00442529"/>
    <w:rsid w:val="00442594"/>
    <w:rsid w:val="0044269A"/>
    <w:rsid w:val="00442728"/>
    <w:rsid w:val="00442861"/>
    <w:rsid w:val="00442BCC"/>
    <w:rsid w:val="00443394"/>
    <w:rsid w:val="00443446"/>
    <w:rsid w:val="0044350F"/>
    <w:rsid w:val="004435D6"/>
    <w:rsid w:val="00443670"/>
    <w:rsid w:val="00443F29"/>
    <w:rsid w:val="0044401C"/>
    <w:rsid w:val="00444884"/>
    <w:rsid w:val="00444C63"/>
    <w:rsid w:val="00444D71"/>
    <w:rsid w:val="004450E2"/>
    <w:rsid w:val="004452D4"/>
    <w:rsid w:val="00445678"/>
    <w:rsid w:val="004458CB"/>
    <w:rsid w:val="00445A83"/>
    <w:rsid w:val="00445AFD"/>
    <w:rsid w:val="00445B48"/>
    <w:rsid w:val="00445D47"/>
    <w:rsid w:val="00445D92"/>
    <w:rsid w:val="0044612A"/>
    <w:rsid w:val="00446FB1"/>
    <w:rsid w:val="004473B3"/>
    <w:rsid w:val="004478CC"/>
    <w:rsid w:val="0044792A"/>
    <w:rsid w:val="00447E5F"/>
    <w:rsid w:val="00447E7E"/>
    <w:rsid w:val="00447F13"/>
    <w:rsid w:val="00447F5E"/>
    <w:rsid w:val="00450032"/>
    <w:rsid w:val="0045008F"/>
    <w:rsid w:val="0045017E"/>
    <w:rsid w:val="004502A1"/>
    <w:rsid w:val="0045064F"/>
    <w:rsid w:val="004507B9"/>
    <w:rsid w:val="004507C4"/>
    <w:rsid w:val="0045098D"/>
    <w:rsid w:val="00450ABC"/>
    <w:rsid w:val="00450ACB"/>
    <w:rsid w:val="00450B52"/>
    <w:rsid w:val="00450F73"/>
    <w:rsid w:val="00451273"/>
    <w:rsid w:val="00451373"/>
    <w:rsid w:val="00451617"/>
    <w:rsid w:val="004519B1"/>
    <w:rsid w:val="00451D46"/>
    <w:rsid w:val="00451E57"/>
    <w:rsid w:val="004521AB"/>
    <w:rsid w:val="00452201"/>
    <w:rsid w:val="00452634"/>
    <w:rsid w:val="00452657"/>
    <w:rsid w:val="00452779"/>
    <w:rsid w:val="00452FE1"/>
    <w:rsid w:val="004532B7"/>
    <w:rsid w:val="0045342B"/>
    <w:rsid w:val="004534EC"/>
    <w:rsid w:val="00453567"/>
    <w:rsid w:val="004535A9"/>
    <w:rsid w:val="00453674"/>
    <w:rsid w:val="00453A94"/>
    <w:rsid w:val="00454029"/>
    <w:rsid w:val="004540F4"/>
    <w:rsid w:val="00454330"/>
    <w:rsid w:val="00454780"/>
    <w:rsid w:val="00454E96"/>
    <w:rsid w:val="00454EC7"/>
    <w:rsid w:val="0045532C"/>
    <w:rsid w:val="00455AD1"/>
    <w:rsid w:val="00455C60"/>
    <w:rsid w:val="00456245"/>
    <w:rsid w:val="004563D4"/>
    <w:rsid w:val="00456BB0"/>
    <w:rsid w:val="00456E58"/>
    <w:rsid w:val="00456F4C"/>
    <w:rsid w:val="004575A2"/>
    <w:rsid w:val="004575F5"/>
    <w:rsid w:val="00457661"/>
    <w:rsid w:val="00457758"/>
    <w:rsid w:val="00457F2A"/>
    <w:rsid w:val="00460099"/>
    <w:rsid w:val="004604F7"/>
    <w:rsid w:val="0046054D"/>
    <w:rsid w:val="00460A2F"/>
    <w:rsid w:val="00460C3F"/>
    <w:rsid w:val="00460D6C"/>
    <w:rsid w:val="00460E9E"/>
    <w:rsid w:val="0046108F"/>
    <w:rsid w:val="004616A1"/>
    <w:rsid w:val="00461839"/>
    <w:rsid w:val="00461AAF"/>
    <w:rsid w:val="00461C00"/>
    <w:rsid w:val="00461FF5"/>
    <w:rsid w:val="00462065"/>
    <w:rsid w:val="004620B9"/>
    <w:rsid w:val="004623C7"/>
    <w:rsid w:val="004628F7"/>
    <w:rsid w:val="00462D84"/>
    <w:rsid w:val="00463528"/>
    <w:rsid w:val="004635C4"/>
    <w:rsid w:val="00463947"/>
    <w:rsid w:val="00463BB2"/>
    <w:rsid w:val="00463D49"/>
    <w:rsid w:val="00464011"/>
    <w:rsid w:val="004641B8"/>
    <w:rsid w:val="00464230"/>
    <w:rsid w:val="004642E6"/>
    <w:rsid w:val="00464538"/>
    <w:rsid w:val="0046462C"/>
    <w:rsid w:val="0046467F"/>
    <w:rsid w:val="00464798"/>
    <w:rsid w:val="00464D0F"/>
    <w:rsid w:val="00464F84"/>
    <w:rsid w:val="00465123"/>
    <w:rsid w:val="0046531C"/>
    <w:rsid w:val="00465B8B"/>
    <w:rsid w:val="00465C49"/>
    <w:rsid w:val="00465CC5"/>
    <w:rsid w:val="00465D4C"/>
    <w:rsid w:val="00465DA8"/>
    <w:rsid w:val="00465E43"/>
    <w:rsid w:val="004661B3"/>
    <w:rsid w:val="00466D70"/>
    <w:rsid w:val="004670BE"/>
    <w:rsid w:val="004670CB"/>
    <w:rsid w:val="0046794D"/>
    <w:rsid w:val="00467C83"/>
    <w:rsid w:val="004702CF"/>
    <w:rsid w:val="004703CB"/>
    <w:rsid w:val="00470577"/>
    <w:rsid w:val="004709B4"/>
    <w:rsid w:val="00470DE9"/>
    <w:rsid w:val="00470F14"/>
    <w:rsid w:val="00470F64"/>
    <w:rsid w:val="00471065"/>
    <w:rsid w:val="004710DE"/>
    <w:rsid w:val="00471229"/>
    <w:rsid w:val="0047130A"/>
    <w:rsid w:val="00471684"/>
    <w:rsid w:val="0047188E"/>
    <w:rsid w:val="00471AE6"/>
    <w:rsid w:val="00471BB4"/>
    <w:rsid w:val="00471DA1"/>
    <w:rsid w:val="00471F44"/>
    <w:rsid w:val="0047215F"/>
    <w:rsid w:val="00472236"/>
    <w:rsid w:val="004725E9"/>
    <w:rsid w:val="004725FF"/>
    <w:rsid w:val="00472949"/>
    <w:rsid w:val="0047318D"/>
    <w:rsid w:val="0047339A"/>
    <w:rsid w:val="004736BC"/>
    <w:rsid w:val="004737AB"/>
    <w:rsid w:val="00473893"/>
    <w:rsid w:val="004738CF"/>
    <w:rsid w:val="00473A32"/>
    <w:rsid w:val="00473B10"/>
    <w:rsid w:val="00473EFC"/>
    <w:rsid w:val="00474214"/>
    <w:rsid w:val="00474387"/>
    <w:rsid w:val="0047443A"/>
    <w:rsid w:val="00474475"/>
    <w:rsid w:val="00474561"/>
    <w:rsid w:val="0047459A"/>
    <w:rsid w:val="00474B83"/>
    <w:rsid w:val="00474D89"/>
    <w:rsid w:val="00474FE9"/>
    <w:rsid w:val="004751A2"/>
    <w:rsid w:val="00475332"/>
    <w:rsid w:val="00475836"/>
    <w:rsid w:val="004758F3"/>
    <w:rsid w:val="00475965"/>
    <w:rsid w:val="00475B1D"/>
    <w:rsid w:val="004760CD"/>
    <w:rsid w:val="004760EB"/>
    <w:rsid w:val="00476196"/>
    <w:rsid w:val="00477602"/>
    <w:rsid w:val="004776A8"/>
    <w:rsid w:val="00477914"/>
    <w:rsid w:val="00477AE9"/>
    <w:rsid w:val="00477B78"/>
    <w:rsid w:val="00477CE4"/>
    <w:rsid w:val="00477E24"/>
    <w:rsid w:val="00477FE3"/>
    <w:rsid w:val="00480264"/>
    <w:rsid w:val="004803E1"/>
    <w:rsid w:val="00480C9E"/>
    <w:rsid w:val="00480CE4"/>
    <w:rsid w:val="00480E56"/>
    <w:rsid w:val="00480E91"/>
    <w:rsid w:val="00480EF7"/>
    <w:rsid w:val="00481046"/>
    <w:rsid w:val="004812B6"/>
    <w:rsid w:val="00481563"/>
    <w:rsid w:val="004816D4"/>
    <w:rsid w:val="0048182C"/>
    <w:rsid w:val="00482054"/>
    <w:rsid w:val="004820C8"/>
    <w:rsid w:val="0048258E"/>
    <w:rsid w:val="0048276E"/>
    <w:rsid w:val="0048287B"/>
    <w:rsid w:val="00482917"/>
    <w:rsid w:val="00482C1D"/>
    <w:rsid w:val="004834CD"/>
    <w:rsid w:val="004834EE"/>
    <w:rsid w:val="0048368E"/>
    <w:rsid w:val="00483ABE"/>
    <w:rsid w:val="00483EDD"/>
    <w:rsid w:val="00483FD2"/>
    <w:rsid w:val="0048417A"/>
    <w:rsid w:val="00484309"/>
    <w:rsid w:val="00484455"/>
    <w:rsid w:val="004847A9"/>
    <w:rsid w:val="004847AB"/>
    <w:rsid w:val="00484DB5"/>
    <w:rsid w:val="00484EA7"/>
    <w:rsid w:val="0048518B"/>
    <w:rsid w:val="0048571E"/>
    <w:rsid w:val="00485981"/>
    <w:rsid w:val="00485A70"/>
    <w:rsid w:val="00485D8A"/>
    <w:rsid w:val="00486378"/>
    <w:rsid w:val="004864F4"/>
    <w:rsid w:val="0048651B"/>
    <w:rsid w:val="00486668"/>
    <w:rsid w:val="004866ED"/>
    <w:rsid w:val="00486BB0"/>
    <w:rsid w:val="00486C2C"/>
    <w:rsid w:val="00486D53"/>
    <w:rsid w:val="00487232"/>
    <w:rsid w:val="004872B0"/>
    <w:rsid w:val="004872C9"/>
    <w:rsid w:val="00487614"/>
    <w:rsid w:val="0048793F"/>
    <w:rsid w:val="00487BB0"/>
    <w:rsid w:val="00487C0C"/>
    <w:rsid w:val="00487C54"/>
    <w:rsid w:val="00490498"/>
    <w:rsid w:val="004904C1"/>
    <w:rsid w:val="004907A6"/>
    <w:rsid w:val="00490902"/>
    <w:rsid w:val="00490E43"/>
    <w:rsid w:val="00490E7C"/>
    <w:rsid w:val="00491044"/>
    <w:rsid w:val="00491256"/>
    <w:rsid w:val="004914C6"/>
    <w:rsid w:val="004917D7"/>
    <w:rsid w:val="00491A92"/>
    <w:rsid w:val="00491D62"/>
    <w:rsid w:val="00491EAA"/>
    <w:rsid w:val="00491F0B"/>
    <w:rsid w:val="00491FFC"/>
    <w:rsid w:val="0049201B"/>
    <w:rsid w:val="00492172"/>
    <w:rsid w:val="004925DB"/>
    <w:rsid w:val="004926F8"/>
    <w:rsid w:val="004926FC"/>
    <w:rsid w:val="00492D03"/>
    <w:rsid w:val="00492F81"/>
    <w:rsid w:val="00493562"/>
    <w:rsid w:val="004935EC"/>
    <w:rsid w:val="00493794"/>
    <w:rsid w:val="00493C50"/>
    <w:rsid w:val="00493CE8"/>
    <w:rsid w:val="00493D6F"/>
    <w:rsid w:val="00493EA5"/>
    <w:rsid w:val="00493EC4"/>
    <w:rsid w:val="00494020"/>
    <w:rsid w:val="004942C7"/>
    <w:rsid w:val="00494352"/>
    <w:rsid w:val="004945A9"/>
    <w:rsid w:val="00494693"/>
    <w:rsid w:val="00494973"/>
    <w:rsid w:val="004950B5"/>
    <w:rsid w:val="00495352"/>
    <w:rsid w:val="00495414"/>
    <w:rsid w:val="00495678"/>
    <w:rsid w:val="00496077"/>
    <w:rsid w:val="0049672C"/>
    <w:rsid w:val="004967AB"/>
    <w:rsid w:val="004967B2"/>
    <w:rsid w:val="004967F5"/>
    <w:rsid w:val="00496A1E"/>
    <w:rsid w:val="00496B83"/>
    <w:rsid w:val="00496EC8"/>
    <w:rsid w:val="00497374"/>
    <w:rsid w:val="00497494"/>
    <w:rsid w:val="0049778E"/>
    <w:rsid w:val="004978CB"/>
    <w:rsid w:val="004979BA"/>
    <w:rsid w:val="00497ED8"/>
    <w:rsid w:val="004A0773"/>
    <w:rsid w:val="004A0BE4"/>
    <w:rsid w:val="004A0CD2"/>
    <w:rsid w:val="004A156B"/>
    <w:rsid w:val="004A174A"/>
    <w:rsid w:val="004A190F"/>
    <w:rsid w:val="004A1B36"/>
    <w:rsid w:val="004A1B52"/>
    <w:rsid w:val="004A1F69"/>
    <w:rsid w:val="004A21C1"/>
    <w:rsid w:val="004A2BF4"/>
    <w:rsid w:val="004A2CCD"/>
    <w:rsid w:val="004A2D53"/>
    <w:rsid w:val="004A31DF"/>
    <w:rsid w:val="004A33AE"/>
    <w:rsid w:val="004A33C1"/>
    <w:rsid w:val="004A36B9"/>
    <w:rsid w:val="004A3A07"/>
    <w:rsid w:val="004A3C24"/>
    <w:rsid w:val="004A44FE"/>
    <w:rsid w:val="004A4BD4"/>
    <w:rsid w:val="004A5690"/>
    <w:rsid w:val="004A578F"/>
    <w:rsid w:val="004A5838"/>
    <w:rsid w:val="004A5E67"/>
    <w:rsid w:val="004A6194"/>
    <w:rsid w:val="004A62B6"/>
    <w:rsid w:val="004A6941"/>
    <w:rsid w:val="004A6C0F"/>
    <w:rsid w:val="004A6C19"/>
    <w:rsid w:val="004A6C69"/>
    <w:rsid w:val="004A6D5B"/>
    <w:rsid w:val="004A716B"/>
    <w:rsid w:val="004A734C"/>
    <w:rsid w:val="004A753A"/>
    <w:rsid w:val="004A77CD"/>
    <w:rsid w:val="004A7800"/>
    <w:rsid w:val="004A7DC8"/>
    <w:rsid w:val="004A7E56"/>
    <w:rsid w:val="004A7EF9"/>
    <w:rsid w:val="004B00F2"/>
    <w:rsid w:val="004B00FC"/>
    <w:rsid w:val="004B0222"/>
    <w:rsid w:val="004B055D"/>
    <w:rsid w:val="004B07DA"/>
    <w:rsid w:val="004B086A"/>
    <w:rsid w:val="004B0B0B"/>
    <w:rsid w:val="004B0C2F"/>
    <w:rsid w:val="004B0E1F"/>
    <w:rsid w:val="004B11B5"/>
    <w:rsid w:val="004B12E4"/>
    <w:rsid w:val="004B13F7"/>
    <w:rsid w:val="004B17FC"/>
    <w:rsid w:val="004B19D4"/>
    <w:rsid w:val="004B2146"/>
    <w:rsid w:val="004B298F"/>
    <w:rsid w:val="004B2AAA"/>
    <w:rsid w:val="004B33FA"/>
    <w:rsid w:val="004B34B5"/>
    <w:rsid w:val="004B3647"/>
    <w:rsid w:val="004B379A"/>
    <w:rsid w:val="004B3D1E"/>
    <w:rsid w:val="004B3EA5"/>
    <w:rsid w:val="004B4623"/>
    <w:rsid w:val="004B4A69"/>
    <w:rsid w:val="004B5207"/>
    <w:rsid w:val="004B52EE"/>
    <w:rsid w:val="004B5483"/>
    <w:rsid w:val="004B551E"/>
    <w:rsid w:val="004B5BF8"/>
    <w:rsid w:val="004B6340"/>
    <w:rsid w:val="004B6403"/>
    <w:rsid w:val="004B641F"/>
    <w:rsid w:val="004B6AC2"/>
    <w:rsid w:val="004B6FE4"/>
    <w:rsid w:val="004B6FF4"/>
    <w:rsid w:val="004B70BC"/>
    <w:rsid w:val="004B7234"/>
    <w:rsid w:val="004B73F2"/>
    <w:rsid w:val="004B74AF"/>
    <w:rsid w:val="004B77E7"/>
    <w:rsid w:val="004B78C7"/>
    <w:rsid w:val="004B7FC2"/>
    <w:rsid w:val="004C0057"/>
    <w:rsid w:val="004C00BA"/>
    <w:rsid w:val="004C073A"/>
    <w:rsid w:val="004C0EE1"/>
    <w:rsid w:val="004C0EEB"/>
    <w:rsid w:val="004C10C4"/>
    <w:rsid w:val="004C10F8"/>
    <w:rsid w:val="004C1935"/>
    <w:rsid w:val="004C1A3A"/>
    <w:rsid w:val="004C1BE1"/>
    <w:rsid w:val="004C1E43"/>
    <w:rsid w:val="004C1F3F"/>
    <w:rsid w:val="004C1F8A"/>
    <w:rsid w:val="004C2041"/>
    <w:rsid w:val="004C22CA"/>
    <w:rsid w:val="004C262D"/>
    <w:rsid w:val="004C272D"/>
    <w:rsid w:val="004C2936"/>
    <w:rsid w:val="004C2C4E"/>
    <w:rsid w:val="004C2C9C"/>
    <w:rsid w:val="004C31C7"/>
    <w:rsid w:val="004C3340"/>
    <w:rsid w:val="004C3418"/>
    <w:rsid w:val="004C3590"/>
    <w:rsid w:val="004C3617"/>
    <w:rsid w:val="004C3628"/>
    <w:rsid w:val="004C3CDC"/>
    <w:rsid w:val="004C3FBC"/>
    <w:rsid w:val="004C405E"/>
    <w:rsid w:val="004C43C0"/>
    <w:rsid w:val="004C451A"/>
    <w:rsid w:val="004C4C4F"/>
    <w:rsid w:val="004C4E1C"/>
    <w:rsid w:val="004C52A8"/>
    <w:rsid w:val="004C53F4"/>
    <w:rsid w:val="004C565A"/>
    <w:rsid w:val="004C5872"/>
    <w:rsid w:val="004C5900"/>
    <w:rsid w:val="004C6189"/>
    <w:rsid w:val="004C619B"/>
    <w:rsid w:val="004C6B92"/>
    <w:rsid w:val="004C6C23"/>
    <w:rsid w:val="004C6F70"/>
    <w:rsid w:val="004C710C"/>
    <w:rsid w:val="004C7590"/>
    <w:rsid w:val="004C7647"/>
    <w:rsid w:val="004C7DA5"/>
    <w:rsid w:val="004C7F2E"/>
    <w:rsid w:val="004C7F76"/>
    <w:rsid w:val="004D0521"/>
    <w:rsid w:val="004D056E"/>
    <w:rsid w:val="004D0736"/>
    <w:rsid w:val="004D08DA"/>
    <w:rsid w:val="004D0AA9"/>
    <w:rsid w:val="004D0F90"/>
    <w:rsid w:val="004D0FAB"/>
    <w:rsid w:val="004D1031"/>
    <w:rsid w:val="004D1151"/>
    <w:rsid w:val="004D1214"/>
    <w:rsid w:val="004D15FD"/>
    <w:rsid w:val="004D187B"/>
    <w:rsid w:val="004D187E"/>
    <w:rsid w:val="004D19B1"/>
    <w:rsid w:val="004D1CC1"/>
    <w:rsid w:val="004D1CCA"/>
    <w:rsid w:val="004D1E11"/>
    <w:rsid w:val="004D21F4"/>
    <w:rsid w:val="004D24B0"/>
    <w:rsid w:val="004D2A84"/>
    <w:rsid w:val="004D2C00"/>
    <w:rsid w:val="004D353B"/>
    <w:rsid w:val="004D42A1"/>
    <w:rsid w:val="004D44BE"/>
    <w:rsid w:val="004D4571"/>
    <w:rsid w:val="004D4E80"/>
    <w:rsid w:val="004D4F2E"/>
    <w:rsid w:val="004D53C8"/>
    <w:rsid w:val="004D54E9"/>
    <w:rsid w:val="004D554F"/>
    <w:rsid w:val="004D5711"/>
    <w:rsid w:val="004D591A"/>
    <w:rsid w:val="004D5D10"/>
    <w:rsid w:val="004D5E8C"/>
    <w:rsid w:val="004D641E"/>
    <w:rsid w:val="004D6838"/>
    <w:rsid w:val="004D6B2F"/>
    <w:rsid w:val="004D6CC5"/>
    <w:rsid w:val="004D7258"/>
    <w:rsid w:val="004D76C0"/>
    <w:rsid w:val="004D79D8"/>
    <w:rsid w:val="004D7A61"/>
    <w:rsid w:val="004D7D4C"/>
    <w:rsid w:val="004E02B9"/>
    <w:rsid w:val="004E0465"/>
    <w:rsid w:val="004E0864"/>
    <w:rsid w:val="004E0B7D"/>
    <w:rsid w:val="004E0CF8"/>
    <w:rsid w:val="004E0D65"/>
    <w:rsid w:val="004E0E16"/>
    <w:rsid w:val="004E0EB5"/>
    <w:rsid w:val="004E0F3A"/>
    <w:rsid w:val="004E1296"/>
    <w:rsid w:val="004E13D1"/>
    <w:rsid w:val="004E148C"/>
    <w:rsid w:val="004E15BD"/>
    <w:rsid w:val="004E1668"/>
    <w:rsid w:val="004E1761"/>
    <w:rsid w:val="004E195B"/>
    <w:rsid w:val="004E19A7"/>
    <w:rsid w:val="004E27AF"/>
    <w:rsid w:val="004E2CC8"/>
    <w:rsid w:val="004E2D6A"/>
    <w:rsid w:val="004E2ECF"/>
    <w:rsid w:val="004E2ED9"/>
    <w:rsid w:val="004E2EF0"/>
    <w:rsid w:val="004E30C7"/>
    <w:rsid w:val="004E33D5"/>
    <w:rsid w:val="004E378C"/>
    <w:rsid w:val="004E3832"/>
    <w:rsid w:val="004E389F"/>
    <w:rsid w:val="004E38B3"/>
    <w:rsid w:val="004E3A17"/>
    <w:rsid w:val="004E3AFB"/>
    <w:rsid w:val="004E3D35"/>
    <w:rsid w:val="004E3E2A"/>
    <w:rsid w:val="004E4414"/>
    <w:rsid w:val="004E49AA"/>
    <w:rsid w:val="004E5128"/>
    <w:rsid w:val="004E52B1"/>
    <w:rsid w:val="004E5322"/>
    <w:rsid w:val="004E5A98"/>
    <w:rsid w:val="004E5B57"/>
    <w:rsid w:val="004E5C78"/>
    <w:rsid w:val="004E5D35"/>
    <w:rsid w:val="004E5F90"/>
    <w:rsid w:val="004E6512"/>
    <w:rsid w:val="004E6826"/>
    <w:rsid w:val="004E690A"/>
    <w:rsid w:val="004E7934"/>
    <w:rsid w:val="004E79F4"/>
    <w:rsid w:val="004E7EAE"/>
    <w:rsid w:val="004F04C8"/>
    <w:rsid w:val="004F087F"/>
    <w:rsid w:val="004F1061"/>
    <w:rsid w:val="004F106F"/>
    <w:rsid w:val="004F143F"/>
    <w:rsid w:val="004F16CC"/>
    <w:rsid w:val="004F178A"/>
    <w:rsid w:val="004F18AE"/>
    <w:rsid w:val="004F19E9"/>
    <w:rsid w:val="004F1A98"/>
    <w:rsid w:val="004F1AB8"/>
    <w:rsid w:val="004F1E30"/>
    <w:rsid w:val="004F2358"/>
    <w:rsid w:val="004F260C"/>
    <w:rsid w:val="004F2851"/>
    <w:rsid w:val="004F2C38"/>
    <w:rsid w:val="004F2D7D"/>
    <w:rsid w:val="004F3472"/>
    <w:rsid w:val="004F36A0"/>
    <w:rsid w:val="004F3C1D"/>
    <w:rsid w:val="004F4373"/>
    <w:rsid w:val="004F43DD"/>
    <w:rsid w:val="004F482F"/>
    <w:rsid w:val="004F5086"/>
    <w:rsid w:val="004F5184"/>
    <w:rsid w:val="004F532A"/>
    <w:rsid w:val="004F549C"/>
    <w:rsid w:val="004F549F"/>
    <w:rsid w:val="004F58E0"/>
    <w:rsid w:val="004F59B7"/>
    <w:rsid w:val="004F5A18"/>
    <w:rsid w:val="004F5B2B"/>
    <w:rsid w:val="004F5D4A"/>
    <w:rsid w:val="004F5ECD"/>
    <w:rsid w:val="004F613D"/>
    <w:rsid w:val="004F6273"/>
    <w:rsid w:val="004F64AE"/>
    <w:rsid w:val="004F6507"/>
    <w:rsid w:val="004F66B0"/>
    <w:rsid w:val="004F6821"/>
    <w:rsid w:val="004F69AC"/>
    <w:rsid w:val="004F6AA8"/>
    <w:rsid w:val="004F6B57"/>
    <w:rsid w:val="004F6D83"/>
    <w:rsid w:val="004F6DC3"/>
    <w:rsid w:val="004F7359"/>
    <w:rsid w:val="004F736F"/>
    <w:rsid w:val="004F7438"/>
    <w:rsid w:val="004F7A53"/>
    <w:rsid w:val="004F7BC0"/>
    <w:rsid w:val="005001AA"/>
    <w:rsid w:val="00500335"/>
    <w:rsid w:val="00500458"/>
    <w:rsid w:val="00500966"/>
    <w:rsid w:val="00500BB1"/>
    <w:rsid w:val="00500FE7"/>
    <w:rsid w:val="0050103D"/>
    <w:rsid w:val="00501550"/>
    <w:rsid w:val="00501841"/>
    <w:rsid w:val="00501C29"/>
    <w:rsid w:val="00501F6D"/>
    <w:rsid w:val="00502607"/>
    <w:rsid w:val="00502E3C"/>
    <w:rsid w:val="00503053"/>
    <w:rsid w:val="00503367"/>
    <w:rsid w:val="0050396A"/>
    <w:rsid w:val="0050407D"/>
    <w:rsid w:val="005043A1"/>
    <w:rsid w:val="0050444D"/>
    <w:rsid w:val="00504A4C"/>
    <w:rsid w:val="00504B3B"/>
    <w:rsid w:val="00504FDB"/>
    <w:rsid w:val="005051D9"/>
    <w:rsid w:val="0050529E"/>
    <w:rsid w:val="005052BB"/>
    <w:rsid w:val="005053AB"/>
    <w:rsid w:val="005055FB"/>
    <w:rsid w:val="00505683"/>
    <w:rsid w:val="00505688"/>
    <w:rsid w:val="0050569A"/>
    <w:rsid w:val="005057C4"/>
    <w:rsid w:val="00505820"/>
    <w:rsid w:val="00505B89"/>
    <w:rsid w:val="00505E1A"/>
    <w:rsid w:val="00506420"/>
    <w:rsid w:val="00506431"/>
    <w:rsid w:val="00506986"/>
    <w:rsid w:val="00506B80"/>
    <w:rsid w:val="00506BD0"/>
    <w:rsid w:val="00506C4F"/>
    <w:rsid w:val="00506C93"/>
    <w:rsid w:val="00506D7A"/>
    <w:rsid w:val="005071C7"/>
    <w:rsid w:val="00507268"/>
    <w:rsid w:val="00507363"/>
    <w:rsid w:val="00507759"/>
    <w:rsid w:val="00507776"/>
    <w:rsid w:val="0050777B"/>
    <w:rsid w:val="00510085"/>
    <w:rsid w:val="005102C4"/>
    <w:rsid w:val="005106DC"/>
    <w:rsid w:val="005115A5"/>
    <w:rsid w:val="005116E5"/>
    <w:rsid w:val="00511AF0"/>
    <w:rsid w:val="00511C3A"/>
    <w:rsid w:val="00512180"/>
    <w:rsid w:val="005127FF"/>
    <w:rsid w:val="00512C1E"/>
    <w:rsid w:val="00512E3F"/>
    <w:rsid w:val="00512F2E"/>
    <w:rsid w:val="005130BE"/>
    <w:rsid w:val="0051327E"/>
    <w:rsid w:val="00513575"/>
    <w:rsid w:val="00513BAF"/>
    <w:rsid w:val="00513D3A"/>
    <w:rsid w:val="00513E61"/>
    <w:rsid w:val="00513E8E"/>
    <w:rsid w:val="00513EB8"/>
    <w:rsid w:val="005141EB"/>
    <w:rsid w:val="00514876"/>
    <w:rsid w:val="00514B67"/>
    <w:rsid w:val="0051544B"/>
    <w:rsid w:val="00515471"/>
    <w:rsid w:val="0051550F"/>
    <w:rsid w:val="005157BE"/>
    <w:rsid w:val="00515924"/>
    <w:rsid w:val="00515E7B"/>
    <w:rsid w:val="00515F83"/>
    <w:rsid w:val="00515F92"/>
    <w:rsid w:val="0051604D"/>
    <w:rsid w:val="00516113"/>
    <w:rsid w:val="00517025"/>
    <w:rsid w:val="00517096"/>
    <w:rsid w:val="00517572"/>
    <w:rsid w:val="00517C0D"/>
    <w:rsid w:val="00517D68"/>
    <w:rsid w:val="00517E06"/>
    <w:rsid w:val="00517E2C"/>
    <w:rsid w:val="005201CC"/>
    <w:rsid w:val="00520441"/>
    <w:rsid w:val="005204DA"/>
    <w:rsid w:val="00520BD7"/>
    <w:rsid w:val="00520C90"/>
    <w:rsid w:val="00521082"/>
    <w:rsid w:val="0052117B"/>
    <w:rsid w:val="005211F7"/>
    <w:rsid w:val="005215A7"/>
    <w:rsid w:val="00521603"/>
    <w:rsid w:val="00521639"/>
    <w:rsid w:val="005216A9"/>
    <w:rsid w:val="00521833"/>
    <w:rsid w:val="005219B3"/>
    <w:rsid w:val="00521A1D"/>
    <w:rsid w:val="00521CAB"/>
    <w:rsid w:val="005222E3"/>
    <w:rsid w:val="00522617"/>
    <w:rsid w:val="00522AAC"/>
    <w:rsid w:val="005230BD"/>
    <w:rsid w:val="005235A0"/>
    <w:rsid w:val="0052384F"/>
    <w:rsid w:val="00523B99"/>
    <w:rsid w:val="00523F55"/>
    <w:rsid w:val="00524225"/>
    <w:rsid w:val="00524739"/>
    <w:rsid w:val="00524BA9"/>
    <w:rsid w:val="00525070"/>
    <w:rsid w:val="00525207"/>
    <w:rsid w:val="00525725"/>
    <w:rsid w:val="005258F7"/>
    <w:rsid w:val="0052598D"/>
    <w:rsid w:val="00525B8C"/>
    <w:rsid w:val="00525EED"/>
    <w:rsid w:val="00526096"/>
    <w:rsid w:val="005261CD"/>
    <w:rsid w:val="005262B5"/>
    <w:rsid w:val="00526581"/>
    <w:rsid w:val="00526991"/>
    <w:rsid w:val="00526BF1"/>
    <w:rsid w:val="00526F0E"/>
    <w:rsid w:val="005272B5"/>
    <w:rsid w:val="00527369"/>
    <w:rsid w:val="00527756"/>
    <w:rsid w:val="0052782E"/>
    <w:rsid w:val="00527AEE"/>
    <w:rsid w:val="00530152"/>
    <w:rsid w:val="0053026B"/>
    <w:rsid w:val="0053074E"/>
    <w:rsid w:val="0053091D"/>
    <w:rsid w:val="00531423"/>
    <w:rsid w:val="00531A05"/>
    <w:rsid w:val="00531DBF"/>
    <w:rsid w:val="00532006"/>
    <w:rsid w:val="00532306"/>
    <w:rsid w:val="005327BD"/>
    <w:rsid w:val="00532A64"/>
    <w:rsid w:val="00532E3E"/>
    <w:rsid w:val="005330D6"/>
    <w:rsid w:val="00533381"/>
    <w:rsid w:val="005333A9"/>
    <w:rsid w:val="00533BBE"/>
    <w:rsid w:val="00533BBF"/>
    <w:rsid w:val="00533C4B"/>
    <w:rsid w:val="00533FC0"/>
    <w:rsid w:val="005344C5"/>
    <w:rsid w:val="00534B84"/>
    <w:rsid w:val="00534BC4"/>
    <w:rsid w:val="00534D71"/>
    <w:rsid w:val="00534FB3"/>
    <w:rsid w:val="00534FF6"/>
    <w:rsid w:val="00535146"/>
    <w:rsid w:val="0053514C"/>
    <w:rsid w:val="005351CA"/>
    <w:rsid w:val="005351F2"/>
    <w:rsid w:val="0053598E"/>
    <w:rsid w:val="00535E1F"/>
    <w:rsid w:val="00535F0A"/>
    <w:rsid w:val="005365D0"/>
    <w:rsid w:val="005366FF"/>
    <w:rsid w:val="00536A44"/>
    <w:rsid w:val="00536CBA"/>
    <w:rsid w:val="00536FE6"/>
    <w:rsid w:val="00537023"/>
    <w:rsid w:val="00537863"/>
    <w:rsid w:val="00537AF0"/>
    <w:rsid w:val="00537B39"/>
    <w:rsid w:val="00537C03"/>
    <w:rsid w:val="005402BE"/>
    <w:rsid w:val="005403CA"/>
    <w:rsid w:val="00540474"/>
    <w:rsid w:val="005404AA"/>
    <w:rsid w:val="0054080C"/>
    <w:rsid w:val="00540A91"/>
    <w:rsid w:val="00540E2E"/>
    <w:rsid w:val="00541021"/>
    <w:rsid w:val="00541738"/>
    <w:rsid w:val="00541817"/>
    <w:rsid w:val="005418C0"/>
    <w:rsid w:val="00541C0E"/>
    <w:rsid w:val="00541D5B"/>
    <w:rsid w:val="00541ED0"/>
    <w:rsid w:val="00542485"/>
    <w:rsid w:val="005424AF"/>
    <w:rsid w:val="005427D1"/>
    <w:rsid w:val="00542BDE"/>
    <w:rsid w:val="00542C36"/>
    <w:rsid w:val="0054320A"/>
    <w:rsid w:val="005433DC"/>
    <w:rsid w:val="00543426"/>
    <w:rsid w:val="005434F0"/>
    <w:rsid w:val="00543A2A"/>
    <w:rsid w:val="00543E4E"/>
    <w:rsid w:val="005442DF"/>
    <w:rsid w:val="005446B4"/>
    <w:rsid w:val="0054471A"/>
    <w:rsid w:val="0054475B"/>
    <w:rsid w:val="005448D6"/>
    <w:rsid w:val="005449E5"/>
    <w:rsid w:val="00544B62"/>
    <w:rsid w:val="00544C6B"/>
    <w:rsid w:val="00545064"/>
    <w:rsid w:val="00545196"/>
    <w:rsid w:val="005453F7"/>
    <w:rsid w:val="00545830"/>
    <w:rsid w:val="00545A68"/>
    <w:rsid w:val="00545AE3"/>
    <w:rsid w:val="005461D9"/>
    <w:rsid w:val="0054653D"/>
    <w:rsid w:val="00546649"/>
    <w:rsid w:val="0054676B"/>
    <w:rsid w:val="00547801"/>
    <w:rsid w:val="0054783E"/>
    <w:rsid w:val="0054786A"/>
    <w:rsid w:val="00547F02"/>
    <w:rsid w:val="0055005E"/>
    <w:rsid w:val="0055103C"/>
    <w:rsid w:val="00551567"/>
    <w:rsid w:val="00551725"/>
    <w:rsid w:val="00551781"/>
    <w:rsid w:val="00552032"/>
    <w:rsid w:val="0055204C"/>
    <w:rsid w:val="00552323"/>
    <w:rsid w:val="005524F8"/>
    <w:rsid w:val="005525C5"/>
    <w:rsid w:val="0055299A"/>
    <w:rsid w:val="00552A84"/>
    <w:rsid w:val="00552A99"/>
    <w:rsid w:val="00552FFF"/>
    <w:rsid w:val="0055307C"/>
    <w:rsid w:val="00553236"/>
    <w:rsid w:val="005532C1"/>
    <w:rsid w:val="00553594"/>
    <w:rsid w:val="00553ABB"/>
    <w:rsid w:val="00553C56"/>
    <w:rsid w:val="00553C9E"/>
    <w:rsid w:val="00553EE0"/>
    <w:rsid w:val="00554013"/>
    <w:rsid w:val="005541D0"/>
    <w:rsid w:val="00554436"/>
    <w:rsid w:val="00554F93"/>
    <w:rsid w:val="00555055"/>
    <w:rsid w:val="00555297"/>
    <w:rsid w:val="005557FB"/>
    <w:rsid w:val="005559C2"/>
    <w:rsid w:val="00555B63"/>
    <w:rsid w:val="00555C01"/>
    <w:rsid w:val="00555C56"/>
    <w:rsid w:val="005560BD"/>
    <w:rsid w:val="005560FD"/>
    <w:rsid w:val="00556428"/>
    <w:rsid w:val="005564B4"/>
    <w:rsid w:val="005568FC"/>
    <w:rsid w:val="005569CA"/>
    <w:rsid w:val="00556DE2"/>
    <w:rsid w:val="00556E17"/>
    <w:rsid w:val="005575F2"/>
    <w:rsid w:val="00557674"/>
    <w:rsid w:val="0055784F"/>
    <w:rsid w:val="00557C06"/>
    <w:rsid w:val="00557F00"/>
    <w:rsid w:val="00560243"/>
    <w:rsid w:val="0056065E"/>
    <w:rsid w:val="00560A16"/>
    <w:rsid w:val="00560D8B"/>
    <w:rsid w:val="00560F06"/>
    <w:rsid w:val="0056106E"/>
    <w:rsid w:val="0056109B"/>
    <w:rsid w:val="005613AD"/>
    <w:rsid w:val="00561771"/>
    <w:rsid w:val="005626FF"/>
    <w:rsid w:val="005627FB"/>
    <w:rsid w:val="00562CC1"/>
    <w:rsid w:val="0056313B"/>
    <w:rsid w:val="00563226"/>
    <w:rsid w:val="005633A1"/>
    <w:rsid w:val="005637C7"/>
    <w:rsid w:val="005637D4"/>
    <w:rsid w:val="00563828"/>
    <w:rsid w:val="005638C6"/>
    <w:rsid w:val="00563A11"/>
    <w:rsid w:val="00563C2C"/>
    <w:rsid w:val="00563C37"/>
    <w:rsid w:val="00563D71"/>
    <w:rsid w:val="00563EDF"/>
    <w:rsid w:val="00564170"/>
    <w:rsid w:val="005642AE"/>
    <w:rsid w:val="00564584"/>
    <w:rsid w:val="00564778"/>
    <w:rsid w:val="00564865"/>
    <w:rsid w:val="00564A98"/>
    <w:rsid w:val="00564B3B"/>
    <w:rsid w:val="005654DA"/>
    <w:rsid w:val="00565659"/>
    <w:rsid w:val="00565730"/>
    <w:rsid w:val="00565C1A"/>
    <w:rsid w:val="00565C2D"/>
    <w:rsid w:val="00566280"/>
    <w:rsid w:val="00567074"/>
    <w:rsid w:val="005672A7"/>
    <w:rsid w:val="00567392"/>
    <w:rsid w:val="00567451"/>
    <w:rsid w:val="00567454"/>
    <w:rsid w:val="00567ACA"/>
    <w:rsid w:val="00567B15"/>
    <w:rsid w:val="00567CFB"/>
    <w:rsid w:val="00567EBF"/>
    <w:rsid w:val="005700DD"/>
    <w:rsid w:val="0057031C"/>
    <w:rsid w:val="00570732"/>
    <w:rsid w:val="00570CC1"/>
    <w:rsid w:val="00570F15"/>
    <w:rsid w:val="00571091"/>
    <w:rsid w:val="00571133"/>
    <w:rsid w:val="00571280"/>
    <w:rsid w:val="0057134C"/>
    <w:rsid w:val="005715F2"/>
    <w:rsid w:val="00571659"/>
    <w:rsid w:val="005718C7"/>
    <w:rsid w:val="00571BD2"/>
    <w:rsid w:val="00571E8D"/>
    <w:rsid w:val="00572463"/>
    <w:rsid w:val="00572477"/>
    <w:rsid w:val="005727BB"/>
    <w:rsid w:val="00572CBA"/>
    <w:rsid w:val="0057309D"/>
    <w:rsid w:val="00573497"/>
    <w:rsid w:val="00573579"/>
    <w:rsid w:val="005737AC"/>
    <w:rsid w:val="00573DB9"/>
    <w:rsid w:val="00573E6E"/>
    <w:rsid w:val="0057409C"/>
    <w:rsid w:val="00574166"/>
    <w:rsid w:val="0057444F"/>
    <w:rsid w:val="0057458A"/>
    <w:rsid w:val="00574775"/>
    <w:rsid w:val="00574970"/>
    <w:rsid w:val="00574A62"/>
    <w:rsid w:val="00574BBB"/>
    <w:rsid w:val="005750AD"/>
    <w:rsid w:val="00575C83"/>
    <w:rsid w:val="00576157"/>
    <w:rsid w:val="005762C0"/>
    <w:rsid w:val="005762F0"/>
    <w:rsid w:val="0057650F"/>
    <w:rsid w:val="00577111"/>
    <w:rsid w:val="00577184"/>
    <w:rsid w:val="00577521"/>
    <w:rsid w:val="005775E4"/>
    <w:rsid w:val="0057774B"/>
    <w:rsid w:val="00577762"/>
    <w:rsid w:val="00577AA0"/>
    <w:rsid w:val="00577B9C"/>
    <w:rsid w:val="00577CAF"/>
    <w:rsid w:val="00580392"/>
    <w:rsid w:val="005803D3"/>
    <w:rsid w:val="0058072B"/>
    <w:rsid w:val="0058090D"/>
    <w:rsid w:val="00580C9B"/>
    <w:rsid w:val="00581315"/>
    <w:rsid w:val="005813ED"/>
    <w:rsid w:val="005813F8"/>
    <w:rsid w:val="00581B60"/>
    <w:rsid w:val="00582372"/>
    <w:rsid w:val="005826FF"/>
    <w:rsid w:val="00582976"/>
    <w:rsid w:val="00582E20"/>
    <w:rsid w:val="00582F7D"/>
    <w:rsid w:val="00583A4A"/>
    <w:rsid w:val="00583ED4"/>
    <w:rsid w:val="00584060"/>
    <w:rsid w:val="00584A88"/>
    <w:rsid w:val="00584B42"/>
    <w:rsid w:val="00584BBA"/>
    <w:rsid w:val="00584CF5"/>
    <w:rsid w:val="00584D8C"/>
    <w:rsid w:val="00584E0A"/>
    <w:rsid w:val="00584E0E"/>
    <w:rsid w:val="00584E13"/>
    <w:rsid w:val="00585202"/>
    <w:rsid w:val="00585295"/>
    <w:rsid w:val="00585986"/>
    <w:rsid w:val="00585D0F"/>
    <w:rsid w:val="00585E44"/>
    <w:rsid w:val="00585F55"/>
    <w:rsid w:val="00585F71"/>
    <w:rsid w:val="005860F5"/>
    <w:rsid w:val="0058612F"/>
    <w:rsid w:val="005862A8"/>
    <w:rsid w:val="005862CD"/>
    <w:rsid w:val="005863AA"/>
    <w:rsid w:val="005867E8"/>
    <w:rsid w:val="00586996"/>
    <w:rsid w:val="00586B93"/>
    <w:rsid w:val="00587539"/>
    <w:rsid w:val="0058773D"/>
    <w:rsid w:val="00587A9F"/>
    <w:rsid w:val="00587C31"/>
    <w:rsid w:val="00587CE8"/>
    <w:rsid w:val="00587E21"/>
    <w:rsid w:val="00590031"/>
    <w:rsid w:val="005903ED"/>
    <w:rsid w:val="00590513"/>
    <w:rsid w:val="00590610"/>
    <w:rsid w:val="0059064A"/>
    <w:rsid w:val="00590650"/>
    <w:rsid w:val="00590734"/>
    <w:rsid w:val="00590809"/>
    <w:rsid w:val="005908C9"/>
    <w:rsid w:val="005909E2"/>
    <w:rsid w:val="00590B9F"/>
    <w:rsid w:val="00590D89"/>
    <w:rsid w:val="00590EAD"/>
    <w:rsid w:val="00590EDE"/>
    <w:rsid w:val="005912B9"/>
    <w:rsid w:val="005916FD"/>
    <w:rsid w:val="005918FC"/>
    <w:rsid w:val="00591A99"/>
    <w:rsid w:val="00591C7B"/>
    <w:rsid w:val="00591D7B"/>
    <w:rsid w:val="00591FCA"/>
    <w:rsid w:val="00592068"/>
    <w:rsid w:val="00592191"/>
    <w:rsid w:val="005923F1"/>
    <w:rsid w:val="005927F2"/>
    <w:rsid w:val="0059298E"/>
    <w:rsid w:val="005929B7"/>
    <w:rsid w:val="00592C80"/>
    <w:rsid w:val="00592CE3"/>
    <w:rsid w:val="005933CB"/>
    <w:rsid w:val="005933ED"/>
    <w:rsid w:val="005935BC"/>
    <w:rsid w:val="0059367E"/>
    <w:rsid w:val="00593863"/>
    <w:rsid w:val="005938A6"/>
    <w:rsid w:val="00593A16"/>
    <w:rsid w:val="00593AE3"/>
    <w:rsid w:val="00593FD7"/>
    <w:rsid w:val="00594090"/>
    <w:rsid w:val="00594177"/>
    <w:rsid w:val="005943DA"/>
    <w:rsid w:val="005946AC"/>
    <w:rsid w:val="005946F9"/>
    <w:rsid w:val="00594784"/>
    <w:rsid w:val="00594A7F"/>
    <w:rsid w:val="00594C71"/>
    <w:rsid w:val="0059534D"/>
    <w:rsid w:val="00595416"/>
    <w:rsid w:val="005958E4"/>
    <w:rsid w:val="00595C46"/>
    <w:rsid w:val="00595F15"/>
    <w:rsid w:val="0059616C"/>
    <w:rsid w:val="005965B1"/>
    <w:rsid w:val="0059662B"/>
    <w:rsid w:val="00596853"/>
    <w:rsid w:val="005968B8"/>
    <w:rsid w:val="00596A6C"/>
    <w:rsid w:val="00596B17"/>
    <w:rsid w:val="00596B3B"/>
    <w:rsid w:val="0059704E"/>
    <w:rsid w:val="00597131"/>
    <w:rsid w:val="00597181"/>
    <w:rsid w:val="0059749E"/>
    <w:rsid w:val="00597549"/>
    <w:rsid w:val="0059767A"/>
    <w:rsid w:val="005978F8"/>
    <w:rsid w:val="005979F8"/>
    <w:rsid w:val="00597B5E"/>
    <w:rsid w:val="00597ECB"/>
    <w:rsid w:val="00597F7B"/>
    <w:rsid w:val="005A040E"/>
    <w:rsid w:val="005A0828"/>
    <w:rsid w:val="005A0ACA"/>
    <w:rsid w:val="005A0B62"/>
    <w:rsid w:val="005A117F"/>
    <w:rsid w:val="005A13E1"/>
    <w:rsid w:val="005A1430"/>
    <w:rsid w:val="005A1451"/>
    <w:rsid w:val="005A1585"/>
    <w:rsid w:val="005A1B41"/>
    <w:rsid w:val="005A1BBE"/>
    <w:rsid w:val="005A1BC0"/>
    <w:rsid w:val="005A21FB"/>
    <w:rsid w:val="005A22A6"/>
    <w:rsid w:val="005A2380"/>
    <w:rsid w:val="005A24BC"/>
    <w:rsid w:val="005A28CF"/>
    <w:rsid w:val="005A2B78"/>
    <w:rsid w:val="005A30A3"/>
    <w:rsid w:val="005A3A50"/>
    <w:rsid w:val="005A3E65"/>
    <w:rsid w:val="005A4C66"/>
    <w:rsid w:val="005A533B"/>
    <w:rsid w:val="005A543A"/>
    <w:rsid w:val="005A54D5"/>
    <w:rsid w:val="005A5653"/>
    <w:rsid w:val="005A56AC"/>
    <w:rsid w:val="005A5769"/>
    <w:rsid w:val="005A58A0"/>
    <w:rsid w:val="005A5A47"/>
    <w:rsid w:val="005A606E"/>
    <w:rsid w:val="005A62A0"/>
    <w:rsid w:val="005A6C2D"/>
    <w:rsid w:val="005A709E"/>
    <w:rsid w:val="005A7426"/>
    <w:rsid w:val="005A770C"/>
    <w:rsid w:val="005A7A8C"/>
    <w:rsid w:val="005A7B34"/>
    <w:rsid w:val="005A7D66"/>
    <w:rsid w:val="005A7F79"/>
    <w:rsid w:val="005B06D9"/>
    <w:rsid w:val="005B1187"/>
    <w:rsid w:val="005B11CF"/>
    <w:rsid w:val="005B1451"/>
    <w:rsid w:val="005B1879"/>
    <w:rsid w:val="005B1DFB"/>
    <w:rsid w:val="005B1EE6"/>
    <w:rsid w:val="005B222B"/>
    <w:rsid w:val="005B2365"/>
    <w:rsid w:val="005B2865"/>
    <w:rsid w:val="005B2A4B"/>
    <w:rsid w:val="005B2AA5"/>
    <w:rsid w:val="005B2E90"/>
    <w:rsid w:val="005B2FBB"/>
    <w:rsid w:val="005B2FD5"/>
    <w:rsid w:val="005B2FF5"/>
    <w:rsid w:val="005B3608"/>
    <w:rsid w:val="005B3696"/>
    <w:rsid w:val="005B370C"/>
    <w:rsid w:val="005B392E"/>
    <w:rsid w:val="005B3A6C"/>
    <w:rsid w:val="005B3C2C"/>
    <w:rsid w:val="005B407F"/>
    <w:rsid w:val="005B41D3"/>
    <w:rsid w:val="005B443F"/>
    <w:rsid w:val="005B4E24"/>
    <w:rsid w:val="005B4ED6"/>
    <w:rsid w:val="005B4F61"/>
    <w:rsid w:val="005B4F6A"/>
    <w:rsid w:val="005B5336"/>
    <w:rsid w:val="005B5376"/>
    <w:rsid w:val="005B5415"/>
    <w:rsid w:val="005B5418"/>
    <w:rsid w:val="005B54E9"/>
    <w:rsid w:val="005B55D7"/>
    <w:rsid w:val="005B5772"/>
    <w:rsid w:val="005B57A9"/>
    <w:rsid w:val="005B5C9F"/>
    <w:rsid w:val="005B5F68"/>
    <w:rsid w:val="005B65B9"/>
    <w:rsid w:val="005B65FC"/>
    <w:rsid w:val="005B6652"/>
    <w:rsid w:val="005B6662"/>
    <w:rsid w:val="005B689A"/>
    <w:rsid w:val="005B68F9"/>
    <w:rsid w:val="005B697D"/>
    <w:rsid w:val="005B6A05"/>
    <w:rsid w:val="005B6B58"/>
    <w:rsid w:val="005B6EB1"/>
    <w:rsid w:val="005B71CA"/>
    <w:rsid w:val="005B723B"/>
    <w:rsid w:val="005B7352"/>
    <w:rsid w:val="005B7482"/>
    <w:rsid w:val="005B776E"/>
    <w:rsid w:val="005B7AC5"/>
    <w:rsid w:val="005B7B9A"/>
    <w:rsid w:val="005B7E63"/>
    <w:rsid w:val="005C00AE"/>
    <w:rsid w:val="005C0169"/>
    <w:rsid w:val="005C0292"/>
    <w:rsid w:val="005C0753"/>
    <w:rsid w:val="005C08A1"/>
    <w:rsid w:val="005C097F"/>
    <w:rsid w:val="005C09BC"/>
    <w:rsid w:val="005C0A5A"/>
    <w:rsid w:val="005C0C83"/>
    <w:rsid w:val="005C0CC8"/>
    <w:rsid w:val="005C0E41"/>
    <w:rsid w:val="005C0E43"/>
    <w:rsid w:val="005C1074"/>
    <w:rsid w:val="005C1191"/>
    <w:rsid w:val="005C12F8"/>
    <w:rsid w:val="005C1580"/>
    <w:rsid w:val="005C1849"/>
    <w:rsid w:val="005C185C"/>
    <w:rsid w:val="005C1A8D"/>
    <w:rsid w:val="005C1B62"/>
    <w:rsid w:val="005C1CB9"/>
    <w:rsid w:val="005C2007"/>
    <w:rsid w:val="005C2210"/>
    <w:rsid w:val="005C22B5"/>
    <w:rsid w:val="005C22D0"/>
    <w:rsid w:val="005C23DA"/>
    <w:rsid w:val="005C255B"/>
    <w:rsid w:val="005C28B0"/>
    <w:rsid w:val="005C2CC6"/>
    <w:rsid w:val="005C30CA"/>
    <w:rsid w:val="005C313E"/>
    <w:rsid w:val="005C327C"/>
    <w:rsid w:val="005C33E8"/>
    <w:rsid w:val="005C3514"/>
    <w:rsid w:val="005C3843"/>
    <w:rsid w:val="005C3894"/>
    <w:rsid w:val="005C410C"/>
    <w:rsid w:val="005C4228"/>
    <w:rsid w:val="005C436D"/>
    <w:rsid w:val="005C44E1"/>
    <w:rsid w:val="005C4768"/>
    <w:rsid w:val="005C4782"/>
    <w:rsid w:val="005C480D"/>
    <w:rsid w:val="005C4A94"/>
    <w:rsid w:val="005C5597"/>
    <w:rsid w:val="005C562A"/>
    <w:rsid w:val="005C576C"/>
    <w:rsid w:val="005C58EA"/>
    <w:rsid w:val="005C5904"/>
    <w:rsid w:val="005C5D02"/>
    <w:rsid w:val="005C6526"/>
    <w:rsid w:val="005C681A"/>
    <w:rsid w:val="005C681E"/>
    <w:rsid w:val="005C6B68"/>
    <w:rsid w:val="005C6D76"/>
    <w:rsid w:val="005C6EA3"/>
    <w:rsid w:val="005C78BB"/>
    <w:rsid w:val="005C7E14"/>
    <w:rsid w:val="005C7EAC"/>
    <w:rsid w:val="005C7F79"/>
    <w:rsid w:val="005C7FA3"/>
    <w:rsid w:val="005D0076"/>
    <w:rsid w:val="005D095C"/>
    <w:rsid w:val="005D0B97"/>
    <w:rsid w:val="005D0CEB"/>
    <w:rsid w:val="005D0E2B"/>
    <w:rsid w:val="005D0FCA"/>
    <w:rsid w:val="005D13AD"/>
    <w:rsid w:val="005D1C2E"/>
    <w:rsid w:val="005D1F60"/>
    <w:rsid w:val="005D20C5"/>
    <w:rsid w:val="005D2183"/>
    <w:rsid w:val="005D2722"/>
    <w:rsid w:val="005D27D7"/>
    <w:rsid w:val="005D2B9D"/>
    <w:rsid w:val="005D2E63"/>
    <w:rsid w:val="005D2F0D"/>
    <w:rsid w:val="005D303A"/>
    <w:rsid w:val="005D3497"/>
    <w:rsid w:val="005D362E"/>
    <w:rsid w:val="005D3646"/>
    <w:rsid w:val="005D3A6F"/>
    <w:rsid w:val="005D3DC5"/>
    <w:rsid w:val="005D3E59"/>
    <w:rsid w:val="005D4108"/>
    <w:rsid w:val="005D4277"/>
    <w:rsid w:val="005D4569"/>
    <w:rsid w:val="005D497D"/>
    <w:rsid w:val="005D4D51"/>
    <w:rsid w:val="005D4E96"/>
    <w:rsid w:val="005D500D"/>
    <w:rsid w:val="005D504E"/>
    <w:rsid w:val="005D52F7"/>
    <w:rsid w:val="005D5385"/>
    <w:rsid w:val="005D5448"/>
    <w:rsid w:val="005D54B6"/>
    <w:rsid w:val="005D5710"/>
    <w:rsid w:val="005D5953"/>
    <w:rsid w:val="005D5957"/>
    <w:rsid w:val="005D5AC6"/>
    <w:rsid w:val="005D6878"/>
    <w:rsid w:val="005D6B0B"/>
    <w:rsid w:val="005D6D95"/>
    <w:rsid w:val="005D6E99"/>
    <w:rsid w:val="005D70AC"/>
    <w:rsid w:val="005D728A"/>
    <w:rsid w:val="005D755C"/>
    <w:rsid w:val="005D792C"/>
    <w:rsid w:val="005D7A22"/>
    <w:rsid w:val="005D7A5B"/>
    <w:rsid w:val="005D7A5C"/>
    <w:rsid w:val="005D7B4D"/>
    <w:rsid w:val="005D7B94"/>
    <w:rsid w:val="005D7D5F"/>
    <w:rsid w:val="005D7DBA"/>
    <w:rsid w:val="005D7DBC"/>
    <w:rsid w:val="005E0269"/>
    <w:rsid w:val="005E0BBA"/>
    <w:rsid w:val="005E0E62"/>
    <w:rsid w:val="005E0E84"/>
    <w:rsid w:val="005E0FC3"/>
    <w:rsid w:val="005E13E7"/>
    <w:rsid w:val="005E1BB2"/>
    <w:rsid w:val="005E1CEB"/>
    <w:rsid w:val="005E1D05"/>
    <w:rsid w:val="005E201B"/>
    <w:rsid w:val="005E283B"/>
    <w:rsid w:val="005E2AAC"/>
    <w:rsid w:val="005E2E5A"/>
    <w:rsid w:val="005E3840"/>
    <w:rsid w:val="005E3AC2"/>
    <w:rsid w:val="005E3B03"/>
    <w:rsid w:val="005E3D29"/>
    <w:rsid w:val="005E3E7C"/>
    <w:rsid w:val="005E436A"/>
    <w:rsid w:val="005E4542"/>
    <w:rsid w:val="005E4905"/>
    <w:rsid w:val="005E4926"/>
    <w:rsid w:val="005E49E4"/>
    <w:rsid w:val="005E4D4E"/>
    <w:rsid w:val="005E4E90"/>
    <w:rsid w:val="005E5366"/>
    <w:rsid w:val="005E542D"/>
    <w:rsid w:val="005E58B8"/>
    <w:rsid w:val="005E5C56"/>
    <w:rsid w:val="005E6149"/>
    <w:rsid w:val="005E616F"/>
    <w:rsid w:val="005E6356"/>
    <w:rsid w:val="005E6424"/>
    <w:rsid w:val="005E6702"/>
    <w:rsid w:val="005E6AE6"/>
    <w:rsid w:val="005E6BA7"/>
    <w:rsid w:val="005E6DD2"/>
    <w:rsid w:val="005E6E00"/>
    <w:rsid w:val="005E6FAC"/>
    <w:rsid w:val="005E72B9"/>
    <w:rsid w:val="005E7402"/>
    <w:rsid w:val="005E75A9"/>
    <w:rsid w:val="005E768B"/>
    <w:rsid w:val="005E78BB"/>
    <w:rsid w:val="005E799C"/>
    <w:rsid w:val="005E7A8C"/>
    <w:rsid w:val="005E7A95"/>
    <w:rsid w:val="005E7CE6"/>
    <w:rsid w:val="005E7E7C"/>
    <w:rsid w:val="005F064E"/>
    <w:rsid w:val="005F090D"/>
    <w:rsid w:val="005F09F0"/>
    <w:rsid w:val="005F0ADF"/>
    <w:rsid w:val="005F1434"/>
    <w:rsid w:val="005F14C1"/>
    <w:rsid w:val="005F15E3"/>
    <w:rsid w:val="005F17FD"/>
    <w:rsid w:val="005F1B07"/>
    <w:rsid w:val="005F1B18"/>
    <w:rsid w:val="005F203A"/>
    <w:rsid w:val="005F248E"/>
    <w:rsid w:val="005F26B2"/>
    <w:rsid w:val="005F270E"/>
    <w:rsid w:val="005F2926"/>
    <w:rsid w:val="005F29D6"/>
    <w:rsid w:val="005F2C21"/>
    <w:rsid w:val="005F2E35"/>
    <w:rsid w:val="005F2FA2"/>
    <w:rsid w:val="005F34DD"/>
    <w:rsid w:val="005F3668"/>
    <w:rsid w:val="005F3AE5"/>
    <w:rsid w:val="005F3C1F"/>
    <w:rsid w:val="005F3D70"/>
    <w:rsid w:val="005F3E0B"/>
    <w:rsid w:val="005F3FA4"/>
    <w:rsid w:val="005F404A"/>
    <w:rsid w:val="005F408E"/>
    <w:rsid w:val="005F41BC"/>
    <w:rsid w:val="005F42E9"/>
    <w:rsid w:val="005F4499"/>
    <w:rsid w:val="005F48A0"/>
    <w:rsid w:val="005F48F8"/>
    <w:rsid w:val="005F4C54"/>
    <w:rsid w:val="005F4CCA"/>
    <w:rsid w:val="005F4EE9"/>
    <w:rsid w:val="005F51C4"/>
    <w:rsid w:val="005F51F5"/>
    <w:rsid w:val="005F524F"/>
    <w:rsid w:val="005F5627"/>
    <w:rsid w:val="005F5785"/>
    <w:rsid w:val="005F59D3"/>
    <w:rsid w:val="005F5CD4"/>
    <w:rsid w:val="005F5D21"/>
    <w:rsid w:val="005F6142"/>
    <w:rsid w:val="005F61A6"/>
    <w:rsid w:val="005F6539"/>
    <w:rsid w:val="005F65F4"/>
    <w:rsid w:val="005F6EB5"/>
    <w:rsid w:val="005F70FD"/>
    <w:rsid w:val="005F7138"/>
    <w:rsid w:val="005F7709"/>
    <w:rsid w:val="005F7896"/>
    <w:rsid w:val="00600A67"/>
    <w:rsid w:val="00600B54"/>
    <w:rsid w:val="00601AD5"/>
    <w:rsid w:val="00601C4D"/>
    <w:rsid w:val="00601D44"/>
    <w:rsid w:val="00601F4D"/>
    <w:rsid w:val="00601FC1"/>
    <w:rsid w:val="00602463"/>
    <w:rsid w:val="00602561"/>
    <w:rsid w:val="00602BA6"/>
    <w:rsid w:val="00602D7C"/>
    <w:rsid w:val="00603082"/>
    <w:rsid w:val="0060328F"/>
    <w:rsid w:val="0060356B"/>
    <w:rsid w:val="00603A7B"/>
    <w:rsid w:val="00603ABF"/>
    <w:rsid w:val="00603BA5"/>
    <w:rsid w:val="00603D6A"/>
    <w:rsid w:val="00604567"/>
    <w:rsid w:val="006046A9"/>
    <w:rsid w:val="00604987"/>
    <w:rsid w:val="00604D9A"/>
    <w:rsid w:val="00604E16"/>
    <w:rsid w:val="00604F2A"/>
    <w:rsid w:val="006051FF"/>
    <w:rsid w:val="0060541D"/>
    <w:rsid w:val="0060594E"/>
    <w:rsid w:val="006059A5"/>
    <w:rsid w:val="00605A5F"/>
    <w:rsid w:val="00605CE1"/>
    <w:rsid w:val="00605DF5"/>
    <w:rsid w:val="00605EC8"/>
    <w:rsid w:val="00605EF4"/>
    <w:rsid w:val="00606237"/>
    <w:rsid w:val="0060721E"/>
    <w:rsid w:val="00607231"/>
    <w:rsid w:val="00607247"/>
    <w:rsid w:val="006072F3"/>
    <w:rsid w:val="0060737C"/>
    <w:rsid w:val="00607663"/>
    <w:rsid w:val="006078CC"/>
    <w:rsid w:val="00607B03"/>
    <w:rsid w:val="00607B86"/>
    <w:rsid w:val="00607C92"/>
    <w:rsid w:val="00607E7E"/>
    <w:rsid w:val="00610050"/>
    <w:rsid w:val="006103C4"/>
    <w:rsid w:val="00610A47"/>
    <w:rsid w:val="00610CC2"/>
    <w:rsid w:val="00610E9F"/>
    <w:rsid w:val="006116D8"/>
    <w:rsid w:val="006116E1"/>
    <w:rsid w:val="0061171C"/>
    <w:rsid w:val="00611970"/>
    <w:rsid w:val="0061197B"/>
    <w:rsid w:val="006119D9"/>
    <w:rsid w:val="006119DE"/>
    <w:rsid w:val="00611D59"/>
    <w:rsid w:val="006124B4"/>
    <w:rsid w:val="00612516"/>
    <w:rsid w:val="0061261F"/>
    <w:rsid w:val="00612778"/>
    <w:rsid w:val="00612BF7"/>
    <w:rsid w:val="00612F53"/>
    <w:rsid w:val="00612FA0"/>
    <w:rsid w:val="006130F7"/>
    <w:rsid w:val="006136FF"/>
    <w:rsid w:val="00613850"/>
    <w:rsid w:val="00613F10"/>
    <w:rsid w:val="00613F37"/>
    <w:rsid w:val="0061403F"/>
    <w:rsid w:val="0061420D"/>
    <w:rsid w:val="00614251"/>
    <w:rsid w:val="00614837"/>
    <w:rsid w:val="00614984"/>
    <w:rsid w:val="00614B74"/>
    <w:rsid w:val="0061569E"/>
    <w:rsid w:val="00615944"/>
    <w:rsid w:val="006159AA"/>
    <w:rsid w:val="00615CA2"/>
    <w:rsid w:val="00616065"/>
    <w:rsid w:val="006161B3"/>
    <w:rsid w:val="006166F2"/>
    <w:rsid w:val="00616A8F"/>
    <w:rsid w:val="00617310"/>
    <w:rsid w:val="0061742B"/>
    <w:rsid w:val="0061761F"/>
    <w:rsid w:val="006176C2"/>
    <w:rsid w:val="00617F3D"/>
    <w:rsid w:val="00617F3E"/>
    <w:rsid w:val="006200C9"/>
    <w:rsid w:val="0062010F"/>
    <w:rsid w:val="0062020A"/>
    <w:rsid w:val="006205FF"/>
    <w:rsid w:val="00620784"/>
    <w:rsid w:val="00620C5E"/>
    <w:rsid w:val="00620F25"/>
    <w:rsid w:val="00621032"/>
    <w:rsid w:val="0062114C"/>
    <w:rsid w:val="00621520"/>
    <w:rsid w:val="00621626"/>
    <w:rsid w:val="00621811"/>
    <w:rsid w:val="006219B5"/>
    <w:rsid w:val="00621D40"/>
    <w:rsid w:val="00621E32"/>
    <w:rsid w:val="006220C6"/>
    <w:rsid w:val="006223C0"/>
    <w:rsid w:val="00622444"/>
    <w:rsid w:val="00622680"/>
    <w:rsid w:val="006229E1"/>
    <w:rsid w:val="00622DAA"/>
    <w:rsid w:val="00622E3F"/>
    <w:rsid w:val="00622E75"/>
    <w:rsid w:val="00623066"/>
    <w:rsid w:val="006231EF"/>
    <w:rsid w:val="006234A9"/>
    <w:rsid w:val="00623660"/>
    <w:rsid w:val="0062367D"/>
    <w:rsid w:val="00623756"/>
    <w:rsid w:val="00624073"/>
    <w:rsid w:val="00624084"/>
    <w:rsid w:val="00624334"/>
    <w:rsid w:val="006243A9"/>
    <w:rsid w:val="00624549"/>
    <w:rsid w:val="006247F2"/>
    <w:rsid w:val="0062482F"/>
    <w:rsid w:val="00624BC6"/>
    <w:rsid w:val="00625368"/>
    <w:rsid w:val="0062546B"/>
    <w:rsid w:val="00625867"/>
    <w:rsid w:val="00626043"/>
    <w:rsid w:val="0062690E"/>
    <w:rsid w:val="0062694F"/>
    <w:rsid w:val="00626B51"/>
    <w:rsid w:val="00626B58"/>
    <w:rsid w:val="00626B71"/>
    <w:rsid w:val="00626C70"/>
    <w:rsid w:val="00626F22"/>
    <w:rsid w:val="00626FF1"/>
    <w:rsid w:val="00627083"/>
    <w:rsid w:val="006270E2"/>
    <w:rsid w:val="00627179"/>
    <w:rsid w:val="006273A5"/>
    <w:rsid w:val="0062768D"/>
    <w:rsid w:val="00627D28"/>
    <w:rsid w:val="00630060"/>
    <w:rsid w:val="0063009A"/>
    <w:rsid w:val="0063012F"/>
    <w:rsid w:val="0063015B"/>
    <w:rsid w:val="006303AC"/>
    <w:rsid w:val="00630989"/>
    <w:rsid w:val="00630CFE"/>
    <w:rsid w:val="00631167"/>
    <w:rsid w:val="00631177"/>
    <w:rsid w:val="006311A4"/>
    <w:rsid w:val="00631B0B"/>
    <w:rsid w:val="00631B9D"/>
    <w:rsid w:val="00631DEC"/>
    <w:rsid w:val="00631EA0"/>
    <w:rsid w:val="006321C8"/>
    <w:rsid w:val="0063242A"/>
    <w:rsid w:val="00632436"/>
    <w:rsid w:val="00632837"/>
    <w:rsid w:val="00632A2B"/>
    <w:rsid w:val="00632A4A"/>
    <w:rsid w:val="00632BE3"/>
    <w:rsid w:val="00633074"/>
    <w:rsid w:val="0063361F"/>
    <w:rsid w:val="006337DA"/>
    <w:rsid w:val="00633B79"/>
    <w:rsid w:val="00633CDF"/>
    <w:rsid w:val="006346B3"/>
    <w:rsid w:val="00634975"/>
    <w:rsid w:val="00634CF7"/>
    <w:rsid w:val="00634D32"/>
    <w:rsid w:val="006350F4"/>
    <w:rsid w:val="00635120"/>
    <w:rsid w:val="00635975"/>
    <w:rsid w:val="006359D9"/>
    <w:rsid w:val="00635C3B"/>
    <w:rsid w:val="00635CD1"/>
    <w:rsid w:val="00635E13"/>
    <w:rsid w:val="00635E82"/>
    <w:rsid w:val="00636823"/>
    <w:rsid w:val="0063686D"/>
    <w:rsid w:val="006368B1"/>
    <w:rsid w:val="00636A3D"/>
    <w:rsid w:val="00637034"/>
    <w:rsid w:val="00637109"/>
    <w:rsid w:val="00637245"/>
    <w:rsid w:val="0063729F"/>
    <w:rsid w:val="00637617"/>
    <w:rsid w:val="0063766A"/>
    <w:rsid w:val="006376E1"/>
    <w:rsid w:val="0063784E"/>
    <w:rsid w:val="006378AD"/>
    <w:rsid w:val="00637C71"/>
    <w:rsid w:val="00637DB5"/>
    <w:rsid w:val="006401DB"/>
    <w:rsid w:val="00640499"/>
    <w:rsid w:val="00640B28"/>
    <w:rsid w:val="00640BD7"/>
    <w:rsid w:val="0064100D"/>
    <w:rsid w:val="006413A3"/>
    <w:rsid w:val="006417AA"/>
    <w:rsid w:val="00641D2E"/>
    <w:rsid w:val="006420AE"/>
    <w:rsid w:val="00642A00"/>
    <w:rsid w:val="00642AB9"/>
    <w:rsid w:val="00642BD7"/>
    <w:rsid w:val="00643198"/>
    <w:rsid w:val="00643800"/>
    <w:rsid w:val="0064399F"/>
    <w:rsid w:val="00643CA9"/>
    <w:rsid w:val="00643E71"/>
    <w:rsid w:val="006440CB"/>
    <w:rsid w:val="00644463"/>
    <w:rsid w:val="00644761"/>
    <w:rsid w:val="00644CBC"/>
    <w:rsid w:val="00644DB9"/>
    <w:rsid w:val="00644DE9"/>
    <w:rsid w:val="006451BD"/>
    <w:rsid w:val="00645481"/>
    <w:rsid w:val="006457F6"/>
    <w:rsid w:val="00645A7D"/>
    <w:rsid w:val="00645DF4"/>
    <w:rsid w:val="00645E3B"/>
    <w:rsid w:val="006462BF"/>
    <w:rsid w:val="006462EC"/>
    <w:rsid w:val="0064630A"/>
    <w:rsid w:val="00646464"/>
    <w:rsid w:val="006465AE"/>
    <w:rsid w:val="0064679C"/>
    <w:rsid w:val="006467AA"/>
    <w:rsid w:val="006467EE"/>
    <w:rsid w:val="00646A9F"/>
    <w:rsid w:val="006473F5"/>
    <w:rsid w:val="00647471"/>
    <w:rsid w:val="006476D3"/>
    <w:rsid w:val="00647724"/>
    <w:rsid w:val="00647A57"/>
    <w:rsid w:val="00647AD4"/>
    <w:rsid w:val="00647B62"/>
    <w:rsid w:val="00647CDB"/>
    <w:rsid w:val="00647D53"/>
    <w:rsid w:val="00647D6D"/>
    <w:rsid w:val="00647DA2"/>
    <w:rsid w:val="00647DED"/>
    <w:rsid w:val="00650083"/>
    <w:rsid w:val="006500F2"/>
    <w:rsid w:val="006502F1"/>
    <w:rsid w:val="0065040D"/>
    <w:rsid w:val="006505DC"/>
    <w:rsid w:val="00650980"/>
    <w:rsid w:val="00650B80"/>
    <w:rsid w:val="00650FAC"/>
    <w:rsid w:val="0065132B"/>
    <w:rsid w:val="006513D1"/>
    <w:rsid w:val="006515B2"/>
    <w:rsid w:val="00651D8B"/>
    <w:rsid w:val="00651FD7"/>
    <w:rsid w:val="0065205D"/>
    <w:rsid w:val="006521A6"/>
    <w:rsid w:val="006522AA"/>
    <w:rsid w:val="00652317"/>
    <w:rsid w:val="00652406"/>
    <w:rsid w:val="006529AC"/>
    <w:rsid w:val="00653207"/>
    <w:rsid w:val="006533B1"/>
    <w:rsid w:val="006538F6"/>
    <w:rsid w:val="006539D7"/>
    <w:rsid w:val="00653A35"/>
    <w:rsid w:val="00653C9E"/>
    <w:rsid w:val="00653CF7"/>
    <w:rsid w:val="00653EC3"/>
    <w:rsid w:val="00654200"/>
    <w:rsid w:val="00654BCC"/>
    <w:rsid w:val="00655039"/>
    <w:rsid w:val="006550F1"/>
    <w:rsid w:val="00655802"/>
    <w:rsid w:val="006558BE"/>
    <w:rsid w:val="00655EEF"/>
    <w:rsid w:val="00655F52"/>
    <w:rsid w:val="00656039"/>
    <w:rsid w:val="0065659F"/>
    <w:rsid w:val="00656603"/>
    <w:rsid w:val="006566E4"/>
    <w:rsid w:val="0065672E"/>
    <w:rsid w:val="00656887"/>
    <w:rsid w:val="0065690D"/>
    <w:rsid w:val="00656CC8"/>
    <w:rsid w:val="00656CCB"/>
    <w:rsid w:val="00657145"/>
    <w:rsid w:val="00657160"/>
    <w:rsid w:val="00657164"/>
    <w:rsid w:val="00657267"/>
    <w:rsid w:val="00657312"/>
    <w:rsid w:val="0065786B"/>
    <w:rsid w:val="00657A29"/>
    <w:rsid w:val="00657BEF"/>
    <w:rsid w:val="00657F0D"/>
    <w:rsid w:val="00657F36"/>
    <w:rsid w:val="006604B6"/>
    <w:rsid w:val="00660665"/>
    <w:rsid w:val="0066084D"/>
    <w:rsid w:val="006609BF"/>
    <w:rsid w:val="00660C77"/>
    <w:rsid w:val="00660D96"/>
    <w:rsid w:val="0066153D"/>
    <w:rsid w:val="00661542"/>
    <w:rsid w:val="00661A75"/>
    <w:rsid w:val="00661B26"/>
    <w:rsid w:val="00661D47"/>
    <w:rsid w:val="00662163"/>
    <w:rsid w:val="006621DA"/>
    <w:rsid w:val="00662253"/>
    <w:rsid w:val="00662514"/>
    <w:rsid w:val="00662610"/>
    <w:rsid w:val="00662706"/>
    <w:rsid w:val="00662790"/>
    <w:rsid w:val="00662FA8"/>
    <w:rsid w:val="006632B5"/>
    <w:rsid w:val="0066354E"/>
    <w:rsid w:val="006639E4"/>
    <w:rsid w:val="00663AF3"/>
    <w:rsid w:val="00663B6B"/>
    <w:rsid w:val="0066490C"/>
    <w:rsid w:val="00664D28"/>
    <w:rsid w:val="00664FD5"/>
    <w:rsid w:val="00665285"/>
    <w:rsid w:val="00665707"/>
    <w:rsid w:val="00665952"/>
    <w:rsid w:val="00665F09"/>
    <w:rsid w:val="006662CA"/>
    <w:rsid w:val="006665D6"/>
    <w:rsid w:val="0066677A"/>
    <w:rsid w:val="00666888"/>
    <w:rsid w:val="00666949"/>
    <w:rsid w:val="00666970"/>
    <w:rsid w:val="00666E49"/>
    <w:rsid w:val="006674DA"/>
    <w:rsid w:val="00667600"/>
    <w:rsid w:val="006677A4"/>
    <w:rsid w:val="00667992"/>
    <w:rsid w:val="006679F0"/>
    <w:rsid w:val="00667EB3"/>
    <w:rsid w:val="0067000B"/>
    <w:rsid w:val="0067003D"/>
    <w:rsid w:val="00670247"/>
    <w:rsid w:val="0067026D"/>
    <w:rsid w:val="006702C7"/>
    <w:rsid w:val="006702FB"/>
    <w:rsid w:val="0067064E"/>
    <w:rsid w:val="006712C5"/>
    <w:rsid w:val="0067152B"/>
    <w:rsid w:val="0067262F"/>
    <w:rsid w:val="0067268D"/>
    <w:rsid w:val="006729B1"/>
    <w:rsid w:val="00672A7F"/>
    <w:rsid w:val="00672B47"/>
    <w:rsid w:val="00672B62"/>
    <w:rsid w:val="00672D97"/>
    <w:rsid w:val="0067352A"/>
    <w:rsid w:val="006736B5"/>
    <w:rsid w:val="0067388B"/>
    <w:rsid w:val="00673A2F"/>
    <w:rsid w:val="00673A7C"/>
    <w:rsid w:val="00673D63"/>
    <w:rsid w:val="00674170"/>
    <w:rsid w:val="006741FB"/>
    <w:rsid w:val="006745C5"/>
    <w:rsid w:val="006747E2"/>
    <w:rsid w:val="006747F4"/>
    <w:rsid w:val="00674897"/>
    <w:rsid w:val="0067491E"/>
    <w:rsid w:val="00674C26"/>
    <w:rsid w:val="00674D3D"/>
    <w:rsid w:val="00674D5A"/>
    <w:rsid w:val="00674F61"/>
    <w:rsid w:val="00674FFC"/>
    <w:rsid w:val="006750C2"/>
    <w:rsid w:val="006753EA"/>
    <w:rsid w:val="00675469"/>
    <w:rsid w:val="00676325"/>
    <w:rsid w:val="006768A4"/>
    <w:rsid w:val="006769AE"/>
    <w:rsid w:val="00676AD8"/>
    <w:rsid w:val="00676B63"/>
    <w:rsid w:val="00676DB8"/>
    <w:rsid w:val="00676E24"/>
    <w:rsid w:val="006772E6"/>
    <w:rsid w:val="0067755B"/>
    <w:rsid w:val="006776B8"/>
    <w:rsid w:val="006779E6"/>
    <w:rsid w:val="00677B29"/>
    <w:rsid w:val="00677C64"/>
    <w:rsid w:val="00677D51"/>
    <w:rsid w:val="006800B3"/>
    <w:rsid w:val="0068028A"/>
    <w:rsid w:val="00680343"/>
    <w:rsid w:val="00680421"/>
    <w:rsid w:val="006807B8"/>
    <w:rsid w:val="006808DA"/>
    <w:rsid w:val="0068091B"/>
    <w:rsid w:val="00680F2B"/>
    <w:rsid w:val="0068106D"/>
    <w:rsid w:val="00681705"/>
    <w:rsid w:val="00681A58"/>
    <w:rsid w:val="00681AED"/>
    <w:rsid w:val="00681F7F"/>
    <w:rsid w:val="00682156"/>
    <w:rsid w:val="00682D95"/>
    <w:rsid w:val="006830C3"/>
    <w:rsid w:val="00683554"/>
    <w:rsid w:val="00683592"/>
    <w:rsid w:val="00683754"/>
    <w:rsid w:val="006837A8"/>
    <w:rsid w:val="0068385B"/>
    <w:rsid w:val="00683876"/>
    <w:rsid w:val="00683B38"/>
    <w:rsid w:val="00683F6B"/>
    <w:rsid w:val="006841EF"/>
    <w:rsid w:val="00684860"/>
    <w:rsid w:val="006849C9"/>
    <w:rsid w:val="00684B46"/>
    <w:rsid w:val="00684C62"/>
    <w:rsid w:val="0068514A"/>
    <w:rsid w:val="0068537C"/>
    <w:rsid w:val="00685509"/>
    <w:rsid w:val="006858EF"/>
    <w:rsid w:val="00685BE0"/>
    <w:rsid w:val="00685EA6"/>
    <w:rsid w:val="0068603E"/>
    <w:rsid w:val="00686120"/>
    <w:rsid w:val="00686379"/>
    <w:rsid w:val="00686B7A"/>
    <w:rsid w:val="00686D84"/>
    <w:rsid w:val="00686D9D"/>
    <w:rsid w:val="006870BF"/>
    <w:rsid w:val="00687238"/>
    <w:rsid w:val="00687565"/>
    <w:rsid w:val="00687B07"/>
    <w:rsid w:val="00687D5F"/>
    <w:rsid w:val="00687F56"/>
    <w:rsid w:val="006900B9"/>
    <w:rsid w:val="00690359"/>
    <w:rsid w:val="0069052E"/>
    <w:rsid w:val="006905AA"/>
    <w:rsid w:val="00690677"/>
    <w:rsid w:val="00690A30"/>
    <w:rsid w:val="00690B6D"/>
    <w:rsid w:val="00690CB8"/>
    <w:rsid w:val="00690FE9"/>
    <w:rsid w:val="006912BE"/>
    <w:rsid w:val="006912EC"/>
    <w:rsid w:val="00691375"/>
    <w:rsid w:val="006913B8"/>
    <w:rsid w:val="0069151B"/>
    <w:rsid w:val="006916EA"/>
    <w:rsid w:val="00691724"/>
    <w:rsid w:val="00691B40"/>
    <w:rsid w:val="00691BC7"/>
    <w:rsid w:val="00692456"/>
    <w:rsid w:val="0069268B"/>
    <w:rsid w:val="006926F2"/>
    <w:rsid w:val="00692BE6"/>
    <w:rsid w:val="00692C14"/>
    <w:rsid w:val="00692EF0"/>
    <w:rsid w:val="00692F26"/>
    <w:rsid w:val="00693500"/>
    <w:rsid w:val="0069360D"/>
    <w:rsid w:val="00693A2A"/>
    <w:rsid w:val="00693C5A"/>
    <w:rsid w:val="00694189"/>
    <w:rsid w:val="00694758"/>
    <w:rsid w:val="006947C2"/>
    <w:rsid w:val="00694876"/>
    <w:rsid w:val="006949E2"/>
    <w:rsid w:val="00694B68"/>
    <w:rsid w:val="00694CC7"/>
    <w:rsid w:val="0069508F"/>
    <w:rsid w:val="006950C0"/>
    <w:rsid w:val="00695698"/>
    <w:rsid w:val="00695887"/>
    <w:rsid w:val="00695891"/>
    <w:rsid w:val="00695A93"/>
    <w:rsid w:val="00695E8F"/>
    <w:rsid w:val="00696009"/>
    <w:rsid w:val="0069608C"/>
    <w:rsid w:val="006961BD"/>
    <w:rsid w:val="006961D2"/>
    <w:rsid w:val="006963B6"/>
    <w:rsid w:val="0069663A"/>
    <w:rsid w:val="00696B22"/>
    <w:rsid w:val="00696E9E"/>
    <w:rsid w:val="00697062"/>
    <w:rsid w:val="006970F5"/>
    <w:rsid w:val="006972D3"/>
    <w:rsid w:val="00697426"/>
    <w:rsid w:val="00697565"/>
    <w:rsid w:val="00697784"/>
    <w:rsid w:val="00697AE2"/>
    <w:rsid w:val="00697E2F"/>
    <w:rsid w:val="006A00A2"/>
    <w:rsid w:val="006A02B1"/>
    <w:rsid w:val="006A0493"/>
    <w:rsid w:val="006A04B0"/>
    <w:rsid w:val="006A0765"/>
    <w:rsid w:val="006A09B3"/>
    <w:rsid w:val="006A0AD4"/>
    <w:rsid w:val="006A0C9D"/>
    <w:rsid w:val="006A0D9C"/>
    <w:rsid w:val="006A1263"/>
    <w:rsid w:val="006A138D"/>
    <w:rsid w:val="006A14C8"/>
    <w:rsid w:val="006A188A"/>
    <w:rsid w:val="006A189A"/>
    <w:rsid w:val="006A1B78"/>
    <w:rsid w:val="006A1F1F"/>
    <w:rsid w:val="006A23C7"/>
    <w:rsid w:val="006A2E9B"/>
    <w:rsid w:val="006A2E9E"/>
    <w:rsid w:val="006A32DB"/>
    <w:rsid w:val="006A3407"/>
    <w:rsid w:val="006A3565"/>
    <w:rsid w:val="006A3B48"/>
    <w:rsid w:val="006A3CB3"/>
    <w:rsid w:val="006A3CCF"/>
    <w:rsid w:val="006A4088"/>
    <w:rsid w:val="006A42B9"/>
    <w:rsid w:val="006A43AD"/>
    <w:rsid w:val="006A43B5"/>
    <w:rsid w:val="006A4539"/>
    <w:rsid w:val="006A4EA4"/>
    <w:rsid w:val="006A51A3"/>
    <w:rsid w:val="006A52CF"/>
    <w:rsid w:val="006A5341"/>
    <w:rsid w:val="006A5523"/>
    <w:rsid w:val="006A55DA"/>
    <w:rsid w:val="006A58BF"/>
    <w:rsid w:val="006A5F0A"/>
    <w:rsid w:val="006A6130"/>
    <w:rsid w:val="006A677A"/>
    <w:rsid w:val="006A6ECE"/>
    <w:rsid w:val="006A71F9"/>
    <w:rsid w:val="006A762C"/>
    <w:rsid w:val="006A7803"/>
    <w:rsid w:val="006B08FA"/>
    <w:rsid w:val="006B094F"/>
    <w:rsid w:val="006B0C27"/>
    <w:rsid w:val="006B0D21"/>
    <w:rsid w:val="006B10F7"/>
    <w:rsid w:val="006B145A"/>
    <w:rsid w:val="006B17F3"/>
    <w:rsid w:val="006B19B2"/>
    <w:rsid w:val="006B1AC5"/>
    <w:rsid w:val="006B1C10"/>
    <w:rsid w:val="006B1C31"/>
    <w:rsid w:val="006B1E35"/>
    <w:rsid w:val="006B208B"/>
    <w:rsid w:val="006B2463"/>
    <w:rsid w:val="006B275D"/>
    <w:rsid w:val="006B2992"/>
    <w:rsid w:val="006B2BA4"/>
    <w:rsid w:val="006B2E34"/>
    <w:rsid w:val="006B2FF3"/>
    <w:rsid w:val="006B301F"/>
    <w:rsid w:val="006B33F3"/>
    <w:rsid w:val="006B3635"/>
    <w:rsid w:val="006B367D"/>
    <w:rsid w:val="006B3708"/>
    <w:rsid w:val="006B3F4C"/>
    <w:rsid w:val="006B4016"/>
    <w:rsid w:val="006B428C"/>
    <w:rsid w:val="006B42D3"/>
    <w:rsid w:val="006B45D1"/>
    <w:rsid w:val="006B4C24"/>
    <w:rsid w:val="006B4DD5"/>
    <w:rsid w:val="006B5221"/>
    <w:rsid w:val="006B523F"/>
    <w:rsid w:val="006B54C4"/>
    <w:rsid w:val="006B5541"/>
    <w:rsid w:val="006B5569"/>
    <w:rsid w:val="006B5784"/>
    <w:rsid w:val="006B5A74"/>
    <w:rsid w:val="006B5DC0"/>
    <w:rsid w:val="006B5FB7"/>
    <w:rsid w:val="006B5FB8"/>
    <w:rsid w:val="006B5FFB"/>
    <w:rsid w:val="006B647E"/>
    <w:rsid w:val="006B6502"/>
    <w:rsid w:val="006B657A"/>
    <w:rsid w:val="006B6A96"/>
    <w:rsid w:val="006B6B75"/>
    <w:rsid w:val="006B6C0E"/>
    <w:rsid w:val="006B6DA4"/>
    <w:rsid w:val="006B6E0E"/>
    <w:rsid w:val="006B7163"/>
    <w:rsid w:val="006B78A3"/>
    <w:rsid w:val="006B7919"/>
    <w:rsid w:val="006B79F5"/>
    <w:rsid w:val="006B7C30"/>
    <w:rsid w:val="006B7C68"/>
    <w:rsid w:val="006B7C9E"/>
    <w:rsid w:val="006B7CD1"/>
    <w:rsid w:val="006C022E"/>
    <w:rsid w:val="006C0426"/>
    <w:rsid w:val="006C05EF"/>
    <w:rsid w:val="006C06C5"/>
    <w:rsid w:val="006C07F1"/>
    <w:rsid w:val="006C0863"/>
    <w:rsid w:val="006C09D6"/>
    <w:rsid w:val="006C0A43"/>
    <w:rsid w:val="006C0BC5"/>
    <w:rsid w:val="006C10EF"/>
    <w:rsid w:val="006C1282"/>
    <w:rsid w:val="006C12D7"/>
    <w:rsid w:val="006C1535"/>
    <w:rsid w:val="006C2089"/>
    <w:rsid w:val="006C25D3"/>
    <w:rsid w:val="006C29EA"/>
    <w:rsid w:val="006C29F7"/>
    <w:rsid w:val="006C2A04"/>
    <w:rsid w:val="006C2A66"/>
    <w:rsid w:val="006C2BFB"/>
    <w:rsid w:val="006C2D64"/>
    <w:rsid w:val="006C332E"/>
    <w:rsid w:val="006C334C"/>
    <w:rsid w:val="006C363A"/>
    <w:rsid w:val="006C37E3"/>
    <w:rsid w:val="006C3974"/>
    <w:rsid w:val="006C3A93"/>
    <w:rsid w:val="006C3B5E"/>
    <w:rsid w:val="006C3EBF"/>
    <w:rsid w:val="006C3EE1"/>
    <w:rsid w:val="006C41FA"/>
    <w:rsid w:val="006C4311"/>
    <w:rsid w:val="006C46F3"/>
    <w:rsid w:val="006C471D"/>
    <w:rsid w:val="006C49A2"/>
    <w:rsid w:val="006C5361"/>
    <w:rsid w:val="006C53C7"/>
    <w:rsid w:val="006C56C6"/>
    <w:rsid w:val="006C5779"/>
    <w:rsid w:val="006C5889"/>
    <w:rsid w:val="006C59B5"/>
    <w:rsid w:val="006C5C80"/>
    <w:rsid w:val="006C5EB0"/>
    <w:rsid w:val="006C5F0A"/>
    <w:rsid w:val="006C6009"/>
    <w:rsid w:val="006C63DF"/>
    <w:rsid w:val="006C6562"/>
    <w:rsid w:val="006C6681"/>
    <w:rsid w:val="006C6855"/>
    <w:rsid w:val="006C6B7A"/>
    <w:rsid w:val="006C6C3E"/>
    <w:rsid w:val="006C7030"/>
    <w:rsid w:val="006C7041"/>
    <w:rsid w:val="006C7130"/>
    <w:rsid w:val="006C764D"/>
    <w:rsid w:val="006C780B"/>
    <w:rsid w:val="006C7F1F"/>
    <w:rsid w:val="006D02EE"/>
    <w:rsid w:val="006D033A"/>
    <w:rsid w:val="006D0436"/>
    <w:rsid w:val="006D059B"/>
    <w:rsid w:val="006D061A"/>
    <w:rsid w:val="006D0744"/>
    <w:rsid w:val="006D08E5"/>
    <w:rsid w:val="006D0B8B"/>
    <w:rsid w:val="006D0EEC"/>
    <w:rsid w:val="006D1008"/>
    <w:rsid w:val="006D1117"/>
    <w:rsid w:val="006D15AE"/>
    <w:rsid w:val="006D1BE8"/>
    <w:rsid w:val="006D214D"/>
    <w:rsid w:val="006D21E8"/>
    <w:rsid w:val="006D24A4"/>
    <w:rsid w:val="006D2B4C"/>
    <w:rsid w:val="006D2D8A"/>
    <w:rsid w:val="006D2F0F"/>
    <w:rsid w:val="006D30ED"/>
    <w:rsid w:val="006D3140"/>
    <w:rsid w:val="006D3151"/>
    <w:rsid w:val="006D34A3"/>
    <w:rsid w:val="006D3691"/>
    <w:rsid w:val="006D3A44"/>
    <w:rsid w:val="006D3C92"/>
    <w:rsid w:val="006D3FC1"/>
    <w:rsid w:val="006D409C"/>
    <w:rsid w:val="006D477E"/>
    <w:rsid w:val="006D47C6"/>
    <w:rsid w:val="006D4A0B"/>
    <w:rsid w:val="006D4C0A"/>
    <w:rsid w:val="006D50D1"/>
    <w:rsid w:val="006D50F5"/>
    <w:rsid w:val="006D52C3"/>
    <w:rsid w:val="006D56AE"/>
    <w:rsid w:val="006D56B1"/>
    <w:rsid w:val="006D593B"/>
    <w:rsid w:val="006D5CEE"/>
    <w:rsid w:val="006D5F3F"/>
    <w:rsid w:val="006D65F1"/>
    <w:rsid w:val="006D6648"/>
    <w:rsid w:val="006D6719"/>
    <w:rsid w:val="006D67C1"/>
    <w:rsid w:val="006D6BA5"/>
    <w:rsid w:val="006D6D9B"/>
    <w:rsid w:val="006D7039"/>
    <w:rsid w:val="006D7299"/>
    <w:rsid w:val="006D7324"/>
    <w:rsid w:val="006D760F"/>
    <w:rsid w:val="006D7693"/>
    <w:rsid w:val="006D7B9D"/>
    <w:rsid w:val="006D7E0D"/>
    <w:rsid w:val="006D7F9F"/>
    <w:rsid w:val="006E0185"/>
    <w:rsid w:val="006E01D4"/>
    <w:rsid w:val="006E039B"/>
    <w:rsid w:val="006E05A9"/>
    <w:rsid w:val="006E0E32"/>
    <w:rsid w:val="006E0E89"/>
    <w:rsid w:val="006E1478"/>
    <w:rsid w:val="006E14C7"/>
    <w:rsid w:val="006E1620"/>
    <w:rsid w:val="006E1983"/>
    <w:rsid w:val="006E19C5"/>
    <w:rsid w:val="006E1EFA"/>
    <w:rsid w:val="006E2060"/>
    <w:rsid w:val="006E2417"/>
    <w:rsid w:val="006E2638"/>
    <w:rsid w:val="006E27FB"/>
    <w:rsid w:val="006E2CDB"/>
    <w:rsid w:val="006E2EE9"/>
    <w:rsid w:val="006E2EFB"/>
    <w:rsid w:val="006E2F76"/>
    <w:rsid w:val="006E3132"/>
    <w:rsid w:val="006E3133"/>
    <w:rsid w:val="006E3258"/>
    <w:rsid w:val="006E33ED"/>
    <w:rsid w:val="006E3545"/>
    <w:rsid w:val="006E3828"/>
    <w:rsid w:val="006E38A7"/>
    <w:rsid w:val="006E39DC"/>
    <w:rsid w:val="006E3E9F"/>
    <w:rsid w:val="006E41BE"/>
    <w:rsid w:val="006E4636"/>
    <w:rsid w:val="006E4712"/>
    <w:rsid w:val="006E478B"/>
    <w:rsid w:val="006E4955"/>
    <w:rsid w:val="006E49BE"/>
    <w:rsid w:val="006E4CAC"/>
    <w:rsid w:val="006E4E10"/>
    <w:rsid w:val="006E505F"/>
    <w:rsid w:val="006E52C1"/>
    <w:rsid w:val="006E5492"/>
    <w:rsid w:val="006E5580"/>
    <w:rsid w:val="006E578F"/>
    <w:rsid w:val="006E60F0"/>
    <w:rsid w:val="006E6652"/>
    <w:rsid w:val="006E667D"/>
    <w:rsid w:val="006E683A"/>
    <w:rsid w:val="006E6A3E"/>
    <w:rsid w:val="006E6C04"/>
    <w:rsid w:val="006E6D4E"/>
    <w:rsid w:val="006E6DE6"/>
    <w:rsid w:val="006E7323"/>
    <w:rsid w:val="006E743D"/>
    <w:rsid w:val="006E7701"/>
    <w:rsid w:val="006E7CA1"/>
    <w:rsid w:val="006E7CF0"/>
    <w:rsid w:val="006F0188"/>
    <w:rsid w:val="006F05A5"/>
    <w:rsid w:val="006F0716"/>
    <w:rsid w:val="006F0D8F"/>
    <w:rsid w:val="006F109A"/>
    <w:rsid w:val="006F11FD"/>
    <w:rsid w:val="006F13D5"/>
    <w:rsid w:val="006F1A31"/>
    <w:rsid w:val="006F1CBD"/>
    <w:rsid w:val="006F1D68"/>
    <w:rsid w:val="006F2005"/>
    <w:rsid w:val="006F20F0"/>
    <w:rsid w:val="006F219F"/>
    <w:rsid w:val="006F2345"/>
    <w:rsid w:val="006F25ED"/>
    <w:rsid w:val="006F29F0"/>
    <w:rsid w:val="006F2A65"/>
    <w:rsid w:val="006F2AC3"/>
    <w:rsid w:val="006F2D56"/>
    <w:rsid w:val="006F356A"/>
    <w:rsid w:val="006F35BF"/>
    <w:rsid w:val="006F3633"/>
    <w:rsid w:val="006F3F43"/>
    <w:rsid w:val="006F430A"/>
    <w:rsid w:val="006F44E7"/>
    <w:rsid w:val="006F4517"/>
    <w:rsid w:val="006F46ED"/>
    <w:rsid w:val="006F4A43"/>
    <w:rsid w:val="006F4B01"/>
    <w:rsid w:val="006F4B82"/>
    <w:rsid w:val="006F5297"/>
    <w:rsid w:val="006F52BD"/>
    <w:rsid w:val="006F53E7"/>
    <w:rsid w:val="006F5910"/>
    <w:rsid w:val="006F5A5B"/>
    <w:rsid w:val="006F6072"/>
    <w:rsid w:val="006F6176"/>
    <w:rsid w:val="006F63C5"/>
    <w:rsid w:val="006F69A2"/>
    <w:rsid w:val="006F6A41"/>
    <w:rsid w:val="006F6A80"/>
    <w:rsid w:val="006F6A9E"/>
    <w:rsid w:val="006F6C1E"/>
    <w:rsid w:val="006F6E63"/>
    <w:rsid w:val="006F714C"/>
    <w:rsid w:val="006F721B"/>
    <w:rsid w:val="006F73E1"/>
    <w:rsid w:val="006F7782"/>
    <w:rsid w:val="006F784A"/>
    <w:rsid w:val="006F7977"/>
    <w:rsid w:val="006F7F7C"/>
    <w:rsid w:val="006F7F95"/>
    <w:rsid w:val="006F7FBC"/>
    <w:rsid w:val="0070041A"/>
    <w:rsid w:val="00700574"/>
    <w:rsid w:val="00700801"/>
    <w:rsid w:val="00700AD1"/>
    <w:rsid w:val="00700DE6"/>
    <w:rsid w:val="00700F97"/>
    <w:rsid w:val="0070102F"/>
    <w:rsid w:val="0070146F"/>
    <w:rsid w:val="00701701"/>
    <w:rsid w:val="00701799"/>
    <w:rsid w:val="00701B77"/>
    <w:rsid w:val="00701D93"/>
    <w:rsid w:val="00701E29"/>
    <w:rsid w:val="007021F4"/>
    <w:rsid w:val="00702390"/>
    <w:rsid w:val="0070283D"/>
    <w:rsid w:val="00702BD0"/>
    <w:rsid w:val="00702C4B"/>
    <w:rsid w:val="00702CC2"/>
    <w:rsid w:val="00702CE9"/>
    <w:rsid w:val="00702E5D"/>
    <w:rsid w:val="00702F6A"/>
    <w:rsid w:val="0070323D"/>
    <w:rsid w:val="0070368F"/>
    <w:rsid w:val="00703692"/>
    <w:rsid w:val="00703D18"/>
    <w:rsid w:val="007045CC"/>
    <w:rsid w:val="007047FA"/>
    <w:rsid w:val="00704989"/>
    <w:rsid w:val="00704A6F"/>
    <w:rsid w:val="00704CAE"/>
    <w:rsid w:val="00704E8B"/>
    <w:rsid w:val="007051FE"/>
    <w:rsid w:val="00705477"/>
    <w:rsid w:val="00705588"/>
    <w:rsid w:val="00705632"/>
    <w:rsid w:val="0070604E"/>
    <w:rsid w:val="00706264"/>
    <w:rsid w:val="0070639A"/>
    <w:rsid w:val="007067B2"/>
    <w:rsid w:val="00706BBD"/>
    <w:rsid w:val="00706EA1"/>
    <w:rsid w:val="00707074"/>
    <w:rsid w:val="007076C8"/>
    <w:rsid w:val="007076F9"/>
    <w:rsid w:val="00707DAD"/>
    <w:rsid w:val="00707F36"/>
    <w:rsid w:val="007101F1"/>
    <w:rsid w:val="00710267"/>
    <w:rsid w:val="00710902"/>
    <w:rsid w:val="00710D5A"/>
    <w:rsid w:val="00711018"/>
    <w:rsid w:val="00711240"/>
    <w:rsid w:val="007112D6"/>
    <w:rsid w:val="0071130A"/>
    <w:rsid w:val="00711CF5"/>
    <w:rsid w:val="00711D68"/>
    <w:rsid w:val="00711D77"/>
    <w:rsid w:val="00711FB1"/>
    <w:rsid w:val="00711FCA"/>
    <w:rsid w:val="00712065"/>
    <w:rsid w:val="00712125"/>
    <w:rsid w:val="007125D7"/>
    <w:rsid w:val="007125F0"/>
    <w:rsid w:val="007127BC"/>
    <w:rsid w:val="007128DC"/>
    <w:rsid w:val="00713091"/>
    <w:rsid w:val="0071321F"/>
    <w:rsid w:val="007133E1"/>
    <w:rsid w:val="00713CE8"/>
    <w:rsid w:val="00714032"/>
    <w:rsid w:val="0071411E"/>
    <w:rsid w:val="0071445E"/>
    <w:rsid w:val="00714548"/>
    <w:rsid w:val="007145C8"/>
    <w:rsid w:val="00714728"/>
    <w:rsid w:val="00714CAD"/>
    <w:rsid w:val="007150F5"/>
    <w:rsid w:val="007150F8"/>
    <w:rsid w:val="00715120"/>
    <w:rsid w:val="0071533A"/>
    <w:rsid w:val="0071551B"/>
    <w:rsid w:val="00715528"/>
    <w:rsid w:val="007155A9"/>
    <w:rsid w:val="00715724"/>
    <w:rsid w:val="00715937"/>
    <w:rsid w:val="00715C25"/>
    <w:rsid w:val="00715DC5"/>
    <w:rsid w:val="00715E2D"/>
    <w:rsid w:val="00715F7F"/>
    <w:rsid w:val="007162CC"/>
    <w:rsid w:val="00716321"/>
    <w:rsid w:val="0071685E"/>
    <w:rsid w:val="0071695E"/>
    <w:rsid w:val="00716BCB"/>
    <w:rsid w:val="00716C56"/>
    <w:rsid w:val="00716E4F"/>
    <w:rsid w:val="007171EA"/>
    <w:rsid w:val="0071728A"/>
    <w:rsid w:val="0071734F"/>
    <w:rsid w:val="00717408"/>
    <w:rsid w:val="0071759C"/>
    <w:rsid w:val="007176FE"/>
    <w:rsid w:val="007178A0"/>
    <w:rsid w:val="00717947"/>
    <w:rsid w:val="00717970"/>
    <w:rsid w:val="00717A75"/>
    <w:rsid w:val="00717B71"/>
    <w:rsid w:val="00717C49"/>
    <w:rsid w:val="0072074C"/>
    <w:rsid w:val="0072096F"/>
    <w:rsid w:val="0072098D"/>
    <w:rsid w:val="00720B90"/>
    <w:rsid w:val="00720C32"/>
    <w:rsid w:val="00720C93"/>
    <w:rsid w:val="007212D2"/>
    <w:rsid w:val="007212D9"/>
    <w:rsid w:val="00721446"/>
    <w:rsid w:val="0072171E"/>
    <w:rsid w:val="0072182B"/>
    <w:rsid w:val="00721B79"/>
    <w:rsid w:val="00721C94"/>
    <w:rsid w:val="00721FE1"/>
    <w:rsid w:val="00722289"/>
    <w:rsid w:val="00722888"/>
    <w:rsid w:val="00722C1C"/>
    <w:rsid w:val="00722DAD"/>
    <w:rsid w:val="0072323C"/>
    <w:rsid w:val="00723445"/>
    <w:rsid w:val="007234DB"/>
    <w:rsid w:val="0072356F"/>
    <w:rsid w:val="00723593"/>
    <w:rsid w:val="007235FC"/>
    <w:rsid w:val="00723630"/>
    <w:rsid w:val="00723BAD"/>
    <w:rsid w:val="007243FC"/>
    <w:rsid w:val="0072453C"/>
    <w:rsid w:val="0072461D"/>
    <w:rsid w:val="007246F8"/>
    <w:rsid w:val="00724710"/>
    <w:rsid w:val="00724976"/>
    <w:rsid w:val="00724A5B"/>
    <w:rsid w:val="00724EBE"/>
    <w:rsid w:val="00725516"/>
    <w:rsid w:val="0072581C"/>
    <w:rsid w:val="007259B1"/>
    <w:rsid w:val="00725A39"/>
    <w:rsid w:val="00725CD1"/>
    <w:rsid w:val="00726211"/>
    <w:rsid w:val="00726300"/>
    <w:rsid w:val="00726902"/>
    <w:rsid w:val="00726B00"/>
    <w:rsid w:val="00726C69"/>
    <w:rsid w:val="007273A5"/>
    <w:rsid w:val="00727456"/>
    <w:rsid w:val="007277A7"/>
    <w:rsid w:val="00727B3C"/>
    <w:rsid w:val="00727CD3"/>
    <w:rsid w:val="00727D74"/>
    <w:rsid w:val="00727D8A"/>
    <w:rsid w:val="007304AD"/>
    <w:rsid w:val="00730716"/>
    <w:rsid w:val="00730A00"/>
    <w:rsid w:val="00730E54"/>
    <w:rsid w:val="00730F87"/>
    <w:rsid w:val="00730FDE"/>
    <w:rsid w:val="007313F1"/>
    <w:rsid w:val="0073195E"/>
    <w:rsid w:val="00732203"/>
    <w:rsid w:val="007322CE"/>
    <w:rsid w:val="00732567"/>
    <w:rsid w:val="007326E0"/>
    <w:rsid w:val="007327F1"/>
    <w:rsid w:val="0073288E"/>
    <w:rsid w:val="007329D9"/>
    <w:rsid w:val="00732B55"/>
    <w:rsid w:val="00732C22"/>
    <w:rsid w:val="00732CF6"/>
    <w:rsid w:val="00732EC4"/>
    <w:rsid w:val="00733003"/>
    <w:rsid w:val="0073315B"/>
    <w:rsid w:val="00733809"/>
    <w:rsid w:val="007339D8"/>
    <w:rsid w:val="00733F63"/>
    <w:rsid w:val="00733FB6"/>
    <w:rsid w:val="00734002"/>
    <w:rsid w:val="00734025"/>
    <w:rsid w:val="00734107"/>
    <w:rsid w:val="007341D0"/>
    <w:rsid w:val="00734340"/>
    <w:rsid w:val="0073444E"/>
    <w:rsid w:val="0073463B"/>
    <w:rsid w:val="00734C61"/>
    <w:rsid w:val="00734CA8"/>
    <w:rsid w:val="00734D7B"/>
    <w:rsid w:val="00734D99"/>
    <w:rsid w:val="00734F3C"/>
    <w:rsid w:val="0073517F"/>
    <w:rsid w:val="007352E0"/>
    <w:rsid w:val="0073534C"/>
    <w:rsid w:val="00735363"/>
    <w:rsid w:val="00735A21"/>
    <w:rsid w:val="00735C6E"/>
    <w:rsid w:val="00735FFF"/>
    <w:rsid w:val="007361C2"/>
    <w:rsid w:val="007369A8"/>
    <w:rsid w:val="007369F9"/>
    <w:rsid w:val="00736BE1"/>
    <w:rsid w:val="007372A0"/>
    <w:rsid w:val="0073772F"/>
    <w:rsid w:val="00737B9E"/>
    <w:rsid w:val="00737BE1"/>
    <w:rsid w:val="00737C82"/>
    <w:rsid w:val="007403D5"/>
    <w:rsid w:val="00740701"/>
    <w:rsid w:val="00740C3E"/>
    <w:rsid w:val="00740FC1"/>
    <w:rsid w:val="00741297"/>
    <w:rsid w:val="00741412"/>
    <w:rsid w:val="00741467"/>
    <w:rsid w:val="00741A4A"/>
    <w:rsid w:val="00741B67"/>
    <w:rsid w:val="00741B89"/>
    <w:rsid w:val="00741C58"/>
    <w:rsid w:val="00741FB7"/>
    <w:rsid w:val="007421D7"/>
    <w:rsid w:val="007425DB"/>
    <w:rsid w:val="00742E72"/>
    <w:rsid w:val="00742EBE"/>
    <w:rsid w:val="00742EEE"/>
    <w:rsid w:val="0074304D"/>
    <w:rsid w:val="00743096"/>
    <w:rsid w:val="00743157"/>
    <w:rsid w:val="00743664"/>
    <w:rsid w:val="0074383C"/>
    <w:rsid w:val="00743F8E"/>
    <w:rsid w:val="00744011"/>
    <w:rsid w:val="007440DC"/>
    <w:rsid w:val="0074414E"/>
    <w:rsid w:val="007445B0"/>
    <w:rsid w:val="0074475C"/>
    <w:rsid w:val="0074479A"/>
    <w:rsid w:val="00744826"/>
    <w:rsid w:val="00744B1E"/>
    <w:rsid w:val="00745289"/>
    <w:rsid w:val="0074532E"/>
    <w:rsid w:val="0074541D"/>
    <w:rsid w:val="0074549D"/>
    <w:rsid w:val="007456D5"/>
    <w:rsid w:val="00745716"/>
    <w:rsid w:val="007458DF"/>
    <w:rsid w:val="00745D18"/>
    <w:rsid w:val="00745EFC"/>
    <w:rsid w:val="0074619A"/>
    <w:rsid w:val="0074625C"/>
    <w:rsid w:val="0074632D"/>
    <w:rsid w:val="007463A0"/>
    <w:rsid w:val="00746F7E"/>
    <w:rsid w:val="00747060"/>
    <w:rsid w:val="00747104"/>
    <w:rsid w:val="00747595"/>
    <w:rsid w:val="007475A7"/>
    <w:rsid w:val="00747A34"/>
    <w:rsid w:val="00747B00"/>
    <w:rsid w:val="007500B8"/>
    <w:rsid w:val="0075096D"/>
    <w:rsid w:val="00750D2F"/>
    <w:rsid w:val="00750E29"/>
    <w:rsid w:val="00750F22"/>
    <w:rsid w:val="007510D0"/>
    <w:rsid w:val="0075120F"/>
    <w:rsid w:val="00751557"/>
    <w:rsid w:val="00751693"/>
    <w:rsid w:val="00751B58"/>
    <w:rsid w:val="00751C97"/>
    <w:rsid w:val="00751D97"/>
    <w:rsid w:val="00752052"/>
    <w:rsid w:val="00752083"/>
    <w:rsid w:val="00752215"/>
    <w:rsid w:val="007524AA"/>
    <w:rsid w:val="00752705"/>
    <w:rsid w:val="00752726"/>
    <w:rsid w:val="007529B5"/>
    <w:rsid w:val="007529C5"/>
    <w:rsid w:val="00752B34"/>
    <w:rsid w:val="00752D5F"/>
    <w:rsid w:val="00752DCB"/>
    <w:rsid w:val="00753488"/>
    <w:rsid w:val="00753882"/>
    <w:rsid w:val="00753915"/>
    <w:rsid w:val="0075491C"/>
    <w:rsid w:val="007549C6"/>
    <w:rsid w:val="00754FD5"/>
    <w:rsid w:val="00755410"/>
    <w:rsid w:val="0075544B"/>
    <w:rsid w:val="00755DCF"/>
    <w:rsid w:val="00755DF6"/>
    <w:rsid w:val="007568A9"/>
    <w:rsid w:val="00756B93"/>
    <w:rsid w:val="00756EC3"/>
    <w:rsid w:val="007573D8"/>
    <w:rsid w:val="00757875"/>
    <w:rsid w:val="00757CD1"/>
    <w:rsid w:val="00757D1D"/>
    <w:rsid w:val="00757EDB"/>
    <w:rsid w:val="00760041"/>
    <w:rsid w:val="00760646"/>
    <w:rsid w:val="007606F9"/>
    <w:rsid w:val="00760710"/>
    <w:rsid w:val="00760B68"/>
    <w:rsid w:val="00760EEF"/>
    <w:rsid w:val="00760F49"/>
    <w:rsid w:val="00761143"/>
    <w:rsid w:val="007616C6"/>
    <w:rsid w:val="00761F85"/>
    <w:rsid w:val="0076240D"/>
    <w:rsid w:val="0076259F"/>
    <w:rsid w:val="0076305B"/>
    <w:rsid w:val="0076317A"/>
    <w:rsid w:val="00763521"/>
    <w:rsid w:val="007636CA"/>
    <w:rsid w:val="0076372F"/>
    <w:rsid w:val="00763832"/>
    <w:rsid w:val="0076394C"/>
    <w:rsid w:val="00763AAD"/>
    <w:rsid w:val="00763CA1"/>
    <w:rsid w:val="00764430"/>
    <w:rsid w:val="0076460D"/>
    <w:rsid w:val="00764667"/>
    <w:rsid w:val="0076471C"/>
    <w:rsid w:val="00764838"/>
    <w:rsid w:val="00764902"/>
    <w:rsid w:val="00764A41"/>
    <w:rsid w:val="00764AEE"/>
    <w:rsid w:val="00764BEE"/>
    <w:rsid w:val="00764C5B"/>
    <w:rsid w:val="00764CC1"/>
    <w:rsid w:val="00764CD9"/>
    <w:rsid w:val="00764D80"/>
    <w:rsid w:val="00764DBA"/>
    <w:rsid w:val="00765056"/>
    <w:rsid w:val="0076532A"/>
    <w:rsid w:val="00765528"/>
    <w:rsid w:val="007655C7"/>
    <w:rsid w:val="0076571B"/>
    <w:rsid w:val="00765CD4"/>
    <w:rsid w:val="00765FDD"/>
    <w:rsid w:val="007668E2"/>
    <w:rsid w:val="00766A3D"/>
    <w:rsid w:val="00766C55"/>
    <w:rsid w:val="00766D8E"/>
    <w:rsid w:val="00767663"/>
    <w:rsid w:val="0076768B"/>
    <w:rsid w:val="00767740"/>
    <w:rsid w:val="007678BE"/>
    <w:rsid w:val="00767BDF"/>
    <w:rsid w:val="00767C58"/>
    <w:rsid w:val="00767F65"/>
    <w:rsid w:val="00770054"/>
    <w:rsid w:val="0077012D"/>
    <w:rsid w:val="0077078C"/>
    <w:rsid w:val="007709DE"/>
    <w:rsid w:val="00770AB4"/>
    <w:rsid w:val="00770D20"/>
    <w:rsid w:val="00770EE1"/>
    <w:rsid w:val="0077154F"/>
    <w:rsid w:val="007716A6"/>
    <w:rsid w:val="00771A1E"/>
    <w:rsid w:val="00771B18"/>
    <w:rsid w:val="00771E4B"/>
    <w:rsid w:val="007720AB"/>
    <w:rsid w:val="00772221"/>
    <w:rsid w:val="00772325"/>
    <w:rsid w:val="00772327"/>
    <w:rsid w:val="00772698"/>
    <w:rsid w:val="0077284C"/>
    <w:rsid w:val="00772D52"/>
    <w:rsid w:val="0077351C"/>
    <w:rsid w:val="007739FA"/>
    <w:rsid w:val="00773D0C"/>
    <w:rsid w:val="00773ED7"/>
    <w:rsid w:val="00774038"/>
    <w:rsid w:val="0077490E"/>
    <w:rsid w:val="00774955"/>
    <w:rsid w:val="00774AC2"/>
    <w:rsid w:val="00774ACF"/>
    <w:rsid w:val="00774B80"/>
    <w:rsid w:val="00774CC6"/>
    <w:rsid w:val="00774FB5"/>
    <w:rsid w:val="0077503B"/>
    <w:rsid w:val="007750D2"/>
    <w:rsid w:val="007751E9"/>
    <w:rsid w:val="007752AF"/>
    <w:rsid w:val="00775562"/>
    <w:rsid w:val="00775716"/>
    <w:rsid w:val="00775869"/>
    <w:rsid w:val="00775881"/>
    <w:rsid w:val="00775ED4"/>
    <w:rsid w:val="00775EF6"/>
    <w:rsid w:val="00776637"/>
    <w:rsid w:val="007769B4"/>
    <w:rsid w:val="00776D8B"/>
    <w:rsid w:val="00776E2D"/>
    <w:rsid w:val="007770CD"/>
    <w:rsid w:val="007775B6"/>
    <w:rsid w:val="00777687"/>
    <w:rsid w:val="007776D5"/>
    <w:rsid w:val="00777838"/>
    <w:rsid w:val="00777CB7"/>
    <w:rsid w:val="00777DDE"/>
    <w:rsid w:val="00777F0A"/>
    <w:rsid w:val="00780229"/>
    <w:rsid w:val="007802FA"/>
    <w:rsid w:val="0078039D"/>
    <w:rsid w:val="00780602"/>
    <w:rsid w:val="007807A3"/>
    <w:rsid w:val="007809D3"/>
    <w:rsid w:val="00780A3C"/>
    <w:rsid w:val="00780A8E"/>
    <w:rsid w:val="00780BC1"/>
    <w:rsid w:val="0078100F"/>
    <w:rsid w:val="007812E6"/>
    <w:rsid w:val="00781363"/>
    <w:rsid w:val="0078159F"/>
    <w:rsid w:val="0078162F"/>
    <w:rsid w:val="00781BE8"/>
    <w:rsid w:val="00781C7D"/>
    <w:rsid w:val="00781D29"/>
    <w:rsid w:val="007821CB"/>
    <w:rsid w:val="007823FB"/>
    <w:rsid w:val="00782751"/>
    <w:rsid w:val="007828FF"/>
    <w:rsid w:val="007829DB"/>
    <w:rsid w:val="00782BF0"/>
    <w:rsid w:val="00782BF3"/>
    <w:rsid w:val="00782CCC"/>
    <w:rsid w:val="0078370D"/>
    <w:rsid w:val="0078376C"/>
    <w:rsid w:val="0078378E"/>
    <w:rsid w:val="00783849"/>
    <w:rsid w:val="00783C03"/>
    <w:rsid w:val="00783C5A"/>
    <w:rsid w:val="00783C9C"/>
    <w:rsid w:val="00783E51"/>
    <w:rsid w:val="00783F73"/>
    <w:rsid w:val="00783FCA"/>
    <w:rsid w:val="00784A87"/>
    <w:rsid w:val="00784CF8"/>
    <w:rsid w:val="00784F26"/>
    <w:rsid w:val="00784F58"/>
    <w:rsid w:val="00785074"/>
    <w:rsid w:val="007850EB"/>
    <w:rsid w:val="007857B6"/>
    <w:rsid w:val="0078580F"/>
    <w:rsid w:val="00785E42"/>
    <w:rsid w:val="00785EDF"/>
    <w:rsid w:val="00785EE3"/>
    <w:rsid w:val="00786003"/>
    <w:rsid w:val="007866BE"/>
    <w:rsid w:val="007866FE"/>
    <w:rsid w:val="00786AB6"/>
    <w:rsid w:val="00786B9F"/>
    <w:rsid w:val="00786CC6"/>
    <w:rsid w:val="00786D20"/>
    <w:rsid w:val="00786F92"/>
    <w:rsid w:val="007870D0"/>
    <w:rsid w:val="007877A8"/>
    <w:rsid w:val="00787929"/>
    <w:rsid w:val="00787A55"/>
    <w:rsid w:val="00790486"/>
    <w:rsid w:val="007904AF"/>
    <w:rsid w:val="007905F9"/>
    <w:rsid w:val="00790696"/>
    <w:rsid w:val="00790B08"/>
    <w:rsid w:val="00790BCF"/>
    <w:rsid w:val="00790DFD"/>
    <w:rsid w:val="0079102D"/>
    <w:rsid w:val="007913C7"/>
    <w:rsid w:val="00791BEB"/>
    <w:rsid w:val="0079248F"/>
    <w:rsid w:val="007924C2"/>
    <w:rsid w:val="007925EB"/>
    <w:rsid w:val="007925FF"/>
    <w:rsid w:val="00792641"/>
    <w:rsid w:val="00792996"/>
    <w:rsid w:val="00792B01"/>
    <w:rsid w:val="00792BB2"/>
    <w:rsid w:val="00792CF4"/>
    <w:rsid w:val="00792D14"/>
    <w:rsid w:val="00793303"/>
    <w:rsid w:val="00793328"/>
    <w:rsid w:val="00793736"/>
    <w:rsid w:val="00793A3E"/>
    <w:rsid w:val="00793CAE"/>
    <w:rsid w:val="00794136"/>
    <w:rsid w:val="00794E90"/>
    <w:rsid w:val="0079514C"/>
    <w:rsid w:val="00795257"/>
    <w:rsid w:val="0079551D"/>
    <w:rsid w:val="00795687"/>
    <w:rsid w:val="00795834"/>
    <w:rsid w:val="00795F35"/>
    <w:rsid w:val="00795F74"/>
    <w:rsid w:val="0079626E"/>
    <w:rsid w:val="00796320"/>
    <w:rsid w:val="007964D6"/>
    <w:rsid w:val="00796A13"/>
    <w:rsid w:val="00796A9F"/>
    <w:rsid w:val="00796C67"/>
    <w:rsid w:val="00797084"/>
    <w:rsid w:val="00797093"/>
    <w:rsid w:val="007971C3"/>
    <w:rsid w:val="0079736D"/>
    <w:rsid w:val="0079737D"/>
    <w:rsid w:val="007975CE"/>
    <w:rsid w:val="007976C9"/>
    <w:rsid w:val="00797B8D"/>
    <w:rsid w:val="00797D79"/>
    <w:rsid w:val="00797E25"/>
    <w:rsid w:val="00797EC1"/>
    <w:rsid w:val="00797FA4"/>
    <w:rsid w:val="007A0107"/>
    <w:rsid w:val="007A025F"/>
    <w:rsid w:val="007A0278"/>
    <w:rsid w:val="007A049E"/>
    <w:rsid w:val="007A0626"/>
    <w:rsid w:val="007A0792"/>
    <w:rsid w:val="007A0AA0"/>
    <w:rsid w:val="007A0FA3"/>
    <w:rsid w:val="007A1089"/>
    <w:rsid w:val="007A109C"/>
    <w:rsid w:val="007A146B"/>
    <w:rsid w:val="007A1889"/>
    <w:rsid w:val="007A18BD"/>
    <w:rsid w:val="007A1AF3"/>
    <w:rsid w:val="007A1D00"/>
    <w:rsid w:val="007A1DD7"/>
    <w:rsid w:val="007A2043"/>
    <w:rsid w:val="007A20E8"/>
    <w:rsid w:val="007A2432"/>
    <w:rsid w:val="007A2596"/>
    <w:rsid w:val="007A2792"/>
    <w:rsid w:val="007A2DDA"/>
    <w:rsid w:val="007A2EE4"/>
    <w:rsid w:val="007A2F1A"/>
    <w:rsid w:val="007A31EE"/>
    <w:rsid w:val="007A32B1"/>
    <w:rsid w:val="007A347B"/>
    <w:rsid w:val="007A38AC"/>
    <w:rsid w:val="007A3C17"/>
    <w:rsid w:val="007A3D62"/>
    <w:rsid w:val="007A3DC7"/>
    <w:rsid w:val="007A3FA9"/>
    <w:rsid w:val="007A4052"/>
    <w:rsid w:val="007A4366"/>
    <w:rsid w:val="007A47C0"/>
    <w:rsid w:val="007A47D1"/>
    <w:rsid w:val="007A498A"/>
    <w:rsid w:val="007A4C94"/>
    <w:rsid w:val="007A4ECF"/>
    <w:rsid w:val="007A501E"/>
    <w:rsid w:val="007A51B6"/>
    <w:rsid w:val="007A52CB"/>
    <w:rsid w:val="007A538F"/>
    <w:rsid w:val="007A541D"/>
    <w:rsid w:val="007A5636"/>
    <w:rsid w:val="007A56D5"/>
    <w:rsid w:val="007A5844"/>
    <w:rsid w:val="007A58FC"/>
    <w:rsid w:val="007A59C3"/>
    <w:rsid w:val="007A5D82"/>
    <w:rsid w:val="007A608D"/>
    <w:rsid w:val="007A61B8"/>
    <w:rsid w:val="007A6586"/>
    <w:rsid w:val="007A6B10"/>
    <w:rsid w:val="007A7ABF"/>
    <w:rsid w:val="007A7AE0"/>
    <w:rsid w:val="007A7BE0"/>
    <w:rsid w:val="007A7DF0"/>
    <w:rsid w:val="007A7F29"/>
    <w:rsid w:val="007A7FB3"/>
    <w:rsid w:val="007B01F6"/>
    <w:rsid w:val="007B0343"/>
    <w:rsid w:val="007B058A"/>
    <w:rsid w:val="007B0A87"/>
    <w:rsid w:val="007B0B13"/>
    <w:rsid w:val="007B0B6D"/>
    <w:rsid w:val="007B0D3D"/>
    <w:rsid w:val="007B0D8A"/>
    <w:rsid w:val="007B0D91"/>
    <w:rsid w:val="007B1182"/>
    <w:rsid w:val="007B130C"/>
    <w:rsid w:val="007B13BB"/>
    <w:rsid w:val="007B16A4"/>
    <w:rsid w:val="007B1A10"/>
    <w:rsid w:val="007B206F"/>
    <w:rsid w:val="007B2498"/>
    <w:rsid w:val="007B25F9"/>
    <w:rsid w:val="007B2E72"/>
    <w:rsid w:val="007B2F13"/>
    <w:rsid w:val="007B3038"/>
    <w:rsid w:val="007B31F0"/>
    <w:rsid w:val="007B3276"/>
    <w:rsid w:val="007B33CC"/>
    <w:rsid w:val="007B3790"/>
    <w:rsid w:val="007B37DE"/>
    <w:rsid w:val="007B39D7"/>
    <w:rsid w:val="007B3B7D"/>
    <w:rsid w:val="007B3C70"/>
    <w:rsid w:val="007B460D"/>
    <w:rsid w:val="007B476C"/>
    <w:rsid w:val="007B4937"/>
    <w:rsid w:val="007B4E14"/>
    <w:rsid w:val="007B4E1A"/>
    <w:rsid w:val="007B4E36"/>
    <w:rsid w:val="007B4E92"/>
    <w:rsid w:val="007B507B"/>
    <w:rsid w:val="007B577D"/>
    <w:rsid w:val="007B5E4C"/>
    <w:rsid w:val="007B5F8B"/>
    <w:rsid w:val="007B620F"/>
    <w:rsid w:val="007B6A50"/>
    <w:rsid w:val="007B6ACA"/>
    <w:rsid w:val="007B6B6A"/>
    <w:rsid w:val="007B6B74"/>
    <w:rsid w:val="007B6BC4"/>
    <w:rsid w:val="007B6D69"/>
    <w:rsid w:val="007B6DE6"/>
    <w:rsid w:val="007B7179"/>
    <w:rsid w:val="007B7316"/>
    <w:rsid w:val="007B73D8"/>
    <w:rsid w:val="007B769C"/>
    <w:rsid w:val="007B7752"/>
    <w:rsid w:val="007B77E0"/>
    <w:rsid w:val="007B78B4"/>
    <w:rsid w:val="007B796B"/>
    <w:rsid w:val="007B7978"/>
    <w:rsid w:val="007B7C58"/>
    <w:rsid w:val="007B7F12"/>
    <w:rsid w:val="007C0383"/>
    <w:rsid w:val="007C065F"/>
    <w:rsid w:val="007C06C3"/>
    <w:rsid w:val="007C07C9"/>
    <w:rsid w:val="007C0F0B"/>
    <w:rsid w:val="007C10B4"/>
    <w:rsid w:val="007C12F0"/>
    <w:rsid w:val="007C1647"/>
    <w:rsid w:val="007C1713"/>
    <w:rsid w:val="007C176E"/>
    <w:rsid w:val="007C1DBF"/>
    <w:rsid w:val="007C1E47"/>
    <w:rsid w:val="007C218C"/>
    <w:rsid w:val="007C2273"/>
    <w:rsid w:val="007C2510"/>
    <w:rsid w:val="007C2747"/>
    <w:rsid w:val="007C3098"/>
    <w:rsid w:val="007C32AD"/>
    <w:rsid w:val="007C3BC9"/>
    <w:rsid w:val="007C4101"/>
    <w:rsid w:val="007C4162"/>
    <w:rsid w:val="007C495A"/>
    <w:rsid w:val="007C4D80"/>
    <w:rsid w:val="007C535A"/>
    <w:rsid w:val="007C5A19"/>
    <w:rsid w:val="007C604C"/>
    <w:rsid w:val="007C6101"/>
    <w:rsid w:val="007C669A"/>
    <w:rsid w:val="007C6813"/>
    <w:rsid w:val="007C7068"/>
    <w:rsid w:val="007C70DF"/>
    <w:rsid w:val="007C7310"/>
    <w:rsid w:val="007C73C0"/>
    <w:rsid w:val="007C7804"/>
    <w:rsid w:val="007C7D0A"/>
    <w:rsid w:val="007D0435"/>
    <w:rsid w:val="007D075A"/>
    <w:rsid w:val="007D16A0"/>
    <w:rsid w:val="007D16A5"/>
    <w:rsid w:val="007D1830"/>
    <w:rsid w:val="007D18E8"/>
    <w:rsid w:val="007D1B05"/>
    <w:rsid w:val="007D1DC2"/>
    <w:rsid w:val="007D243D"/>
    <w:rsid w:val="007D2AE3"/>
    <w:rsid w:val="007D2AEB"/>
    <w:rsid w:val="007D3052"/>
    <w:rsid w:val="007D30D5"/>
    <w:rsid w:val="007D31C3"/>
    <w:rsid w:val="007D32E8"/>
    <w:rsid w:val="007D3436"/>
    <w:rsid w:val="007D34CC"/>
    <w:rsid w:val="007D3741"/>
    <w:rsid w:val="007D3759"/>
    <w:rsid w:val="007D38B6"/>
    <w:rsid w:val="007D395A"/>
    <w:rsid w:val="007D39E4"/>
    <w:rsid w:val="007D3AF5"/>
    <w:rsid w:val="007D3CEC"/>
    <w:rsid w:val="007D3DDD"/>
    <w:rsid w:val="007D3F38"/>
    <w:rsid w:val="007D4132"/>
    <w:rsid w:val="007D4175"/>
    <w:rsid w:val="007D4382"/>
    <w:rsid w:val="007D4781"/>
    <w:rsid w:val="007D4959"/>
    <w:rsid w:val="007D4E2C"/>
    <w:rsid w:val="007D52FF"/>
    <w:rsid w:val="007D55B4"/>
    <w:rsid w:val="007D592C"/>
    <w:rsid w:val="007D5A96"/>
    <w:rsid w:val="007D5B95"/>
    <w:rsid w:val="007D603C"/>
    <w:rsid w:val="007D607E"/>
    <w:rsid w:val="007D6303"/>
    <w:rsid w:val="007D6589"/>
    <w:rsid w:val="007D66A6"/>
    <w:rsid w:val="007D6819"/>
    <w:rsid w:val="007D68E4"/>
    <w:rsid w:val="007D6ADD"/>
    <w:rsid w:val="007D6AED"/>
    <w:rsid w:val="007D70F1"/>
    <w:rsid w:val="007D71AF"/>
    <w:rsid w:val="007D7206"/>
    <w:rsid w:val="007D72AB"/>
    <w:rsid w:val="007D734B"/>
    <w:rsid w:val="007D7501"/>
    <w:rsid w:val="007E0013"/>
    <w:rsid w:val="007E02E2"/>
    <w:rsid w:val="007E0464"/>
    <w:rsid w:val="007E0614"/>
    <w:rsid w:val="007E0D5E"/>
    <w:rsid w:val="007E0DE4"/>
    <w:rsid w:val="007E0EDF"/>
    <w:rsid w:val="007E1005"/>
    <w:rsid w:val="007E146E"/>
    <w:rsid w:val="007E19C5"/>
    <w:rsid w:val="007E19E7"/>
    <w:rsid w:val="007E1CD0"/>
    <w:rsid w:val="007E1E91"/>
    <w:rsid w:val="007E1EBB"/>
    <w:rsid w:val="007E1FA3"/>
    <w:rsid w:val="007E2168"/>
    <w:rsid w:val="007E256D"/>
    <w:rsid w:val="007E2BAB"/>
    <w:rsid w:val="007E2E59"/>
    <w:rsid w:val="007E301E"/>
    <w:rsid w:val="007E325E"/>
    <w:rsid w:val="007E332A"/>
    <w:rsid w:val="007E3489"/>
    <w:rsid w:val="007E358A"/>
    <w:rsid w:val="007E3765"/>
    <w:rsid w:val="007E3842"/>
    <w:rsid w:val="007E3927"/>
    <w:rsid w:val="007E3A97"/>
    <w:rsid w:val="007E3A9B"/>
    <w:rsid w:val="007E3C00"/>
    <w:rsid w:val="007E3D10"/>
    <w:rsid w:val="007E4057"/>
    <w:rsid w:val="007E41B6"/>
    <w:rsid w:val="007E44AA"/>
    <w:rsid w:val="007E47A2"/>
    <w:rsid w:val="007E48ED"/>
    <w:rsid w:val="007E4A60"/>
    <w:rsid w:val="007E4B97"/>
    <w:rsid w:val="007E4F3B"/>
    <w:rsid w:val="007E50A1"/>
    <w:rsid w:val="007E5107"/>
    <w:rsid w:val="007E5383"/>
    <w:rsid w:val="007E60CB"/>
    <w:rsid w:val="007E62EE"/>
    <w:rsid w:val="007E6C15"/>
    <w:rsid w:val="007E7164"/>
    <w:rsid w:val="007E72BA"/>
    <w:rsid w:val="007E745F"/>
    <w:rsid w:val="007E757A"/>
    <w:rsid w:val="007E7659"/>
    <w:rsid w:val="007E7960"/>
    <w:rsid w:val="007E7F7A"/>
    <w:rsid w:val="007E7F91"/>
    <w:rsid w:val="007F022C"/>
    <w:rsid w:val="007F02B9"/>
    <w:rsid w:val="007F0515"/>
    <w:rsid w:val="007F0C6A"/>
    <w:rsid w:val="007F0DAE"/>
    <w:rsid w:val="007F0E54"/>
    <w:rsid w:val="007F0E62"/>
    <w:rsid w:val="007F0EB5"/>
    <w:rsid w:val="007F0ED1"/>
    <w:rsid w:val="007F0FFE"/>
    <w:rsid w:val="007F104B"/>
    <w:rsid w:val="007F10B5"/>
    <w:rsid w:val="007F1177"/>
    <w:rsid w:val="007F1255"/>
    <w:rsid w:val="007F17DF"/>
    <w:rsid w:val="007F19CE"/>
    <w:rsid w:val="007F1B4F"/>
    <w:rsid w:val="007F1CA6"/>
    <w:rsid w:val="007F1E42"/>
    <w:rsid w:val="007F1E67"/>
    <w:rsid w:val="007F1F7C"/>
    <w:rsid w:val="007F1F7F"/>
    <w:rsid w:val="007F21BB"/>
    <w:rsid w:val="007F22B4"/>
    <w:rsid w:val="007F2300"/>
    <w:rsid w:val="007F2350"/>
    <w:rsid w:val="007F25FC"/>
    <w:rsid w:val="007F2943"/>
    <w:rsid w:val="007F2A7C"/>
    <w:rsid w:val="007F2D09"/>
    <w:rsid w:val="007F3146"/>
    <w:rsid w:val="007F323A"/>
    <w:rsid w:val="007F34E0"/>
    <w:rsid w:val="007F3508"/>
    <w:rsid w:val="007F36D9"/>
    <w:rsid w:val="007F37A7"/>
    <w:rsid w:val="007F3952"/>
    <w:rsid w:val="007F3A08"/>
    <w:rsid w:val="007F3A34"/>
    <w:rsid w:val="007F3F5B"/>
    <w:rsid w:val="007F4065"/>
    <w:rsid w:val="007F4230"/>
    <w:rsid w:val="007F42C8"/>
    <w:rsid w:val="007F436F"/>
    <w:rsid w:val="007F46E6"/>
    <w:rsid w:val="007F4CC5"/>
    <w:rsid w:val="007F4D9B"/>
    <w:rsid w:val="007F4E3B"/>
    <w:rsid w:val="007F4F2F"/>
    <w:rsid w:val="007F5012"/>
    <w:rsid w:val="007F5045"/>
    <w:rsid w:val="007F51BE"/>
    <w:rsid w:val="007F54E3"/>
    <w:rsid w:val="007F5718"/>
    <w:rsid w:val="007F57ED"/>
    <w:rsid w:val="007F5866"/>
    <w:rsid w:val="007F5B77"/>
    <w:rsid w:val="007F5CC5"/>
    <w:rsid w:val="007F5D39"/>
    <w:rsid w:val="007F5E3A"/>
    <w:rsid w:val="007F6144"/>
    <w:rsid w:val="007F6655"/>
    <w:rsid w:val="007F66B2"/>
    <w:rsid w:val="007F6768"/>
    <w:rsid w:val="007F68D5"/>
    <w:rsid w:val="007F6A93"/>
    <w:rsid w:val="007F6C7D"/>
    <w:rsid w:val="007F6EA3"/>
    <w:rsid w:val="007F7146"/>
    <w:rsid w:val="007F71CB"/>
    <w:rsid w:val="007F7684"/>
    <w:rsid w:val="007F7890"/>
    <w:rsid w:val="007F7BCF"/>
    <w:rsid w:val="008003E2"/>
    <w:rsid w:val="00800548"/>
    <w:rsid w:val="008006AF"/>
    <w:rsid w:val="008007D6"/>
    <w:rsid w:val="008008C6"/>
    <w:rsid w:val="00800AE0"/>
    <w:rsid w:val="00800D62"/>
    <w:rsid w:val="00800DC1"/>
    <w:rsid w:val="0080108A"/>
    <w:rsid w:val="008013D3"/>
    <w:rsid w:val="00801B9A"/>
    <w:rsid w:val="00801DC5"/>
    <w:rsid w:val="00801F3C"/>
    <w:rsid w:val="00802026"/>
    <w:rsid w:val="0080216C"/>
    <w:rsid w:val="00802B6C"/>
    <w:rsid w:val="00802C52"/>
    <w:rsid w:val="00802FCD"/>
    <w:rsid w:val="008031D5"/>
    <w:rsid w:val="0080347F"/>
    <w:rsid w:val="00803593"/>
    <w:rsid w:val="008035E2"/>
    <w:rsid w:val="00803EEB"/>
    <w:rsid w:val="008041C9"/>
    <w:rsid w:val="0080429E"/>
    <w:rsid w:val="00804432"/>
    <w:rsid w:val="00804538"/>
    <w:rsid w:val="00804794"/>
    <w:rsid w:val="0080481C"/>
    <w:rsid w:val="00804913"/>
    <w:rsid w:val="00804A23"/>
    <w:rsid w:val="0080510A"/>
    <w:rsid w:val="0080517A"/>
    <w:rsid w:val="00805193"/>
    <w:rsid w:val="0080519A"/>
    <w:rsid w:val="008053F7"/>
    <w:rsid w:val="00805494"/>
    <w:rsid w:val="0080595C"/>
    <w:rsid w:val="00805CA1"/>
    <w:rsid w:val="008060C6"/>
    <w:rsid w:val="008063B1"/>
    <w:rsid w:val="008064B5"/>
    <w:rsid w:val="00806776"/>
    <w:rsid w:val="008067F3"/>
    <w:rsid w:val="0080689B"/>
    <w:rsid w:val="00806A39"/>
    <w:rsid w:val="00806EA0"/>
    <w:rsid w:val="00807145"/>
    <w:rsid w:val="00807389"/>
    <w:rsid w:val="008074C5"/>
    <w:rsid w:val="00807A56"/>
    <w:rsid w:val="00807D8C"/>
    <w:rsid w:val="00807ED1"/>
    <w:rsid w:val="0081049A"/>
    <w:rsid w:val="008105CF"/>
    <w:rsid w:val="008106EB"/>
    <w:rsid w:val="00810B51"/>
    <w:rsid w:val="00810CA7"/>
    <w:rsid w:val="00811098"/>
    <w:rsid w:val="00811638"/>
    <w:rsid w:val="00811716"/>
    <w:rsid w:val="008117C6"/>
    <w:rsid w:val="00811948"/>
    <w:rsid w:val="00811BCB"/>
    <w:rsid w:val="00811CC9"/>
    <w:rsid w:val="00812287"/>
    <w:rsid w:val="008125F5"/>
    <w:rsid w:val="00812621"/>
    <w:rsid w:val="008127E9"/>
    <w:rsid w:val="0081282A"/>
    <w:rsid w:val="00812EA9"/>
    <w:rsid w:val="00812FEC"/>
    <w:rsid w:val="00813344"/>
    <w:rsid w:val="008134E2"/>
    <w:rsid w:val="008136FB"/>
    <w:rsid w:val="0081377A"/>
    <w:rsid w:val="008137A1"/>
    <w:rsid w:val="008139B5"/>
    <w:rsid w:val="00813A81"/>
    <w:rsid w:val="00813DE1"/>
    <w:rsid w:val="00813F13"/>
    <w:rsid w:val="008141CE"/>
    <w:rsid w:val="00814422"/>
    <w:rsid w:val="008148C9"/>
    <w:rsid w:val="00814B0B"/>
    <w:rsid w:val="00815382"/>
    <w:rsid w:val="00815589"/>
    <w:rsid w:val="008159A9"/>
    <w:rsid w:val="00815C4A"/>
    <w:rsid w:val="00815D11"/>
    <w:rsid w:val="008163E7"/>
    <w:rsid w:val="008166C5"/>
    <w:rsid w:val="0081675A"/>
    <w:rsid w:val="00816ABC"/>
    <w:rsid w:val="00816CBC"/>
    <w:rsid w:val="00816D85"/>
    <w:rsid w:val="00816E06"/>
    <w:rsid w:val="00817E0E"/>
    <w:rsid w:val="00820011"/>
    <w:rsid w:val="0082001A"/>
    <w:rsid w:val="008200F2"/>
    <w:rsid w:val="008201FA"/>
    <w:rsid w:val="0082022D"/>
    <w:rsid w:val="00820252"/>
    <w:rsid w:val="00820418"/>
    <w:rsid w:val="008207F6"/>
    <w:rsid w:val="00820ACF"/>
    <w:rsid w:val="00821048"/>
    <w:rsid w:val="0082115A"/>
    <w:rsid w:val="00821222"/>
    <w:rsid w:val="00821590"/>
    <w:rsid w:val="008219F3"/>
    <w:rsid w:val="00821A9D"/>
    <w:rsid w:val="00821AFF"/>
    <w:rsid w:val="00822144"/>
    <w:rsid w:val="00822433"/>
    <w:rsid w:val="0082268A"/>
    <w:rsid w:val="008226CC"/>
    <w:rsid w:val="008226FE"/>
    <w:rsid w:val="00822A1E"/>
    <w:rsid w:val="00822AE8"/>
    <w:rsid w:val="00822B6D"/>
    <w:rsid w:val="00822F19"/>
    <w:rsid w:val="00822FD1"/>
    <w:rsid w:val="00823039"/>
    <w:rsid w:val="008233D8"/>
    <w:rsid w:val="008249B8"/>
    <w:rsid w:val="00824A7A"/>
    <w:rsid w:val="00824AF3"/>
    <w:rsid w:val="00824DD6"/>
    <w:rsid w:val="008250C5"/>
    <w:rsid w:val="00825300"/>
    <w:rsid w:val="008257E4"/>
    <w:rsid w:val="00825B4A"/>
    <w:rsid w:val="00825B56"/>
    <w:rsid w:val="00825CD2"/>
    <w:rsid w:val="00825D3C"/>
    <w:rsid w:val="00825EF0"/>
    <w:rsid w:val="008262DE"/>
    <w:rsid w:val="00826696"/>
    <w:rsid w:val="008267F7"/>
    <w:rsid w:val="00826903"/>
    <w:rsid w:val="0082697A"/>
    <w:rsid w:val="00826AD7"/>
    <w:rsid w:val="00826B8A"/>
    <w:rsid w:val="00826B8F"/>
    <w:rsid w:val="00826ECA"/>
    <w:rsid w:val="00826F19"/>
    <w:rsid w:val="00826FC3"/>
    <w:rsid w:val="008272DA"/>
    <w:rsid w:val="0082730B"/>
    <w:rsid w:val="00827407"/>
    <w:rsid w:val="00827C95"/>
    <w:rsid w:val="00830436"/>
    <w:rsid w:val="00830514"/>
    <w:rsid w:val="00830924"/>
    <w:rsid w:val="00830B53"/>
    <w:rsid w:val="00830C49"/>
    <w:rsid w:val="00830DE9"/>
    <w:rsid w:val="008311B2"/>
    <w:rsid w:val="00831249"/>
    <w:rsid w:val="0083158B"/>
    <w:rsid w:val="0083174A"/>
    <w:rsid w:val="0083176F"/>
    <w:rsid w:val="0083180D"/>
    <w:rsid w:val="00831829"/>
    <w:rsid w:val="00831ADA"/>
    <w:rsid w:val="00832048"/>
    <w:rsid w:val="00832235"/>
    <w:rsid w:val="00832370"/>
    <w:rsid w:val="0083242C"/>
    <w:rsid w:val="00832C28"/>
    <w:rsid w:val="00832E5D"/>
    <w:rsid w:val="008331D7"/>
    <w:rsid w:val="00833756"/>
    <w:rsid w:val="008338DA"/>
    <w:rsid w:val="008339FC"/>
    <w:rsid w:val="00833B64"/>
    <w:rsid w:val="00833BBD"/>
    <w:rsid w:val="00833DC9"/>
    <w:rsid w:val="00833F30"/>
    <w:rsid w:val="00833F9F"/>
    <w:rsid w:val="008340FC"/>
    <w:rsid w:val="008340FD"/>
    <w:rsid w:val="008342C8"/>
    <w:rsid w:val="00834419"/>
    <w:rsid w:val="00834870"/>
    <w:rsid w:val="008348D3"/>
    <w:rsid w:val="00834DCE"/>
    <w:rsid w:val="00834FAC"/>
    <w:rsid w:val="008353E3"/>
    <w:rsid w:val="0083546C"/>
    <w:rsid w:val="008356C4"/>
    <w:rsid w:val="00835F8A"/>
    <w:rsid w:val="0083646A"/>
    <w:rsid w:val="00836493"/>
    <w:rsid w:val="00836AE4"/>
    <w:rsid w:val="00836BC2"/>
    <w:rsid w:val="00837043"/>
    <w:rsid w:val="008373D1"/>
    <w:rsid w:val="008377E4"/>
    <w:rsid w:val="008379D3"/>
    <w:rsid w:val="00837A41"/>
    <w:rsid w:val="00837EBB"/>
    <w:rsid w:val="00837FFE"/>
    <w:rsid w:val="00840003"/>
    <w:rsid w:val="00840478"/>
    <w:rsid w:val="0084087C"/>
    <w:rsid w:val="0084088B"/>
    <w:rsid w:val="0084089B"/>
    <w:rsid w:val="00840A66"/>
    <w:rsid w:val="00840E18"/>
    <w:rsid w:val="00841056"/>
    <w:rsid w:val="008410E7"/>
    <w:rsid w:val="008414D6"/>
    <w:rsid w:val="008414DF"/>
    <w:rsid w:val="0084152D"/>
    <w:rsid w:val="008416A6"/>
    <w:rsid w:val="00841AD5"/>
    <w:rsid w:val="00841D79"/>
    <w:rsid w:val="0084202B"/>
    <w:rsid w:val="008421A8"/>
    <w:rsid w:val="0084229A"/>
    <w:rsid w:val="008424BD"/>
    <w:rsid w:val="00842681"/>
    <w:rsid w:val="0084280C"/>
    <w:rsid w:val="00842853"/>
    <w:rsid w:val="008429B2"/>
    <w:rsid w:val="00842A2F"/>
    <w:rsid w:val="00842DE1"/>
    <w:rsid w:val="00842DFF"/>
    <w:rsid w:val="00842EFD"/>
    <w:rsid w:val="008431AE"/>
    <w:rsid w:val="00843390"/>
    <w:rsid w:val="008433DE"/>
    <w:rsid w:val="0084340A"/>
    <w:rsid w:val="0084366F"/>
    <w:rsid w:val="00843977"/>
    <w:rsid w:val="008439DB"/>
    <w:rsid w:val="00843E0D"/>
    <w:rsid w:val="0084409C"/>
    <w:rsid w:val="0084434E"/>
    <w:rsid w:val="008443EA"/>
    <w:rsid w:val="008443F3"/>
    <w:rsid w:val="008447BA"/>
    <w:rsid w:val="008449F2"/>
    <w:rsid w:val="00844AA2"/>
    <w:rsid w:val="008451AD"/>
    <w:rsid w:val="00845327"/>
    <w:rsid w:val="008453A9"/>
    <w:rsid w:val="008453E3"/>
    <w:rsid w:val="008453F7"/>
    <w:rsid w:val="00845772"/>
    <w:rsid w:val="0084584A"/>
    <w:rsid w:val="00845CA1"/>
    <w:rsid w:val="00845CB8"/>
    <w:rsid w:val="00845CFB"/>
    <w:rsid w:val="00845EF1"/>
    <w:rsid w:val="0084617F"/>
    <w:rsid w:val="008461F6"/>
    <w:rsid w:val="00846293"/>
    <w:rsid w:val="0084648A"/>
    <w:rsid w:val="0084658A"/>
    <w:rsid w:val="008465CD"/>
    <w:rsid w:val="0084672E"/>
    <w:rsid w:val="00846D63"/>
    <w:rsid w:val="00846E4E"/>
    <w:rsid w:val="00846F1F"/>
    <w:rsid w:val="00846F74"/>
    <w:rsid w:val="00847BE1"/>
    <w:rsid w:val="00850091"/>
    <w:rsid w:val="008501EA"/>
    <w:rsid w:val="00850261"/>
    <w:rsid w:val="008506ED"/>
    <w:rsid w:val="00850771"/>
    <w:rsid w:val="008508A1"/>
    <w:rsid w:val="00850D53"/>
    <w:rsid w:val="008510D0"/>
    <w:rsid w:val="00851316"/>
    <w:rsid w:val="00851758"/>
    <w:rsid w:val="0085180D"/>
    <w:rsid w:val="00851BF5"/>
    <w:rsid w:val="00851BF7"/>
    <w:rsid w:val="00851EC7"/>
    <w:rsid w:val="00851F70"/>
    <w:rsid w:val="00852358"/>
    <w:rsid w:val="00852610"/>
    <w:rsid w:val="00852FBD"/>
    <w:rsid w:val="008530E7"/>
    <w:rsid w:val="0085314F"/>
    <w:rsid w:val="008531D1"/>
    <w:rsid w:val="00853463"/>
    <w:rsid w:val="008537E4"/>
    <w:rsid w:val="0085384B"/>
    <w:rsid w:val="0085387C"/>
    <w:rsid w:val="008538FA"/>
    <w:rsid w:val="00853A07"/>
    <w:rsid w:val="00854395"/>
    <w:rsid w:val="008547E7"/>
    <w:rsid w:val="00854A1A"/>
    <w:rsid w:val="00854A75"/>
    <w:rsid w:val="00854DD8"/>
    <w:rsid w:val="00854EF3"/>
    <w:rsid w:val="00854F38"/>
    <w:rsid w:val="0085500D"/>
    <w:rsid w:val="00855025"/>
    <w:rsid w:val="008552D8"/>
    <w:rsid w:val="008553C0"/>
    <w:rsid w:val="0085546F"/>
    <w:rsid w:val="0085588C"/>
    <w:rsid w:val="00855A43"/>
    <w:rsid w:val="00855A68"/>
    <w:rsid w:val="00855C64"/>
    <w:rsid w:val="00855E16"/>
    <w:rsid w:val="00856188"/>
    <w:rsid w:val="008564C1"/>
    <w:rsid w:val="00856592"/>
    <w:rsid w:val="00856684"/>
    <w:rsid w:val="0085696C"/>
    <w:rsid w:val="00856976"/>
    <w:rsid w:val="0085709B"/>
    <w:rsid w:val="00857228"/>
    <w:rsid w:val="008573CA"/>
    <w:rsid w:val="00857A63"/>
    <w:rsid w:val="00857A65"/>
    <w:rsid w:val="00857BD3"/>
    <w:rsid w:val="00857CE4"/>
    <w:rsid w:val="00857E32"/>
    <w:rsid w:val="0086040A"/>
    <w:rsid w:val="008604FB"/>
    <w:rsid w:val="008608AC"/>
    <w:rsid w:val="00860AFF"/>
    <w:rsid w:val="00860E1C"/>
    <w:rsid w:val="00861301"/>
    <w:rsid w:val="00861D82"/>
    <w:rsid w:val="00861D91"/>
    <w:rsid w:val="00861E97"/>
    <w:rsid w:val="00862567"/>
    <w:rsid w:val="008626DC"/>
    <w:rsid w:val="0086315D"/>
    <w:rsid w:val="00863AB7"/>
    <w:rsid w:val="00863E48"/>
    <w:rsid w:val="00864119"/>
    <w:rsid w:val="0086424B"/>
    <w:rsid w:val="00864481"/>
    <w:rsid w:val="008646F2"/>
    <w:rsid w:val="0086473D"/>
    <w:rsid w:val="00864780"/>
    <w:rsid w:val="00864901"/>
    <w:rsid w:val="00864B53"/>
    <w:rsid w:val="00864DE4"/>
    <w:rsid w:val="00864E0C"/>
    <w:rsid w:val="00864E5B"/>
    <w:rsid w:val="008651EF"/>
    <w:rsid w:val="0086576A"/>
    <w:rsid w:val="00865B3B"/>
    <w:rsid w:val="00865C07"/>
    <w:rsid w:val="00865C55"/>
    <w:rsid w:val="00865DE4"/>
    <w:rsid w:val="00865F38"/>
    <w:rsid w:val="00866050"/>
    <w:rsid w:val="008664B4"/>
    <w:rsid w:val="00866585"/>
    <w:rsid w:val="00866D7B"/>
    <w:rsid w:val="00866D93"/>
    <w:rsid w:val="00866E62"/>
    <w:rsid w:val="00866EC9"/>
    <w:rsid w:val="008673B7"/>
    <w:rsid w:val="00867635"/>
    <w:rsid w:val="008678DF"/>
    <w:rsid w:val="00867A9A"/>
    <w:rsid w:val="00867BD5"/>
    <w:rsid w:val="00867C68"/>
    <w:rsid w:val="00867F0B"/>
    <w:rsid w:val="008702B4"/>
    <w:rsid w:val="008705D2"/>
    <w:rsid w:val="008706A3"/>
    <w:rsid w:val="00870A01"/>
    <w:rsid w:val="00870A91"/>
    <w:rsid w:val="00871185"/>
    <w:rsid w:val="008712FB"/>
    <w:rsid w:val="008713B8"/>
    <w:rsid w:val="0087148C"/>
    <w:rsid w:val="00871CA1"/>
    <w:rsid w:val="00871CB9"/>
    <w:rsid w:val="00872104"/>
    <w:rsid w:val="0087231B"/>
    <w:rsid w:val="008727F1"/>
    <w:rsid w:val="00872A13"/>
    <w:rsid w:val="00872DA6"/>
    <w:rsid w:val="00872DFD"/>
    <w:rsid w:val="00872E98"/>
    <w:rsid w:val="00872EEC"/>
    <w:rsid w:val="00873098"/>
    <w:rsid w:val="0087333D"/>
    <w:rsid w:val="0087340D"/>
    <w:rsid w:val="0087357D"/>
    <w:rsid w:val="0087366F"/>
    <w:rsid w:val="00873720"/>
    <w:rsid w:val="00873B3D"/>
    <w:rsid w:val="00873B7E"/>
    <w:rsid w:val="00873D92"/>
    <w:rsid w:val="00873FA8"/>
    <w:rsid w:val="00874146"/>
    <w:rsid w:val="00874372"/>
    <w:rsid w:val="00874855"/>
    <w:rsid w:val="008749E9"/>
    <w:rsid w:val="00874A18"/>
    <w:rsid w:val="00874E79"/>
    <w:rsid w:val="00874EBC"/>
    <w:rsid w:val="00874FF4"/>
    <w:rsid w:val="008752B8"/>
    <w:rsid w:val="0087536B"/>
    <w:rsid w:val="008756A6"/>
    <w:rsid w:val="0087570F"/>
    <w:rsid w:val="00875D60"/>
    <w:rsid w:val="00876052"/>
    <w:rsid w:val="0087622B"/>
    <w:rsid w:val="00876236"/>
    <w:rsid w:val="00876478"/>
    <w:rsid w:val="00876716"/>
    <w:rsid w:val="0087679A"/>
    <w:rsid w:val="008767ED"/>
    <w:rsid w:val="00876A85"/>
    <w:rsid w:val="00876E98"/>
    <w:rsid w:val="00877900"/>
    <w:rsid w:val="0087793D"/>
    <w:rsid w:val="008779BF"/>
    <w:rsid w:val="008800B5"/>
    <w:rsid w:val="008801D7"/>
    <w:rsid w:val="008804C7"/>
    <w:rsid w:val="008805E6"/>
    <w:rsid w:val="00880A1D"/>
    <w:rsid w:val="00880BE4"/>
    <w:rsid w:val="00880E7D"/>
    <w:rsid w:val="0088163D"/>
    <w:rsid w:val="008816C1"/>
    <w:rsid w:val="00881FA3"/>
    <w:rsid w:val="0088205E"/>
    <w:rsid w:val="00882065"/>
    <w:rsid w:val="0088215E"/>
    <w:rsid w:val="0088255B"/>
    <w:rsid w:val="00882997"/>
    <w:rsid w:val="008829AE"/>
    <w:rsid w:val="00883311"/>
    <w:rsid w:val="0088337A"/>
    <w:rsid w:val="008835D9"/>
    <w:rsid w:val="008838AB"/>
    <w:rsid w:val="00883A02"/>
    <w:rsid w:val="008842CA"/>
    <w:rsid w:val="00884C51"/>
    <w:rsid w:val="0088548F"/>
    <w:rsid w:val="00885889"/>
    <w:rsid w:val="008858C6"/>
    <w:rsid w:val="0088597B"/>
    <w:rsid w:val="00885ADF"/>
    <w:rsid w:val="00885D05"/>
    <w:rsid w:val="00885E5A"/>
    <w:rsid w:val="00885E69"/>
    <w:rsid w:val="00886110"/>
    <w:rsid w:val="008865C3"/>
    <w:rsid w:val="0088685A"/>
    <w:rsid w:val="00886988"/>
    <w:rsid w:val="00886D88"/>
    <w:rsid w:val="0088729B"/>
    <w:rsid w:val="00887726"/>
    <w:rsid w:val="008879D6"/>
    <w:rsid w:val="00887BC7"/>
    <w:rsid w:val="008902DD"/>
    <w:rsid w:val="00890329"/>
    <w:rsid w:val="0089069C"/>
    <w:rsid w:val="00890817"/>
    <w:rsid w:val="00890AC3"/>
    <w:rsid w:val="00890C34"/>
    <w:rsid w:val="00890EA0"/>
    <w:rsid w:val="00890EC3"/>
    <w:rsid w:val="00890F4F"/>
    <w:rsid w:val="00891055"/>
    <w:rsid w:val="0089157A"/>
    <w:rsid w:val="0089168A"/>
    <w:rsid w:val="00891879"/>
    <w:rsid w:val="008918B0"/>
    <w:rsid w:val="00891D72"/>
    <w:rsid w:val="00891F22"/>
    <w:rsid w:val="00891FCD"/>
    <w:rsid w:val="00892016"/>
    <w:rsid w:val="008921AC"/>
    <w:rsid w:val="008922B1"/>
    <w:rsid w:val="00892321"/>
    <w:rsid w:val="00892423"/>
    <w:rsid w:val="00892489"/>
    <w:rsid w:val="0089266A"/>
    <w:rsid w:val="0089273B"/>
    <w:rsid w:val="0089348C"/>
    <w:rsid w:val="00893631"/>
    <w:rsid w:val="0089368B"/>
    <w:rsid w:val="008936D0"/>
    <w:rsid w:val="0089379C"/>
    <w:rsid w:val="00893833"/>
    <w:rsid w:val="00893876"/>
    <w:rsid w:val="008938F4"/>
    <w:rsid w:val="00893C16"/>
    <w:rsid w:val="00893DCC"/>
    <w:rsid w:val="008940DC"/>
    <w:rsid w:val="0089414A"/>
    <w:rsid w:val="00894250"/>
    <w:rsid w:val="008943C9"/>
    <w:rsid w:val="008943E0"/>
    <w:rsid w:val="008945A6"/>
    <w:rsid w:val="00894686"/>
    <w:rsid w:val="008947BE"/>
    <w:rsid w:val="0089539D"/>
    <w:rsid w:val="0089559F"/>
    <w:rsid w:val="00895705"/>
    <w:rsid w:val="00895F11"/>
    <w:rsid w:val="00896346"/>
    <w:rsid w:val="0089636C"/>
    <w:rsid w:val="00896727"/>
    <w:rsid w:val="0089680B"/>
    <w:rsid w:val="00896E74"/>
    <w:rsid w:val="00896FFA"/>
    <w:rsid w:val="008970F9"/>
    <w:rsid w:val="00897383"/>
    <w:rsid w:val="00897E3D"/>
    <w:rsid w:val="00897FDF"/>
    <w:rsid w:val="008A001E"/>
    <w:rsid w:val="008A0527"/>
    <w:rsid w:val="008A0544"/>
    <w:rsid w:val="008A0667"/>
    <w:rsid w:val="008A08A1"/>
    <w:rsid w:val="008A096B"/>
    <w:rsid w:val="008A0C04"/>
    <w:rsid w:val="008A0F28"/>
    <w:rsid w:val="008A1027"/>
    <w:rsid w:val="008A1756"/>
    <w:rsid w:val="008A1949"/>
    <w:rsid w:val="008A2311"/>
    <w:rsid w:val="008A248A"/>
    <w:rsid w:val="008A2542"/>
    <w:rsid w:val="008A27CE"/>
    <w:rsid w:val="008A2FE0"/>
    <w:rsid w:val="008A3195"/>
    <w:rsid w:val="008A321C"/>
    <w:rsid w:val="008A37D0"/>
    <w:rsid w:val="008A3B28"/>
    <w:rsid w:val="008A3D2F"/>
    <w:rsid w:val="008A3E73"/>
    <w:rsid w:val="008A4155"/>
    <w:rsid w:val="008A431E"/>
    <w:rsid w:val="008A4A31"/>
    <w:rsid w:val="008A4BFF"/>
    <w:rsid w:val="008A52CA"/>
    <w:rsid w:val="008A595A"/>
    <w:rsid w:val="008A596E"/>
    <w:rsid w:val="008A5C32"/>
    <w:rsid w:val="008A5D26"/>
    <w:rsid w:val="008A5F85"/>
    <w:rsid w:val="008A682F"/>
    <w:rsid w:val="008A69A6"/>
    <w:rsid w:val="008A6A62"/>
    <w:rsid w:val="008A6DB3"/>
    <w:rsid w:val="008A6EAA"/>
    <w:rsid w:val="008A6FAD"/>
    <w:rsid w:val="008A7898"/>
    <w:rsid w:val="008A7C6A"/>
    <w:rsid w:val="008A7E29"/>
    <w:rsid w:val="008A7F96"/>
    <w:rsid w:val="008B023D"/>
    <w:rsid w:val="008B03BB"/>
    <w:rsid w:val="008B0435"/>
    <w:rsid w:val="008B0448"/>
    <w:rsid w:val="008B057D"/>
    <w:rsid w:val="008B0687"/>
    <w:rsid w:val="008B0AF8"/>
    <w:rsid w:val="008B0CB0"/>
    <w:rsid w:val="008B11AF"/>
    <w:rsid w:val="008B11BA"/>
    <w:rsid w:val="008B135F"/>
    <w:rsid w:val="008B13C8"/>
    <w:rsid w:val="008B14D9"/>
    <w:rsid w:val="008B1DF0"/>
    <w:rsid w:val="008B1EB4"/>
    <w:rsid w:val="008B205A"/>
    <w:rsid w:val="008B2425"/>
    <w:rsid w:val="008B2983"/>
    <w:rsid w:val="008B2AC5"/>
    <w:rsid w:val="008B2B05"/>
    <w:rsid w:val="008B2F02"/>
    <w:rsid w:val="008B30CB"/>
    <w:rsid w:val="008B3576"/>
    <w:rsid w:val="008B37B8"/>
    <w:rsid w:val="008B42BE"/>
    <w:rsid w:val="008B47CC"/>
    <w:rsid w:val="008B5093"/>
    <w:rsid w:val="008B520E"/>
    <w:rsid w:val="008B525E"/>
    <w:rsid w:val="008B5454"/>
    <w:rsid w:val="008B54BF"/>
    <w:rsid w:val="008B5548"/>
    <w:rsid w:val="008B5857"/>
    <w:rsid w:val="008B5BBC"/>
    <w:rsid w:val="008B5C22"/>
    <w:rsid w:val="008B5FD1"/>
    <w:rsid w:val="008B6064"/>
    <w:rsid w:val="008B62D2"/>
    <w:rsid w:val="008B6A3F"/>
    <w:rsid w:val="008B6AFB"/>
    <w:rsid w:val="008B6F05"/>
    <w:rsid w:val="008B6F74"/>
    <w:rsid w:val="008B71D2"/>
    <w:rsid w:val="008B73D1"/>
    <w:rsid w:val="008B740A"/>
    <w:rsid w:val="008B77DC"/>
    <w:rsid w:val="008B79A5"/>
    <w:rsid w:val="008B7B0E"/>
    <w:rsid w:val="008C0031"/>
    <w:rsid w:val="008C03F9"/>
    <w:rsid w:val="008C064D"/>
    <w:rsid w:val="008C08C2"/>
    <w:rsid w:val="008C0914"/>
    <w:rsid w:val="008C0A03"/>
    <w:rsid w:val="008C0A96"/>
    <w:rsid w:val="008C0A9A"/>
    <w:rsid w:val="008C0BCC"/>
    <w:rsid w:val="008C0D2F"/>
    <w:rsid w:val="008C0F94"/>
    <w:rsid w:val="008C166B"/>
    <w:rsid w:val="008C243E"/>
    <w:rsid w:val="008C27F0"/>
    <w:rsid w:val="008C29DA"/>
    <w:rsid w:val="008C2D12"/>
    <w:rsid w:val="008C2E31"/>
    <w:rsid w:val="008C2E34"/>
    <w:rsid w:val="008C2ED5"/>
    <w:rsid w:val="008C3256"/>
    <w:rsid w:val="008C381F"/>
    <w:rsid w:val="008C3AF6"/>
    <w:rsid w:val="008C3E28"/>
    <w:rsid w:val="008C4011"/>
    <w:rsid w:val="008C4509"/>
    <w:rsid w:val="008C45A7"/>
    <w:rsid w:val="008C4787"/>
    <w:rsid w:val="008C4CB6"/>
    <w:rsid w:val="008C4D00"/>
    <w:rsid w:val="008C4D93"/>
    <w:rsid w:val="008C50A8"/>
    <w:rsid w:val="008C5349"/>
    <w:rsid w:val="008C5769"/>
    <w:rsid w:val="008C5922"/>
    <w:rsid w:val="008C5AE2"/>
    <w:rsid w:val="008C5B0E"/>
    <w:rsid w:val="008C5F5B"/>
    <w:rsid w:val="008C6213"/>
    <w:rsid w:val="008C68C9"/>
    <w:rsid w:val="008C6946"/>
    <w:rsid w:val="008C6AFD"/>
    <w:rsid w:val="008C6BF0"/>
    <w:rsid w:val="008C6CFD"/>
    <w:rsid w:val="008C6F5E"/>
    <w:rsid w:val="008C6F69"/>
    <w:rsid w:val="008C70CA"/>
    <w:rsid w:val="008C710A"/>
    <w:rsid w:val="008C71E9"/>
    <w:rsid w:val="008C747C"/>
    <w:rsid w:val="008C74FB"/>
    <w:rsid w:val="008C7697"/>
    <w:rsid w:val="008C79EF"/>
    <w:rsid w:val="008C7BFD"/>
    <w:rsid w:val="008C7C91"/>
    <w:rsid w:val="008D00CD"/>
    <w:rsid w:val="008D02C5"/>
    <w:rsid w:val="008D036A"/>
    <w:rsid w:val="008D03C8"/>
    <w:rsid w:val="008D066D"/>
    <w:rsid w:val="008D0792"/>
    <w:rsid w:val="008D07A9"/>
    <w:rsid w:val="008D082C"/>
    <w:rsid w:val="008D09CE"/>
    <w:rsid w:val="008D0AFB"/>
    <w:rsid w:val="008D0CD3"/>
    <w:rsid w:val="008D0ED7"/>
    <w:rsid w:val="008D0EF1"/>
    <w:rsid w:val="008D0FDE"/>
    <w:rsid w:val="008D11FE"/>
    <w:rsid w:val="008D1298"/>
    <w:rsid w:val="008D1594"/>
    <w:rsid w:val="008D17D1"/>
    <w:rsid w:val="008D1952"/>
    <w:rsid w:val="008D19AC"/>
    <w:rsid w:val="008D19DE"/>
    <w:rsid w:val="008D19EB"/>
    <w:rsid w:val="008D1A6D"/>
    <w:rsid w:val="008D1B13"/>
    <w:rsid w:val="008D1BA8"/>
    <w:rsid w:val="008D20FB"/>
    <w:rsid w:val="008D22ED"/>
    <w:rsid w:val="008D27B1"/>
    <w:rsid w:val="008D2B85"/>
    <w:rsid w:val="008D2CB5"/>
    <w:rsid w:val="008D2EEC"/>
    <w:rsid w:val="008D2F78"/>
    <w:rsid w:val="008D362D"/>
    <w:rsid w:val="008D3F07"/>
    <w:rsid w:val="008D40BB"/>
    <w:rsid w:val="008D458F"/>
    <w:rsid w:val="008D4923"/>
    <w:rsid w:val="008D576C"/>
    <w:rsid w:val="008D579B"/>
    <w:rsid w:val="008D58F1"/>
    <w:rsid w:val="008D5FD2"/>
    <w:rsid w:val="008D60E4"/>
    <w:rsid w:val="008D63A0"/>
    <w:rsid w:val="008D6735"/>
    <w:rsid w:val="008D67C1"/>
    <w:rsid w:val="008D67C4"/>
    <w:rsid w:val="008D68BC"/>
    <w:rsid w:val="008D6975"/>
    <w:rsid w:val="008D6B70"/>
    <w:rsid w:val="008D6D1C"/>
    <w:rsid w:val="008D722E"/>
    <w:rsid w:val="008D7593"/>
    <w:rsid w:val="008D75ED"/>
    <w:rsid w:val="008D7C17"/>
    <w:rsid w:val="008D7F61"/>
    <w:rsid w:val="008D7FAC"/>
    <w:rsid w:val="008E051F"/>
    <w:rsid w:val="008E05EB"/>
    <w:rsid w:val="008E0889"/>
    <w:rsid w:val="008E0B90"/>
    <w:rsid w:val="008E0C5E"/>
    <w:rsid w:val="008E0E53"/>
    <w:rsid w:val="008E1035"/>
    <w:rsid w:val="008E1050"/>
    <w:rsid w:val="008E1BA9"/>
    <w:rsid w:val="008E1C7A"/>
    <w:rsid w:val="008E1DA7"/>
    <w:rsid w:val="008E2443"/>
    <w:rsid w:val="008E2830"/>
    <w:rsid w:val="008E2DE1"/>
    <w:rsid w:val="008E2E1B"/>
    <w:rsid w:val="008E2F61"/>
    <w:rsid w:val="008E3128"/>
    <w:rsid w:val="008E3418"/>
    <w:rsid w:val="008E3A08"/>
    <w:rsid w:val="008E3E0A"/>
    <w:rsid w:val="008E4374"/>
    <w:rsid w:val="008E4B74"/>
    <w:rsid w:val="008E4BC7"/>
    <w:rsid w:val="008E4FB6"/>
    <w:rsid w:val="008E53A1"/>
    <w:rsid w:val="008E5693"/>
    <w:rsid w:val="008E5E71"/>
    <w:rsid w:val="008E6859"/>
    <w:rsid w:val="008E6A8D"/>
    <w:rsid w:val="008E6E52"/>
    <w:rsid w:val="008E70BE"/>
    <w:rsid w:val="008E7141"/>
    <w:rsid w:val="008E71A9"/>
    <w:rsid w:val="008E7C57"/>
    <w:rsid w:val="008E7E60"/>
    <w:rsid w:val="008E7FA9"/>
    <w:rsid w:val="008F009D"/>
    <w:rsid w:val="008F0130"/>
    <w:rsid w:val="008F0389"/>
    <w:rsid w:val="008F0393"/>
    <w:rsid w:val="008F0600"/>
    <w:rsid w:val="008F0CB0"/>
    <w:rsid w:val="008F1097"/>
    <w:rsid w:val="008F1177"/>
    <w:rsid w:val="008F175A"/>
    <w:rsid w:val="008F1793"/>
    <w:rsid w:val="008F1A20"/>
    <w:rsid w:val="008F1A93"/>
    <w:rsid w:val="008F1D6A"/>
    <w:rsid w:val="008F22B6"/>
    <w:rsid w:val="008F245B"/>
    <w:rsid w:val="008F250E"/>
    <w:rsid w:val="008F2824"/>
    <w:rsid w:val="008F2898"/>
    <w:rsid w:val="008F2B18"/>
    <w:rsid w:val="008F2B87"/>
    <w:rsid w:val="008F2F50"/>
    <w:rsid w:val="008F2FD6"/>
    <w:rsid w:val="008F3471"/>
    <w:rsid w:val="008F3B04"/>
    <w:rsid w:val="008F3DA8"/>
    <w:rsid w:val="008F3E5F"/>
    <w:rsid w:val="008F3F07"/>
    <w:rsid w:val="008F4331"/>
    <w:rsid w:val="008F4390"/>
    <w:rsid w:val="008F4394"/>
    <w:rsid w:val="008F4396"/>
    <w:rsid w:val="008F43D0"/>
    <w:rsid w:val="008F4A07"/>
    <w:rsid w:val="008F4C72"/>
    <w:rsid w:val="008F4FC5"/>
    <w:rsid w:val="008F505B"/>
    <w:rsid w:val="008F5126"/>
    <w:rsid w:val="008F52F0"/>
    <w:rsid w:val="008F5D08"/>
    <w:rsid w:val="008F619B"/>
    <w:rsid w:val="008F63F1"/>
    <w:rsid w:val="008F64C7"/>
    <w:rsid w:val="008F6548"/>
    <w:rsid w:val="008F67A0"/>
    <w:rsid w:val="008F68B8"/>
    <w:rsid w:val="008F6A44"/>
    <w:rsid w:val="008F6A7F"/>
    <w:rsid w:val="008F6CD7"/>
    <w:rsid w:val="008F6F0A"/>
    <w:rsid w:val="008F714E"/>
    <w:rsid w:val="008F736B"/>
    <w:rsid w:val="008F73B8"/>
    <w:rsid w:val="008F76E6"/>
    <w:rsid w:val="008F7801"/>
    <w:rsid w:val="008F787B"/>
    <w:rsid w:val="008F79A5"/>
    <w:rsid w:val="008F7AF9"/>
    <w:rsid w:val="008F7D35"/>
    <w:rsid w:val="009000B5"/>
    <w:rsid w:val="00900198"/>
    <w:rsid w:val="009002F6"/>
    <w:rsid w:val="009004AB"/>
    <w:rsid w:val="009004FD"/>
    <w:rsid w:val="00900923"/>
    <w:rsid w:val="00900A96"/>
    <w:rsid w:val="00900AD4"/>
    <w:rsid w:val="00900CED"/>
    <w:rsid w:val="00900ECB"/>
    <w:rsid w:val="00900FB9"/>
    <w:rsid w:val="009010C2"/>
    <w:rsid w:val="00901200"/>
    <w:rsid w:val="009012AB"/>
    <w:rsid w:val="009013B1"/>
    <w:rsid w:val="009014D1"/>
    <w:rsid w:val="009015FA"/>
    <w:rsid w:val="00901702"/>
    <w:rsid w:val="00901714"/>
    <w:rsid w:val="00901952"/>
    <w:rsid w:val="009019DE"/>
    <w:rsid w:val="00901E80"/>
    <w:rsid w:val="00901FAF"/>
    <w:rsid w:val="00902462"/>
    <w:rsid w:val="0090254E"/>
    <w:rsid w:val="00902614"/>
    <w:rsid w:val="009028E0"/>
    <w:rsid w:val="00902D6D"/>
    <w:rsid w:val="009033B9"/>
    <w:rsid w:val="009035F7"/>
    <w:rsid w:val="009036FE"/>
    <w:rsid w:val="00903DB3"/>
    <w:rsid w:val="00903ED0"/>
    <w:rsid w:val="00903ED6"/>
    <w:rsid w:val="009040A1"/>
    <w:rsid w:val="00904141"/>
    <w:rsid w:val="00904163"/>
    <w:rsid w:val="00904A4C"/>
    <w:rsid w:val="00904C1A"/>
    <w:rsid w:val="00904CB1"/>
    <w:rsid w:val="00904E8C"/>
    <w:rsid w:val="0090543A"/>
    <w:rsid w:val="00905462"/>
    <w:rsid w:val="009055C4"/>
    <w:rsid w:val="009056DF"/>
    <w:rsid w:val="00905B8D"/>
    <w:rsid w:val="00906CF6"/>
    <w:rsid w:val="00906E60"/>
    <w:rsid w:val="00906FB5"/>
    <w:rsid w:val="00906FD2"/>
    <w:rsid w:val="0090706D"/>
    <w:rsid w:val="00907168"/>
    <w:rsid w:val="00907824"/>
    <w:rsid w:val="00907CA1"/>
    <w:rsid w:val="00907FA4"/>
    <w:rsid w:val="00910875"/>
    <w:rsid w:val="009109CA"/>
    <w:rsid w:val="00910B2B"/>
    <w:rsid w:val="00910B82"/>
    <w:rsid w:val="00911176"/>
    <w:rsid w:val="009111F4"/>
    <w:rsid w:val="00911524"/>
    <w:rsid w:val="00911687"/>
    <w:rsid w:val="009119A8"/>
    <w:rsid w:val="00911ADC"/>
    <w:rsid w:val="00911D9F"/>
    <w:rsid w:val="009120C6"/>
    <w:rsid w:val="00912DA6"/>
    <w:rsid w:val="00912E0F"/>
    <w:rsid w:val="00912E6E"/>
    <w:rsid w:val="00912F2D"/>
    <w:rsid w:val="009130DC"/>
    <w:rsid w:val="00913107"/>
    <w:rsid w:val="00913370"/>
    <w:rsid w:val="009135E5"/>
    <w:rsid w:val="00913655"/>
    <w:rsid w:val="00913739"/>
    <w:rsid w:val="009139C8"/>
    <w:rsid w:val="00913B40"/>
    <w:rsid w:val="00913C93"/>
    <w:rsid w:val="00913DA2"/>
    <w:rsid w:val="0091412A"/>
    <w:rsid w:val="00914D3B"/>
    <w:rsid w:val="00915156"/>
    <w:rsid w:val="009152A3"/>
    <w:rsid w:val="0091572E"/>
    <w:rsid w:val="009158C1"/>
    <w:rsid w:val="00915AD3"/>
    <w:rsid w:val="00915B41"/>
    <w:rsid w:val="00915D36"/>
    <w:rsid w:val="00915DAC"/>
    <w:rsid w:val="009160C7"/>
    <w:rsid w:val="00916139"/>
    <w:rsid w:val="009161FC"/>
    <w:rsid w:val="00916307"/>
    <w:rsid w:val="00916390"/>
    <w:rsid w:val="00917123"/>
    <w:rsid w:val="009173CA"/>
    <w:rsid w:val="00917652"/>
    <w:rsid w:val="009176B6"/>
    <w:rsid w:val="0091779E"/>
    <w:rsid w:val="00917977"/>
    <w:rsid w:val="00917A39"/>
    <w:rsid w:val="00917AB8"/>
    <w:rsid w:val="009200DF"/>
    <w:rsid w:val="009203E6"/>
    <w:rsid w:val="00920417"/>
    <w:rsid w:val="009205A9"/>
    <w:rsid w:val="009206FA"/>
    <w:rsid w:val="009208EA"/>
    <w:rsid w:val="00920BA0"/>
    <w:rsid w:val="00920BE9"/>
    <w:rsid w:val="00920FA0"/>
    <w:rsid w:val="00920FB5"/>
    <w:rsid w:val="0092119F"/>
    <w:rsid w:val="009211F5"/>
    <w:rsid w:val="009212ED"/>
    <w:rsid w:val="0092135F"/>
    <w:rsid w:val="00921594"/>
    <w:rsid w:val="00921648"/>
    <w:rsid w:val="009216E6"/>
    <w:rsid w:val="0092170C"/>
    <w:rsid w:val="00922066"/>
    <w:rsid w:val="0092207D"/>
    <w:rsid w:val="0092219A"/>
    <w:rsid w:val="0092219D"/>
    <w:rsid w:val="009221E2"/>
    <w:rsid w:val="009226A7"/>
    <w:rsid w:val="00922A74"/>
    <w:rsid w:val="00922E0B"/>
    <w:rsid w:val="00922E15"/>
    <w:rsid w:val="00922FD5"/>
    <w:rsid w:val="009230F2"/>
    <w:rsid w:val="0092313C"/>
    <w:rsid w:val="00923169"/>
    <w:rsid w:val="009231C6"/>
    <w:rsid w:val="009232E0"/>
    <w:rsid w:val="00923712"/>
    <w:rsid w:val="009239D9"/>
    <w:rsid w:val="00923CC7"/>
    <w:rsid w:val="0092414C"/>
    <w:rsid w:val="00924194"/>
    <w:rsid w:val="00924290"/>
    <w:rsid w:val="009245BD"/>
    <w:rsid w:val="0092462A"/>
    <w:rsid w:val="00924AE9"/>
    <w:rsid w:val="00924B26"/>
    <w:rsid w:val="00924D28"/>
    <w:rsid w:val="00924F26"/>
    <w:rsid w:val="0092509F"/>
    <w:rsid w:val="009250B5"/>
    <w:rsid w:val="00925125"/>
    <w:rsid w:val="0092520A"/>
    <w:rsid w:val="009252C2"/>
    <w:rsid w:val="009257FC"/>
    <w:rsid w:val="00925A9D"/>
    <w:rsid w:val="00925AFC"/>
    <w:rsid w:val="00926673"/>
    <w:rsid w:val="00926709"/>
    <w:rsid w:val="00926865"/>
    <w:rsid w:val="0092694D"/>
    <w:rsid w:val="00926B3C"/>
    <w:rsid w:val="00926B52"/>
    <w:rsid w:val="00926C4D"/>
    <w:rsid w:val="00926D0B"/>
    <w:rsid w:val="00926F94"/>
    <w:rsid w:val="009272FB"/>
    <w:rsid w:val="009277A0"/>
    <w:rsid w:val="00927B16"/>
    <w:rsid w:val="00930008"/>
    <w:rsid w:val="00930380"/>
    <w:rsid w:val="00930784"/>
    <w:rsid w:val="009307AA"/>
    <w:rsid w:val="009307E0"/>
    <w:rsid w:val="00930D0E"/>
    <w:rsid w:val="00930E5E"/>
    <w:rsid w:val="00930E85"/>
    <w:rsid w:val="00930E90"/>
    <w:rsid w:val="00931039"/>
    <w:rsid w:val="00931082"/>
    <w:rsid w:val="00931843"/>
    <w:rsid w:val="009319AD"/>
    <w:rsid w:val="00931B01"/>
    <w:rsid w:val="00931B20"/>
    <w:rsid w:val="00931B23"/>
    <w:rsid w:val="00931C35"/>
    <w:rsid w:val="00932638"/>
    <w:rsid w:val="00932B61"/>
    <w:rsid w:val="00932F46"/>
    <w:rsid w:val="009330DA"/>
    <w:rsid w:val="00933195"/>
    <w:rsid w:val="009334E2"/>
    <w:rsid w:val="009335D7"/>
    <w:rsid w:val="00933991"/>
    <w:rsid w:val="009339B6"/>
    <w:rsid w:val="009339D7"/>
    <w:rsid w:val="00933A9E"/>
    <w:rsid w:val="00933D0C"/>
    <w:rsid w:val="009348FF"/>
    <w:rsid w:val="00934EE8"/>
    <w:rsid w:val="00935AF8"/>
    <w:rsid w:val="00935CBE"/>
    <w:rsid w:val="00935CC3"/>
    <w:rsid w:val="0093615C"/>
    <w:rsid w:val="0093685D"/>
    <w:rsid w:val="009369CE"/>
    <w:rsid w:val="00936ABF"/>
    <w:rsid w:val="00936AD3"/>
    <w:rsid w:val="00936CC3"/>
    <w:rsid w:val="00936D43"/>
    <w:rsid w:val="00936F48"/>
    <w:rsid w:val="00936FD1"/>
    <w:rsid w:val="0093708B"/>
    <w:rsid w:val="00937095"/>
    <w:rsid w:val="009372EF"/>
    <w:rsid w:val="009374C9"/>
    <w:rsid w:val="00937567"/>
    <w:rsid w:val="009376E0"/>
    <w:rsid w:val="009377D7"/>
    <w:rsid w:val="009377FD"/>
    <w:rsid w:val="00937D46"/>
    <w:rsid w:val="00937F9E"/>
    <w:rsid w:val="009400D6"/>
    <w:rsid w:val="009402DC"/>
    <w:rsid w:val="009406AC"/>
    <w:rsid w:val="009409C3"/>
    <w:rsid w:val="00940AC6"/>
    <w:rsid w:val="00940C75"/>
    <w:rsid w:val="00940E9F"/>
    <w:rsid w:val="00940F8F"/>
    <w:rsid w:val="009414B0"/>
    <w:rsid w:val="00941743"/>
    <w:rsid w:val="0094178D"/>
    <w:rsid w:val="009417C2"/>
    <w:rsid w:val="00941A20"/>
    <w:rsid w:val="00941AA8"/>
    <w:rsid w:val="00941CBD"/>
    <w:rsid w:val="00941DB8"/>
    <w:rsid w:val="00941F6D"/>
    <w:rsid w:val="00942367"/>
    <w:rsid w:val="009424E7"/>
    <w:rsid w:val="009425AE"/>
    <w:rsid w:val="0094275F"/>
    <w:rsid w:val="00942832"/>
    <w:rsid w:val="0094284C"/>
    <w:rsid w:val="009428CC"/>
    <w:rsid w:val="00942BA4"/>
    <w:rsid w:val="00942C51"/>
    <w:rsid w:val="00943035"/>
    <w:rsid w:val="0094311B"/>
    <w:rsid w:val="0094316C"/>
    <w:rsid w:val="009432F6"/>
    <w:rsid w:val="00943A0D"/>
    <w:rsid w:val="00943ACC"/>
    <w:rsid w:val="00943DA2"/>
    <w:rsid w:val="00943E4C"/>
    <w:rsid w:val="00943FA5"/>
    <w:rsid w:val="00944129"/>
    <w:rsid w:val="00944654"/>
    <w:rsid w:val="00944E20"/>
    <w:rsid w:val="00944FA5"/>
    <w:rsid w:val="00944FFD"/>
    <w:rsid w:val="00945440"/>
    <w:rsid w:val="00945582"/>
    <w:rsid w:val="009456EB"/>
    <w:rsid w:val="0094578F"/>
    <w:rsid w:val="00945D8F"/>
    <w:rsid w:val="00945E5F"/>
    <w:rsid w:val="00945E96"/>
    <w:rsid w:val="00945EEF"/>
    <w:rsid w:val="00945FF2"/>
    <w:rsid w:val="00946031"/>
    <w:rsid w:val="0094621E"/>
    <w:rsid w:val="009464CF"/>
    <w:rsid w:val="00946578"/>
    <w:rsid w:val="00946C46"/>
    <w:rsid w:val="00946E6B"/>
    <w:rsid w:val="00946FCD"/>
    <w:rsid w:val="009471C2"/>
    <w:rsid w:val="00947538"/>
    <w:rsid w:val="00947670"/>
    <w:rsid w:val="00947A0A"/>
    <w:rsid w:val="00947A21"/>
    <w:rsid w:val="00947D17"/>
    <w:rsid w:val="0095044C"/>
    <w:rsid w:val="009505A4"/>
    <w:rsid w:val="00950694"/>
    <w:rsid w:val="009507DD"/>
    <w:rsid w:val="00950EF5"/>
    <w:rsid w:val="009510B1"/>
    <w:rsid w:val="0095149F"/>
    <w:rsid w:val="0095171F"/>
    <w:rsid w:val="00951919"/>
    <w:rsid w:val="00951BF7"/>
    <w:rsid w:val="00951C3D"/>
    <w:rsid w:val="00951CF1"/>
    <w:rsid w:val="00951F21"/>
    <w:rsid w:val="009521E9"/>
    <w:rsid w:val="00952590"/>
    <w:rsid w:val="00952772"/>
    <w:rsid w:val="0095297E"/>
    <w:rsid w:val="00952ADB"/>
    <w:rsid w:val="00952E2F"/>
    <w:rsid w:val="00952EF1"/>
    <w:rsid w:val="00953420"/>
    <w:rsid w:val="00953879"/>
    <w:rsid w:val="009538D8"/>
    <w:rsid w:val="009539F8"/>
    <w:rsid w:val="00953B79"/>
    <w:rsid w:val="0095417C"/>
    <w:rsid w:val="009543D0"/>
    <w:rsid w:val="009545E5"/>
    <w:rsid w:val="0095497C"/>
    <w:rsid w:val="00954A65"/>
    <w:rsid w:val="00954A66"/>
    <w:rsid w:val="00954C15"/>
    <w:rsid w:val="00954C89"/>
    <w:rsid w:val="00955023"/>
    <w:rsid w:val="009550BC"/>
    <w:rsid w:val="009550FF"/>
    <w:rsid w:val="00955213"/>
    <w:rsid w:val="00955922"/>
    <w:rsid w:val="00955DBE"/>
    <w:rsid w:val="00955E36"/>
    <w:rsid w:val="00956176"/>
    <w:rsid w:val="00956349"/>
    <w:rsid w:val="0095636B"/>
    <w:rsid w:val="009564F1"/>
    <w:rsid w:val="009569D1"/>
    <w:rsid w:val="00956D71"/>
    <w:rsid w:val="009573AE"/>
    <w:rsid w:val="009573B5"/>
    <w:rsid w:val="00957776"/>
    <w:rsid w:val="00957A71"/>
    <w:rsid w:val="00957B71"/>
    <w:rsid w:val="00957CB4"/>
    <w:rsid w:val="00957E5E"/>
    <w:rsid w:val="00957E82"/>
    <w:rsid w:val="0096057F"/>
    <w:rsid w:val="0096069F"/>
    <w:rsid w:val="00960916"/>
    <w:rsid w:val="00960E5A"/>
    <w:rsid w:val="00960F39"/>
    <w:rsid w:val="00960F69"/>
    <w:rsid w:val="0096137A"/>
    <w:rsid w:val="00961405"/>
    <w:rsid w:val="0096155A"/>
    <w:rsid w:val="00961651"/>
    <w:rsid w:val="00961672"/>
    <w:rsid w:val="00961923"/>
    <w:rsid w:val="00961994"/>
    <w:rsid w:val="009619A1"/>
    <w:rsid w:val="00961B94"/>
    <w:rsid w:val="00961D0B"/>
    <w:rsid w:val="00961DCF"/>
    <w:rsid w:val="00961FBA"/>
    <w:rsid w:val="00961FBD"/>
    <w:rsid w:val="00961FE0"/>
    <w:rsid w:val="009620C5"/>
    <w:rsid w:val="00962148"/>
    <w:rsid w:val="0096216E"/>
    <w:rsid w:val="009621C5"/>
    <w:rsid w:val="009622B7"/>
    <w:rsid w:val="0096230A"/>
    <w:rsid w:val="0096249F"/>
    <w:rsid w:val="0096272B"/>
    <w:rsid w:val="00962839"/>
    <w:rsid w:val="009628B1"/>
    <w:rsid w:val="00962AFE"/>
    <w:rsid w:val="00962BD1"/>
    <w:rsid w:val="00962DB6"/>
    <w:rsid w:val="00962DE0"/>
    <w:rsid w:val="00962DF1"/>
    <w:rsid w:val="00962E3A"/>
    <w:rsid w:val="0096315F"/>
    <w:rsid w:val="009631FD"/>
    <w:rsid w:val="009632A3"/>
    <w:rsid w:val="00963440"/>
    <w:rsid w:val="0096366B"/>
    <w:rsid w:val="0096385A"/>
    <w:rsid w:val="00963A4C"/>
    <w:rsid w:val="00963EFF"/>
    <w:rsid w:val="009646B4"/>
    <w:rsid w:val="00964C7D"/>
    <w:rsid w:val="00964C7E"/>
    <w:rsid w:val="00964D7F"/>
    <w:rsid w:val="00964DFC"/>
    <w:rsid w:val="00964F4E"/>
    <w:rsid w:val="00965B60"/>
    <w:rsid w:val="00965E4F"/>
    <w:rsid w:val="00966042"/>
    <w:rsid w:val="00966109"/>
    <w:rsid w:val="009663F1"/>
    <w:rsid w:val="009664A8"/>
    <w:rsid w:val="00966820"/>
    <w:rsid w:val="00966B26"/>
    <w:rsid w:val="00966D27"/>
    <w:rsid w:val="00966E93"/>
    <w:rsid w:val="00966EFF"/>
    <w:rsid w:val="00967110"/>
    <w:rsid w:val="00967115"/>
    <w:rsid w:val="0096751F"/>
    <w:rsid w:val="00967724"/>
    <w:rsid w:val="0096785E"/>
    <w:rsid w:val="0096798F"/>
    <w:rsid w:val="009679AD"/>
    <w:rsid w:val="00967DA0"/>
    <w:rsid w:val="009701A4"/>
    <w:rsid w:val="009703F4"/>
    <w:rsid w:val="00970E65"/>
    <w:rsid w:val="00970EA0"/>
    <w:rsid w:val="0097144E"/>
    <w:rsid w:val="0097177A"/>
    <w:rsid w:val="0097185F"/>
    <w:rsid w:val="0097186F"/>
    <w:rsid w:val="00971A4D"/>
    <w:rsid w:val="00971DBF"/>
    <w:rsid w:val="00971E38"/>
    <w:rsid w:val="00971FA0"/>
    <w:rsid w:val="0097202A"/>
    <w:rsid w:val="0097207F"/>
    <w:rsid w:val="00972213"/>
    <w:rsid w:val="0097223F"/>
    <w:rsid w:val="0097240E"/>
    <w:rsid w:val="00972739"/>
    <w:rsid w:val="00972883"/>
    <w:rsid w:val="009728F4"/>
    <w:rsid w:val="00972952"/>
    <w:rsid w:val="00972964"/>
    <w:rsid w:val="00972C15"/>
    <w:rsid w:val="00972D82"/>
    <w:rsid w:val="00972E5B"/>
    <w:rsid w:val="00973429"/>
    <w:rsid w:val="009735E7"/>
    <w:rsid w:val="0097367C"/>
    <w:rsid w:val="009736C8"/>
    <w:rsid w:val="009739C1"/>
    <w:rsid w:val="00973BEC"/>
    <w:rsid w:val="00973D5A"/>
    <w:rsid w:val="009741AD"/>
    <w:rsid w:val="00974249"/>
    <w:rsid w:val="00974336"/>
    <w:rsid w:val="009743B9"/>
    <w:rsid w:val="0097485D"/>
    <w:rsid w:val="009749B9"/>
    <w:rsid w:val="00974CF3"/>
    <w:rsid w:val="00974D2C"/>
    <w:rsid w:val="00974ED4"/>
    <w:rsid w:val="0097517F"/>
    <w:rsid w:val="009753F2"/>
    <w:rsid w:val="00975A63"/>
    <w:rsid w:val="00975B5C"/>
    <w:rsid w:val="009762A5"/>
    <w:rsid w:val="0097633B"/>
    <w:rsid w:val="009764A6"/>
    <w:rsid w:val="009764D9"/>
    <w:rsid w:val="009772EE"/>
    <w:rsid w:val="0097731E"/>
    <w:rsid w:val="00977837"/>
    <w:rsid w:val="00977A24"/>
    <w:rsid w:val="00977D80"/>
    <w:rsid w:val="00977DC8"/>
    <w:rsid w:val="009806A7"/>
    <w:rsid w:val="00980765"/>
    <w:rsid w:val="009808D5"/>
    <w:rsid w:val="00981619"/>
    <w:rsid w:val="00981739"/>
    <w:rsid w:val="00981811"/>
    <w:rsid w:val="0098191D"/>
    <w:rsid w:val="0098212E"/>
    <w:rsid w:val="00982341"/>
    <w:rsid w:val="009824B1"/>
    <w:rsid w:val="00982992"/>
    <w:rsid w:val="00982F1F"/>
    <w:rsid w:val="0098336D"/>
    <w:rsid w:val="009833EF"/>
    <w:rsid w:val="009835D5"/>
    <w:rsid w:val="00983F69"/>
    <w:rsid w:val="00984767"/>
    <w:rsid w:val="00984978"/>
    <w:rsid w:val="009849AD"/>
    <w:rsid w:val="00984D98"/>
    <w:rsid w:val="00984E42"/>
    <w:rsid w:val="00984E4A"/>
    <w:rsid w:val="009850D4"/>
    <w:rsid w:val="0098544E"/>
    <w:rsid w:val="0098545D"/>
    <w:rsid w:val="00985C1B"/>
    <w:rsid w:val="00986013"/>
    <w:rsid w:val="0098626B"/>
    <w:rsid w:val="00986387"/>
    <w:rsid w:val="009863E8"/>
    <w:rsid w:val="00986B47"/>
    <w:rsid w:val="00986C7E"/>
    <w:rsid w:val="00986F5D"/>
    <w:rsid w:val="009874D9"/>
    <w:rsid w:val="00987760"/>
    <w:rsid w:val="00987999"/>
    <w:rsid w:val="00987B72"/>
    <w:rsid w:val="00987B93"/>
    <w:rsid w:val="00987F99"/>
    <w:rsid w:val="00987FF2"/>
    <w:rsid w:val="0099000F"/>
    <w:rsid w:val="00990294"/>
    <w:rsid w:val="009903E0"/>
    <w:rsid w:val="00990716"/>
    <w:rsid w:val="00990B4A"/>
    <w:rsid w:val="00990EDB"/>
    <w:rsid w:val="00990EDE"/>
    <w:rsid w:val="0099101F"/>
    <w:rsid w:val="009910DF"/>
    <w:rsid w:val="00991118"/>
    <w:rsid w:val="0099138D"/>
    <w:rsid w:val="0099160B"/>
    <w:rsid w:val="009917C7"/>
    <w:rsid w:val="00991910"/>
    <w:rsid w:val="0099197E"/>
    <w:rsid w:val="00991DF8"/>
    <w:rsid w:val="0099202D"/>
    <w:rsid w:val="009920DB"/>
    <w:rsid w:val="00992173"/>
    <w:rsid w:val="009925B9"/>
    <w:rsid w:val="009926F2"/>
    <w:rsid w:val="0099280E"/>
    <w:rsid w:val="009928E6"/>
    <w:rsid w:val="009929EA"/>
    <w:rsid w:val="00992A63"/>
    <w:rsid w:val="00992B70"/>
    <w:rsid w:val="00992CE3"/>
    <w:rsid w:val="009931A1"/>
    <w:rsid w:val="00993445"/>
    <w:rsid w:val="0099371B"/>
    <w:rsid w:val="009939BD"/>
    <w:rsid w:val="00993B98"/>
    <w:rsid w:val="00993C1A"/>
    <w:rsid w:val="00993DCD"/>
    <w:rsid w:val="00993E46"/>
    <w:rsid w:val="00993EF8"/>
    <w:rsid w:val="00993F1E"/>
    <w:rsid w:val="0099407B"/>
    <w:rsid w:val="009942A5"/>
    <w:rsid w:val="009946AA"/>
    <w:rsid w:val="009947F8"/>
    <w:rsid w:val="00994CBE"/>
    <w:rsid w:val="00994FAD"/>
    <w:rsid w:val="00995478"/>
    <w:rsid w:val="009956D8"/>
    <w:rsid w:val="009965AA"/>
    <w:rsid w:val="0099667A"/>
    <w:rsid w:val="009969B8"/>
    <w:rsid w:val="00996C1E"/>
    <w:rsid w:val="00996D45"/>
    <w:rsid w:val="00997384"/>
    <w:rsid w:val="00997703"/>
    <w:rsid w:val="00997A9F"/>
    <w:rsid w:val="00997D2D"/>
    <w:rsid w:val="009A0126"/>
    <w:rsid w:val="009A0890"/>
    <w:rsid w:val="009A0917"/>
    <w:rsid w:val="009A0930"/>
    <w:rsid w:val="009A0D94"/>
    <w:rsid w:val="009A0DDF"/>
    <w:rsid w:val="009A0EA4"/>
    <w:rsid w:val="009A0F03"/>
    <w:rsid w:val="009A1031"/>
    <w:rsid w:val="009A123E"/>
    <w:rsid w:val="009A134D"/>
    <w:rsid w:val="009A1379"/>
    <w:rsid w:val="009A1A5F"/>
    <w:rsid w:val="009A1BA3"/>
    <w:rsid w:val="009A1FE4"/>
    <w:rsid w:val="009A248D"/>
    <w:rsid w:val="009A2698"/>
    <w:rsid w:val="009A26C0"/>
    <w:rsid w:val="009A27D3"/>
    <w:rsid w:val="009A2951"/>
    <w:rsid w:val="009A2E11"/>
    <w:rsid w:val="009A2EBC"/>
    <w:rsid w:val="009A3377"/>
    <w:rsid w:val="009A348C"/>
    <w:rsid w:val="009A3649"/>
    <w:rsid w:val="009A3821"/>
    <w:rsid w:val="009A3857"/>
    <w:rsid w:val="009A43D5"/>
    <w:rsid w:val="009A4479"/>
    <w:rsid w:val="009A46D1"/>
    <w:rsid w:val="009A4D3C"/>
    <w:rsid w:val="009A4F71"/>
    <w:rsid w:val="009A4FCD"/>
    <w:rsid w:val="009A51D6"/>
    <w:rsid w:val="009A540D"/>
    <w:rsid w:val="009A5514"/>
    <w:rsid w:val="009A5740"/>
    <w:rsid w:val="009A58A4"/>
    <w:rsid w:val="009A5FE1"/>
    <w:rsid w:val="009A6071"/>
    <w:rsid w:val="009A64D4"/>
    <w:rsid w:val="009A66A0"/>
    <w:rsid w:val="009A69BD"/>
    <w:rsid w:val="009A711F"/>
    <w:rsid w:val="009A74A2"/>
    <w:rsid w:val="009A77DA"/>
    <w:rsid w:val="009A7C01"/>
    <w:rsid w:val="009A7F1D"/>
    <w:rsid w:val="009B004B"/>
    <w:rsid w:val="009B0261"/>
    <w:rsid w:val="009B031B"/>
    <w:rsid w:val="009B04EC"/>
    <w:rsid w:val="009B051C"/>
    <w:rsid w:val="009B078C"/>
    <w:rsid w:val="009B09AB"/>
    <w:rsid w:val="009B09C9"/>
    <w:rsid w:val="009B0A43"/>
    <w:rsid w:val="009B0B76"/>
    <w:rsid w:val="009B0E8C"/>
    <w:rsid w:val="009B0EFB"/>
    <w:rsid w:val="009B0FEB"/>
    <w:rsid w:val="009B147C"/>
    <w:rsid w:val="009B189E"/>
    <w:rsid w:val="009B1C0A"/>
    <w:rsid w:val="009B1D2E"/>
    <w:rsid w:val="009B1F9A"/>
    <w:rsid w:val="009B2626"/>
    <w:rsid w:val="009B26B2"/>
    <w:rsid w:val="009B26FF"/>
    <w:rsid w:val="009B273B"/>
    <w:rsid w:val="009B2CA5"/>
    <w:rsid w:val="009B2DD8"/>
    <w:rsid w:val="009B2E1B"/>
    <w:rsid w:val="009B31F6"/>
    <w:rsid w:val="009B3534"/>
    <w:rsid w:val="009B360D"/>
    <w:rsid w:val="009B3684"/>
    <w:rsid w:val="009B3B81"/>
    <w:rsid w:val="009B3BBD"/>
    <w:rsid w:val="009B3F68"/>
    <w:rsid w:val="009B415C"/>
    <w:rsid w:val="009B4197"/>
    <w:rsid w:val="009B5122"/>
    <w:rsid w:val="009B51C8"/>
    <w:rsid w:val="009B542E"/>
    <w:rsid w:val="009B57B8"/>
    <w:rsid w:val="009B5AFB"/>
    <w:rsid w:val="009B6608"/>
    <w:rsid w:val="009B665F"/>
    <w:rsid w:val="009B6726"/>
    <w:rsid w:val="009B676A"/>
    <w:rsid w:val="009B6F96"/>
    <w:rsid w:val="009B730A"/>
    <w:rsid w:val="009B7A6A"/>
    <w:rsid w:val="009C001D"/>
    <w:rsid w:val="009C0374"/>
    <w:rsid w:val="009C04FA"/>
    <w:rsid w:val="009C0658"/>
    <w:rsid w:val="009C0707"/>
    <w:rsid w:val="009C072F"/>
    <w:rsid w:val="009C081E"/>
    <w:rsid w:val="009C0934"/>
    <w:rsid w:val="009C0AC0"/>
    <w:rsid w:val="009C144A"/>
    <w:rsid w:val="009C174B"/>
    <w:rsid w:val="009C1CD2"/>
    <w:rsid w:val="009C1E6A"/>
    <w:rsid w:val="009C1FA6"/>
    <w:rsid w:val="009C1FB7"/>
    <w:rsid w:val="009C2505"/>
    <w:rsid w:val="009C28ED"/>
    <w:rsid w:val="009C2BFE"/>
    <w:rsid w:val="009C2C6B"/>
    <w:rsid w:val="009C2DAD"/>
    <w:rsid w:val="009C2EAE"/>
    <w:rsid w:val="009C36A9"/>
    <w:rsid w:val="009C415E"/>
    <w:rsid w:val="009C415F"/>
    <w:rsid w:val="009C46D7"/>
    <w:rsid w:val="009C476A"/>
    <w:rsid w:val="009C4DC8"/>
    <w:rsid w:val="009C5096"/>
    <w:rsid w:val="009C5508"/>
    <w:rsid w:val="009C55BB"/>
    <w:rsid w:val="009C5705"/>
    <w:rsid w:val="009C5EFF"/>
    <w:rsid w:val="009C6322"/>
    <w:rsid w:val="009C65EB"/>
    <w:rsid w:val="009C66D8"/>
    <w:rsid w:val="009C68A1"/>
    <w:rsid w:val="009C6D35"/>
    <w:rsid w:val="009C737F"/>
    <w:rsid w:val="009C746A"/>
    <w:rsid w:val="009C7A1E"/>
    <w:rsid w:val="009D06F3"/>
    <w:rsid w:val="009D07FB"/>
    <w:rsid w:val="009D0AB5"/>
    <w:rsid w:val="009D0B2E"/>
    <w:rsid w:val="009D10AC"/>
    <w:rsid w:val="009D149F"/>
    <w:rsid w:val="009D15C8"/>
    <w:rsid w:val="009D167C"/>
    <w:rsid w:val="009D1906"/>
    <w:rsid w:val="009D1C1C"/>
    <w:rsid w:val="009D1C66"/>
    <w:rsid w:val="009D213E"/>
    <w:rsid w:val="009D230C"/>
    <w:rsid w:val="009D2324"/>
    <w:rsid w:val="009D2B39"/>
    <w:rsid w:val="009D2BE5"/>
    <w:rsid w:val="009D2FD9"/>
    <w:rsid w:val="009D3061"/>
    <w:rsid w:val="009D30E7"/>
    <w:rsid w:val="009D31AF"/>
    <w:rsid w:val="009D3225"/>
    <w:rsid w:val="009D32FF"/>
    <w:rsid w:val="009D33F7"/>
    <w:rsid w:val="009D34C5"/>
    <w:rsid w:val="009D3F44"/>
    <w:rsid w:val="009D468B"/>
    <w:rsid w:val="009D4833"/>
    <w:rsid w:val="009D49F6"/>
    <w:rsid w:val="009D4A07"/>
    <w:rsid w:val="009D4B5F"/>
    <w:rsid w:val="009D4CA2"/>
    <w:rsid w:val="009D5113"/>
    <w:rsid w:val="009D584B"/>
    <w:rsid w:val="009D59A8"/>
    <w:rsid w:val="009D5C43"/>
    <w:rsid w:val="009D5DE8"/>
    <w:rsid w:val="009D5E20"/>
    <w:rsid w:val="009D5F63"/>
    <w:rsid w:val="009D5FD5"/>
    <w:rsid w:val="009D60B4"/>
    <w:rsid w:val="009D60FC"/>
    <w:rsid w:val="009D61BB"/>
    <w:rsid w:val="009D6530"/>
    <w:rsid w:val="009D6A7F"/>
    <w:rsid w:val="009D6FF9"/>
    <w:rsid w:val="009D707E"/>
    <w:rsid w:val="009D7226"/>
    <w:rsid w:val="009D73FA"/>
    <w:rsid w:val="009D7489"/>
    <w:rsid w:val="009D759E"/>
    <w:rsid w:val="009D7687"/>
    <w:rsid w:val="009D76C8"/>
    <w:rsid w:val="009D7952"/>
    <w:rsid w:val="009D7AD1"/>
    <w:rsid w:val="009D7D17"/>
    <w:rsid w:val="009D7DEC"/>
    <w:rsid w:val="009E02C9"/>
    <w:rsid w:val="009E06FA"/>
    <w:rsid w:val="009E0711"/>
    <w:rsid w:val="009E0B8D"/>
    <w:rsid w:val="009E0D59"/>
    <w:rsid w:val="009E0D6E"/>
    <w:rsid w:val="009E10DA"/>
    <w:rsid w:val="009E1110"/>
    <w:rsid w:val="009E1590"/>
    <w:rsid w:val="009E19C3"/>
    <w:rsid w:val="009E1B54"/>
    <w:rsid w:val="009E1E33"/>
    <w:rsid w:val="009E1E3D"/>
    <w:rsid w:val="009E2357"/>
    <w:rsid w:val="009E2393"/>
    <w:rsid w:val="009E246D"/>
    <w:rsid w:val="009E2BF9"/>
    <w:rsid w:val="009E2D0D"/>
    <w:rsid w:val="009E2E14"/>
    <w:rsid w:val="009E2EC8"/>
    <w:rsid w:val="009E3556"/>
    <w:rsid w:val="009E3643"/>
    <w:rsid w:val="009E3876"/>
    <w:rsid w:val="009E3AF5"/>
    <w:rsid w:val="009E411E"/>
    <w:rsid w:val="009E4151"/>
    <w:rsid w:val="009E459B"/>
    <w:rsid w:val="009E45AB"/>
    <w:rsid w:val="009E4A0A"/>
    <w:rsid w:val="009E4ACB"/>
    <w:rsid w:val="009E4CD4"/>
    <w:rsid w:val="009E4D20"/>
    <w:rsid w:val="009E5234"/>
    <w:rsid w:val="009E5378"/>
    <w:rsid w:val="009E53BC"/>
    <w:rsid w:val="009E54EE"/>
    <w:rsid w:val="009E5E85"/>
    <w:rsid w:val="009E6206"/>
    <w:rsid w:val="009E629D"/>
    <w:rsid w:val="009E67AC"/>
    <w:rsid w:val="009E68A5"/>
    <w:rsid w:val="009E6B0D"/>
    <w:rsid w:val="009E6F89"/>
    <w:rsid w:val="009E7286"/>
    <w:rsid w:val="009E746F"/>
    <w:rsid w:val="009E7BF1"/>
    <w:rsid w:val="009E7E0A"/>
    <w:rsid w:val="009E7FC0"/>
    <w:rsid w:val="009F0186"/>
    <w:rsid w:val="009F03FD"/>
    <w:rsid w:val="009F06A5"/>
    <w:rsid w:val="009F0EC4"/>
    <w:rsid w:val="009F156E"/>
    <w:rsid w:val="009F1594"/>
    <w:rsid w:val="009F1B9D"/>
    <w:rsid w:val="009F20CB"/>
    <w:rsid w:val="009F20D6"/>
    <w:rsid w:val="009F22CD"/>
    <w:rsid w:val="009F2358"/>
    <w:rsid w:val="009F32D7"/>
    <w:rsid w:val="009F33B8"/>
    <w:rsid w:val="009F34CD"/>
    <w:rsid w:val="009F3C8C"/>
    <w:rsid w:val="009F3D12"/>
    <w:rsid w:val="009F3ED9"/>
    <w:rsid w:val="009F4385"/>
    <w:rsid w:val="009F47C4"/>
    <w:rsid w:val="009F4839"/>
    <w:rsid w:val="009F4C5C"/>
    <w:rsid w:val="009F5028"/>
    <w:rsid w:val="009F52D7"/>
    <w:rsid w:val="009F5412"/>
    <w:rsid w:val="009F567E"/>
    <w:rsid w:val="009F583E"/>
    <w:rsid w:val="009F5897"/>
    <w:rsid w:val="009F5AF8"/>
    <w:rsid w:val="009F5BDA"/>
    <w:rsid w:val="009F5C76"/>
    <w:rsid w:val="009F5E0E"/>
    <w:rsid w:val="009F5FF5"/>
    <w:rsid w:val="009F6003"/>
    <w:rsid w:val="009F609C"/>
    <w:rsid w:val="009F6730"/>
    <w:rsid w:val="009F6A56"/>
    <w:rsid w:val="009F6ADE"/>
    <w:rsid w:val="009F6BEF"/>
    <w:rsid w:val="009F6C47"/>
    <w:rsid w:val="009F76B4"/>
    <w:rsid w:val="009F7886"/>
    <w:rsid w:val="009F7F60"/>
    <w:rsid w:val="00A0058F"/>
    <w:rsid w:val="00A007C4"/>
    <w:rsid w:val="00A00C46"/>
    <w:rsid w:val="00A00C4B"/>
    <w:rsid w:val="00A01413"/>
    <w:rsid w:val="00A01579"/>
    <w:rsid w:val="00A0189D"/>
    <w:rsid w:val="00A01937"/>
    <w:rsid w:val="00A0193C"/>
    <w:rsid w:val="00A019CE"/>
    <w:rsid w:val="00A02203"/>
    <w:rsid w:val="00A0222E"/>
    <w:rsid w:val="00A023A7"/>
    <w:rsid w:val="00A0258A"/>
    <w:rsid w:val="00A025F5"/>
    <w:rsid w:val="00A028A6"/>
    <w:rsid w:val="00A028C2"/>
    <w:rsid w:val="00A028D5"/>
    <w:rsid w:val="00A02925"/>
    <w:rsid w:val="00A029C1"/>
    <w:rsid w:val="00A02D2B"/>
    <w:rsid w:val="00A02D9C"/>
    <w:rsid w:val="00A02EAC"/>
    <w:rsid w:val="00A0309D"/>
    <w:rsid w:val="00A031B1"/>
    <w:rsid w:val="00A032AB"/>
    <w:rsid w:val="00A032AE"/>
    <w:rsid w:val="00A03785"/>
    <w:rsid w:val="00A03C08"/>
    <w:rsid w:val="00A03C0A"/>
    <w:rsid w:val="00A03CF5"/>
    <w:rsid w:val="00A03DA8"/>
    <w:rsid w:val="00A04006"/>
    <w:rsid w:val="00A04012"/>
    <w:rsid w:val="00A041CE"/>
    <w:rsid w:val="00A04872"/>
    <w:rsid w:val="00A0490C"/>
    <w:rsid w:val="00A049C6"/>
    <w:rsid w:val="00A04CDF"/>
    <w:rsid w:val="00A052ED"/>
    <w:rsid w:val="00A052F5"/>
    <w:rsid w:val="00A05623"/>
    <w:rsid w:val="00A06010"/>
    <w:rsid w:val="00A06058"/>
    <w:rsid w:val="00A061DC"/>
    <w:rsid w:val="00A0635E"/>
    <w:rsid w:val="00A067A3"/>
    <w:rsid w:val="00A06988"/>
    <w:rsid w:val="00A069D0"/>
    <w:rsid w:val="00A0705A"/>
    <w:rsid w:val="00A0732D"/>
    <w:rsid w:val="00A077FA"/>
    <w:rsid w:val="00A07DBE"/>
    <w:rsid w:val="00A1018F"/>
    <w:rsid w:val="00A105D2"/>
    <w:rsid w:val="00A10D51"/>
    <w:rsid w:val="00A10E0C"/>
    <w:rsid w:val="00A10E86"/>
    <w:rsid w:val="00A1100A"/>
    <w:rsid w:val="00A11230"/>
    <w:rsid w:val="00A114D5"/>
    <w:rsid w:val="00A11687"/>
    <w:rsid w:val="00A1191B"/>
    <w:rsid w:val="00A11998"/>
    <w:rsid w:val="00A11C6D"/>
    <w:rsid w:val="00A11D6B"/>
    <w:rsid w:val="00A11F63"/>
    <w:rsid w:val="00A1231B"/>
    <w:rsid w:val="00A1256F"/>
    <w:rsid w:val="00A1287C"/>
    <w:rsid w:val="00A129AA"/>
    <w:rsid w:val="00A12E08"/>
    <w:rsid w:val="00A12EEF"/>
    <w:rsid w:val="00A12FC5"/>
    <w:rsid w:val="00A1317E"/>
    <w:rsid w:val="00A135EE"/>
    <w:rsid w:val="00A13604"/>
    <w:rsid w:val="00A13639"/>
    <w:rsid w:val="00A1373F"/>
    <w:rsid w:val="00A1402E"/>
    <w:rsid w:val="00A14607"/>
    <w:rsid w:val="00A1472C"/>
    <w:rsid w:val="00A14A31"/>
    <w:rsid w:val="00A14AEA"/>
    <w:rsid w:val="00A1500B"/>
    <w:rsid w:val="00A15049"/>
    <w:rsid w:val="00A1519F"/>
    <w:rsid w:val="00A15323"/>
    <w:rsid w:val="00A15448"/>
    <w:rsid w:val="00A159CB"/>
    <w:rsid w:val="00A15CA1"/>
    <w:rsid w:val="00A15D16"/>
    <w:rsid w:val="00A15E63"/>
    <w:rsid w:val="00A15F54"/>
    <w:rsid w:val="00A16062"/>
    <w:rsid w:val="00A163CE"/>
    <w:rsid w:val="00A16446"/>
    <w:rsid w:val="00A16753"/>
    <w:rsid w:val="00A168E6"/>
    <w:rsid w:val="00A16914"/>
    <w:rsid w:val="00A16C5A"/>
    <w:rsid w:val="00A176C4"/>
    <w:rsid w:val="00A179BA"/>
    <w:rsid w:val="00A17ABC"/>
    <w:rsid w:val="00A2019C"/>
    <w:rsid w:val="00A20250"/>
    <w:rsid w:val="00A20413"/>
    <w:rsid w:val="00A2064D"/>
    <w:rsid w:val="00A207C1"/>
    <w:rsid w:val="00A20816"/>
    <w:rsid w:val="00A20997"/>
    <w:rsid w:val="00A20A6D"/>
    <w:rsid w:val="00A21046"/>
    <w:rsid w:val="00A213A8"/>
    <w:rsid w:val="00A213C1"/>
    <w:rsid w:val="00A213DB"/>
    <w:rsid w:val="00A21C5C"/>
    <w:rsid w:val="00A21F84"/>
    <w:rsid w:val="00A2249C"/>
    <w:rsid w:val="00A224C2"/>
    <w:rsid w:val="00A22619"/>
    <w:rsid w:val="00A2275A"/>
    <w:rsid w:val="00A2366D"/>
    <w:rsid w:val="00A236FC"/>
    <w:rsid w:val="00A23794"/>
    <w:rsid w:val="00A239C4"/>
    <w:rsid w:val="00A23A04"/>
    <w:rsid w:val="00A23C2E"/>
    <w:rsid w:val="00A23C95"/>
    <w:rsid w:val="00A23D98"/>
    <w:rsid w:val="00A2414E"/>
    <w:rsid w:val="00A24615"/>
    <w:rsid w:val="00A246B1"/>
    <w:rsid w:val="00A2479D"/>
    <w:rsid w:val="00A248B8"/>
    <w:rsid w:val="00A2495C"/>
    <w:rsid w:val="00A24C5F"/>
    <w:rsid w:val="00A24CB1"/>
    <w:rsid w:val="00A24CEA"/>
    <w:rsid w:val="00A24E63"/>
    <w:rsid w:val="00A25299"/>
    <w:rsid w:val="00A25825"/>
    <w:rsid w:val="00A259BF"/>
    <w:rsid w:val="00A25C88"/>
    <w:rsid w:val="00A25D8D"/>
    <w:rsid w:val="00A2611A"/>
    <w:rsid w:val="00A26217"/>
    <w:rsid w:val="00A26B23"/>
    <w:rsid w:val="00A26CB9"/>
    <w:rsid w:val="00A27786"/>
    <w:rsid w:val="00A277AB"/>
    <w:rsid w:val="00A27958"/>
    <w:rsid w:val="00A27B44"/>
    <w:rsid w:val="00A27E5E"/>
    <w:rsid w:val="00A27E6B"/>
    <w:rsid w:val="00A30289"/>
    <w:rsid w:val="00A30461"/>
    <w:rsid w:val="00A30693"/>
    <w:rsid w:val="00A3096A"/>
    <w:rsid w:val="00A30DA4"/>
    <w:rsid w:val="00A3108A"/>
    <w:rsid w:val="00A3110D"/>
    <w:rsid w:val="00A3123A"/>
    <w:rsid w:val="00A3145F"/>
    <w:rsid w:val="00A315FC"/>
    <w:rsid w:val="00A31866"/>
    <w:rsid w:val="00A318F6"/>
    <w:rsid w:val="00A31940"/>
    <w:rsid w:val="00A31AEE"/>
    <w:rsid w:val="00A31C15"/>
    <w:rsid w:val="00A31C85"/>
    <w:rsid w:val="00A31E23"/>
    <w:rsid w:val="00A31EE1"/>
    <w:rsid w:val="00A3207C"/>
    <w:rsid w:val="00A3228A"/>
    <w:rsid w:val="00A329ED"/>
    <w:rsid w:val="00A32C71"/>
    <w:rsid w:val="00A32CEB"/>
    <w:rsid w:val="00A33104"/>
    <w:rsid w:val="00A33468"/>
    <w:rsid w:val="00A3356C"/>
    <w:rsid w:val="00A3393B"/>
    <w:rsid w:val="00A3394F"/>
    <w:rsid w:val="00A33965"/>
    <w:rsid w:val="00A339A3"/>
    <w:rsid w:val="00A339E8"/>
    <w:rsid w:val="00A33B41"/>
    <w:rsid w:val="00A33D26"/>
    <w:rsid w:val="00A33E4E"/>
    <w:rsid w:val="00A33F8A"/>
    <w:rsid w:val="00A340B4"/>
    <w:rsid w:val="00A3474F"/>
    <w:rsid w:val="00A34804"/>
    <w:rsid w:val="00A349D4"/>
    <w:rsid w:val="00A34AB3"/>
    <w:rsid w:val="00A34BC8"/>
    <w:rsid w:val="00A34CF8"/>
    <w:rsid w:val="00A34F4A"/>
    <w:rsid w:val="00A34FBF"/>
    <w:rsid w:val="00A35243"/>
    <w:rsid w:val="00A356C9"/>
    <w:rsid w:val="00A35710"/>
    <w:rsid w:val="00A35826"/>
    <w:rsid w:val="00A35863"/>
    <w:rsid w:val="00A35ABD"/>
    <w:rsid w:val="00A35B9D"/>
    <w:rsid w:val="00A35BB0"/>
    <w:rsid w:val="00A35D40"/>
    <w:rsid w:val="00A35DF4"/>
    <w:rsid w:val="00A36164"/>
    <w:rsid w:val="00A364F3"/>
    <w:rsid w:val="00A3690B"/>
    <w:rsid w:val="00A36B41"/>
    <w:rsid w:val="00A37387"/>
    <w:rsid w:val="00A37416"/>
    <w:rsid w:val="00A3771B"/>
    <w:rsid w:val="00A37A83"/>
    <w:rsid w:val="00A37FC8"/>
    <w:rsid w:val="00A4032C"/>
    <w:rsid w:val="00A4037F"/>
    <w:rsid w:val="00A40579"/>
    <w:rsid w:val="00A405DD"/>
    <w:rsid w:val="00A40982"/>
    <w:rsid w:val="00A409C6"/>
    <w:rsid w:val="00A409CD"/>
    <w:rsid w:val="00A40A20"/>
    <w:rsid w:val="00A40ABB"/>
    <w:rsid w:val="00A40B11"/>
    <w:rsid w:val="00A416D4"/>
    <w:rsid w:val="00A41FDE"/>
    <w:rsid w:val="00A423FE"/>
    <w:rsid w:val="00A42788"/>
    <w:rsid w:val="00A42A51"/>
    <w:rsid w:val="00A42AE8"/>
    <w:rsid w:val="00A42C0E"/>
    <w:rsid w:val="00A42ED1"/>
    <w:rsid w:val="00A42FAA"/>
    <w:rsid w:val="00A42FFB"/>
    <w:rsid w:val="00A434AA"/>
    <w:rsid w:val="00A43571"/>
    <w:rsid w:val="00A437A3"/>
    <w:rsid w:val="00A43900"/>
    <w:rsid w:val="00A43EAA"/>
    <w:rsid w:val="00A43FE8"/>
    <w:rsid w:val="00A44132"/>
    <w:rsid w:val="00A44349"/>
    <w:rsid w:val="00A448C8"/>
    <w:rsid w:val="00A44A14"/>
    <w:rsid w:val="00A44D8C"/>
    <w:rsid w:val="00A45097"/>
    <w:rsid w:val="00A45342"/>
    <w:rsid w:val="00A4537C"/>
    <w:rsid w:val="00A4559E"/>
    <w:rsid w:val="00A455AD"/>
    <w:rsid w:val="00A455F1"/>
    <w:rsid w:val="00A456D5"/>
    <w:rsid w:val="00A45A63"/>
    <w:rsid w:val="00A45B56"/>
    <w:rsid w:val="00A461A5"/>
    <w:rsid w:val="00A46221"/>
    <w:rsid w:val="00A46381"/>
    <w:rsid w:val="00A46471"/>
    <w:rsid w:val="00A464B8"/>
    <w:rsid w:val="00A46B96"/>
    <w:rsid w:val="00A46C3B"/>
    <w:rsid w:val="00A46ED4"/>
    <w:rsid w:val="00A47035"/>
    <w:rsid w:val="00A476D5"/>
    <w:rsid w:val="00A479FF"/>
    <w:rsid w:val="00A47BD9"/>
    <w:rsid w:val="00A47D0B"/>
    <w:rsid w:val="00A50058"/>
    <w:rsid w:val="00A50196"/>
    <w:rsid w:val="00A503D1"/>
    <w:rsid w:val="00A504A6"/>
    <w:rsid w:val="00A50DE4"/>
    <w:rsid w:val="00A50E13"/>
    <w:rsid w:val="00A5107E"/>
    <w:rsid w:val="00A51334"/>
    <w:rsid w:val="00A518A8"/>
    <w:rsid w:val="00A518C3"/>
    <w:rsid w:val="00A518E3"/>
    <w:rsid w:val="00A51C1F"/>
    <w:rsid w:val="00A522BE"/>
    <w:rsid w:val="00A5276F"/>
    <w:rsid w:val="00A52806"/>
    <w:rsid w:val="00A52B35"/>
    <w:rsid w:val="00A52F62"/>
    <w:rsid w:val="00A52F64"/>
    <w:rsid w:val="00A531A5"/>
    <w:rsid w:val="00A5349F"/>
    <w:rsid w:val="00A53940"/>
    <w:rsid w:val="00A53BC0"/>
    <w:rsid w:val="00A53D6A"/>
    <w:rsid w:val="00A53D9E"/>
    <w:rsid w:val="00A53DB2"/>
    <w:rsid w:val="00A53E5B"/>
    <w:rsid w:val="00A53ECB"/>
    <w:rsid w:val="00A541CA"/>
    <w:rsid w:val="00A54793"/>
    <w:rsid w:val="00A548CA"/>
    <w:rsid w:val="00A5497E"/>
    <w:rsid w:val="00A54D1C"/>
    <w:rsid w:val="00A54F11"/>
    <w:rsid w:val="00A54F36"/>
    <w:rsid w:val="00A551C2"/>
    <w:rsid w:val="00A558F0"/>
    <w:rsid w:val="00A559CE"/>
    <w:rsid w:val="00A55EE3"/>
    <w:rsid w:val="00A560E8"/>
    <w:rsid w:val="00A56110"/>
    <w:rsid w:val="00A565E6"/>
    <w:rsid w:val="00A56817"/>
    <w:rsid w:val="00A56A3D"/>
    <w:rsid w:val="00A56AF6"/>
    <w:rsid w:val="00A56C71"/>
    <w:rsid w:val="00A56E44"/>
    <w:rsid w:val="00A56E82"/>
    <w:rsid w:val="00A57051"/>
    <w:rsid w:val="00A5787E"/>
    <w:rsid w:val="00A57A1B"/>
    <w:rsid w:val="00A57C40"/>
    <w:rsid w:val="00A57C6A"/>
    <w:rsid w:val="00A57DD7"/>
    <w:rsid w:val="00A57E29"/>
    <w:rsid w:val="00A57EE8"/>
    <w:rsid w:val="00A6009C"/>
    <w:rsid w:val="00A600D3"/>
    <w:rsid w:val="00A601B6"/>
    <w:rsid w:val="00A6022B"/>
    <w:rsid w:val="00A60507"/>
    <w:rsid w:val="00A605A3"/>
    <w:rsid w:val="00A6075D"/>
    <w:rsid w:val="00A6076E"/>
    <w:rsid w:val="00A6098F"/>
    <w:rsid w:val="00A60B03"/>
    <w:rsid w:val="00A60B0C"/>
    <w:rsid w:val="00A60CEB"/>
    <w:rsid w:val="00A61039"/>
    <w:rsid w:val="00A61160"/>
    <w:rsid w:val="00A6119F"/>
    <w:rsid w:val="00A61270"/>
    <w:rsid w:val="00A615E6"/>
    <w:rsid w:val="00A616DD"/>
    <w:rsid w:val="00A61847"/>
    <w:rsid w:val="00A618D3"/>
    <w:rsid w:val="00A61919"/>
    <w:rsid w:val="00A61D3C"/>
    <w:rsid w:val="00A61D93"/>
    <w:rsid w:val="00A61E0A"/>
    <w:rsid w:val="00A6239F"/>
    <w:rsid w:val="00A62A05"/>
    <w:rsid w:val="00A62AC8"/>
    <w:rsid w:val="00A62BE9"/>
    <w:rsid w:val="00A63117"/>
    <w:rsid w:val="00A6367B"/>
    <w:rsid w:val="00A63A45"/>
    <w:rsid w:val="00A63E61"/>
    <w:rsid w:val="00A63FAA"/>
    <w:rsid w:val="00A64042"/>
    <w:rsid w:val="00A642D3"/>
    <w:rsid w:val="00A643C4"/>
    <w:rsid w:val="00A6497F"/>
    <w:rsid w:val="00A64A19"/>
    <w:rsid w:val="00A64DAE"/>
    <w:rsid w:val="00A64E40"/>
    <w:rsid w:val="00A64E90"/>
    <w:rsid w:val="00A651F9"/>
    <w:rsid w:val="00A6522F"/>
    <w:rsid w:val="00A65878"/>
    <w:rsid w:val="00A658FE"/>
    <w:rsid w:val="00A659B7"/>
    <w:rsid w:val="00A659FA"/>
    <w:rsid w:val="00A66135"/>
    <w:rsid w:val="00A6641D"/>
    <w:rsid w:val="00A664F6"/>
    <w:rsid w:val="00A665EE"/>
    <w:rsid w:val="00A668EE"/>
    <w:rsid w:val="00A66AE0"/>
    <w:rsid w:val="00A66B1C"/>
    <w:rsid w:val="00A66F5E"/>
    <w:rsid w:val="00A67103"/>
    <w:rsid w:val="00A672D6"/>
    <w:rsid w:val="00A672F7"/>
    <w:rsid w:val="00A6746B"/>
    <w:rsid w:val="00A674DA"/>
    <w:rsid w:val="00A674F2"/>
    <w:rsid w:val="00A679F6"/>
    <w:rsid w:val="00A679FB"/>
    <w:rsid w:val="00A67E56"/>
    <w:rsid w:val="00A7002A"/>
    <w:rsid w:val="00A70062"/>
    <w:rsid w:val="00A701CD"/>
    <w:rsid w:val="00A7031B"/>
    <w:rsid w:val="00A70434"/>
    <w:rsid w:val="00A71447"/>
    <w:rsid w:val="00A715A3"/>
    <w:rsid w:val="00A719B5"/>
    <w:rsid w:val="00A71ABE"/>
    <w:rsid w:val="00A71ED6"/>
    <w:rsid w:val="00A72312"/>
    <w:rsid w:val="00A723EC"/>
    <w:rsid w:val="00A725C9"/>
    <w:rsid w:val="00A72D80"/>
    <w:rsid w:val="00A72DF4"/>
    <w:rsid w:val="00A732B2"/>
    <w:rsid w:val="00A7356A"/>
    <w:rsid w:val="00A736B6"/>
    <w:rsid w:val="00A738A3"/>
    <w:rsid w:val="00A73B2A"/>
    <w:rsid w:val="00A74001"/>
    <w:rsid w:val="00A7411B"/>
    <w:rsid w:val="00A748EB"/>
    <w:rsid w:val="00A74BDF"/>
    <w:rsid w:val="00A74E9A"/>
    <w:rsid w:val="00A7545C"/>
    <w:rsid w:val="00A754D8"/>
    <w:rsid w:val="00A75608"/>
    <w:rsid w:val="00A75B6E"/>
    <w:rsid w:val="00A76019"/>
    <w:rsid w:val="00A7605C"/>
    <w:rsid w:val="00A76438"/>
    <w:rsid w:val="00A7648A"/>
    <w:rsid w:val="00A76789"/>
    <w:rsid w:val="00A767E2"/>
    <w:rsid w:val="00A76AFF"/>
    <w:rsid w:val="00A76DAE"/>
    <w:rsid w:val="00A76DBB"/>
    <w:rsid w:val="00A76EEA"/>
    <w:rsid w:val="00A7743D"/>
    <w:rsid w:val="00A774B7"/>
    <w:rsid w:val="00A774EB"/>
    <w:rsid w:val="00A77934"/>
    <w:rsid w:val="00A77952"/>
    <w:rsid w:val="00A77A71"/>
    <w:rsid w:val="00A77C1B"/>
    <w:rsid w:val="00A77D0D"/>
    <w:rsid w:val="00A77DF7"/>
    <w:rsid w:val="00A80144"/>
    <w:rsid w:val="00A8025B"/>
    <w:rsid w:val="00A807F3"/>
    <w:rsid w:val="00A8092F"/>
    <w:rsid w:val="00A80CA7"/>
    <w:rsid w:val="00A81482"/>
    <w:rsid w:val="00A814A5"/>
    <w:rsid w:val="00A81A75"/>
    <w:rsid w:val="00A81B34"/>
    <w:rsid w:val="00A824C1"/>
    <w:rsid w:val="00A82764"/>
    <w:rsid w:val="00A82C9B"/>
    <w:rsid w:val="00A831F2"/>
    <w:rsid w:val="00A832A9"/>
    <w:rsid w:val="00A83A29"/>
    <w:rsid w:val="00A83D75"/>
    <w:rsid w:val="00A83F01"/>
    <w:rsid w:val="00A840B0"/>
    <w:rsid w:val="00A8438C"/>
    <w:rsid w:val="00A845FA"/>
    <w:rsid w:val="00A8492F"/>
    <w:rsid w:val="00A84C00"/>
    <w:rsid w:val="00A85060"/>
    <w:rsid w:val="00A8541E"/>
    <w:rsid w:val="00A859B6"/>
    <w:rsid w:val="00A85CA4"/>
    <w:rsid w:val="00A85D69"/>
    <w:rsid w:val="00A85FA0"/>
    <w:rsid w:val="00A85FA1"/>
    <w:rsid w:val="00A85FD9"/>
    <w:rsid w:val="00A86104"/>
    <w:rsid w:val="00A862B4"/>
    <w:rsid w:val="00A86752"/>
    <w:rsid w:val="00A86B9B"/>
    <w:rsid w:val="00A86BC4"/>
    <w:rsid w:val="00A86C66"/>
    <w:rsid w:val="00A86CDF"/>
    <w:rsid w:val="00A86D52"/>
    <w:rsid w:val="00A8704E"/>
    <w:rsid w:val="00A874A0"/>
    <w:rsid w:val="00A875B4"/>
    <w:rsid w:val="00A877C3"/>
    <w:rsid w:val="00A878EA"/>
    <w:rsid w:val="00A87DCF"/>
    <w:rsid w:val="00A906E0"/>
    <w:rsid w:val="00A90874"/>
    <w:rsid w:val="00A90CEA"/>
    <w:rsid w:val="00A90DDA"/>
    <w:rsid w:val="00A9129E"/>
    <w:rsid w:val="00A912E9"/>
    <w:rsid w:val="00A916CC"/>
    <w:rsid w:val="00A917F0"/>
    <w:rsid w:val="00A91A51"/>
    <w:rsid w:val="00A91B8F"/>
    <w:rsid w:val="00A91D0A"/>
    <w:rsid w:val="00A91F8C"/>
    <w:rsid w:val="00A92121"/>
    <w:rsid w:val="00A921BD"/>
    <w:rsid w:val="00A9231E"/>
    <w:rsid w:val="00A923B8"/>
    <w:rsid w:val="00A927BF"/>
    <w:rsid w:val="00A92CF5"/>
    <w:rsid w:val="00A92FCA"/>
    <w:rsid w:val="00A936B5"/>
    <w:rsid w:val="00A936F1"/>
    <w:rsid w:val="00A93F18"/>
    <w:rsid w:val="00A940B1"/>
    <w:rsid w:val="00A941DA"/>
    <w:rsid w:val="00A94322"/>
    <w:rsid w:val="00A94EA2"/>
    <w:rsid w:val="00A94F66"/>
    <w:rsid w:val="00A95150"/>
    <w:rsid w:val="00A95238"/>
    <w:rsid w:val="00A956CA"/>
    <w:rsid w:val="00A95908"/>
    <w:rsid w:val="00A95DB9"/>
    <w:rsid w:val="00A95EA2"/>
    <w:rsid w:val="00A95F08"/>
    <w:rsid w:val="00A96095"/>
    <w:rsid w:val="00A96198"/>
    <w:rsid w:val="00A961BE"/>
    <w:rsid w:val="00A96236"/>
    <w:rsid w:val="00A96DA6"/>
    <w:rsid w:val="00A96EAB"/>
    <w:rsid w:val="00A96F16"/>
    <w:rsid w:val="00A977B6"/>
    <w:rsid w:val="00A9787B"/>
    <w:rsid w:val="00A97E63"/>
    <w:rsid w:val="00AA0213"/>
    <w:rsid w:val="00AA0296"/>
    <w:rsid w:val="00AA02B1"/>
    <w:rsid w:val="00AA07D1"/>
    <w:rsid w:val="00AA12C5"/>
    <w:rsid w:val="00AA15CF"/>
    <w:rsid w:val="00AA19B7"/>
    <w:rsid w:val="00AA1AFB"/>
    <w:rsid w:val="00AA1D6E"/>
    <w:rsid w:val="00AA1FE3"/>
    <w:rsid w:val="00AA23DD"/>
    <w:rsid w:val="00AA28F0"/>
    <w:rsid w:val="00AA2DC0"/>
    <w:rsid w:val="00AA2EEB"/>
    <w:rsid w:val="00AA2F22"/>
    <w:rsid w:val="00AA305B"/>
    <w:rsid w:val="00AA30C6"/>
    <w:rsid w:val="00AA3484"/>
    <w:rsid w:val="00AA355E"/>
    <w:rsid w:val="00AA40D2"/>
    <w:rsid w:val="00AA40DA"/>
    <w:rsid w:val="00AA4200"/>
    <w:rsid w:val="00AA428C"/>
    <w:rsid w:val="00AA4462"/>
    <w:rsid w:val="00AA45D8"/>
    <w:rsid w:val="00AA47A5"/>
    <w:rsid w:val="00AA4871"/>
    <w:rsid w:val="00AA4D30"/>
    <w:rsid w:val="00AA4D58"/>
    <w:rsid w:val="00AA55AC"/>
    <w:rsid w:val="00AA58CF"/>
    <w:rsid w:val="00AA5ACB"/>
    <w:rsid w:val="00AA5FE7"/>
    <w:rsid w:val="00AA6168"/>
    <w:rsid w:val="00AA64EE"/>
    <w:rsid w:val="00AA6525"/>
    <w:rsid w:val="00AA6910"/>
    <w:rsid w:val="00AA6A70"/>
    <w:rsid w:val="00AA7033"/>
    <w:rsid w:val="00AA792C"/>
    <w:rsid w:val="00AA7A05"/>
    <w:rsid w:val="00AA7D80"/>
    <w:rsid w:val="00AB0339"/>
    <w:rsid w:val="00AB0A15"/>
    <w:rsid w:val="00AB0BB2"/>
    <w:rsid w:val="00AB0E19"/>
    <w:rsid w:val="00AB0E2F"/>
    <w:rsid w:val="00AB15DE"/>
    <w:rsid w:val="00AB189A"/>
    <w:rsid w:val="00AB1A21"/>
    <w:rsid w:val="00AB1A29"/>
    <w:rsid w:val="00AB1BDC"/>
    <w:rsid w:val="00AB1C17"/>
    <w:rsid w:val="00AB1C2E"/>
    <w:rsid w:val="00AB1C4E"/>
    <w:rsid w:val="00AB2150"/>
    <w:rsid w:val="00AB2204"/>
    <w:rsid w:val="00AB2FE0"/>
    <w:rsid w:val="00AB31EA"/>
    <w:rsid w:val="00AB3274"/>
    <w:rsid w:val="00AB34E7"/>
    <w:rsid w:val="00AB363B"/>
    <w:rsid w:val="00AB36C8"/>
    <w:rsid w:val="00AB3814"/>
    <w:rsid w:val="00AB3A5F"/>
    <w:rsid w:val="00AB3C17"/>
    <w:rsid w:val="00AB3CB9"/>
    <w:rsid w:val="00AB3F49"/>
    <w:rsid w:val="00AB4261"/>
    <w:rsid w:val="00AB458E"/>
    <w:rsid w:val="00AB4D03"/>
    <w:rsid w:val="00AB4EF3"/>
    <w:rsid w:val="00AB510C"/>
    <w:rsid w:val="00AB589D"/>
    <w:rsid w:val="00AB5938"/>
    <w:rsid w:val="00AB5B68"/>
    <w:rsid w:val="00AB5E5E"/>
    <w:rsid w:val="00AB6343"/>
    <w:rsid w:val="00AB6433"/>
    <w:rsid w:val="00AB65E9"/>
    <w:rsid w:val="00AB6B90"/>
    <w:rsid w:val="00AB6C3C"/>
    <w:rsid w:val="00AB6D50"/>
    <w:rsid w:val="00AB70FE"/>
    <w:rsid w:val="00AB742C"/>
    <w:rsid w:val="00AB752F"/>
    <w:rsid w:val="00AB76F3"/>
    <w:rsid w:val="00AB7D52"/>
    <w:rsid w:val="00AC02DC"/>
    <w:rsid w:val="00AC02EB"/>
    <w:rsid w:val="00AC056F"/>
    <w:rsid w:val="00AC0680"/>
    <w:rsid w:val="00AC0B66"/>
    <w:rsid w:val="00AC0BDD"/>
    <w:rsid w:val="00AC0C00"/>
    <w:rsid w:val="00AC0D88"/>
    <w:rsid w:val="00AC0E00"/>
    <w:rsid w:val="00AC0E07"/>
    <w:rsid w:val="00AC1018"/>
    <w:rsid w:val="00AC15B2"/>
    <w:rsid w:val="00AC17BE"/>
    <w:rsid w:val="00AC1A22"/>
    <w:rsid w:val="00AC1A43"/>
    <w:rsid w:val="00AC1C59"/>
    <w:rsid w:val="00AC1E8C"/>
    <w:rsid w:val="00AC1F21"/>
    <w:rsid w:val="00AC21AF"/>
    <w:rsid w:val="00AC24BA"/>
    <w:rsid w:val="00AC2651"/>
    <w:rsid w:val="00AC2745"/>
    <w:rsid w:val="00AC2E35"/>
    <w:rsid w:val="00AC2E3C"/>
    <w:rsid w:val="00AC3133"/>
    <w:rsid w:val="00AC3193"/>
    <w:rsid w:val="00AC37D5"/>
    <w:rsid w:val="00AC3BD2"/>
    <w:rsid w:val="00AC3F52"/>
    <w:rsid w:val="00AC4073"/>
    <w:rsid w:val="00AC43E5"/>
    <w:rsid w:val="00AC4589"/>
    <w:rsid w:val="00AC461D"/>
    <w:rsid w:val="00AC49D7"/>
    <w:rsid w:val="00AC4A9A"/>
    <w:rsid w:val="00AC4C5F"/>
    <w:rsid w:val="00AC4E9F"/>
    <w:rsid w:val="00AC53E0"/>
    <w:rsid w:val="00AC542C"/>
    <w:rsid w:val="00AC557A"/>
    <w:rsid w:val="00AC56B8"/>
    <w:rsid w:val="00AC5738"/>
    <w:rsid w:val="00AC58FA"/>
    <w:rsid w:val="00AC5A49"/>
    <w:rsid w:val="00AC5AE3"/>
    <w:rsid w:val="00AC5B19"/>
    <w:rsid w:val="00AC5C3D"/>
    <w:rsid w:val="00AC6138"/>
    <w:rsid w:val="00AC6EB6"/>
    <w:rsid w:val="00AC6EF7"/>
    <w:rsid w:val="00AC6F2F"/>
    <w:rsid w:val="00AC70E2"/>
    <w:rsid w:val="00AC71C0"/>
    <w:rsid w:val="00AC7282"/>
    <w:rsid w:val="00AC75A6"/>
    <w:rsid w:val="00AC7730"/>
    <w:rsid w:val="00AC7A7C"/>
    <w:rsid w:val="00AD015E"/>
    <w:rsid w:val="00AD02F0"/>
    <w:rsid w:val="00AD0359"/>
    <w:rsid w:val="00AD044E"/>
    <w:rsid w:val="00AD047C"/>
    <w:rsid w:val="00AD0633"/>
    <w:rsid w:val="00AD08C5"/>
    <w:rsid w:val="00AD0950"/>
    <w:rsid w:val="00AD09CA"/>
    <w:rsid w:val="00AD0DE7"/>
    <w:rsid w:val="00AD1804"/>
    <w:rsid w:val="00AD1AE4"/>
    <w:rsid w:val="00AD1FB6"/>
    <w:rsid w:val="00AD21BC"/>
    <w:rsid w:val="00AD2224"/>
    <w:rsid w:val="00AD241B"/>
    <w:rsid w:val="00AD27D4"/>
    <w:rsid w:val="00AD28F1"/>
    <w:rsid w:val="00AD2914"/>
    <w:rsid w:val="00AD2AE3"/>
    <w:rsid w:val="00AD2B81"/>
    <w:rsid w:val="00AD2BA2"/>
    <w:rsid w:val="00AD2C60"/>
    <w:rsid w:val="00AD2EB2"/>
    <w:rsid w:val="00AD2ED4"/>
    <w:rsid w:val="00AD330E"/>
    <w:rsid w:val="00AD37C6"/>
    <w:rsid w:val="00AD3B29"/>
    <w:rsid w:val="00AD3D7E"/>
    <w:rsid w:val="00AD3EC0"/>
    <w:rsid w:val="00AD41D3"/>
    <w:rsid w:val="00AD42AB"/>
    <w:rsid w:val="00AD4485"/>
    <w:rsid w:val="00AD460C"/>
    <w:rsid w:val="00AD4628"/>
    <w:rsid w:val="00AD483A"/>
    <w:rsid w:val="00AD4DCF"/>
    <w:rsid w:val="00AD4F29"/>
    <w:rsid w:val="00AD4F3E"/>
    <w:rsid w:val="00AD50FB"/>
    <w:rsid w:val="00AD527B"/>
    <w:rsid w:val="00AD54E0"/>
    <w:rsid w:val="00AD55F7"/>
    <w:rsid w:val="00AD5792"/>
    <w:rsid w:val="00AD59FF"/>
    <w:rsid w:val="00AD6942"/>
    <w:rsid w:val="00AD6B06"/>
    <w:rsid w:val="00AD6CBC"/>
    <w:rsid w:val="00AD6CD6"/>
    <w:rsid w:val="00AD6DB6"/>
    <w:rsid w:val="00AD6E13"/>
    <w:rsid w:val="00AD72A4"/>
    <w:rsid w:val="00AD72F4"/>
    <w:rsid w:val="00AD75A2"/>
    <w:rsid w:val="00AD79C5"/>
    <w:rsid w:val="00AD7D1C"/>
    <w:rsid w:val="00AE019F"/>
    <w:rsid w:val="00AE02BB"/>
    <w:rsid w:val="00AE043A"/>
    <w:rsid w:val="00AE0AA5"/>
    <w:rsid w:val="00AE0CF2"/>
    <w:rsid w:val="00AE1288"/>
    <w:rsid w:val="00AE13AD"/>
    <w:rsid w:val="00AE159B"/>
    <w:rsid w:val="00AE1A95"/>
    <w:rsid w:val="00AE2350"/>
    <w:rsid w:val="00AE278F"/>
    <w:rsid w:val="00AE2885"/>
    <w:rsid w:val="00AE2E00"/>
    <w:rsid w:val="00AE300F"/>
    <w:rsid w:val="00AE32C2"/>
    <w:rsid w:val="00AE33D3"/>
    <w:rsid w:val="00AE384E"/>
    <w:rsid w:val="00AE3887"/>
    <w:rsid w:val="00AE3ADC"/>
    <w:rsid w:val="00AE3B38"/>
    <w:rsid w:val="00AE3C03"/>
    <w:rsid w:val="00AE3C49"/>
    <w:rsid w:val="00AE3C8D"/>
    <w:rsid w:val="00AE3CAF"/>
    <w:rsid w:val="00AE44CB"/>
    <w:rsid w:val="00AE496D"/>
    <w:rsid w:val="00AE4ACE"/>
    <w:rsid w:val="00AE5321"/>
    <w:rsid w:val="00AE5487"/>
    <w:rsid w:val="00AE5888"/>
    <w:rsid w:val="00AE5968"/>
    <w:rsid w:val="00AE5D74"/>
    <w:rsid w:val="00AE5E58"/>
    <w:rsid w:val="00AE64AD"/>
    <w:rsid w:val="00AE6987"/>
    <w:rsid w:val="00AE6A27"/>
    <w:rsid w:val="00AE6D14"/>
    <w:rsid w:val="00AE6D68"/>
    <w:rsid w:val="00AE7061"/>
    <w:rsid w:val="00AE7430"/>
    <w:rsid w:val="00AE75EA"/>
    <w:rsid w:val="00AE77C3"/>
    <w:rsid w:val="00AE7A98"/>
    <w:rsid w:val="00AE7DD1"/>
    <w:rsid w:val="00AE7E20"/>
    <w:rsid w:val="00AE7F4C"/>
    <w:rsid w:val="00AF016F"/>
    <w:rsid w:val="00AF05E3"/>
    <w:rsid w:val="00AF0C04"/>
    <w:rsid w:val="00AF100C"/>
    <w:rsid w:val="00AF1277"/>
    <w:rsid w:val="00AF12A3"/>
    <w:rsid w:val="00AF139A"/>
    <w:rsid w:val="00AF151F"/>
    <w:rsid w:val="00AF15CD"/>
    <w:rsid w:val="00AF181C"/>
    <w:rsid w:val="00AF18EA"/>
    <w:rsid w:val="00AF1C95"/>
    <w:rsid w:val="00AF1E76"/>
    <w:rsid w:val="00AF1F8D"/>
    <w:rsid w:val="00AF2186"/>
    <w:rsid w:val="00AF2398"/>
    <w:rsid w:val="00AF249E"/>
    <w:rsid w:val="00AF257B"/>
    <w:rsid w:val="00AF2642"/>
    <w:rsid w:val="00AF28B2"/>
    <w:rsid w:val="00AF2962"/>
    <w:rsid w:val="00AF2C3C"/>
    <w:rsid w:val="00AF3377"/>
    <w:rsid w:val="00AF338A"/>
    <w:rsid w:val="00AF3541"/>
    <w:rsid w:val="00AF3AA9"/>
    <w:rsid w:val="00AF3B07"/>
    <w:rsid w:val="00AF3B43"/>
    <w:rsid w:val="00AF3EDB"/>
    <w:rsid w:val="00AF3FF8"/>
    <w:rsid w:val="00AF4361"/>
    <w:rsid w:val="00AF44DF"/>
    <w:rsid w:val="00AF4E3F"/>
    <w:rsid w:val="00AF519C"/>
    <w:rsid w:val="00AF53CF"/>
    <w:rsid w:val="00AF57B5"/>
    <w:rsid w:val="00AF59B1"/>
    <w:rsid w:val="00AF5BD8"/>
    <w:rsid w:val="00AF5E3F"/>
    <w:rsid w:val="00AF5FCF"/>
    <w:rsid w:val="00AF6116"/>
    <w:rsid w:val="00AF61B0"/>
    <w:rsid w:val="00AF64DB"/>
    <w:rsid w:val="00AF67C6"/>
    <w:rsid w:val="00AF6B6E"/>
    <w:rsid w:val="00AF6B93"/>
    <w:rsid w:val="00AF6CE0"/>
    <w:rsid w:val="00AF7855"/>
    <w:rsid w:val="00AF79DF"/>
    <w:rsid w:val="00AF7CED"/>
    <w:rsid w:val="00AF7E1C"/>
    <w:rsid w:val="00B00400"/>
    <w:rsid w:val="00B00C1F"/>
    <w:rsid w:val="00B00DB9"/>
    <w:rsid w:val="00B00F3A"/>
    <w:rsid w:val="00B017CE"/>
    <w:rsid w:val="00B01D7E"/>
    <w:rsid w:val="00B01E61"/>
    <w:rsid w:val="00B024F8"/>
    <w:rsid w:val="00B02948"/>
    <w:rsid w:val="00B02B4A"/>
    <w:rsid w:val="00B02BFD"/>
    <w:rsid w:val="00B02E89"/>
    <w:rsid w:val="00B033BB"/>
    <w:rsid w:val="00B035A2"/>
    <w:rsid w:val="00B035FB"/>
    <w:rsid w:val="00B03778"/>
    <w:rsid w:val="00B03D14"/>
    <w:rsid w:val="00B03DE2"/>
    <w:rsid w:val="00B03E61"/>
    <w:rsid w:val="00B040A6"/>
    <w:rsid w:val="00B0454C"/>
    <w:rsid w:val="00B04692"/>
    <w:rsid w:val="00B049F8"/>
    <w:rsid w:val="00B04A45"/>
    <w:rsid w:val="00B04A7A"/>
    <w:rsid w:val="00B04AAE"/>
    <w:rsid w:val="00B04AE4"/>
    <w:rsid w:val="00B04E7C"/>
    <w:rsid w:val="00B04EC6"/>
    <w:rsid w:val="00B051ED"/>
    <w:rsid w:val="00B05435"/>
    <w:rsid w:val="00B05718"/>
    <w:rsid w:val="00B05FC3"/>
    <w:rsid w:val="00B0654E"/>
    <w:rsid w:val="00B06B15"/>
    <w:rsid w:val="00B06EBF"/>
    <w:rsid w:val="00B07CF0"/>
    <w:rsid w:val="00B07F27"/>
    <w:rsid w:val="00B100CD"/>
    <w:rsid w:val="00B100F5"/>
    <w:rsid w:val="00B101CF"/>
    <w:rsid w:val="00B103A4"/>
    <w:rsid w:val="00B103C0"/>
    <w:rsid w:val="00B1074A"/>
    <w:rsid w:val="00B10D40"/>
    <w:rsid w:val="00B10F0D"/>
    <w:rsid w:val="00B11171"/>
    <w:rsid w:val="00B11591"/>
    <w:rsid w:val="00B1174E"/>
    <w:rsid w:val="00B1191E"/>
    <w:rsid w:val="00B11996"/>
    <w:rsid w:val="00B11C8A"/>
    <w:rsid w:val="00B11D66"/>
    <w:rsid w:val="00B11EC0"/>
    <w:rsid w:val="00B11F8B"/>
    <w:rsid w:val="00B12164"/>
    <w:rsid w:val="00B12667"/>
    <w:rsid w:val="00B128BC"/>
    <w:rsid w:val="00B12988"/>
    <w:rsid w:val="00B137E7"/>
    <w:rsid w:val="00B138FF"/>
    <w:rsid w:val="00B1391D"/>
    <w:rsid w:val="00B13979"/>
    <w:rsid w:val="00B144E7"/>
    <w:rsid w:val="00B14727"/>
    <w:rsid w:val="00B149A6"/>
    <w:rsid w:val="00B14EA1"/>
    <w:rsid w:val="00B14EAE"/>
    <w:rsid w:val="00B1515A"/>
    <w:rsid w:val="00B15519"/>
    <w:rsid w:val="00B15818"/>
    <w:rsid w:val="00B15A5C"/>
    <w:rsid w:val="00B15E04"/>
    <w:rsid w:val="00B15F69"/>
    <w:rsid w:val="00B15F88"/>
    <w:rsid w:val="00B15FAB"/>
    <w:rsid w:val="00B16269"/>
    <w:rsid w:val="00B163A6"/>
    <w:rsid w:val="00B164C5"/>
    <w:rsid w:val="00B167C6"/>
    <w:rsid w:val="00B16AAC"/>
    <w:rsid w:val="00B16BA4"/>
    <w:rsid w:val="00B16D04"/>
    <w:rsid w:val="00B16E29"/>
    <w:rsid w:val="00B16E2E"/>
    <w:rsid w:val="00B17009"/>
    <w:rsid w:val="00B176F6"/>
    <w:rsid w:val="00B177F6"/>
    <w:rsid w:val="00B17AF0"/>
    <w:rsid w:val="00B17D07"/>
    <w:rsid w:val="00B17DA2"/>
    <w:rsid w:val="00B201B6"/>
    <w:rsid w:val="00B20227"/>
    <w:rsid w:val="00B20230"/>
    <w:rsid w:val="00B206E0"/>
    <w:rsid w:val="00B206FD"/>
    <w:rsid w:val="00B20786"/>
    <w:rsid w:val="00B207B8"/>
    <w:rsid w:val="00B207E3"/>
    <w:rsid w:val="00B20A80"/>
    <w:rsid w:val="00B20CDA"/>
    <w:rsid w:val="00B20E15"/>
    <w:rsid w:val="00B2109B"/>
    <w:rsid w:val="00B21505"/>
    <w:rsid w:val="00B21590"/>
    <w:rsid w:val="00B21608"/>
    <w:rsid w:val="00B2173F"/>
    <w:rsid w:val="00B219F8"/>
    <w:rsid w:val="00B21A53"/>
    <w:rsid w:val="00B21DA3"/>
    <w:rsid w:val="00B22276"/>
    <w:rsid w:val="00B22308"/>
    <w:rsid w:val="00B2268B"/>
    <w:rsid w:val="00B2276C"/>
    <w:rsid w:val="00B22AF2"/>
    <w:rsid w:val="00B23340"/>
    <w:rsid w:val="00B235F5"/>
    <w:rsid w:val="00B238EF"/>
    <w:rsid w:val="00B23A8E"/>
    <w:rsid w:val="00B23DF5"/>
    <w:rsid w:val="00B24734"/>
    <w:rsid w:val="00B257D7"/>
    <w:rsid w:val="00B2597D"/>
    <w:rsid w:val="00B25CB3"/>
    <w:rsid w:val="00B25CD8"/>
    <w:rsid w:val="00B25F23"/>
    <w:rsid w:val="00B25F83"/>
    <w:rsid w:val="00B2613E"/>
    <w:rsid w:val="00B27213"/>
    <w:rsid w:val="00B27260"/>
    <w:rsid w:val="00B272DC"/>
    <w:rsid w:val="00B274DE"/>
    <w:rsid w:val="00B27604"/>
    <w:rsid w:val="00B27766"/>
    <w:rsid w:val="00B27A2C"/>
    <w:rsid w:val="00B27AA8"/>
    <w:rsid w:val="00B27EB1"/>
    <w:rsid w:val="00B30348"/>
    <w:rsid w:val="00B30A08"/>
    <w:rsid w:val="00B30CCA"/>
    <w:rsid w:val="00B313F4"/>
    <w:rsid w:val="00B31442"/>
    <w:rsid w:val="00B31507"/>
    <w:rsid w:val="00B316B2"/>
    <w:rsid w:val="00B31A93"/>
    <w:rsid w:val="00B31DAF"/>
    <w:rsid w:val="00B31F3B"/>
    <w:rsid w:val="00B32160"/>
    <w:rsid w:val="00B32953"/>
    <w:rsid w:val="00B32BC6"/>
    <w:rsid w:val="00B32C98"/>
    <w:rsid w:val="00B331CB"/>
    <w:rsid w:val="00B33431"/>
    <w:rsid w:val="00B334DF"/>
    <w:rsid w:val="00B336E1"/>
    <w:rsid w:val="00B3378C"/>
    <w:rsid w:val="00B33B53"/>
    <w:rsid w:val="00B34056"/>
    <w:rsid w:val="00B3432D"/>
    <w:rsid w:val="00B343EA"/>
    <w:rsid w:val="00B3485C"/>
    <w:rsid w:val="00B351E9"/>
    <w:rsid w:val="00B353F1"/>
    <w:rsid w:val="00B35C93"/>
    <w:rsid w:val="00B35EA1"/>
    <w:rsid w:val="00B35F5C"/>
    <w:rsid w:val="00B36057"/>
    <w:rsid w:val="00B362AE"/>
    <w:rsid w:val="00B363BA"/>
    <w:rsid w:val="00B36401"/>
    <w:rsid w:val="00B36472"/>
    <w:rsid w:val="00B364E9"/>
    <w:rsid w:val="00B3654E"/>
    <w:rsid w:val="00B365F7"/>
    <w:rsid w:val="00B36932"/>
    <w:rsid w:val="00B36B09"/>
    <w:rsid w:val="00B36DCE"/>
    <w:rsid w:val="00B36E77"/>
    <w:rsid w:val="00B371E6"/>
    <w:rsid w:val="00B3776A"/>
    <w:rsid w:val="00B37A06"/>
    <w:rsid w:val="00B37D20"/>
    <w:rsid w:val="00B37EA5"/>
    <w:rsid w:val="00B37F3D"/>
    <w:rsid w:val="00B37F7E"/>
    <w:rsid w:val="00B4054C"/>
    <w:rsid w:val="00B405FD"/>
    <w:rsid w:val="00B408D9"/>
    <w:rsid w:val="00B40A6D"/>
    <w:rsid w:val="00B40A86"/>
    <w:rsid w:val="00B41F81"/>
    <w:rsid w:val="00B4203D"/>
    <w:rsid w:val="00B4207A"/>
    <w:rsid w:val="00B422FB"/>
    <w:rsid w:val="00B423E8"/>
    <w:rsid w:val="00B424A0"/>
    <w:rsid w:val="00B42531"/>
    <w:rsid w:val="00B42544"/>
    <w:rsid w:val="00B4291C"/>
    <w:rsid w:val="00B43083"/>
    <w:rsid w:val="00B432D7"/>
    <w:rsid w:val="00B433AD"/>
    <w:rsid w:val="00B433E8"/>
    <w:rsid w:val="00B43502"/>
    <w:rsid w:val="00B435AA"/>
    <w:rsid w:val="00B436A8"/>
    <w:rsid w:val="00B4377C"/>
    <w:rsid w:val="00B4408D"/>
    <w:rsid w:val="00B44C51"/>
    <w:rsid w:val="00B44C83"/>
    <w:rsid w:val="00B44DF3"/>
    <w:rsid w:val="00B44FFB"/>
    <w:rsid w:val="00B4511A"/>
    <w:rsid w:val="00B458A7"/>
    <w:rsid w:val="00B45927"/>
    <w:rsid w:val="00B4593D"/>
    <w:rsid w:val="00B45F6D"/>
    <w:rsid w:val="00B46478"/>
    <w:rsid w:val="00B4689D"/>
    <w:rsid w:val="00B46978"/>
    <w:rsid w:val="00B469DB"/>
    <w:rsid w:val="00B46E61"/>
    <w:rsid w:val="00B47025"/>
    <w:rsid w:val="00B47148"/>
    <w:rsid w:val="00B4726B"/>
    <w:rsid w:val="00B4732C"/>
    <w:rsid w:val="00B47874"/>
    <w:rsid w:val="00B47E8C"/>
    <w:rsid w:val="00B47E93"/>
    <w:rsid w:val="00B500CE"/>
    <w:rsid w:val="00B501A6"/>
    <w:rsid w:val="00B50350"/>
    <w:rsid w:val="00B50569"/>
    <w:rsid w:val="00B50AE9"/>
    <w:rsid w:val="00B50BA3"/>
    <w:rsid w:val="00B50BC3"/>
    <w:rsid w:val="00B50C25"/>
    <w:rsid w:val="00B50D14"/>
    <w:rsid w:val="00B50F2B"/>
    <w:rsid w:val="00B5117D"/>
    <w:rsid w:val="00B51182"/>
    <w:rsid w:val="00B51499"/>
    <w:rsid w:val="00B5190C"/>
    <w:rsid w:val="00B51E7F"/>
    <w:rsid w:val="00B525A1"/>
    <w:rsid w:val="00B5285A"/>
    <w:rsid w:val="00B52B5C"/>
    <w:rsid w:val="00B52E74"/>
    <w:rsid w:val="00B53077"/>
    <w:rsid w:val="00B533CE"/>
    <w:rsid w:val="00B53B50"/>
    <w:rsid w:val="00B53E42"/>
    <w:rsid w:val="00B542D7"/>
    <w:rsid w:val="00B54309"/>
    <w:rsid w:val="00B54469"/>
    <w:rsid w:val="00B548DE"/>
    <w:rsid w:val="00B54B22"/>
    <w:rsid w:val="00B54E47"/>
    <w:rsid w:val="00B54E68"/>
    <w:rsid w:val="00B54FEF"/>
    <w:rsid w:val="00B5529B"/>
    <w:rsid w:val="00B5560C"/>
    <w:rsid w:val="00B55793"/>
    <w:rsid w:val="00B55A1F"/>
    <w:rsid w:val="00B55BC8"/>
    <w:rsid w:val="00B55EE3"/>
    <w:rsid w:val="00B55FFA"/>
    <w:rsid w:val="00B5607A"/>
    <w:rsid w:val="00B56274"/>
    <w:rsid w:val="00B5662E"/>
    <w:rsid w:val="00B567F0"/>
    <w:rsid w:val="00B569B4"/>
    <w:rsid w:val="00B569CE"/>
    <w:rsid w:val="00B5758A"/>
    <w:rsid w:val="00B57752"/>
    <w:rsid w:val="00B57BD0"/>
    <w:rsid w:val="00B57EB4"/>
    <w:rsid w:val="00B57FDE"/>
    <w:rsid w:val="00B60433"/>
    <w:rsid w:val="00B6056E"/>
    <w:rsid w:val="00B60842"/>
    <w:rsid w:val="00B609DB"/>
    <w:rsid w:val="00B60B9C"/>
    <w:rsid w:val="00B60C1C"/>
    <w:rsid w:val="00B61067"/>
    <w:rsid w:val="00B61133"/>
    <w:rsid w:val="00B61187"/>
    <w:rsid w:val="00B614B4"/>
    <w:rsid w:val="00B61501"/>
    <w:rsid w:val="00B616DA"/>
    <w:rsid w:val="00B617B2"/>
    <w:rsid w:val="00B6197D"/>
    <w:rsid w:val="00B61A05"/>
    <w:rsid w:val="00B61AB8"/>
    <w:rsid w:val="00B61BCE"/>
    <w:rsid w:val="00B6217B"/>
    <w:rsid w:val="00B622BD"/>
    <w:rsid w:val="00B625A9"/>
    <w:rsid w:val="00B62A68"/>
    <w:rsid w:val="00B62B68"/>
    <w:rsid w:val="00B62CF2"/>
    <w:rsid w:val="00B63113"/>
    <w:rsid w:val="00B63138"/>
    <w:rsid w:val="00B6345C"/>
    <w:rsid w:val="00B635C3"/>
    <w:rsid w:val="00B6363F"/>
    <w:rsid w:val="00B63B34"/>
    <w:rsid w:val="00B63B59"/>
    <w:rsid w:val="00B63B66"/>
    <w:rsid w:val="00B63F3A"/>
    <w:rsid w:val="00B6415E"/>
    <w:rsid w:val="00B643D5"/>
    <w:rsid w:val="00B644F3"/>
    <w:rsid w:val="00B645E9"/>
    <w:rsid w:val="00B64670"/>
    <w:rsid w:val="00B64772"/>
    <w:rsid w:val="00B648AF"/>
    <w:rsid w:val="00B64CAC"/>
    <w:rsid w:val="00B652CA"/>
    <w:rsid w:val="00B653C2"/>
    <w:rsid w:val="00B65743"/>
    <w:rsid w:val="00B6581B"/>
    <w:rsid w:val="00B658EB"/>
    <w:rsid w:val="00B65EC2"/>
    <w:rsid w:val="00B6610B"/>
    <w:rsid w:val="00B662CD"/>
    <w:rsid w:val="00B662E2"/>
    <w:rsid w:val="00B66490"/>
    <w:rsid w:val="00B665B8"/>
    <w:rsid w:val="00B66C12"/>
    <w:rsid w:val="00B66F38"/>
    <w:rsid w:val="00B67308"/>
    <w:rsid w:val="00B6760E"/>
    <w:rsid w:val="00B67AF4"/>
    <w:rsid w:val="00B67B39"/>
    <w:rsid w:val="00B67EAE"/>
    <w:rsid w:val="00B67EE4"/>
    <w:rsid w:val="00B7040B"/>
    <w:rsid w:val="00B705B5"/>
    <w:rsid w:val="00B70855"/>
    <w:rsid w:val="00B70DBB"/>
    <w:rsid w:val="00B70EC6"/>
    <w:rsid w:val="00B713A7"/>
    <w:rsid w:val="00B714CF"/>
    <w:rsid w:val="00B71616"/>
    <w:rsid w:val="00B71978"/>
    <w:rsid w:val="00B71D89"/>
    <w:rsid w:val="00B72320"/>
    <w:rsid w:val="00B72333"/>
    <w:rsid w:val="00B7277D"/>
    <w:rsid w:val="00B72FDC"/>
    <w:rsid w:val="00B741A9"/>
    <w:rsid w:val="00B7450E"/>
    <w:rsid w:val="00B74606"/>
    <w:rsid w:val="00B747F4"/>
    <w:rsid w:val="00B7484D"/>
    <w:rsid w:val="00B74C2D"/>
    <w:rsid w:val="00B74D06"/>
    <w:rsid w:val="00B75321"/>
    <w:rsid w:val="00B7533E"/>
    <w:rsid w:val="00B75340"/>
    <w:rsid w:val="00B75AA4"/>
    <w:rsid w:val="00B75BF3"/>
    <w:rsid w:val="00B75F0D"/>
    <w:rsid w:val="00B75F7A"/>
    <w:rsid w:val="00B7631D"/>
    <w:rsid w:val="00B766D9"/>
    <w:rsid w:val="00B767B4"/>
    <w:rsid w:val="00B76A17"/>
    <w:rsid w:val="00B76DDE"/>
    <w:rsid w:val="00B76ED0"/>
    <w:rsid w:val="00B774F5"/>
    <w:rsid w:val="00B77AEF"/>
    <w:rsid w:val="00B800EA"/>
    <w:rsid w:val="00B802E3"/>
    <w:rsid w:val="00B8035E"/>
    <w:rsid w:val="00B804E7"/>
    <w:rsid w:val="00B80511"/>
    <w:rsid w:val="00B805BB"/>
    <w:rsid w:val="00B80ACE"/>
    <w:rsid w:val="00B8167E"/>
    <w:rsid w:val="00B81B4E"/>
    <w:rsid w:val="00B82055"/>
    <w:rsid w:val="00B82345"/>
    <w:rsid w:val="00B82404"/>
    <w:rsid w:val="00B8265B"/>
    <w:rsid w:val="00B82A65"/>
    <w:rsid w:val="00B82A96"/>
    <w:rsid w:val="00B82B63"/>
    <w:rsid w:val="00B82BA0"/>
    <w:rsid w:val="00B82DE6"/>
    <w:rsid w:val="00B82E0D"/>
    <w:rsid w:val="00B82E3A"/>
    <w:rsid w:val="00B832B1"/>
    <w:rsid w:val="00B83301"/>
    <w:rsid w:val="00B833E8"/>
    <w:rsid w:val="00B83447"/>
    <w:rsid w:val="00B834E5"/>
    <w:rsid w:val="00B83522"/>
    <w:rsid w:val="00B839D8"/>
    <w:rsid w:val="00B83A1B"/>
    <w:rsid w:val="00B83B80"/>
    <w:rsid w:val="00B83F80"/>
    <w:rsid w:val="00B84331"/>
    <w:rsid w:val="00B8459B"/>
    <w:rsid w:val="00B8474A"/>
    <w:rsid w:val="00B8489F"/>
    <w:rsid w:val="00B84B22"/>
    <w:rsid w:val="00B85341"/>
    <w:rsid w:val="00B8551C"/>
    <w:rsid w:val="00B85B5E"/>
    <w:rsid w:val="00B85FE1"/>
    <w:rsid w:val="00B861CF"/>
    <w:rsid w:val="00B86600"/>
    <w:rsid w:val="00B86689"/>
    <w:rsid w:val="00B86958"/>
    <w:rsid w:val="00B86A2C"/>
    <w:rsid w:val="00B871B7"/>
    <w:rsid w:val="00B87371"/>
    <w:rsid w:val="00B87C6A"/>
    <w:rsid w:val="00B90B56"/>
    <w:rsid w:val="00B910C7"/>
    <w:rsid w:val="00B912A8"/>
    <w:rsid w:val="00B914FA"/>
    <w:rsid w:val="00B9160C"/>
    <w:rsid w:val="00B91879"/>
    <w:rsid w:val="00B919A0"/>
    <w:rsid w:val="00B91D9D"/>
    <w:rsid w:val="00B92067"/>
    <w:rsid w:val="00B926A3"/>
    <w:rsid w:val="00B92797"/>
    <w:rsid w:val="00B928AD"/>
    <w:rsid w:val="00B92956"/>
    <w:rsid w:val="00B92B4A"/>
    <w:rsid w:val="00B92BC5"/>
    <w:rsid w:val="00B93154"/>
    <w:rsid w:val="00B934F5"/>
    <w:rsid w:val="00B93533"/>
    <w:rsid w:val="00B9373E"/>
    <w:rsid w:val="00B9378A"/>
    <w:rsid w:val="00B93902"/>
    <w:rsid w:val="00B93D00"/>
    <w:rsid w:val="00B943EA"/>
    <w:rsid w:val="00B948BF"/>
    <w:rsid w:val="00B94AAE"/>
    <w:rsid w:val="00B94B2A"/>
    <w:rsid w:val="00B94C98"/>
    <w:rsid w:val="00B94E46"/>
    <w:rsid w:val="00B9522F"/>
    <w:rsid w:val="00B95332"/>
    <w:rsid w:val="00B955CE"/>
    <w:rsid w:val="00B956EF"/>
    <w:rsid w:val="00B958DE"/>
    <w:rsid w:val="00B95BFC"/>
    <w:rsid w:val="00B95C23"/>
    <w:rsid w:val="00B968A0"/>
    <w:rsid w:val="00B969F5"/>
    <w:rsid w:val="00B96CB2"/>
    <w:rsid w:val="00B970F6"/>
    <w:rsid w:val="00B97184"/>
    <w:rsid w:val="00B972FE"/>
    <w:rsid w:val="00B973AE"/>
    <w:rsid w:val="00B974DA"/>
    <w:rsid w:val="00BA0253"/>
    <w:rsid w:val="00BA052F"/>
    <w:rsid w:val="00BA059C"/>
    <w:rsid w:val="00BA0861"/>
    <w:rsid w:val="00BA0B98"/>
    <w:rsid w:val="00BA152F"/>
    <w:rsid w:val="00BA1717"/>
    <w:rsid w:val="00BA1A44"/>
    <w:rsid w:val="00BA1F99"/>
    <w:rsid w:val="00BA1FA2"/>
    <w:rsid w:val="00BA212B"/>
    <w:rsid w:val="00BA2664"/>
    <w:rsid w:val="00BA2927"/>
    <w:rsid w:val="00BA29A0"/>
    <w:rsid w:val="00BA2D38"/>
    <w:rsid w:val="00BA3005"/>
    <w:rsid w:val="00BA30EC"/>
    <w:rsid w:val="00BA31A9"/>
    <w:rsid w:val="00BA331E"/>
    <w:rsid w:val="00BA3496"/>
    <w:rsid w:val="00BA3630"/>
    <w:rsid w:val="00BA3649"/>
    <w:rsid w:val="00BA36CB"/>
    <w:rsid w:val="00BA3BD6"/>
    <w:rsid w:val="00BA3C82"/>
    <w:rsid w:val="00BA3E2B"/>
    <w:rsid w:val="00BA3F99"/>
    <w:rsid w:val="00BA43A0"/>
    <w:rsid w:val="00BA489B"/>
    <w:rsid w:val="00BA4A54"/>
    <w:rsid w:val="00BA532D"/>
    <w:rsid w:val="00BA567C"/>
    <w:rsid w:val="00BA5A1D"/>
    <w:rsid w:val="00BA5A9E"/>
    <w:rsid w:val="00BA60EE"/>
    <w:rsid w:val="00BA6532"/>
    <w:rsid w:val="00BA67D3"/>
    <w:rsid w:val="00BA6A29"/>
    <w:rsid w:val="00BA6C37"/>
    <w:rsid w:val="00BA6E39"/>
    <w:rsid w:val="00BA6FF1"/>
    <w:rsid w:val="00BA700E"/>
    <w:rsid w:val="00BA7057"/>
    <w:rsid w:val="00BA71CB"/>
    <w:rsid w:val="00BA766D"/>
    <w:rsid w:val="00BA77DB"/>
    <w:rsid w:val="00BA7D3B"/>
    <w:rsid w:val="00BA7E3C"/>
    <w:rsid w:val="00BB0460"/>
    <w:rsid w:val="00BB067D"/>
    <w:rsid w:val="00BB0BA8"/>
    <w:rsid w:val="00BB0DD6"/>
    <w:rsid w:val="00BB0E93"/>
    <w:rsid w:val="00BB10CE"/>
    <w:rsid w:val="00BB1293"/>
    <w:rsid w:val="00BB12D9"/>
    <w:rsid w:val="00BB13A0"/>
    <w:rsid w:val="00BB147C"/>
    <w:rsid w:val="00BB1714"/>
    <w:rsid w:val="00BB182A"/>
    <w:rsid w:val="00BB1AC0"/>
    <w:rsid w:val="00BB21EB"/>
    <w:rsid w:val="00BB220D"/>
    <w:rsid w:val="00BB24C3"/>
    <w:rsid w:val="00BB2699"/>
    <w:rsid w:val="00BB284D"/>
    <w:rsid w:val="00BB28D2"/>
    <w:rsid w:val="00BB2D8A"/>
    <w:rsid w:val="00BB38D1"/>
    <w:rsid w:val="00BB3C98"/>
    <w:rsid w:val="00BB3FAA"/>
    <w:rsid w:val="00BB40F7"/>
    <w:rsid w:val="00BB4312"/>
    <w:rsid w:val="00BB48D4"/>
    <w:rsid w:val="00BB4920"/>
    <w:rsid w:val="00BB4D43"/>
    <w:rsid w:val="00BB5306"/>
    <w:rsid w:val="00BB563A"/>
    <w:rsid w:val="00BB5795"/>
    <w:rsid w:val="00BB57E1"/>
    <w:rsid w:val="00BB5AE5"/>
    <w:rsid w:val="00BB5B76"/>
    <w:rsid w:val="00BB5C81"/>
    <w:rsid w:val="00BB5CAF"/>
    <w:rsid w:val="00BB5DA9"/>
    <w:rsid w:val="00BB5E10"/>
    <w:rsid w:val="00BB5E42"/>
    <w:rsid w:val="00BB621A"/>
    <w:rsid w:val="00BB6577"/>
    <w:rsid w:val="00BB65AE"/>
    <w:rsid w:val="00BB6E09"/>
    <w:rsid w:val="00BB6E5E"/>
    <w:rsid w:val="00BB72D9"/>
    <w:rsid w:val="00BB75C1"/>
    <w:rsid w:val="00BB778C"/>
    <w:rsid w:val="00BB7844"/>
    <w:rsid w:val="00BB7CAF"/>
    <w:rsid w:val="00BB7D78"/>
    <w:rsid w:val="00BB7E3B"/>
    <w:rsid w:val="00BC0188"/>
    <w:rsid w:val="00BC057E"/>
    <w:rsid w:val="00BC0DFC"/>
    <w:rsid w:val="00BC0E49"/>
    <w:rsid w:val="00BC0EB3"/>
    <w:rsid w:val="00BC0F6E"/>
    <w:rsid w:val="00BC0F8E"/>
    <w:rsid w:val="00BC1120"/>
    <w:rsid w:val="00BC13AE"/>
    <w:rsid w:val="00BC1457"/>
    <w:rsid w:val="00BC1996"/>
    <w:rsid w:val="00BC19C6"/>
    <w:rsid w:val="00BC1B1E"/>
    <w:rsid w:val="00BC1B9A"/>
    <w:rsid w:val="00BC1C1B"/>
    <w:rsid w:val="00BC1FAB"/>
    <w:rsid w:val="00BC213E"/>
    <w:rsid w:val="00BC28A1"/>
    <w:rsid w:val="00BC2E2A"/>
    <w:rsid w:val="00BC317F"/>
    <w:rsid w:val="00BC33C0"/>
    <w:rsid w:val="00BC3989"/>
    <w:rsid w:val="00BC3B19"/>
    <w:rsid w:val="00BC3C00"/>
    <w:rsid w:val="00BC45ED"/>
    <w:rsid w:val="00BC4929"/>
    <w:rsid w:val="00BC4ADD"/>
    <w:rsid w:val="00BC4EA2"/>
    <w:rsid w:val="00BC515C"/>
    <w:rsid w:val="00BC51C4"/>
    <w:rsid w:val="00BC5594"/>
    <w:rsid w:val="00BC5702"/>
    <w:rsid w:val="00BC57D9"/>
    <w:rsid w:val="00BC5BEC"/>
    <w:rsid w:val="00BC5F53"/>
    <w:rsid w:val="00BC6133"/>
    <w:rsid w:val="00BC615C"/>
    <w:rsid w:val="00BC6653"/>
    <w:rsid w:val="00BC6A21"/>
    <w:rsid w:val="00BC6BB2"/>
    <w:rsid w:val="00BC6F05"/>
    <w:rsid w:val="00BC7486"/>
    <w:rsid w:val="00BC753E"/>
    <w:rsid w:val="00BC76E9"/>
    <w:rsid w:val="00BC7A22"/>
    <w:rsid w:val="00BC7AE1"/>
    <w:rsid w:val="00BC7C9F"/>
    <w:rsid w:val="00BC7D5F"/>
    <w:rsid w:val="00BC7D6B"/>
    <w:rsid w:val="00BD00B6"/>
    <w:rsid w:val="00BD0109"/>
    <w:rsid w:val="00BD0620"/>
    <w:rsid w:val="00BD074B"/>
    <w:rsid w:val="00BD0B94"/>
    <w:rsid w:val="00BD106E"/>
    <w:rsid w:val="00BD1262"/>
    <w:rsid w:val="00BD142D"/>
    <w:rsid w:val="00BD143B"/>
    <w:rsid w:val="00BD1899"/>
    <w:rsid w:val="00BD1988"/>
    <w:rsid w:val="00BD19F9"/>
    <w:rsid w:val="00BD20AE"/>
    <w:rsid w:val="00BD2155"/>
    <w:rsid w:val="00BD230D"/>
    <w:rsid w:val="00BD2494"/>
    <w:rsid w:val="00BD24F5"/>
    <w:rsid w:val="00BD2B69"/>
    <w:rsid w:val="00BD32CA"/>
    <w:rsid w:val="00BD335C"/>
    <w:rsid w:val="00BD3970"/>
    <w:rsid w:val="00BD3971"/>
    <w:rsid w:val="00BD41E1"/>
    <w:rsid w:val="00BD4502"/>
    <w:rsid w:val="00BD4834"/>
    <w:rsid w:val="00BD4B1D"/>
    <w:rsid w:val="00BD4BAE"/>
    <w:rsid w:val="00BD4D9E"/>
    <w:rsid w:val="00BD4E5E"/>
    <w:rsid w:val="00BD4FE7"/>
    <w:rsid w:val="00BD50E6"/>
    <w:rsid w:val="00BD5342"/>
    <w:rsid w:val="00BD5463"/>
    <w:rsid w:val="00BD5729"/>
    <w:rsid w:val="00BD5B8B"/>
    <w:rsid w:val="00BD5C6A"/>
    <w:rsid w:val="00BD60B2"/>
    <w:rsid w:val="00BD613C"/>
    <w:rsid w:val="00BD61E2"/>
    <w:rsid w:val="00BD6459"/>
    <w:rsid w:val="00BD66A2"/>
    <w:rsid w:val="00BD66F7"/>
    <w:rsid w:val="00BD66FE"/>
    <w:rsid w:val="00BD6894"/>
    <w:rsid w:val="00BD68A9"/>
    <w:rsid w:val="00BD68CE"/>
    <w:rsid w:val="00BD6D11"/>
    <w:rsid w:val="00BD77BF"/>
    <w:rsid w:val="00BD7817"/>
    <w:rsid w:val="00BD7A5E"/>
    <w:rsid w:val="00BD7AA7"/>
    <w:rsid w:val="00BD7EBD"/>
    <w:rsid w:val="00BE00C2"/>
    <w:rsid w:val="00BE0110"/>
    <w:rsid w:val="00BE02A9"/>
    <w:rsid w:val="00BE0781"/>
    <w:rsid w:val="00BE1DC9"/>
    <w:rsid w:val="00BE1F28"/>
    <w:rsid w:val="00BE207A"/>
    <w:rsid w:val="00BE2578"/>
    <w:rsid w:val="00BE288F"/>
    <w:rsid w:val="00BE28A0"/>
    <w:rsid w:val="00BE2923"/>
    <w:rsid w:val="00BE2D5B"/>
    <w:rsid w:val="00BE3109"/>
    <w:rsid w:val="00BE337D"/>
    <w:rsid w:val="00BE353E"/>
    <w:rsid w:val="00BE3982"/>
    <w:rsid w:val="00BE3AA0"/>
    <w:rsid w:val="00BE3D0E"/>
    <w:rsid w:val="00BE400C"/>
    <w:rsid w:val="00BE48A7"/>
    <w:rsid w:val="00BE4A9B"/>
    <w:rsid w:val="00BE4C9E"/>
    <w:rsid w:val="00BE539C"/>
    <w:rsid w:val="00BE551A"/>
    <w:rsid w:val="00BE5737"/>
    <w:rsid w:val="00BE604C"/>
    <w:rsid w:val="00BE607B"/>
    <w:rsid w:val="00BE60BD"/>
    <w:rsid w:val="00BE6101"/>
    <w:rsid w:val="00BE63E4"/>
    <w:rsid w:val="00BE685E"/>
    <w:rsid w:val="00BE6A2F"/>
    <w:rsid w:val="00BE6ACF"/>
    <w:rsid w:val="00BE6B96"/>
    <w:rsid w:val="00BE729D"/>
    <w:rsid w:val="00BE74BB"/>
    <w:rsid w:val="00BE791A"/>
    <w:rsid w:val="00BE7EDC"/>
    <w:rsid w:val="00BF0077"/>
    <w:rsid w:val="00BF02E1"/>
    <w:rsid w:val="00BF09AE"/>
    <w:rsid w:val="00BF0A44"/>
    <w:rsid w:val="00BF0BB7"/>
    <w:rsid w:val="00BF0CB0"/>
    <w:rsid w:val="00BF0D10"/>
    <w:rsid w:val="00BF0F1C"/>
    <w:rsid w:val="00BF10B9"/>
    <w:rsid w:val="00BF120B"/>
    <w:rsid w:val="00BF1343"/>
    <w:rsid w:val="00BF1468"/>
    <w:rsid w:val="00BF1506"/>
    <w:rsid w:val="00BF1507"/>
    <w:rsid w:val="00BF1AF9"/>
    <w:rsid w:val="00BF1CD4"/>
    <w:rsid w:val="00BF1EC1"/>
    <w:rsid w:val="00BF2189"/>
    <w:rsid w:val="00BF22ED"/>
    <w:rsid w:val="00BF2371"/>
    <w:rsid w:val="00BF25D6"/>
    <w:rsid w:val="00BF27BD"/>
    <w:rsid w:val="00BF289A"/>
    <w:rsid w:val="00BF2B5E"/>
    <w:rsid w:val="00BF312F"/>
    <w:rsid w:val="00BF3340"/>
    <w:rsid w:val="00BF37B2"/>
    <w:rsid w:val="00BF39C6"/>
    <w:rsid w:val="00BF3D11"/>
    <w:rsid w:val="00BF400E"/>
    <w:rsid w:val="00BF4285"/>
    <w:rsid w:val="00BF43F7"/>
    <w:rsid w:val="00BF441F"/>
    <w:rsid w:val="00BF49CF"/>
    <w:rsid w:val="00BF4B2F"/>
    <w:rsid w:val="00BF4CDC"/>
    <w:rsid w:val="00BF4E0F"/>
    <w:rsid w:val="00BF508A"/>
    <w:rsid w:val="00BF54EA"/>
    <w:rsid w:val="00BF55E4"/>
    <w:rsid w:val="00BF5644"/>
    <w:rsid w:val="00BF592D"/>
    <w:rsid w:val="00BF59A6"/>
    <w:rsid w:val="00BF5BE8"/>
    <w:rsid w:val="00BF5C68"/>
    <w:rsid w:val="00BF5CE4"/>
    <w:rsid w:val="00BF5F43"/>
    <w:rsid w:val="00BF64B6"/>
    <w:rsid w:val="00BF656E"/>
    <w:rsid w:val="00BF6711"/>
    <w:rsid w:val="00BF694D"/>
    <w:rsid w:val="00BF6E00"/>
    <w:rsid w:val="00BF6EBE"/>
    <w:rsid w:val="00BF730C"/>
    <w:rsid w:val="00BF734A"/>
    <w:rsid w:val="00BF74A9"/>
    <w:rsid w:val="00BF74F7"/>
    <w:rsid w:val="00BF7812"/>
    <w:rsid w:val="00BF78A1"/>
    <w:rsid w:val="00BF792A"/>
    <w:rsid w:val="00BF79DC"/>
    <w:rsid w:val="00BF7ABC"/>
    <w:rsid w:val="00BF7E29"/>
    <w:rsid w:val="00C00008"/>
    <w:rsid w:val="00C0017E"/>
    <w:rsid w:val="00C007FA"/>
    <w:rsid w:val="00C00B8E"/>
    <w:rsid w:val="00C00BE4"/>
    <w:rsid w:val="00C00F0F"/>
    <w:rsid w:val="00C01056"/>
    <w:rsid w:val="00C016BF"/>
    <w:rsid w:val="00C016DA"/>
    <w:rsid w:val="00C01818"/>
    <w:rsid w:val="00C01AFC"/>
    <w:rsid w:val="00C01CCD"/>
    <w:rsid w:val="00C01D89"/>
    <w:rsid w:val="00C0205E"/>
    <w:rsid w:val="00C020E5"/>
    <w:rsid w:val="00C02225"/>
    <w:rsid w:val="00C025E6"/>
    <w:rsid w:val="00C028CC"/>
    <w:rsid w:val="00C02B5A"/>
    <w:rsid w:val="00C02BA1"/>
    <w:rsid w:val="00C02BF7"/>
    <w:rsid w:val="00C02C3B"/>
    <w:rsid w:val="00C02C40"/>
    <w:rsid w:val="00C02EAE"/>
    <w:rsid w:val="00C02F90"/>
    <w:rsid w:val="00C03275"/>
    <w:rsid w:val="00C033B0"/>
    <w:rsid w:val="00C035A5"/>
    <w:rsid w:val="00C036C1"/>
    <w:rsid w:val="00C038F6"/>
    <w:rsid w:val="00C03A27"/>
    <w:rsid w:val="00C041B0"/>
    <w:rsid w:val="00C044F5"/>
    <w:rsid w:val="00C0452C"/>
    <w:rsid w:val="00C0485B"/>
    <w:rsid w:val="00C04994"/>
    <w:rsid w:val="00C04C50"/>
    <w:rsid w:val="00C04CAE"/>
    <w:rsid w:val="00C0558C"/>
    <w:rsid w:val="00C05621"/>
    <w:rsid w:val="00C056AF"/>
    <w:rsid w:val="00C05816"/>
    <w:rsid w:val="00C05897"/>
    <w:rsid w:val="00C0599E"/>
    <w:rsid w:val="00C05A27"/>
    <w:rsid w:val="00C05DFA"/>
    <w:rsid w:val="00C05FCF"/>
    <w:rsid w:val="00C06224"/>
    <w:rsid w:val="00C063AE"/>
    <w:rsid w:val="00C063DA"/>
    <w:rsid w:val="00C06453"/>
    <w:rsid w:val="00C06763"/>
    <w:rsid w:val="00C06982"/>
    <w:rsid w:val="00C06A7C"/>
    <w:rsid w:val="00C06B27"/>
    <w:rsid w:val="00C06B61"/>
    <w:rsid w:val="00C06CDE"/>
    <w:rsid w:val="00C06D71"/>
    <w:rsid w:val="00C07109"/>
    <w:rsid w:val="00C07125"/>
    <w:rsid w:val="00C074C9"/>
    <w:rsid w:val="00C07673"/>
    <w:rsid w:val="00C07709"/>
    <w:rsid w:val="00C10019"/>
    <w:rsid w:val="00C101A2"/>
    <w:rsid w:val="00C10458"/>
    <w:rsid w:val="00C10BF9"/>
    <w:rsid w:val="00C10F32"/>
    <w:rsid w:val="00C11068"/>
    <w:rsid w:val="00C1120B"/>
    <w:rsid w:val="00C11307"/>
    <w:rsid w:val="00C115E7"/>
    <w:rsid w:val="00C1195C"/>
    <w:rsid w:val="00C11EB6"/>
    <w:rsid w:val="00C1251F"/>
    <w:rsid w:val="00C12BA5"/>
    <w:rsid w:val="00C12BDF"/>
    <w:rsid w:val="00C12DAE"/>
    <w:rsid w:val="00C12ED6"/>
    <w:rsid w:val="00C12EFC"/>
    <w:rsid w:val="00C1314C"/>
    <w:rsid w:val="00C13771"/>
    <w:rsid w:val="00C13A99"/>
    <w:rsid w:val="00C13CDC"/>
    <w:rsid w:val="00C13F6A"/>
    <w:rsid w:val="00C14142"/>
    <w:rsid w:val="00C14160"/>
    <w:rsid w:val="00C1417D"/>
    <w:rsid w:val="00C142B8"/>
    <w:rsid w:val="00C14434"/>
    <w:rsid w:val="00C14888"/>
    <w:rsid w:val="00C148F6"/>
    <w:rsid w:val="00C14AE3"/>
    <w:rsid w:val="00C14DBE"/>
    <w:rsid w:val="00C14ED1"/>
    <w:rsid w:val="00C152D7"/>
    <w:rsid w:val="00C15348"/>
    <w:rsid w:val="00C15918"/>
    <w:rsid w:val="00C1622E"/>
    <w:rsid w:val="00C1628F"/>
    <w:rsid w:val="00C16320"/>
    <w:rsid w:val="00C16492"/>
    <w:rsid w:val="00C16526"/>
    <w:rsid w:val="00C1666C"/>
    <w:rsid w:val="00C16701"/>
    <w:rsid w:val="00C168DD"/>
    <w:rsid w:val="00C16AEB"/>
    <w:rsid w:val="00C17C50"/>
    <w:rsid w:val="00C17EE9"/>
    <w:rsid w:val="00C17F3A"/>
    <w:rsid w:val="00C203D7"/>
    <w:rsid w:val="00C2052E"/>
    <w:rsid w:val="00C205CF"/>
    <w:rsid w:val="00C20830"/>
    <w:rsid w:val="00C20957"/>
    <w:rsid w:val="00C209BA"/>
    <w:rsid w:val="00C20AC1"/>
    <w:rsid w:val="00C2131F"/>
    <w:rsid w:val="00C217B8"/>
    <w:rsid w:val="00C21996"/>
    <w:rsid w:val="00C21A2C"/>
    <w:rsid w:val="00C22400"/>
    <w:rsid w:val="00C22819"/>
    <w:rsid w:val="00C2298C"/>
    <w:rsid w:val="00C2310E"/>
    <w:rsid w:val="00C236E0"/>
    <w:rsid w:val="00C2396E"/>
    <w:rsid w:val="00C23C06"/>
    <w:rsid w:val="00C23E6A"/>
    <w:rsid w:val="00C23FDB"/>
    <w:rsid w:val="00C24125"/>
    <w:rsid w:val="00C2416D"/>
    <w:rsid w:val="00C241E3"/>
    <w:rsid w:val="00C2474F"/>
    <w:rsid w:val="00C24966"/>
    <w:rsid w:val="00C249F1"/>
    <w:rsid w:val="00C24AD6"/>
    <w:rsid w:val="00C24B7F"/>
    <w:rsid w:val="00C24D2F"/>
    <w:rsid w:val="00C24FB5"/>
    <w:rsid w:val="00C257B0"/>
    <w:rsid w:val="00C25AD3"/>
    <w:rsid w:val="00C25B8D"/>
    <w:rsid w:val="00C261C6"/>
    <w:rsid w:val="00C2624B"/>
    <w:rsid w:val="00C2697B"/>
    <w:rsid w:val="00C26C5B"/>
    <w:rsid w:val="00C26D26"/>
    <w:rsid w:val="00C26EF0"/>
    <w:rsid w:val="00C276D3"/>
    <w:rsid w:val="00C27772"/>
    <w:rsid w:val="00C27AFE"/>
    <w:rsid w:val="00C27FC7"/>
    <w:rsid w:val="00C3013C"/>
    <w:rsid w:val="00C305AE"/>
    <w:rsid w:val="00C30605"/>
    <w:rsid w:val="00C30622"/>
    <w:rsid w:val="00C30C6F"/>
    <w:rsid w:val="00C313B7"/>
    <w:rsid w:val="00C3171D"/>
    <w:rsid w:val="00C31846"/>
    <w:rsid w:val="00C318E8"/>
    <w:rsid w:val="00C31913"/>
    <w:rsid w:val="00C3196A"/>
    <w:rsid w:val="00C31CC9"/>
    <w:rsid w:val="00C31DA3"/>
    <w:rsid w:val="00C32178"/>
    <w:rsid w:val="00C32643"/>
    <w:rsid w:val="00C32686"/>
    <w:rsid w:val="00C3280E"/>
    <w:rsid w:val="00C32AEF"/>
    <w:rsid w:val="00C32B4B"/>
    <w:rsid w:val="00C32DB3"/>
    <w:rsid w:val="00C32F4B"/>
    <w:rsid w:val="00C3302E"/>
    <w:rsid w:val="00C3346B"/>
    <w:rsid w:val="00C33558"/>
    <w:rsid w:val="00C3370B"/>
    <w:rsid w:val="00C33737"/>
    <w:rsid w:val="00C3373C"/>
    <w:rsid w:val="00C34218"/>
    <w:rsid w:val="00C34238"/>
    <w:rsid w:val="00C348FE"/>
    <w:rsid w:val="00C349ED"/>
    <w:rsid w:val="00C34B52"/>
    <w:rsid w:val="00C34F4F"/>
    <w:rsid w:val="00C352EA"/>
    <w:rsid w:val="00C35328"/>
    <w:rsid w:val="00C3536D"/>
    <w:rsid w:val="00C35708"/>
    <w:rsid w:val="00C35787"/>
    <w:rsid w:val="00C35CB0"/>
    <w:rsid w:val="00C362BB"/>
    <w:rsid w:val="00C3646E"/>
    <w:rsid w:val="00C36619"/>
    <w:rsid w:val="00C367C7"/>
    <w:rsid w:val="00C368DF"/>
    <w:rsid w:val="00C36B05"/>
    <w:rsid w:val="00C36B30"/>
    <w:rsid w:val="00C36C7F"/>
    <w:rsid w:val="00C36E29"/>
    <w:rsid w:val="00C3703D"/>
    <w:rsid w:val="00C3789B"/>
    <w:rsid w:val="00C379E8"/>
    <w:rsid w:val="00C37EA9"/>
    <w:rsid w:val="00C37FD2"/>
    <w:rsid w:val="00C40194"/>
    <w:rsid w:val="00C401C2"/>
    <w:rsid w:val="00C401DC"/>
    <w:rsid w:val="00C40479"/>
    <w:rsid w:val="00C404B6"/>
    <w:rsid w:val="00C4051C"/>
    <w:rsid w:val="00C406CF"/>
    <w:rsid w:val="00C407D2"/>
    <w:rsid w:val="00C40A86"/>
    <w:rsid w:val="00C40A96"/>
    <w:rsid w:val="00C40FCE"/>
    <w:rsid w:val="00C4121A"/>
    <w:rsid w:val="00C4135D"/>
    <w:rsid w:val="00C4172A"/>
    <w:rsid w:val="00C417C8"/>
    <w:rsid w:val="00C417D6"/>
    <w:rsid w:val="00C4187B"/>
    <w:rsid w:val="00C418E7"/>
    <w:rsid w:val="00C42539"/>
    <w:rsid w:val="00C42575"/>
    <w:rsid w:val="00C42854"/>
    <w:rsid w:val="00C42892"/>
    <w:rsid w:val="00C42CEF"/>
    <w:rsid w:val="00C42FC4"/>
    <w:rsid w:val="00C4319B"/>
    <w:rsid w:val="00C43785"/>
    <w:rsid w:val="00C4382E"/>
    <w:rsid w:val="00C43999"/>
    <w:rsid w:val="00C439E3"/>
    <w:rsid w:val="00C43A6D"/>
    <w:rsid w:val="00C43A75"/>
    <w:rsid w:val="00C44706"/>
    <w:rsid w:val="00C44784"/>
    <w:rsid w:val="00C447AC"/>
    <w:rsid w:val="00C44B2A"/>
    <w:rsid w:val="00C44B9D"/>
    <w:rsid w:val="00C44C98"/>
    <w:rsid w:val="00C45057"/>
    <w:rsid w:val="00C454C5"/>
    <w:rsid w:val="00C45905"/>
    <w:rsid w:val="00C459B3"/>
    <w:rsid w:val="00C459E6"/>
    <w:rsid w:val="00C45B52"/>
    <w:rsid w:val="00C45E62"/>
    <w:rsid w:val="00C45FB3"/>
    <w:rsid w:val="00C46358"/>
    <w:rsid w:val="00C464FE"/>
    <w:rsid w:val="00C46678"/>
    <w:rsid w:val="00C47465"/>
    <w:rsid w:val="00C478D1"/>
    <w:rsid w:val="00C47B13"/>
    <w:rsid w:val="00C503A5"/>
    <w:rsid w:val="00C50468"/>
    <w:rsid w:val="00C504BA"/>
    <w:rsid w:val="00C5051E"/>
    <w:rsid w:val="00C50BD4"/>
    <w:rsid w:val="00C50BDB"/>
    <w:rsid w:val="00C51110"/>
    <w:rsid w:val="00C51323"/>
    <w:rsid w:val="00C51462"/>
    <w:rsid w:val="00C51475"/>
    <w:rsid w:val="00C5161E"/>
    <w:rsid w:val="00C51652"/>
    <w:rsid w:val="00C51BE1"/>
    <w:rsid w:val="00C51BF3"/>
    <w:rsid w:val="00C51E1F"/>
    <w:rsid w:val="00C52104"/>
    <w:rsid w:val="00C523BB"/>
    <w:rsid w:val="00C523C3"/>
    <w:rsid w:val="00C525A2"/>
    <w:rsid w:val="00C52B42"/>
    <w:rsid w:val="00C53391"/>
    <w:rsid w:val="00C534E1"/>
    <w:rsid w:val="00C5395F"/>
    <w:rsid w:val="00C53CC6"/>
    <w:rsid w:val="00C53D7A"/>
    <w:rsid w:val="00C53EDA"/>
    <w:rsid w:val="00C53FAD"/>
    <w:rsid w:val="00C541D8"/>
    <w:rsid w:val="00C54840"/>
    <w:rsid w:val="00C54875"/>
    <w:rsid w:val="00C549B8"/>
    <w:rsid w:val="00C54B6A"/>
    <w:rsid w:val="00C54B81"/>
    <w:rsid w:val="00C54DFD"/>
    <w:rsid w:val="00C54E0F"/>
    <w:rsid w:val="00C54F98"/>
    <w:rsid w:val="00C55072"/>
    <w:rsid w:val="00C55095"/>
    <w:rsid w:val="00C552E3"/>
    <w:rsid w:val="00C555B8"/>
    <w:rsid w:val="00C55617"/>
    <w:rsid w:val="00C5565E"/>
    <w:rsid w:val="00C5582F"/>
    <w:rsid w:val="00C5588C"/>
    <w:rsid w:val="00C55CD9"/>
    <w:rsid w:val="00C56184"/>
    <w:rsid w:val="00C56476"/>
    <w:rsid w:val="00C56485"/>
    <w:rsid w:val="00C5681F"/>
    <w:rsid w:val="00C568D1"/>
    <w:rsid w:val="00C56975"/>
    <w:rsid w:val="00C56D10"/>
    <w:rsid w:val="00C56D38"/>
    <w:rsid w:val="00C56F3A"/>
    <w:rsid w:val="00C57089"/>
    <w:rsid w:val="00C57234"/>
    <w:rsid w:val="00C574F4"/>
    <w:rsid w:val="00C57D51"/>
    <w:rsid w:val="00C57F56"/>
    <w:rsid w:val="00C601AB"/>
    <w:rsid w:val="00C60475"/>
    <w:rsid w:val="00C60641"/>
    <w:rsid w:val="00C60714"/>
    <w:rsid w:val="00C608DF"/>
    <w:rsid w:val="00C60995"/>
    <w:rsid w:val="00C60A65"/>
    <w:rsid w:val="00C60A9E"/>
    <w:rsid w:val="00C60E03"/>
    <w:rsid w:val="00C60F97"/>
    <w:rsid w:val="00C61024"/>
    <w:rsid w:val="00C61266"/>
    <w:rsid w:val="00C61315"/>
    <w:rsid w:val="00C616F0"/>
    <w:rsid w:val="00C617D6"/>
    <w:rsid w:val="00C618B7"/>
    <w:rsid w:val="00C61912"/>
    <w:rsid w:val="00C61A6C"/>
    <w:rsid w:val="00C61B0C"/>
    <w:rsid w:val="00C61C81"/>
    <w:rsid w:val="00C61D1B"/>
    <w:rsid w:val="00C61DB5"/>
    <w:rsid w:val="00C61DDD"/>
    <w:rsid w:val="00C61E40"/>
    <w:rsid w:val="00C62A88"/>
    <w:rsid w:val="00C62C67"/>
    <w:rsid w:val="00C62D73"/>
    <w:rsid w:val="00C63331"/>
    <w:rsid w:val="00C63A46"/>
    <w:rsid w:val="00C63AA0"/>
    <w:rsid w:val="00C63B34"/>
    <w:rsid w:val="00C63BDE"/>
    <w:rsid w:val="00C63C27"/>
    <w:rsid w:val="00C63C57"/>
    <w:rsid w:val="00C63EA8"/>
    <w:rsid w:val="00C63F2D"/>
    <w:rsid w:val="00C64115"/>
    <w:rsid w:val="00C64BD9"/>
    <w:rsid w:val="00C64C6C"/>
    <w:rsid w:val="00C64F36"/>
    <w:rsid w:val="00C65260"/>
    <w:rsid w:val="00C65527"/>
    <w:rsid w:val="00C656C1"/>
    <w:rsid w:val="00C6573E"/>
    <w:rsid w:val="00C65785"/>
    <w:rsid w:val="00C65A33"/>
    <w:rsid w:val="00C65CE9"/>
    <w:rsid w:val="00C65E15"/>
    <w:rsid w:val="00C65EC2"/>
    <w:rsid w:val="00C65FBD"/>
    <w:rsid w:val="00C66699"/>
    <w:rsid w:val="00C6699C"/>
    <w:rsid w:val="00C66B10"/>
    <w:rsid w:val="00C66C22"/>
    <w:rsid w:val="00C66C27"/>
    <w:rsid w:val="00C66C58"/>
    <w:rsid w:val="00C66D47"/>
    <w:rsid w:val="00C674BC"/>
    <w:rsid w:val="00C6754B"/>
    <w:rsid w:val="00C6761B"/>
    <w:rsid w:val="00C677A7"/>
    <w:rsid w:val="00C67F79"/>
    <w:rsid w:val="00C67FD1"/>
    <w:rsid w:val="00C702AF"/>
    <w:rsid w:val="00C70622"/>
    <w:rsid w:val="00C707CC"/>
    <w:rsid w:val="00C70D9A"/>
    <w:rsid w:val="00C70F35"/>
    <w:rsid w:val="00C71147"/>
    <w:rsid w:val="00C713C0"/>
    <w:rsid w:val="00C71E21"/>
    <w:rsid w:val="00C71FE2"/>
    <w:rsid w:val="00C7226E"/>
    <w:rsid w:val="00C723C6"/>
    <w:rsid w:val="00C7270B"/>
    <w:rsid w:val="00C72A0E"/>
    <w:rsid w:val="00C72B21"/>
    <w:rsid w:val="00C72BA2"/>
    <w:rsid w:val="00C72C1E"/>
    <w:rsid w:val="00C72F1F"/>
    <w:rsid w:val="00C73291"/>
    <w:rsid w:val="00C73A7B"/>
    <w:rsid w:val="00C73BB1"/>
    <w:rsid w:val="00C74012"/>
    <w:rsid w:val="00C740C7"/>
    <w:rsid w:val="00C74131"/>
    <w:rsid w:val="00C7448C"/>
    <w:rsid w:val="00C7492C"/>
    <w:rsid w:val="00C74958"/>
    <w:rsid w:val="00C749EE"/>
    <w:rsid w:val="00C74CD7"/>
    <w:rsid w:val="00C74CEF"/>
    <w:rsid w:val="00C74D98"/>
    <w:rsid w:val="00C74F2C"/>
    <w:rsid w:val="00C74FE4"/>
    <w:rsid w:val="00C754C5"/>
    <w:rsid w:val="00C75539"/>
    <w:rsid w:val="00C75964"/>
    <w:rsid w:val="00C75CA7"/>
    <w:rsid w:val="00C76190"/>
    <w:rsid w:val="00C76299"/>
    <w:rsid w:val="00C7635A"/>
    <w:rsid w:val="00C764F7"/>
    <w:rsid w:val="00C76544"/>
    <w:rsid w:val="00C7669B"/>
    <w:rsid w:val="00C766F3"/>
    <w:rsid w:val="00C76E8C"/>
    <w:rsid w:val="00C76FE7"/>
    <w:rsid w:val="00C7709B"/>
    <w:rsid w:val="00C7723F"/>
    <w:rsid w:val="00C775FE"/>
    <w:rsid w:val="00C776C1"/>
    <w:rsid w:val="00C77B69"/>
    <w:rsid w:val="00C77CCF"/>
    <w:rsid w:val="00C77E3A"/>
    <w:rsid w:val="00C77FAE"/>
    <w:rsid w:val="00C8076F"/>
    <w:rsid w:val="00C8078C"/>
    <w:rsid w:val="00C808BD"/>
    <w:rsid w:val="00C80C63"/>
    <w:rsid w:val="00C81132"/>
    <w:rsid w:val="00C819D9"/>
    <w:rsid w:val="00C81AB7"/>
    <w:rsid w:val="00C81D8A"/>
    <w:rsid w:val="00C821C5"/>
    <w:rsid w:val="00C82348"/>
    <w:rsid w:val="00C82672"/>
    <w:rsid w:val="00C828E0"/>
    <w:rsid w:val="00C8347B"/>
    <w:rsid w:val="00C8377F"/>
    <w:rsid w:val="00C83CEE"/>
    <w:rsid w:val="00C83EBD"/>
    <w:rsid w:val="00C84AFE"/>
    <w:rsid w:val="00C84FF1"/>
    <w:rsid w:val="00C85210"/>
    <w:rsid w:val="00C8529D"/>
    <w:rsid w:val="00C8538A"/>
    <w:rsid w:val="00C856CA"/>
    <w:rsid w:val="00C859B0"/>
    <w:rsid w:val="00C85A31"/>
    <w:rsid w:val="00C85BD6"/>
    <w:rsid w:val="00C85BDD"/>
    <w:rsid w:val="00C86227"/>
    <w:rsid w:val="00C8654E"/>
    <w:rsid w:val="00C86A69"/>
    <w:rsid w:val="00C86C46"/>
    <w:rsid w:val="00C871FC"/>
    <w:rsid w:val="00C873B4"/>
    <w:rsid w:val="00C876F3"/>
    <w:rsid w:val="00C87C1E"/>
    <w:rsid w:val="00C87FC0"/>
    <w:rsid w:val="00C90005"/>
    <w:rsid w:val="00C90016"/>
    <w:rsid w:val="00C90295"/>
    <w:rsid w:val="00C902E2"/>
    <w:rsid w:val="00C9087E"/>
    <w:rsid w:val="00C908DA"/>
    <w:rsid w:val="00C90B80"/>
    <w:rsid w:val="00C91180"/>
    <w:rsid w:val="00C9166C"/>
    <w:rsid w:val="00C917E9"/>
    <w:rsid w:val="00C91CF4"/>
    <w:rsid w:val="00C91E69"/>
    <w:rsid w:val="00C922CA"/>
    <w:rsid w:val="00C9236B"/>
    <w:rsid w:val="00C92528"/>
    <w:rsid w:val="00C927E2"/>
    <w:rsid w:val="00C931D0"/>
    <w:rsid w:val="00C934D9"/>
    <w:rsid w:val="00C938BD"/>
    <w:rsid w:val="00C93C0A"/>
    <w:rsid w:val="00C93DAC"/>
    <w:rsid w:val="00C943B3"/>
    <w:rsid w:val="00C944EA"/>
    <w:rsid w:val="00C945CB"/>
    <w:rsid w:val="00C94642"/>
    <w:rsid w:val="00C94707"/>
    <w:rsid w:val="00C94782"/>
    <w:rsid w:val="00C94910"/>
    <w:rsid w:val="00C9492C"/>
    <w:rsid w:val="00C94A98"/>
    <w:rsid w:val="00C94EBA"/>
    <w:rsid w:val="00C9517B"/>
    <w:rsid w:val="00C95332"/>
    <w:rsid w:val="00C95720"/>
    <w:rsid w:val="00C9583F"/>
    <w:rsid w:val="00C9586F"/>
    <w:rsid w:val="00C95B6C"/>
    <w:rsid w:val="00C95C39"/>
    <w:rsid w:val="00C95D3F"/>
    <w:rsid w:val="00C95D78"/>
    <w:rsid w:val="00C960CD"/>
    <w:rsid w:val="00C9621F"/>
    <w:rsid w:val="00C96354"/>
    <w:rsid w:val="00C965FA"/>
    <w:rsid w:val="00C96710"/>
    <w:rsid w:val="00C96FF4"/>
    <w:rsid w:val="00CA0119"/>
    <w:rsid w:val="00CA019B"/>
    <w:rsid w:val="00CA0683"/>
    <w:rsid w:val="00CA0910"/>
    <w:rsid w:val="00CA0941"/>
    <w:rsid w:val="00CA0E09"/>
    <w:rsid w:val="00CA12E9"/>
    <w:rsid w:val="00CA1359"/>
    <w:rsid w:val="00CA1638"/>
    <w:rsid w:val="00CA1A8B"/>
    <w:rsid w:val="00CA1D61"/>
    <w:rsid w:val="00CA1D8F"/>
    <w:rsid w:val="00CA1E1D"/>
    <w:rsid w:val="00CA1FB3"/>
    <w:rsid w:val="00CA2047"/>
    <w:rsid w:val="00CA262C"/>
    <w:rsid w:val="00CA281E"/>
    <w:rsid w:val="00CA3087"/>
    <w:rsid w:val="00CA3252"/>
    <w:rsid w:val="00CA3373"/>
    <w:rsid w:val="00CA3774"/>
    <w:rsid w:val="00CA3915"/>
    <w:rsid w:val="00CA3A7C"/>
    <w:rsid w:val="00CA3E6B"/>
    <w:rsid w:val="00CA4001"/>
    <w:rsid w:val="00CA41A5"/>
    <w:rsid w:val="00CA452B"/>
    <w:rsid w:val="00CA45D7"/>
    <w:rsid w:val="00CA464C"/>
    <w:rsid w:val="00CA4A83"/>
    <w:rsid w:val="00CA4AEB"/>
    <w:rsid w:val="00CA4C94"/>
    <w:rsid w:val="00CA532D"/>
    <w:rsid w:val="00CA56B7"/>
    <w:rsid w:val="00CA5795"/>
    <w:rsid w:val="00CA5BE7"/>
    <w:rsid w:val="00CA5C05"/>
    <w:rsid w:val="00CA5C56"/>
    <w:rsid w:val="00CA5F60"/>
    <w:rsid w:val="00CA628E"/>
    <w:rsid w:val="00CA68E6"/>
    <w:rsid w:val="00CA69D4"/>
    <w:rsid w:val="00CA6A16"/>
    <w:rsid w:val="00CA6F9A"/>
    <w:rsid w:val="00CA7DF6"/>
    <w:rsid w:val="00CB00DA"/>
    <w:rsid w:val="00CB0221"/>
    <w:rsid w:val="00CB04D1"/>
    <w:rsid w:val="00CB0530"/>
    <w:rsid w:val="00CB0620"/>
    <w:rsid w:val="00CB0824"/>
    <w:rsid w:val="00CB08D1"/>
    <w:rsid w:val="00CB0C91"/>
    <w:rsid w:val="00CB0F46"/>
    <w:rsid w:val="00CB0F64"/>
    <w:rsid w:val="00CB18FE"/>
    <w:rsid w:val="00CB1963"/>
    <w:rsid w:val="00CB1C11"/>
    <w:rsid w:val="00CB212A"/>
    <w:rsid w:val="00CB25BA"/>
    <w:rsid w:val="00CB289D"/>
    <w:rsid w:val="00CB290C"/>
    <w:rsid w:val="00CB29A6"/>
    <w:rsid w:val="00CB2A12"/>
    <w:rsid w:val="00CB2D7A"/>
    <w:rsid w:val="00CB2DB4"/>
    <w:rsid w:val="00CB301F"/>
    <w:rsid w:val="00CB34C1"/>
    <w:rsid w:val="00CB3A16"/>
    <w:rsid w:val="00CB3B91"/>
    <w:rsid w:val="00CB3D2B"/>
    <w:rsid w:val="00CB3E20"/>
    <w:rsid w:val="00CB4453"/>
    <w:rsid w:val="00CB44E2"/>
    <w:rsid w:val="00CB4693"/>
    <w:rsid w:val="00CB4895"/>
    <w:rsid w:val="00CB4A35"/>
    <w:rsid w:val="00CB4C69"/>
    <w:rsid w:val="00CB535C"/>
    <w:rsid w:val="00CB53C5"/>
    <w:rsid w:val="00CB5593"/>
    <w:rsid w:val="00CB5BB2"/>
    <w:rsid w:val="00CB5EFD"/>
    <w:rsid w:val="00CB5FF9"/>
    <w:rsid w:val="00CB6144"/>
    <w:rsid w:val="00CB6240"/>
    <w:rsid w:val="00CB66D9"/>
    <w:rsid w:val="00CB677F"/>
    <w:rsid w:val="00CB6830"/>
    <w:rsid w:val="00CB694F"/>
    <w:rsid w:val="00CB6ABC"/>
    <w:rsid w:val="00CB72A0"/>
    <w:rsid w:val="00CB73B0"/>
    <w:rsid w:val="00CB7505"/>
    <w:rsid w:val="00CB7A33"/>
    <w:rsid w:val="00CB7B11"/>
    <w:rsid w:val="00CB7C80"/>
    <w:rsid w:val="00CB7D20"/>
    <w:rsid w:val="00CB7D53"/>
    <w:rsid w:val="00CB7E86"/>
    <w:rsid w:val="00CB7ECF"/>
    <w:rsid w:val="00CC0180"/>
    <w:rsid w:val="00CC025B"/>
    <w:rsid w:val="00CC051B"/>
    <w:rsid w:val="00CC0CAF"/>
    <w:rsid w:val="00CC1312"/>
    <w:rsid w:val="00CC1793"/>
    <w:rsid w:val="00CC1853"/>
    <w:rsid w:val="00CC1D07"/>
    <w:rsid w:val="00CC1E54"/>
    <w:rsid w:val="00CC1E76"/>
    <w:rsid w:val="00CC1FB1"/>
    <w:rsid w:val="00CC223E"/>
    <w:rsid w:val="00CC2264"/>
    <w:rsid w:val="00CC2271"/>
    <w:rsid w:val="00CC24B4"/>
    <w:rsid w:val="00CC272C"/>
    <w:rsid w:val="00CC2943"/>
    <w:rsid w:val="00CC2944"/>
    <w:rsid w:val="00CC2AD3"/>
    <w:rsid w:val="00CC2BB0"/>
    <w:rsid w:val="00CC2BDA"/>
    <w:rsid w:val="00CC2CA6"/>
    <w:rsid w:val="00CC2ECA"/>
    <w:rsid w:val="00CC2EEB"/>
    <w:rsid w:val="00CC3138"/>
    <w:rsid w:val="00CC3208"/>
    <w:rsid w:val="00CC3866"/>
    <w:rsid w:val="00CC3B30"/>
    <w:rsid w:val="00CC3F74"/>
    <w:rsid w:val="00CC474A"/>
    <w:rsid w:val="00CC497D"/>
    <w:rsid w:val="00CC4B2F"/>
    <w:rsid w:val="00CC4D4B"/>
    <w:rsid w:val="00CC55FF"/>
    <w:rsid w:val="00CC577A"/>
    <w:rsid w:val="00CC57C6"/>
    <w:rsid w:val="00CC587B"/>
    <w:rsid w:val="00CC58E4"/>
    <w:rsid w:val="00CC5A17"/>
    <w:rsid w:val="00CC5B0C"/>
    <w:rsid w:val="00CC5DAB"/>
    <w:rsid w:val="00CC6020"/>
    <w:rsid w:val="00CC6074"/>
    <w:rsid w:val="00CC612E"/>
    <w:rsid w:val="00CC622B"/>
    <w:rsid w:val="00CC6392"/>
    <w:rsid w:val="00CC63C8"/>
    <w:rsid w:val="00CC66DD"/>
    <w:rsid w:val="00CC68EB"/>
    <w:rsid w:val="00CC6A53"/>
    <w:rsid w:val="00CC70B4"/>
    <w:rsid w:val="00CC72C0"/>
    <w:rsid w:val="00CC758B"/>
    <w:rsid w:val="00CC7854"/>
    <w:rsid w:val="00CC7A82"/>
    <w:rsid w:val="00CC7B26"/>
    <w:rsid w:val="00CC7B3D"/>
    <w:rsid w:val="00CC7CE6"/>
    <w:rsid w:val="00CC7DB0"/>
    <w:rsid w:val="00CD0082"/>
    <w:rsid w:val="00CD025E"/>
    <w:rsid w:val="00CD0BAA"/>
    <w:rsid w:val="00CD0EEA"/>
    <w:rsid w:val="00CD11F7"/>
    <w:rsid w:val="00CD127F"/>
    <w:rsid w:val="00CD20FD"/>
    <w:rsid w:val="00CD217C"/>
    <w:rsid w:val="00CD23CA"/>
    <w:rsid w:val="00CD2466"/>
    <w:rsid w:val="00CD25E2"/>
    <w:rsid w:val="00CD272A"/>
    <w:rsid w:val="00CD2737"/>
    <w:rsid w:val="00CD299C"/>
    <w:rsid w:val="00CD2A2D"/>
    <w:rsid w:val="00CD2DB0"/>
    <w:rsid w:val="00CD2DE6"/>
    <w:rsid w:val="00CD2EBA"/>
    <w:rsid w:val="00CD2F2E"/>
    <w:rsid w:val="00CD357A"/>
    <w:rsid w:val="00CD3614"/>
    <w:rsid w:val="00CD3C50"/>
    <w:rsid w:val="00CD3CF8"/>
    <w:rsid w:val="00CD3EEC"/>
    <w:rsid w:val="00CD4035"/>
    <w:rsid w:val="00CD408E"/>
    <w:rsid w:val="00CD43D8"/>
    <w:rsid w:val="00CD45D3"/>
    <w:rsid w:val="00CD4638"/>
    <w:rsid w:val="00CD4CA3"/>
    <w:rsid w:val="00CD5380"/>
    <w:rsid w:val="00CD5589"/>
    <w:rsid w:val="00CD55F3"/>
    <w:rsid w:val="00CD5664"/>
    <w:rsid w:val="00CD5915"/>
    <w:rsid w:val="00CD594F"/>
    <w:rsid w:val="00CD5ABC"/>
    <w:rsid w:val="00CD5B55"/>
    <w:rsid w:val="00CD5BE0"/>
    <w:rsid w:val="00CD5E93"/>
    <w:rsid w:val="00CD5EC9"/>
    <w:rsid w:val="00CD5F5F"/>
    <w:rsid w:val="00CD6581"/>
    <w:rsid w:val="00CD66F9"/>
    <w:rsid w:val="00CD671E"/>
    <w:rsid w:val="00CD6AEA"/>
    <w:rsid w:val="00CD6C77"/>
    <w:rsid w:val="00CD6D16"/>
    <w:rsid w:val="00CD6E7F"/>
    <w:rsid w:val="00CD700B"/>
    <w:rsid w:val="00CD73FE"/>
    <w:rsid w:val="00CD7801"/>
    <w:rsid w:val="00CD780C"/>
    <w:rsid w:val="00CD7A35"/>
    <w:rsid w:val="00CD7E20"/>
    <w:rsid w:val="00CD7FD7"/>
    <w:rsid w:val="00CE0601"/>
    <w:rsid w:val="00CE0747"/>
    <w:rsid w:val="00CE0ACB"/>
    <w:rsid w:val="00CE0B99"/>
    <w:rsid w:val="00CE0DBB"/>
    <w:rsid w:val="00CE0FFA"/>
    <w:rsid w:val="00CE1110"/>
    <w:rsid w:val="00CE137D"/>
    <w:rsid w:val="00CE14E0"/>
    <w:rsid w:val="00CE1593"/>
    <w:rsid w:val="00CE166C"/>
    <w:rsid w:val="00CE1926"/>
    <w:rsid w:val="00CE1A5A"/>
    <w:rsid w:val="00CE1E94"/>
    <w:rsid w:val="00CE1EDF"/>
    <w:rsid w:val="00CE2180"/>
    <w:rsid w:val="00CE23C3"/>
    <w:rsid w:val="00CE2523"/>
    <w:rsid w:val="00CE25F7"/>
    <w:rsid w:val="00CE2781"/>
    <w:rsid w:val="00CE2EBA"/>
    <w:rsid w:val="00CE307C"/>
    <w:rsid w:val="00CE311D"/>
    <w:rsid w:val="00CE3176"/>
    <w:rsid w:val="00CE31FE"/>
    <w:rsid w:val="00CE3406"/>
    <w:rsid w:val="00CE340F"/>
    <w:rsid w:val="00CE3723"/>
    <w:rsid w:val="00CE3C23"/>
    <w:rsid w:val="00CE3FB3"/>
    <w:rsid w:val="00CE40FB"/>
    <w:rsid w:val="00CE439A"/>
    <w:rsid w:val="00CE473D"/>
    <w:rsid w:val="00CE475D"/>
    <w:rsid w:val="00CE4AC2"/>
    <w:rsid w:val="00CE4D8D"/>
    <w:rsid w:val="00CE4F43"/>
    <w:rsid w:val="00CE5099"/>
    <w:rsid w:val="00CE5246"/>
    <w:rsid w:val="00CE538B"/>
    <w:rsid w:val="00CE53F6"/>
    <w:rsid w:val="00CE55D6"/>
    <w:rsid w:val="00CE55D9"/>
    <w:rsid w:val="00CE58B9"/>
    <w:rsid w:val="00CE594B"/>
    <w:rsid w:val="00CE63F8"/>
    <w:rsid w:val="00CE648F"/>
    <w:rsid w:val="00CE64CC"/>
    <w:rsid w:val="00CE663B"/>
    <w:rsid w:val="00CE696D"/>
    <w:rsid w:val="00CE6A43"/>
    <w:rsid w:val="00CE6B45"/>
    <w:rsid w:val="00CE6F3C"/>
    <w:rsid w:val="00CE73E6"/>
    <w:rsid w:val="00CE7561"/>
    <w:rsid w:val="00CE7673"/>
    <w:rsid w:val="00CE79DC"/>
    <w:rsid w:val="00CE7B44"/>
    <w:rsid w:val="00CE7DAD"/>
    <w:rsid w:val="00CF00AD"/>
    <w:rsid w:val="00CF065E"/>
    <w:rsid w:val="00CF0886"/>
    <w:rsid w:val="00CF0A39"/>
    <w:rsid w:val="00CF0A4A"/>
    <w:rsid w:val="00CF0FE1"/>
    <w:rsid w:val="00CF1747"/>
    <w:rsid w:val="00CF1A5A"/>
    <w:rsid w:val="00CF2053"/>
    <w:rsid w:val="00CF20C5"/>
    <w:rsid w:val="00CF22FB"/>
    <w:rsid w:val="00CF2431"/>
    <w:rsid w:val="00CF24E8"/>
    <w:rsid w:val="00CF2754"/>
    <w:rsid w:val="00CF2917"/>
    <w:rsid w:val="00CF2A7A"/>
    <w:rsid w:val="00CF30CB"/>
    <w:rsid w:val="00CF3205"/>
    <w:rsid w:val="00CF34AA"/>
    <w:rsid w:val="00CF3687"/>
    <w:rsid w:val="00CF36A9"/>
    <w:rsid w:val="00CF379D"/>
    <w:rsid w:val="00CF383C"/>
    <w:rsid w:val="00CF3A4D"/>
    <w:rsid w:val="00CF3D53"/>
    <w:rsid w:val="00CF41E0"/>
    <w:rsid w:val="00CF4204"/>
    <w:rsid w:val="00CF4342"/>
    <w:rsid w:val="00CF44C9"/>
    <w:rsid w:val="00CF470F"/>
    <w:rsid w:val="00CF49BA"/>
    <w:rsid w:val="00CF49BD"/>
    <w:rsid w:val="00CF4EF5"/>
    <w:rsid w:val="00CF4F81"/>
    <w:rsid w:val="00CF5408"/>
    <w:rsid w:val="00CF58C2"/>
    <w:rsid w:val="00CF5DA5"/>
    <w:rsid w:val="00CF5F17"/>
    <w:rsid w:val="00CF6266"/>
    <w:rsid w:val="00CF6637"/>
    <w:rsid w:val="00CF68CC"/>
    <w:rsid w:val="00CF68E5"/>
    <w:rsid w:val="00CF6C4F"/>
    <w:rsid w:val="00CF6ED2"/>
    <w:rsid w:val="00CF6F45"/>
    <w:rsid w:val="00CF73BA"/>
    <w:rsid w:val="00CF7D46"/>
    <w:rsid w:val="00D0004D"/>
    <w:rsid w:val="00D00263"/>
    <w:rsid w:val="00D0045D"/>
    <w:rsid w:val="00D004D9"/>
    <w:rsid w:val="00D006AD"/>
    <w:rsid w:val="00D00936"/>
    <w:rsid w:val="00D00B31"/>
    <w:rsid w:val="00D00BCF"/>
    <w:rsid w:val="00D00D88"/>
    <w:rsid w:val="00D01245"/>
    <w:rsid w:val="00D0132A"/>
    <w:rsid w:val="00D0147A"/>
    <w:rsid w:val="00D014FD"/>
    <w:rsid w:val="00D01837"/>
    <w:rsid w:val="00D01897"/>
    <w:rsid w:val="00D018BC"/>
    <w:rsid w:val="00D01A7A"/>
    <w:rsid w:val="00D01BF4"/>
    <w:rsid w:val="00D01C94"/>
    <w:rsid w:val="00D01CFE"/>
    <w:rsid w:val="00D01D7D"/>
    <w:rsid w:val="00D01DCC"/>
    <w:rsid w:val="00D029A6"/>
    <w:rsid w:val="00D029FA"/>
    <w:rsid w:val="00D02BC8"/>
    <w:rsid w:val="00D0305C"/>
    <w:rsid w:val="00D0305D"/>
    <w:rsid w:val="00D030A7"/>
    <w:rsid w:val="00D030ED"/>
    <w:rsid w:val="00D0367C"/>
    <w:rsid w:val="00D037D1"/>
    <w:rsid w:val="00D03864"/>
    <w:rsid w:val="00D039D8"/>
    <w:rsid w:val="00D03B5D"/>
    <w:rsid w:val="00D041F4"/>
    <w:rsid w:val="00D043EC"/>
    <w:rsid w:val="00D044F6"/>
    <w:rsid w:val="00D05100"/>
    <w:rsid w:val="00D05573"/>
    <w:rsid w:val="00D0601D"/>
    <w:rsid w:val="00D06080"/>
    <w:rsid w:val="00D067E2"/>
    <w:rsid w:val="00D06AA8"/>
    <w:rsid w:val="00D06E2D"/>
    <w:rsid w:val="00D0793B"/>
    <w:rsid w:val="00D07D7A"/>
    <w:rsid w:val="00D07EB1"/>
    <w:rsid w:val="00D07F01"/>
    <w:rsid w:val="00D102EF"/>
    <w:rsid w:val="00D10445"/>
    <w:rsid w:val="00D1072A"/>
    <w:rsid w:val="00D1076A"/>
    <w:rsid w:val="00D108BC"/>
    <w:rsid w:val="00D10C26"/>
    <w:rsid w:val="00D11106"/>
    <w:rsid w:val="00D1117F"/>
    <w:rsid w:val="00D11245"/>
    <w:rsid w:val="00D115A9"/>
    <w:rsid w:val="00D11871"/>
    <w:rsid w:val="00D11A08"/>
    <w:rsid w:val="00D11A60"/>
    <w:rsid w:val="00D11B7A"/>
    <w:rsid w:val="00D11D35"/>
    <w:rsid w:val="00D11E18"/>
    <w:rsid w:val="00D120B1"/>
    <w:rsid w:val="00D120C9"/>
    <w:rsid w:val="00D120F9"/>
    <w:rsid w:val="00D1253B"/>
    <w:rsid w:val="00D12703"/>
    <w:rsid w:val="00D12794"/>
    <w:rsid w:val="00D12D61"/>
    <w:rsid w:val="00D12F4C"/>
    <w:rsid w:val="00D13390"/>
    <w:rsid w:val="00D13436"/>
    <w:rsid w:val="00D13596"/>
    <w:rsid w:val="00D139A3"/>
    <w:rsid w:val="00D13C51"/>
    <w:rsid w:val="00D13CBA"/>
    <w:rsid w:val="00D13FF2"/>
    <w:rsid w:val="00D142A1"/>
    <w:rsid w:val="00D1435C"/>
    <w:rsid w:val="00D14765"/>
    <w:rsid w:val="00D14DD1"/>
    <w:rsid w:val="00D14E8A"/>
    <w:rsid w:val="00D1534B"/>
    <w:rsid w:val="00D15E83"/>
    <w:rsid w:val="00D164E7"/>
    <w:rsid w:val="00D166D4"/>
    <w:rsid w:val="00D1692A"/>
    <w:rsid w:val="00D16CBE"/>
    <w:rsid w:val="00D16E69"/>
    <w:rsid w:val="00D17049"/>
    <w:rsid w:val="00D17420"/>
    <w:rsid w:val="00D17469"/>
    <w:rsid w:val="00D174B8"/>
    <w:rsid w:val="00D17575"/>
    <w:rsid w:val="00D17603"/>
    <w:rsid w:val="00D1769F"/>
    <w:rsid w:val="00D1790F"/>
    <w:rsid w:val="00D17C8E"/>
    <w:rsid w:val="00D17DDE"/>
    <w:rsid w:val="00D17E74"/>
    <w:rsid w:val="00D17EB1"/>
    <w:rsid w:val="00D17F11"/>
    <w:rsid w:val="00D202CB"/>
    <w:rsid w:val="00D205ED"/>
    <w:rsid w:val="00D20877"/>
    <w:rsid w:val="00D20A19"/>
    <w:rsid w:val="00D20EBA"/>
    <w:rsid w:val="00D20F28"/>
    <w:rsid w:val="00D21355"/>
    <w:rsid w:val="00D21555"/>
    <w:rsid w:val="00D215B4"/>
    <w:rsid w:val="00D21E8A"/>
    <w:rsid w:val="00D21F04"/>
    <w:rsid w:val="00D220D2"/>
    <w:rsid w:val="00D2213F"/>
    <w:rsid w:val="00D221A5"/>
    <w:rsid w:val="00D2230D"/>
    <w:rsid w:val="00D22588"/>
    <w:rsid w:val="00D2262D"/>
    <w:rsid w:val="00D22D81"/>
    <w:rsid w:val="00D22FD0"/>
    <w:rsid w:val="00D2318C"/>
    <w:rsid w:val="00D2358B"/>
    <w:rsid w:val="00D236A2"/>
    <w:rsid w:val="00D236A7"/>
    <w:rsid w:val="00D236AD"/>
    <w:rsid w:val="00D23869"/>
    <w:rsid w:val="00D23E6E"/>
    <w:rsid w:val="00D241CE"/>
    <w:rsid w:val="00D247CA"/>
    <w:rsid w:val="00D24CDE"/>
    <w:rsid w:val="00D24EC3"/>
    <w:rsid w:val="00D24F1D"/>
    <w:rsid w:val="00D24FE6"/>
    <w:rsid w:val="00D2500D"/>
    <w:rsid w:val="00D252D8"/>
    <w:rsid w:val="00D25412"/>
    <w:rsid w:val="00D2590E"/>
    <w:rsid w:val="00D25C9A"/>
    <w:rsid w:val="00D25D8D"/>
    <w:rsid w:val="00D26127"/>
    <w:rsid w:val="00D263E6"/>
    <w:rsid w:val="00D265EE"/>
    <w:rsid w:val="00D26818"/>
    <w:rsid w:val="00D268A4"/>
    <w:rsid w:val="00D26CB6"/>
    <w:rsid w:val="00D26DB1"/>
    <w:rsid w:val="00D275FD"/>
    <w:rsid w:val="00D2760C"/>
    <w:rsid w:val="00D2784A"/>
    <w:rsid w:val="00D278B2"/>
    <w:rsid w:val="00D27DE8"/>
    <w:rsid w:val="00D3033C"/>
    <w:rsid w:val="00D305DC"/>
    <w:rsid w:val="00D30DD5"/>
    <w:rsid w:val="00D30FA7"/>
    <w:rsid w:val="00D31646"/>
    <w:rsid w:val="00D31700"/>
    <w:rsid w:val="00D3182F"/>
    <w:rsid w:val="00D31D23"/>
    <w:rsid w:val="00D31EBF"/>
    <w:rsid w:val="00D32777"/>
    <w:rsid w:val="00D32E09"/>
    <w:rsid w:val="00D32F61"/>
    <w:rsid w:val="00D3358D"/>
    <w:rsid w:val="00D335E7"/>
    <w:rsid w:val="00D3366A"/>
    <w:rsid w:val="00D33798"/>
    <w:rsid w:val="00D33ABE"/>
    <w:rsid w:val="00D33E5C"/>
    <w:rsid w:val="00D343DD"/>
    <w:rsid w:val="00D3449D"/>
    <w:rsid w:val="00D34752"/>
    <w:rsid w:val="00D347DB"/>
    <w:rsid w:val="00D3512C"/>
    <w:rsid w:val="00D35289"/>
    <w:rsid w:val="00D355C6"/>
    <w:rsid w:val="00D3575E"/>
    <w:rsid w:val="00D35933"/>
    <w:rsid w:val="00D35D77"/>
    <w:rsid w:val="00D3612B"/>
    <w:rsid w:val="00D36229"/>
    <w:rsid w:val="00D36476"/>
    <w:rsid w:val="00D365ED"/>
    <w:rsid w:val="00D36703"/>
    <w:rsid w:val="00D36754"/>
    <w:rsid w:val="00D369BD"/>
    <w:rsid w:val="00D3729A"/>
    <w:rsid w:val="00D37501"/>
    <w:rsid w:val="00D379D0"/>
    <w:rsid w:val="00D37E26"/>
    <w:rsid w:val="00D400AC"/>
    <w:rsid w:val="00D40265"/>
    <w:rsid w:val="00D40313"/>
    <w:rsid w:val="00D403FD"/>
    <w:rsid w:val="00D405C0"/>
    <w:rsid w:val="00D40618"/>
    <w:rsid w:val="00D4083E"/>
    <w:rsid w:val="00D40A63"/>
    <w:rsid w:val="00D40D60"/>
    <w:rsid w:val="00D40DB9"/>
    <w:rsid w:val="00D40FB5"/>
    <w:rsid w:val="00D41457"/>
    <w:rsid w:val="00D41485"/>
    <w:rsid w:val="00D41598"/>
    <w:rsid w:val="00D419AF"/>
    <w:rsid w:val="00D41AF4"/>
    <w:rsid w:val="00D41C17"/>
    <w:rsid w:val="00D42230"/>
    <w:rsid w:val="00D422C7"/>
    <w:rsid w:val="00D423EE"/>
    <w:rsid w:val="00D4266B"/>
    <w:rsid w:val="00D42A08"/>
    <w:rsid w:val="00D42ADB"/>
    <w:rsid w:val="00D42BA8"/>
    <w:rsid w:val="00D42BEB"/>
    <w:rsid w:val="00D42D31"/>
    <w:rsid w:val="00D432F7"/>
    <w:rsid w:val="00D43707"/>
    <w:rsid w:val="00D4433D"/>
    <w:rsid w:val="00D44943"/>
    <w:rsid w:val="00D449F4"/>
    <w:rsid w:val="00D44A93"/>
    <w:rsid w:val="00D44AD0"/>
    <w:rsid w:val="00D44BEE"/>
    <w:rsid w:val="00D44C56"/>
    <w:rsid w:val="00D45244"/>
    <w:rsid w:val="00D455C9"/>
    <w:rsid w:val="00D45818"/>
    <w:rsid w:val="00D4581B"/>
    <w:rsid w:val="00D459F4"/>
    <w:rsid w:val="00D45C4E"/>
    <w:rsid w:val="00D45CBB"/>
    <w:rsid w:val="00D45E0B"/>
    <w:rsid w:val="00D46063"/>
    <w:rsid w:val="00D4621E"/>
    <w:rsid w:val="00D46380"/>
    <w:rsid w:val="00D469D7"/>
    <w:rsid w:val="00D46B31"/>
    <w:rsid w:val="00D46BD3"/>
    <w:rsid w:val="00D46DF1"/>
    <w:rsid w:val="00D46DF6"/>
    <w:rsid w:val="00D46DF7"/>
    <w:rsid w:val="00D47176"/>
    <w:rsid w:val="00D47441"/>
    <w:rsid w:val="00D4752D"/>
    <w:rsid w:val="00D475E1"/>
    <w:rsid w:val="00D476BB"/>
    <w:rsid w:val="00D47819"/>
    <w:rsid w:val="00D4798F"/>
    <w:rsid w:val="00D47A2A"/>
    <w:rsid w:val="00D47DA3"/>
    <w:rsid w:val="00D47DA4"/>
    <w:rsid w:val="00D47DEE"/>
    <w:rsid w:val="00D50A26"/>
    <w:rsid w:val="00D50E32"/>
    <w:rsid w:val="00D515A0"/>
    <w:rsid w:val="00D51BBF"/>
    <w:rsid w:val="00D51D01"/>
    <w:rsid w:val="00D51D92"/>
    <w:rsid w:val="00D51DE7"/>
    <w:rsid w:val="00D51E00"/>
    <w:rsid w:val="00D523BA"/>
    <w:rsid w:val="00D52AB8"/>
    <w:rsid w:val="00D5305B"/>
    <w:rsid w:val="00D530AC"/>
    <w:rsid w:val="00D53783"/>
    <w:rsid w:val="00D53C04"/>
    <w:rsid w:val="00D53D81"/>
    <w:rsid w:val="00D53FB0"/>
    <w:rsid w:val="00D54071"/>
    <w:rsid w:val="00D54574"/>
    <w:rsid w:val="00D550F0"/>
    <w:rsid w:val="00D55278"/>
    <w:rsid w:val="00D55997"/>
    <w:rsid w:val="00D55AF0"/>
    <w:rsid w:val="00D55B4B"/>
    <w:rsid w:val="00D55DC4"/>
    <w:rsid w:val="00D5614B"/>
    <w:rsid w:val="00D56433"/>
    <w:rsid w:val="00D56434"/>
    <w:rsid w:val="00D566E7"/>
    <w:rsid w:val="00D566EB"/>
    <w:rsid w:val="00D56BE0"/>
    <w:rsid w:val="00D57857"/>
    <w:rsid w:val="00D579FC"/>
    <w:rsid w:val="00D57A8C"/>
    <w:rsid w:val="00D57B0B"/>
    <w:rsid w:val="00D57CC0"/>
    <w:rsid w:val="00D57E21"/>
    <w:rsid w:val="00D6022E"/>
    <w:rsid w:val="00D60593"/>
    <w:rsid w:val="00D606A0"/>
    <w:rsid w:val="00D60712"/>
    <w:rsid w:val="00D6095D"/>
    <w:rsid w:val="00D609BC"/>
    <w:rsid w:val="00D60A41"/>
    <w:rsid w:val="00D60A83"/>
    <w:rsid w:val="00D60F29"/>
    <w:rsid w:val="00D6126A"/>
    <w:rsid w:val="00D61587"/>
    <w:rsid w:val="00D61716"/>
    <w:rsid w:val="00D617C1"/>
    <w:rsid w:val="00D61DF3"/>
    <w:rsid w:val="00D61F12"/>
    <w:rsid w:val="00D6207D"/>
    <w:rsid w:val="00D6208B"/>
    <w:rsid w:val="00D6209D"/>
    <w:rsid w:val="00D624B2"/>
    <w:rsid w:val="00D62621"/>
    <w:rsid w:val="00D6295F"/>
    <w:rsid w:val="00D62F2C"/>
    <w:rsid w:val="00D62FAA"/>
    <w:rsid w:val="00D63680"/>
    <w:rsid w:val="00D637A9"/>
    <w:rsid w:val="00D63D70"/>
    <w:rsid w:val="00D63DB2"/>
    <w:rsid w:val="00D63FC9"/>
    <w:rsid w:val="00D64658"/>
    <w:rsid w:val="00D64856"/>
    <w:rsid w:val="00D64B96"/>
    <w:rsid w:val="00D64CA0"/>
    <w:rsid w:val="00D6506E"/>
    <w:rsid w:val="00D653F5"/>
    <w:rsid w:val="00D6586E"/>
    <w:rsid w:val="00D65956"/>
    <w:rsid w:val="00D65C3E"/>
    <w:rsid w:val="00D65D6D"/>
    <w:rsid w:val="00D662BE"/>
    <w:rsid w:val="00D662D3"/>
    <w:rsid w:val="00D664D6"/>
    <w:rsid w:val="00D666A2"/>
    <w:rsid w:val="00D666E4"/>
    <w:rsid w:val="00D666EC"/>
    <w:rsid w:val="00D6675B"/>
    <w:rsid w:val="00D6689E"/>
    <w:rsid w:val="00D668EF"/>
    <w:rsid w:val="00D6696B"/>
    <w:rsid w:val="00D66A25"/>
    <w:rsid w:val="00D66A6B"/>
    <w:rsid w:val="00D66B0C"/>
    <w:rsid w:val="00D6711B"/>
    <w:rsid w:val="00D675FA"/>
    <w:rsid w:val="00D676EC"/>
    <w:rsid w:val="00D6771A"/>
    <w:rsid w:val="00D67A38"/>
    <w:rsid w:val="00D67A9A"/>
    <w:rsid w:val="00D67B02"/>
    <w:rsid w:val="00D67B13"/>
    <w:rsid w:val="00D67B68"/>
    <w:rsid w:val="00D67ECC"/>
    <w:rsid w:val="00D67EFD"/>
    <w:rsid w:val="00D703BD"/>
    <w:rsid w:val="00D705AB"/>
    <w:rsid w:val="00D709EC"/>
    <w:rsid w:val="00D70F01"/>
    <w:rsid w:val="00D71708"/>
    <w:rsid w:val="00D71B75"/>
    <w:rsid w:val="00D71CF0"/>
    <w:rsid w:val="00D71F23"/>
    <w:rsid w:val="00D720AA"/>
    <w:rsid w:val="00D720F8"/>
    <w:rsid w:val="00D721B2"/>
    <w:rsid w:val="00D7250D"/>
    <w:rsid w:val="00D725CA"/>
    <w:rsid w:val="00D72605"/>
    <w:rsid w:val="00D726F9"/>
    <w:rsid w:val="00D7276F"/>
    <w:rsid w:val="00D72912"/>
    <w:rsid w:val="00D72BDE"/>
    <w:rsid w:val="00D73453"/>
    <w:rsid w:val="00D73791"/>
    <w:rsid w:val="00D7384F"/>
    <w:rsid w:val="00D74319"/>
    <w:rsid w:val="00D74578"/>
    <w:rsid w:val="00D747B7"/>
    <w:rsid w:val="00D74AE6"/>
    <w:rsid w:val="00D74DD4"/>
    <w:rsid w:val="00D75359"/>
    <w:rsid w:val="00D75501"/>
    <w:rsid w:val="00D7589B"/>
    <w:rsid w:val="00D75B40"/>
    <w:rsid w:val="00D75BE2"/>
    <w:rsid w:val="00D76086"/>
    <w:rsid w:val="00D76153"/>
    <w:rsid w:val="00D7615E"/>
    <w:rsid w:val="00D762F5"/>
    <w:rsid w:val="00D76467"/>
    <w:rsid w:val="00D764AE"/>
    <w:rsid w:val="00D765CB"/>
    <w:rsid w:val="00D76C04"/>
    <w:rsid w:val="00D76CFC"/>
    <w:rsid w:val="00D76F63"/>
    <w:rsid w:val="00D77116"/>
    <w:rsid w:val="00D77123"/>
    <w:rsid w:val="00D77214"/>
    <w:rsid w:val="00D773D8"/>
    <w:rsid w:val="00D773F3"/>
    <w:rsid w:val="00D77541"/>
    <w:rsid w:val="00D7790C"/>
    <w:rsid w:val="00D77957"/>
    <w:rsid w:val="00D77CC9"/>
    <w:rsid w:val="00D77D85"/>
    <w:rsid w:val="00D77ED8"/>
    <w:rsid w:val="00D77F1F"/>
    <w:rsid w:val="00D77FEE"/>
    <w:rsid w:val="00D805B3"/>
    <w:rsid w:val="00D8073A"/>
    <w:rsid w:val="00D807BD"/>
    <w:rsid w:val="00D8087D"/>
    <w:rsid w:val="00D80BAB"/>
    <w:rsid w:val="00D80BDE"/>
    <w:rsid w:val="00D80C2B"/>
    <w:rsid w:val="00D80E68"/>
    <w:rsid w:val="00D811F8"/>
    <w:rsid w:val="00D814B6"/>
    <w:rsid w:val="00D81543"/>
    <w:rsid w:val="00D81A66"/>
    <w:rsid w:val="00D81FC7"/>
    <w:rsid w:val="00D820AE"/>
    <w:rsid w:val="00D820FD"/>
    <w:rsid w:val="00D821A2"/>
    <w:rsid w:val="00D822FC"/>
    <w:rsid w:val="00D82A68"/>
    <w:rsid w:val="00D82B4A"/>
    <w:rsid w:val="00D82BED"/>
    <w:rsid w:val="00D82E29"/>
    <w:rsid w:val="00D83363"/>
    <w:rsid w:val="00D83A8F"/>
    <w:rsid w:val="00D83AB5"/>
    <w:rsid w:val="00D83B2E"/>
    <w:rsid w:val="00D8436E"/>
    <w:rsid w:val="00D8451A"/>
    <w:rsid w:val="00D8482F"/>
    <w:rsid w:val="00D84B0F"/>
    <w:rsid w:val="00D84B9B"/>
    <w:rsid w:val="00D84DAC"/>
    <w:rsid w:val="00D84DD2"/>
    <w:rsid w:val="00D84E8B"/>
    <w:rsid w:val="00D84F52"/>
    <w:rsid w:val="00D851FD"/>
    <w:rsid w:val="00D85527"/>
    <w:rsid w:val="00D856F2"/>
    <w:rsid w:val="00D857D3"/>
    <w:rsid w:val="00D8583B"/>
    <w:rsid w:val="00D85B84"/>
    <w:rsid w:val="00D85CA7"/>
    <w:rsid w:val="00D85DFF"/>
    <w:rsid w:val="00D862A5"/>
    <w:rsid w:val="00D862FB"/>
    <w:rsid w:val="00D8630F"/>
    <w:rsid w:val="00D86442"/>
    <w:rsid w:val="00D86592"/>
    <w:rsid w:val="00D8660D"/>
    <w:rsid w:val="00D869BC"/>
    <w:rsid w:val="00D86D76"/>
    <w:rsid w:val="00D871E8"/>
    <w:rsid w:val="00D8759B"/>
    <w:rsid w:val="00D875AD"/>
    <w:rsid w:val="00D87642"/>
    <w:rsid w:val="00D87866"/>
    <w:rsid w:val="00D878E0"/>
    <w:rsid w:val="00D87AD7"/>
    <w:rsid w:val="00D87B67"/>
    <w:rsid w:val="00D87D4D"/>
    <w:rsid w:val="00D903C9"/>
    <w:rsid w:val="00D90B0C"/>
    <w:rsid w:val="00D90EF8"/>
    <w:rsid w:val="00D9113C"/>
    <w:rsid w:val="00D91259"/>
    <w:rsid w:val="00D9155B"/>
    <w:rsid w:val="00D915A3"/>
    <w:rsid w:val="00D917B2"/>
    <w:rsid w:val="00D91B07"/>
    <w:rsid w:val="00D91D19"/>
    <w:rsid w:val="00D91D69"/>
    <w:rsid w:val="00D91EE5"/>
    <w:rsid w:val="00D91F9B"/>
    <w:rsid w:val="00D92381"/>
    <w:rsid w:val="00D92638"/>
    <w:rsid w:val="00D92891"/>
    <w:rsid w:val="00D92CCA"/>
    <w:rsid w:val="00D92DBF"/>
    <w:rsid w:val="00D92E24"/>
    <w:rsid w:val="00D92E6A"/>
    <w:rsid w:val="00D9318D"/>
    <w:rsid w:val="00D931B1"/>
    <w:rsid w:val="00D93298"/>
    <w:rsid w:val="00D9372D"/>
    <w:rsid w:val="00D9379F"/>
    <w:rsid w:val="00D93879"/>
    <w:rsid w:val="00D93884"/>
    <w:rsid w:val="00D938D5"/>
    <w:rsid w:val="00D938E5"/>
    <w:rsid w:val="00D939B1"/>
    <w:rsid w:val="00D93AFB"/>
    <w:rsid w:val="00D93D5C"/>
    <w:rsid w:val="00D93E55"/>
    <w:rsid w:val="00D94012"/>
    <w:rsid w:val="00D94134"/>
    <w:rsid w:val="00D94203"/>
    <w:rsid w:val="00D94295"/>
    <w:rsid w:val="00D942B0"/>
    <w:rsid w:val="00D942C0"/>
    <w:rsid w:val="00D942C5"/>
    <w:rsid w:val="00D94471"/>
    <w:rsid w:val="00D94649"/>
    <w:rsid w:val="00D94A99"/>
    <w:rsid w:val="00D94ADF"/>
    <w:rsid w:val="00D94B4C"/>
    <w:rsid w:val="00D94C2D"/>
    <w:rsid w:val="00D94D5E"/>
    <w:rsid w:val="00D94F6C"/>
    <w:rsid w:val="00D952FB"/>
    <w:rsid w:val="00D95377"/>
    <w:rsid w:val="00D953AE"/>
    <w:rsid w:val="00D957C5"/>
    <w:rsid w:val="00D95ABC"/>
    <w:rsid w:val="00D95B8D"/>
    <w:rsid w:val="00D95C50"/>
    <w:rsid w:val="00D95DB5"/>
    <w:rsid w:val="00D95E9A"/>
    <w:rsid w:val="00D95ED7"/>
    <w:rsid w:val="00D96638"/>
    <w:rsid w:val="00D96BFF"/>
    <w:rsid w:val="00D96DA1"/>
    <w:rsid w:val="00D970A9"/>
    <w:rsid w:val="00D97138"/>
    <w:rsid w:val="00D97183"/>
    <w:rsid w:val="00D972AB"/>
    <w:rsid w:val="00D972F9"/>
    <w:rsid w:val="00D973D9"/>
    <w:rsid w:val="00D974C3"/>
    <w:rsid w:val="00D97F5D"/>
    <w:rsid w:val="00D97F62"/>
    <w:rsid w:val="00DA0008"/>
    <w:rsid w:val="00DA00E4"/>
    <w:rsid w:val="00DA08BD"/>
    <w:rsid w:val="00DA099B"/>
    <w:rsid w:val="00DA0BBA"/>
    <w:rsid w:val="00DA12C0"/>
    <w:rsid w:val="00DA1D50"/>
    <w:rsid w:val="00DA21A1"/>
    <w:rsid w:val="00DA26F7"/>
    <w:rsid w:val="00DA287E"/>
    <w:rsid w:val="00DA2924"/>
    <w:rsid w:val="00DA2ECE"/>
    <w:rsid w:val="00DA31B5"/>
    <w:rsid w:val="00DA3265"/>
    <w:rsid w:val="00DA3278"/>
    <w:rsid w:val="00DA3293"/>
    <w:rsid w:val="00DA3610"/>
    <w:rsid w:val="00DA3B21"/>
    <w:rsid w:val="00DA3CC7"/>
    <w:rsid w:val="00DA3D3E"/>
    <w:rsid w:val="00DA40B5"/>
    <w:rsid w:val="00DA40DD"/>
    <w:rsid w:val="00DA42A6"/>
    <w:rsid w:val="00DA42D4"/>
    <w:rsid w:val="00DA495F"/>
    <w:rsid w:val="00DA4AF6"/>
    <w:rsid w:val="00DA4BE0"/>
    <w:rsid w:val="00DA4D7F"/>
    <w:rsid w:val="00DA4FB7"/>
    <w:rsid w:val="00DA5172"/>
    <w:rsid w:val="00DA5328"/>
    <w:rsid w:val="00DA551B"/>
    <w:rsid w:val="00DA5ACA"/>
    <w:rsid w:val="00DA5B61"/>
    <w:rsid w:val="00DA5E0E"/>
    <w:rsid w:val="00DA5E20"/>
    <w:rsid w:val="00DA6415"/>
    <w:rsid w:val="00DA659A"/>
    <w:rsid w:val="00DA6852"/>
    <w:rsid w:val="00DA688C"/>
    <w:rsid w:val="00DA6F29"/>
    <w:rsid w:val="00DA7169"/>
    <w:rsid w:val="00DA72BF"/>
    <w:rsid w:val="00DA72D6"/>
    <w:rsid w:val="00DA73D3"/>
    <w:rsid w:val="00DA7703"/>
    <w:rsid w:val="00DA796E"/>
    <w:rsid w:val="00DA7B23"/>
    <w:rsid w:val="00DA7B68"/>
    <w:rsid w:val="00DA7C26"/>
    <w:rsid w:val="00DA7D8F"/>
    <w:rsid w:val="00DB003F"/>
    <w:rsid w:val="00DB004A"/>
    <w:rsid w:val="00DB0169"/>
    <w:rsid w:val="00DB067D"/>
    <w:rsid w:val="00DB07B5"/>
    <w:rsid w:val="00DB0AAF"/>
    <w:rsid w:val="00DB0CE1"/>
    <w:rsid w:val="00DB0F18"/>
    <w:rsid w:val="00DB0F91"/>
    <w:rsid w:val="00DB10D9"/>
    <w:rsid w:val="00DB11E2"/>
    <w:rsid w:val="00DB124A"/>
    <w:rsid w:val="00DB1321"/>
    <w:rsid w:val="00DB1906"/>
    <w:rsid w:val="00DB1BCE"/>
    <w:rsid w:val="00DB1CCA"/>
    <w:rsid w:val="00DB1F24"/>
    <w:rsid w:val="00DB2013"/>
    <w:rsid w:val="00DB2194"/>
    <w:rsid w:val="00DB274F"/>
    <w:rsid w:val="00DB2978"/>
    <w:rsid w:val="00DB29A7"/>
    <w:rsid w:val="00DB2E0F"/>
    <w:rsid w:val="00DB2F0E"/>
    <w:rsid w:val="00DB30B3"/>
    <w:rsid w:val="00DB3361"/>
    <w:rsid w:val="00DB3AA4"/>
    <w:rsid w:val="00DB3BEA"/>
    <w:rsid w:val="00DB3CE5"/>
    <w:rsid w:val="00DB3EC1"/>
    <w:rsid w:val="00DB3F81"/>
    <w:rsid w:val="00DB4198"/>
    <w:rsid w:val="00DB45DF"/>
    <w:rsid w:val="00DB4625"/>
    <w:rsid w:val="00DB487F"/>
    <w:rsid w:val="00DB48A0"/>
    <w:rsid w:val="00DB4A14"/>
    <w:rsid w:val="00DB4A63"/>
    <w:rsid w:val="00DB4C2B"/>
    <w:rsid w:val="00DB4CA3"/>
    <w:rsid w:val="00DB4D59"/>
    <w:rsid w:val="00DB4F1F"/>
    <w:rsid w:val="00DB521A"/>
    <w:rsid w:val="00DB533C"/>
    <w:rsid w:val="00DB53A8"/>
    <w:rsid w:val="00DB58FA"/>
    <w:rsid w:val="00DB5A53"/>
    <w:rsid w:val="00DB5DFA"/>
    <w:rsid w:val="00DB6442"/>
    <w:rsid w:val="00DB6A10"/>
    <w:rsid w:val="00DB6AE3"/>
    <w:rsid w:val="00DB6B4F"/>
    <w:rsid w:val="00DB7085"/>
    <w:rsid w:val="00DB72A9"/>
    <w:rsid w:val="00DB7523"/>
    <w:rsid w:val="00DB76A8"/>
    <w:rsid w:val="00DB77B9"/>
    <w:rsid w:val="00DB7884"/>
    <w:rsid w:val="00DB794E"/>
    <w:rsid w:val="00DB7C7D"/>
    <w:rsid w:val="00DC080C"/>
    <w:rsid w:val="00DC08BC"/>
    <w:rsid w:val="00DC0B9C"/>
    <w:rsid w:val="00DC0BD4"/>
    <w:rsid w:val="00DC0D05"/>
    <w:rsid w:val="00DC0EEF"/>
    <w:rsid w:val="00DC115F"/>
    <w:rsid w:val="00DC13EA"/>
    <w:rsid w:val="00DC1530"/>
    <w:rsid w:val="00DC1563"/>
    <w:rsid w:val="00DC1CA5"/>
    <w:rsid w:val="00DC1D12"/>
    <w:rsid w:val="00DC1D57"/>
    <w:rsid w:val="00DC1F31"/>
    <w:rsid w:val="00DC2168"/>
    <w:rsid w:val="00DC2300"/>
    <w:rsid w:val="00DC2350"/>
    <w:rsid w:val="00DC2496"/>
    <w:rsid w:val="00DC25B5"/>
    <w:rsid w:val="00DC2797"/>
    <w:rsid w:val="00DC2F57"/>
    <w:rsid w:val="00DC3048"/>
    <w:rsid w:val="00DC33AE"/>
    <w:rsid w:val="00DC3511"/>
    <w:rsid w:val="00DC3754"/>
    <w:rsid w:val="00DC3BCB"/>
    <w:rsid w:val="00DC3CD4"/>
    <w:rsid w:val="00DC4085"/>
    <w:rsid w:val="00DC4198"/>
    <w:rsid w:val="00DC4415"/>
    <w:rsid w:val="00DC4662"/>
    <w:rsid w:val="00DC4781"/>
    <w:rsid w:val="00DC4847"/>
    <w:rsid w:val="00DC4ABC"/>
    <w:rsid w:val="00DC4AC0"/>
    <w:rsid w:val="00DC4C8F"/>
    <w:rsid w:val="00DC4F9B"/>
    <w:rsid w:val="00DC4FFE"/>
    <w:rsid w:val="00DC5836"/>
    <w:rsid w:val="00DC5A5C"/>
    <w:rsid w:val="00DC6248"/>
    <w:rsid w:val="00DC6445"/>
    <w:rsid w:val="00DC65E0"/>
    <w:rsid w:val="00DC6A0E"/>
    <w:rsid w:val="00DC6AE0"/>
    <w:rsid w:val="00DC6CBF"/>
    <w:rsid w:val="00DC6FF9"/>
    <w:rsid w:val="00DC70B1"/>
    <w:rsid w:val="00DC71A0"/>
    <w:rsid w:val="00DC78EE"/>
    <w:rsid w:val="00DC7C57"/>
    <w:rsid w:val="00DC7DFA"/>
    <w:rsid w:val="00DC7EDD"/>
    <w:rsid w:val="00DC7FB1"/>
    <w:rsid w:val="00DD004C"/>
    <w:rsid w:val="00DD0386"/>
    <w:rsid w:val="00DD06CB"/>
    <w:rsid w:val="00DD07B9"/>
    <w:rsid w:val="00DD0949"/>
    <w:rsid w:val="00DD09BF"/>
    <w:rsid w:val="00DD0F3E"/>
    <w:rsid w:val="00DD11AC"/>
    <w:rsid w:val="00DD13C9"/>
    <w:rsid w:val="00DD13D4"/>
    <w:rsid w:val="00DD1716"/>
    <w:rsid w:val="00DD1FDA"/>
    <w:rsid w:val="00DD2330"/>
    <w:rsid w:val="00DD2B12"/>
    <w:rsid w:val="00DD2DF5"/>
    <w:rsid w:val="00DD312F"/>
    <w:rsid w:val="00DD3157"/>
    <w:rsid w:val="00DD39B6"/>
    <w:rsid w:val="00DD39D0"/>
    <w:rsid w:val="00DD3E0B"/>
    <w:rsid w:val="00DD40A5"/>
    <w:rsid w:val="00DD4741"/>
    <w:rsid w:val="00DD488C"/>
    <w:rsid w:val="00DD4B8B"/>
    <w:rsid w:val="00DD4BDF"/>
    <w:rsid w:val="00DD4DD8"/>
    <w:rsid w:val="00DD4F98"/>
    <w:rsid w:val="00DD507B"/>
    <w:rsid w:val="00DD50EF"/>
    <w:rsid w:val="00DD5279"/>
    <w:rsid w:val="00DD54F3"/>
    <w:rsid w:val="00DD56DD"/>
    <w:rsid w:val="00DD5794"/>
    <w:rsid w:val="00DD5800"/>
    <w:rsid w:val="00DD5950"/>
    <w:rsid w:val="00DD5E39"/>
    <w:rsid w:val="00DD5ED8"/>
    <w:rsid w:val="00DD5FC1"/>
    <w:rsid w:val="00DD66AA"/>
    <w:rsid w:val="00DD69AD"/>
    <w:rsid w:val="00DD6BE8"/>
    <w:rsid w:val="00DD6D08"/>
    <w:rsid w:val="00DD6E76"/>
    <w:rsid w:val="00DD6E8D"/>
    <w:rsid w:val="00DD6EF5"/>
    <w:rsid w:val="00DD7316"/>
    <w:rsid w:val="00DD732A"/>
    <w:rsid w:val="00DD745E"/>
    <w:rsid w:val="00DD746D"/>
    <w:rsid w:val="00DD75CB"/>
    <w:rsid w:val="00DD7836"/>
    <w:rsid w:val="00DD7937"/>
    <w:rsid w:val="00DD795A"/>
    <w:rsid w:val="00DD7A51"/>
    <w:rsid w:val="00DD7A6A"/>
    <w:rsid w:val="00DD7C19"/>
    <w:rsid w:val="00DE0377"/>
    <w:rsid w:val="00DE061C"/>
    <w:rsid w:val="00DE0667"/>
    <w:rsid w:val="00DE094C"/>
    <w:rsid w:val="00DE0DBB"/>
    <w:rsid w:val="00DE0FF1"/>
    <w:rsid w:val="00DE109F"/>
    <w:rsid w:val="00DE1657"/>
    <w:rsid w:val="00DE1977"/>
    <w:rsid w:val="00DE1D14"/>
    <w:rsid w:val="00DE216B"/>
    <w:rsid w:val="00DE217E"/>
    <w:rsid w:val="00DE2496"/>
    <w:rsid w:val="00DE25E1"/>
    <w:rsid w:val="00DE2770"/>
    <w:rsid w:val="00DE2F45"/>
    <w:rsid w:val="00DE3546"/>
    <w:rsid w:val="00DE3B9B"/>
    <w:rsid w:val="00DE3BA5"/>
    <w:rsid w:val="00DE3E22"/>
    <w:rsid w:val="00DE3EA3"/>
    <w:rsid w:val="00DE4D4F"/>
    <w:rsid w:val="00DE5136"/>
    <w:rsid w:val="00DE533A"/>
    <w:rsid w:val="00DE5590"/>
    <w:rsid w:val="00DE56F7"/>
    <w:rsid w:val="00DE5A52"/>
    <w:rsid w:val="00DE5FC2"/>
    <w:rsid w:val="00DE6415"/>
    <w:rsid w:val="00DE64CC"/>
    <w:rsid w:val="00DE6ACC"/>
    <w:rsid w:val="00DE6CC1"/>
    <w:rsid w:val="00DE6DA3"/>
    <w:rsid w:val="00DE6E95"/>
    <w:rsid w:val="00DE70A6"/>
    <w:rsid w:val="00DE71C2"/>
    <w:rsid w:val="00DE757B"/>
    <w:rsid w:val="00DE76AE"/>
    <w:rsid w:val="00DE771D"/>
    <w:rsid w:val="00DE7FDC"/>
    <w:rsid w:val="00DF003B"/>
    <w:rsid w:val="00DF00AD"/>
    <w:rsid w:val="00DF045F"/>
    <w:rsid w:val="00DF0506"/>
    <w:rsid w:val="00DF0931"/>
    <w:rsid w:val="00DF0DFF"/>
    <w:rsid w:val="00DF128D"/>
    <w:rsid w:val="00DF16B0"/>
    <w:rsid w:val="00DF189B"/>
    <w:rsid w:val="00DF1A7E"/>
    <w:rsid w:val="00DF1C4D"/>
    <w:rsid w:val="00DF1E71"/>
    <w:rsid w:val="00DF2038"/>
    <w:rsid w:val="00DF26BA"/>
    <w:rsid w:val="00DF2A82"/>
    <w:rsid w:val="00DF2A98"/>
    <w:rsid w:val="00DF2B04"/>
    <w:rsid w:val="00DF2BAA"/>
    <w:rsid w:val="00DF2C8C"/>
    <w:rsid w:val="00DF2CB5"/>
    <w:rsid w:val="00DF2EFA"/>
    <w:rsid w:val="00DF33F4"/>
    <w:rsid w:val="00DF3C15"/>
    <w:rsid w:val="00DF3C4F"/>
    <w:rsid w:val="00DF3DDD"/>
    <w:rsid w:val="00DF418D"/>
    <w:rsid w:val="00DF47C5"/>
    <w:rsid w:val="00DF4BF9"/>
    <w:rsid w:val="00DF546A"/>
    <w:rsid w:val="00DF5543"/>
    <w:rsid w:val="00DF59DF"/>
    <w:rsid w:val="00DF5A15"/>
    <w:rsid w:val="00DF5C33"/>
    <w:rsid w:val="00DF5D1B"/>
    <w:rsid w:val="00DF5E57"/>
    <w:rsid w:val="00DF64EB"/>
    <w:rsid w:val="00DF6A41"/>
    <w:rsid w:val="00DF6B77"/>
    <w:rsid w:val="00DF6D8B"/>
    <w:rsid w:val="00DF738B"/>
    <w:rsid w:val="00DF74D1"/>
    <w:rsid w:val="00DF7521"/>
    <w:rsid w:val="00DF7BA2"/>
    <w:rsid w:val="00DF7D13"/>
    <w:rsid w:val="00DF7D71"/>
    <w:rsid w:val="00DF7D95"/>
    <w:rsid w:val="00DF7F08"/>
    <w:rsid w:val="00DF7F85"/>
    <w:rsid w:val="00DF7FF5"/>
    <w:rsid w:val="00E00019"/>
    <w:rsid w:val="00E007B1"/>
    <w:rsid w:val="00E007FB"/>
    <w:rsid w:val="00E00948"/>
    <w:rsid w:val="00E00D9F"/>
    <w:rsid w:val="00E00E2C"/>
    <w:rsid w:val="00E00E4C"/>
    <w:rsid w:val="00E00F4D"/>
    <w:rsid w:val="00E013E9"/>
    <w:rsid w:val="00E0145F"/>
    <w:rsid w:val="00E01734"/>
    <w:rsid w:val="00E01B32"/>
    <w:rsid w:val="00E01BBA"/>
    <w:rsid w:val="00E02019"/>
    <w:rsid w:val="00E0225D"/>
    <w:rsid w:val="00E0241E"/>
    <w:rsid w:val="00E02525"/>
    <w:rsid w:val="00E02657"/>
    <w:rsid w:val="00E0279D"/>
    <w:rsid w:val="00E02850"/>
    <w:rsid w:val="00E02942"/>
    <w:rsid w:val="00E02F17"/>
    <w:rsid w:val="00E02F92"/>
    <w:rsid w:val="00E03014"/>
    <w:rsid w:val="00E0317F"/>
    <w:rsid w:val="00E032D6"/>
    <w:rsid w:val="00E03D2B"/>
    <w:rsid w:val="00E04250"/>
    <w:rsid w:val="00E045A0"/>
    <w:rsid w:val="00E0471B"/>
    <w:rsid w:val="00E04A9A"/>
    <w:rsid w:val="00E04ADB"/>
    <w:rsid w:val="00E04C32"/>
    <w:rsid w:val="00E04D65"/>
    <w:rsid w:val="00E04E5C"/>
    <w:rsid w:val="00E05801"/>
    <w:rsid w:val="00E058C3"/>
    <w:rsid w:val="00E05938"/>
    <w:rsid w:val="00E05DA4"/>
    <w:rsid w:val="00E05DC9"/>
    <w:rsid w:val="00E05F37"/>
    <w:rsid w:val="00E06014"/>
    <w:rsid w:val="00E06186"/>
    <w:rsid w:val="00E06491"/>
    <w:rsid w:val="00E068C4"/>
    <w:rsid w:val="00E06965"/>
    <w:rsid w:val="00E06C17"/>
    <w:rsid w:val="00E06C1D"/>
    <w:rsid w:val="00E06D62"/>
    <w:rsid w:val="00E0752E"/>
    <w:rsid w:val="00E077A6"/>
    <w:rsid w:val="00E07A82"/>
    <w:rsid w:val="00E07EA2"/>
    <w:rsid w:val="00E103F7"/>
    <w:rsid w:val="00E107C6"/>
    <w:rsid w:val="00E10922"/>
    <w:rsid w:val="00E10D97"/>
    <w:rsid w:val="00E11E15"/>
    <w:rsid w:val="00E11F39"/>
    <w:rsid w:val="00E120D9"/>
    <w:rsid w:val="00E12173"/>
    <w:rsid w:val="00E122DD"/>
    <w:rsid w:val="00E12803"/>
    <w:rsid w:val="00E12A24"/>
    <w:rsid w:val="00E12AAD"/>
    <w:rsid w:val="00E12BA9"/>
    <w:rsid w:val="00E12C5E"/>
    <w:rsid w:val="00E12D1F"/>
    <w:rsid w:val="00E13815"/>
    <w:rsid w:val="00E13EDB"/>
    <w:rsid w:val="00E143D0"/>
    <w:rsid w:val="00E144AB"/>
    <w:rsid w:val="00E14C7D"/>
    <w:rsid w:val="00E14DA2"/>
    <w:rsid w:val="00E14DF2"/>
    <w:rsid w:val="00E150BC"/>
    <w:rsid w:val="00E1576C"/>
    <w:rsid w:val="00E15939"/>
    <w:rsid w:val="00E159A8"/>
    <w:rsid w:val="00E159B0"/>
    <w:rsid w:val="00E15EEE"/>
    <w:rsid w:val="00E161D3"/>
    <w:rsid w:val="00E16295"/>
    <w:rsid w:val="00E163B4"/>
    <w:rsid w:val="00E164B0"/>
    <w:rsid w:val="00E1676C"/>
    <w:rsid w:val="00E16F2D"/>
    <w:rsid w:val="00E17134"/>
    <w:rsid w:val="00E171FA"/>
    <w:rsid w:val="00E1727D"/>
    <w:rsid w:val="00E1794B"/>
    <w:rsid w:val="00E17B0A"/>
    <w:rsid w:val="00E17B18"/>
    <w:rsid w:val="00E17FC2"/>
    <w:rsid w:val="00E20097"/>
    <w:rsid w:val="00E206BA"/>
    <w:rsid w:val="00E206F5"/>
    <w:rsid w:val="00E20711"/>
    <w:rsid w:val="00E20942"/>
    <w:rsid w:val="00E20C6A"/>
    <w:rsid w:val="00E21118"/>
    <w:rsid w:val="00E2112A"/>
    <w:rsid w:val="00E211A0"/>
    <w:rsid w:val="00E21208"/>
    <w:rsid w:val="00E21389"/>
    <w:rsid w:val="00E216C6"/>
    <w:rsid w:val="00E219B2"/>
    <w:rsid w:val="00E21AAF"/>
    <w:rsid w:val="00E21C16"/>
    <w:rsid w:val="00E21DCF"/>
    <w:rsid w:val="00E22334"/>
    <w:rsid w:val="00E22965"/>
    <w:rsid w:val="00E22CDF"/>
    <w:rsid w:val="00E22D35"/>
    <w:rsid w:val="00E22EFB"/>
    <w:rsid w:val="00E23380"/>
    <w:rsid w:val="00E2384B"/>
    <w:rsid w:val="00E23A24"/>
    <w:rsid w:val="00E2428F"/>
    <w:rsid w:val="00E2429F"/>
    <w:rsid w:val="00E2436A"/>
    <w:rsid w:val="00E244E0"/>
    <w:rsid w:val="00E245C0"/>
    <w:rsid w:val="00E254EE"/>
    <w:rsid w:val="00E256DA"/>
    <w:rsid w:val="00E257F4"/>
    <w:rsid w:val="00E25AF7"/>
    <w:rsid w:val="00E25F89"/>
    <w:rsid w:val="00E26030"/>
    <w:rsid w:val="00E268D9"/>
    <w:rsid w:val="00E27083"/>
    <w:rsid w:val="00E2716F"/>
    <w:rsid w:val="00E272C0"/>
    <w:rsid w:val="00E273CC"/>
    <w:rsid w:val="00E27750"/>
    <w:rsid w:val="00E27822"/>
    <w:rsid w:val="00E279E1"/>
    <w:rsid w:val="00E279EE"/>
    <w:rsid w:val="00E27A24"/>
    <w:rsid w:val="00E27C52"/>
    <w:rsid w:val="00E27CE1"/>
    <w:rsid w:val="00E300B4"/>
    <w:rsid w:val="00E30404"/>
    <w:rsid w:val="00E30777"/>
    <w:rsid w:val="00E30780"/>
    <w:rsid w:val="00E30A27"/>
    <w:rsid w:val="00E310B1"/>
    <w:rsid w:val="00E310F6"/>
    <w:rsid w:val="00E3110B"/>
    <w:rsid w:val="00E3136F"/>
    <w:rsid w:val="00E31880"/>
    <w:rsid w:val="00E31928"/>
    <w:rsid w:val="00E31BC9"/>
    <w:rsid w:val="00E31F9D"/>
    <w:rsid w:val="00E31FF4"/>
    <w:rsid w:val="00E32445"/>
    <w:rsid w:val="00E3253C"/>
    <w:rsid w:val="00E32555"/>
    <w:rsid w:val="00E32629"/>
    <w:rsid w:val="00E3266A"/>
    <w:rsid w:val="00E326DA"/>
    <w:rsid w:val="00E329DA"/>
    <w:rsid w:val="00E32C46"/>
    <w:rsid w:val="00E32D7C"/>
    <w:rsid w:val="00E32E4B"/>
    <w:rsid w:val="00E32EF2"/>
    <w:rsid w:val="00E32F7C"/>
    <w:rsid w:val="00E3336F"/>
    <w:rsid w:val="00E337D1"/>
    <w:rsid w:val="00E33861"/>
    <w:rsid w:val="00E338DA"/>
    <w:rsid w:val="00E33A0A"/>
    <w:rsid w:val="00E33DAA"/>
    <w:rsid w:val="00E33F8E"/>
    <w:rsid w:val="00E34134"/>
    <w:rsid w:val="00E34290"/>
    <w:rsid w:val="00E343AA"/>
    <w:rsid w:val="00E345C5"/>
    <w:rsid w:val="00E3479D"/>
    <w:rsid w:val="00E3487C"/>
    <w:rsid w:val="00E34973"/>
    <w:rsid w:val="00E34A72"/>
    <w:rsid w:val="00E35158"/>
    <w:rsid w:val="00E35369"/>
    <w:rsid w:val="00E355E1"/>
    <w:rsid w:val="00E35DB6"/>
    <w:rsid w:val="00E3635D"/>
    <w:rsid w:val="00E3642B"/>
    <w:rsid w:val="00E3660D"/>
    <w:rsid w:val="00E36BBC"/>
    <w:rsid w:val="00E36BFD"/>
    <w:rsid w:val="00E36C2E"/>
    <w:rsid w:val="00E371CA"/>
    <w:rsid w:val="00E37335"/>
    <w:rsid w:val="00E373F5"/>
    <w:rsid w:val="00E37639"/>
    <w:rsid w:val="00E3767B"/>
    <w:rsid w:val="00E376B5"/>
    <w:rsid w:val="00E376BA"/>
    <w:rsid w:val="00E37BAE"/>
    <w:rsid w:val="00E37CD4"/>
    <w:rsid w:val="00E37D6D"/>
    <w:rsid w:val="00E37F34"/>
    <w:rsid w:val="00E40466"/>
    <w:rsid w:val="00E40938"/>
    <w:rsid w:val="00E40BA2"/>
    <w:rsid w:val="00E40DB3"/>
    <w:rsid w:val="00E40E58"/>
    <w:rsid w:val="00E411FE"/>
    <w:rsid w:val="00E414AC"/>
    <w:rsid w:val="00E417B3"/>
    <w:rsid w:val="00E418F0"/>
    <w:rsid w:val="00E4190E"/>
    <w:rsid w:val="00E41EEA"/>
    <w:rsid w:val="00E4204F"/>
    <w:rsid w:val="00E4222B"/>
    <w:rsid w:val="00E4226D"/>
    <w:rsid w:val="00E42312"/>
    <w:rsid w:val="00E4237C"/>
    <w:rsid w:val="00E4250A"/>
    <w:rsid w:val="00E4297E"/>
    <w:rsid w:val="00E43256"/>
    <w:rsid w:val="00E43C69"/>
    <w:rsid w:val="00E43E02"/>
    <w:rsid w:val="00E43EB6"/>
    <w:rsid w:val="00E43ECE"/>
    <w:rsid w:val="00E443C4"/>
    <w:rsid w:val="00E444E2"/>
    <w:rsid w:val="00E44914"/>
    <w:rsid w:val="00E44B9A"/>
    <w:rsid w:val="00E44C50"/>
    <w:rsid w:val="00E44CE1"/>
    <w:rsid w:val="00E44D36"/>
    <w:rsid w:val="00E44F0F"/>
    <w:rsid w:val="00E45013"/>
    <w:rsid w:val="00E45333"/>
    <w:rsid w:val="00E4541D"/>
    <w:rsid w:val="00E454D2"/>
    <w:rsid w:val="00E45749"/>
    <w:rsid w:val="00E458B5"/>
    <w:rsid w:val="00E45D3F"/>
    <w:rsid w:val="00E45EE9"/>
    <w:rsid w:val="00E464F4"/>
    <w:rsid w:val="00E4652C"/>
    <w:rsid w:val="00E466F4"/>
    <w:rsid w:val="00E4681A"/>
    <w:rsid w:val="00E469EE"/>
    <w:rsid w:val="00E46CBA"/>
    <w:rsid w:val="00E4717C"/>
    <w:rsid w:val="00E4796D"/>
    <w:rsid w:val="00E47D1A"/>
    <w:rsid w:val="00E47EC9"/>
    <w:rsid w:val="00E47F55"/>
    <w:rsid w:val="00E5020F"/>
    <w:rsid w:val="00E506B8"/>
    <w:rsid w:val="00E50708"/>
    <w:rsid w:val="00E50AAF"/>
    <w:rsid w:val="00E50CD1"/>
    <w:rsid w:val="00E50DBB"/>
    <w:rsid w:val="00E50E2A"/>
    <w:rsid w:val="00E515C0"/>
    <w:rsid w:val="00E516A0"/>
    <w:rsid w:val="00E51C7F"/>
    <w:rsid w:val="00E52071"/>
    <w:rsid w:val="00E52103"/>
    <w:rsid w:val="00E525DD"/>
    <w:rsid w:val="00E52846"/>
    <w:rsid w:val="00E5297B"/>
    <w:rsid w:val="00E52B56"/>
    <w:rsid w:val="00E52C10"/>
    <w:rsid w:val="00E52D07"/>
    <w:rsid w:val="00E52F0E"/>
    <w:rsid w:val="00E53150"/>
    <w:rsid w:val="00E533B3"/>
    <w:rsid w:val="00E53534"/>
    <w:rsid w:val="00E53933"/>
    <w:rsid w:val="00E53C04"/>
    <w:rsid w:val="00E53CB8"/>
    <w:rsid w:val="00E53D55"/>
    <w:rsid w:val="00E5402E"/>
    <w:rsid w:val="00E5440A"/>
    <w:rsid w:val="00E544CA"/>
    <w:rsid w:val="00E54518"/>
    <w:rsid w:val="00E5454E"/>
    <w:rsid w:val="00E54718"/>
    <w:rsid w:val="00E54E26"/>
    <w:rsid w:val="00E54EA8"/>
    <w:rsid w:val="00E54F29"/>
    <w:rsid w:val="00E54F3E"/>
    <w:rsid w:val="00E5517C"/>
    <w:rsid w:val="00E551B4"/>
    <w:rsid w:val="00E551E7"/>
    <w:rsid w:val="00E55619"/>
    <w:rsid w:val="00E5565B"/>
    <w:rsid w:val="00E55A7D"/>
    <w:rsid w:val="00E55AEA"/>
    <w:rsid w:val="00E55AEE"/>
    <w:rsid w:val="00E55B64"/>
    <w:rsid w:val="00E55E95"/>
    <w:rsid w:val="00E56385"/>
    <w:rsid w:val="00E5649E"/>
    <w:rsid w:val="00E56546"/>
    <w:rsid w:val="00E568A4"/>
    <w:rsid w:val="00E569DF"/>
    <w:rsid w:val="00E56AB8"/>
    <w:rsid w:val="00E56C45"/>
    <w:rsid w:val="00E56D49"/>
    <w:rsid w:val="00E56D5B"/>
    <w:rsid w:val="00E56E7B"/>
    <w:rsid w:val="00E56F91"/>
    <w:rsid w:val="00E57D31"/>
    <w:rsid w:val="00E600A6"/>
    <w:rsid w:val="00E603D8"/>
    <w:rsid w:val="00E606B8"/>
    <w:rsid w:val="00E60887"/>
    <w:rsid w:val="00E60980"/>
    <w:rsid w:val="00E60C4C"/>
    <w:rsid w:val="00E60EBD"/>
    <w:rsid w:val="00E6102E"/>
    <w:rsid w:val="00E61288"/>
    <w:rsid w:val="00E615E1"/>
    <w:rsid w:val="00E616FA"/>
    <w:rsid w:val="00E61BA0"/>
    <w:rsid w:val="00E61BDC"/>
    <w:rsid w:val="00E61CE5"/>
    <w:rsid w:val="00E61D39"/>
    <w:rsid w:val="00E61D76"/>
    <w:rsid w:val="00E621F8"/>
    <w:rsid w:val="00E62213"/>
    <w:rsid w:val="00E62767"/>
    <w:rsid w:val="00E6277A"/>
    <w:rsid w:val="00E6291C"/>
    <w:rsid w:val="00E62BB9"/>
    <w:rsid w:val="00E62EE8"/>
    <w:rsid w:val="00E6319E"/>
    <w:rsid w:val="00E63678"/>
    <w:rsid w:val="00E63822"/>
    <w:rsid w:val="00E63E99"/>
    <w:rsid w:val="00E63FC9"/>
    <w:rsid w:val="00E63FF0"/>
    <w:rsid w:val="00E6440E"/>
    <w:rsid w:val="00E645EE"/>
    <w:rsid w:val="00E65841"/>
    <w:rsid w:val="00E65F17"/>
    <w:rsid w:val="00E660FB"/>
    <w:rsid w:val="00E6685D"/>
    <w:rsid w:val="00E6694D"/>
    <w:rsid w:val="00E66B74"/>
    <w:rsid w:val="00E66D98"/>
    <w:rsid w:val="00E66EA0"/>
    <w:rsid w:val="00E672F7"/>
    <w:rsid w:val="00E67473"/>
    <w:rsid w:val="00E67507"/>
    <w:rsid w:val="00E675AD"/>
    <w:rsid w:val="00E676D8"/>
    <w:rsid w:val="00E67724"/>
    <w:rsid w:val="00E67C50"/>
    <w:rsid w:val="00E67DAA"/>
    <w:rsid w:val="00E67E82"/>
    <w:rsid w:val="00E67EB8"/>
    <w:rsid w:val="00E7031F"/>
    <w:rsid w:val="00E7060D"/>
    <w:rsid w:val="00E70644"/>
    <w:rsid w:val="00E70B68"/>
    <w:rsid w:val="00E70CEC"/>
    <w:rsid w:val="00E70E0A"/>
    <w:rsid w:val="00E70E93"/>
    <w:rsid w:val="00E70FFB"/>
    <w:rsid w:val="00E71371"/>
    <w:rsid w:val="00E7175C"/>
    <w:rsid w:val="00E71B81"/>
    <w:rsid w:val="00E71BED"/>
    <w:rsid w:val="00E7230A"/>
    <w:rsid w:val="00E7263A"/>
    <w:rsid w:val="00E7275C"/>
    <w:rsid w:val="00E7278B"/>
    <w:rsid w:val="00E72F6F"/>
    <w:rsid w:val="00E7327F"/>
    <w:rsid w:val="00E736BC"/>
    <w:rsid w:val="00E740FC"/>
    <w:rsid w:val="00E741E0"/>
    <w:rsid w:val="00E742EB"/>
    <w:rsid w:val="00E7436F"/>
    <w:rsid w:val="00E747E5"/>
    <w:rsid w:val="00E7494E"/>
    <w:rsid w:val="00E74BB0"/>
    <w:rsid w:val="00E74CEB"/>
    <w:rsid w:val="00E75614"/>
    <w:rsid w:val="00E75699"/>
    <w:rsid w:val="00E75831"/>
    <w:rsid w:val="00E75C9C"/>
    <w:rsid w:val="00E75CF3"/>
    <w:rsid w:val="00E75E1C"/>
    <w:rsid w:val="00E75E93"/>
    <w:rsid w:val="00E75F6F"/>
    <w:rsid w:val="00E761C1"/>
    <w:rsid w:val="00E761C9"/>
    <w:rsid w:val="00E76462"/>
    <w:rsid w:val="00E7657A"/>
    <w:rsid w:val="00E768AC"/>
    <w:rsid w:val="00E76935"/>
    <w:rsid w:val="00E76E38"/>
    <w:rsid w:val="00E779B3"/>
    <w:rsid w:val="00E77AAA"/>
    <w:rsid w:val="00E80030"/>
    <w:rsid w:val="00E80200"/>
    <w:rsid w:val="00E80232"/>
    <w:rsid w:val="00E802DB"/>
    <w:rsid w:val="00E804EA"/>
    <w:rsid w:val="00E80633"/>
    <w:rsid w:val="00E8091B"/>
    <w:rsid w:val="00E80D03"/>
    <w:rsid w:val="00E80D0F"/>
    <w:rsid w:val="00E810A4"/>
    <w:rsid w:val="00E810F1"/>
    <w:rsid w:val="00E813CD"/>
    <w:rsid w:val="00E81574"/>
    <w:rsid w:val="00E816D0"/>
    <w:rsid w:val="00E81C16"/>
    <w:rsid w:val="00E81CEB"/>
    <w:rsid w:val="00E81DCA"/>
    <w:rsid w:val="00E82129"/>
    <w:rsid w:val="00E82135"/>
    <w:rsid w:val="00E8219D"/>
    <w:rsid w:val="00E821EA"/>
    <w:rsid w:val="00E82302"/>
    <w:rsid w:val="00E829EA"/>
    <w:rsid w:val="00E82C6E"/>
    <w:rsid w:val="00E82E4E"/>
    <w:rsid w:val="00E82ED1"/>
    <w:rsid w:val="00E830FA"/>
    <w:rsid w:val="00E8318F"/>
    <w:rsid w:val="00E8359A"/>
    <w:rsid w:val="00E835B0"/>
    <w:rsid w:val="00E83E57"/>
    <w:rsid w:val="00E8438F"/>
    <w:rsid w:val="00E843B8"/>
    <w:rsid w:val="00E846C5"/>
    <w:rsid w:val="00E846F1"/>
    <w:rsid w:val="00E84E9F"/>
    <w:rsid w:val="00E85190"/>
    <w:rsid w:val="00E85354"/>
    <w:rsid w:val="00E853CD"/>
    <w:rsid w:val="00E8565F"/>
    <w:rsid w:val="00E85DDE"/>
    <w:rsid w:val="00E85F25"/>
    <w:rsid w:val="00E86032"/>
    <w:rsid w:val="00E860A1"/>
    <w:rsid w:val="00E86517"/>
    <w:rsid w:val="00E86586"/>
    <w:rsid w:val="00E86700"/>
    <w:rsid w:val="00E86750"/>
    <w:rsid w:val="00E8681A"/>
    <w:rsid w:val="00E86979"/>
    <w:rsid w:val="00E8697A"/>
    <w:rsid w:val="00E86C73"/>
    <w:rsid w:val="00E86C8A"/>
    <w:rsid w:val="00E86FD4"/>
    <w:rsid w:val="00E8724B"/>
    <w:rsid w:val="00E877B0"/>
    <w:rsid w:val="00E87827"/>
    <w:rsid w:val="00E87BD5"/>
    <w:rsid w:val="00E87C18"/>
    <w:rsid w:val="00E87F21"/>
    <w:rsid w:val="00E9015A"/>
    <w:rsid w:val="00E9040F"/>
    <w:rsid w:val="00E9107B"/>
    <w:rsid w:val="00E9190E"/>
    <w:rsid w:val="00E91A86"/>
    <w:rsid w:val="00E91B35"/>
    <w:rsid w:val="00E91CB7"/>
    <w:rsid w:val="00E91D6F"/>
    <w:rsid w:val="00E91EBC"/>
    <w:rsid w:val="00E921C0"/>
    <w:rsid w:val="00E9245C"/>
    <w:rsid w:val="00E92614"/>
    <w:rsid w:val="00E9275F"/>
    <w:rsid w:val="00E92D59"/>
    <w:rsid w:val="00E92E80"/>
    <w:rsid w:val="00E92F25"/>
    <w:rsid w:val="00E9303D"/>
    <w:rsid w:val="00E930A5"/>
    <w:rsid w:val="00E930B3"/>
    <w:rsid w:val="00E93176"/>
    <w:rsid w:val="00E9317B"/>
    <w:rsid w:val="00E93450"/>
    <w:rsid w:val="00E935F1"/>
    <w:rsid w:val="00E93959"/>
    <w:rsid w:val="00E93D7C"/>
    <w:rsid w:val="00E94454"/>
    <w:rsid w:val="00E944C4"/>
    <w:rsid w:val="00E94722"/>
    <w:rsid w:val="00E94C41"/>
    <w:rsid w:val="00E954AF"/>
    <w:rsid w:val="00E95631"/>
    <w:rsid w:val="00E95715"/>
    <w:rsid w:val="00E9582A"/>
    <w:rsid w:val="00E958B2"/>
    <w:rsid w:val="00E95A67"/>
    <w:rsid w:val="00E95B43"/>
    <w:rsid w:val="00E95D13"/>
    <w:rsid w:val="00E95DAE"/>
    <w:rsid w:val="00E95E28"/>
    <w:rsid w:val="00E95E33"/>
    <w:rsid w:val="00E95EFC"/>
    <w:rsid w:val="00E96010"/>
    <w:rsid w:val="00E9602F"/>
    <w:rsid w:val="00E9622E"/>
    <w:rsid w:val="00E96432"/>
    <w:rsid w:val="00E96AF7"/>
    <w:rsid w:val="00E96CA4"/>
    <w:rsid w:val="00E97160"/>
    <w:rsid w:val="00E973FC"/>
    <w:rsid w:val="00E97403"/>
    <w:rsid w:val="00E9751F"/>
    <w:rsid w:val="00E978E6"/>
    <w:rsid w:val="00E97A38"/>
    <w:rsid w:val="00EA005D"/>
    <w:rsid w:val="00EA030A"/>
    <w:rsid w:val="00EA0740"/>
    <w:rsid w:val="00EA0DBF"/>
    <w:rsid w:val="00EA0F2B"/>
    <w:rsid w:val="00EA10DE"/>
    <w:rsid w:val="00EA11A3"/>
    <w:rsid w:val="00EA16BD"/>
    <w:rsid w:val="00EA1806"/>
    <w:rsid w:val="00EA1FC2"/>
    <w:rsid w:val="00EA2034"/>
    <w:rsid w:val="00EA21B1"/>
    <w:rsid w:val="00EA22C2"/>
    <w:rsid w:val="00EA234D"/>
    <w:rsid w:val="00EA2707"/>
    <w:rsid w:val="00EA2B7B"/>
    <w:rsid w:val="00EA2F66"/>
    <w:rsid w:val="00EA302E"/>
    <w:rsid w:val="00EA323B"/>
    <w:rsid w:val="00EA3256"/>
    <w:rsid w:val="00EA3531"/>
    <w:rsid w:val="00EA35FA"/>
    <w:rsid w:val="00EA3617"/>
    <w:rsid w:val="00EA374D"/>
    <w:rsid w:val="00EA3958"/>
    <w:rsid w:val="00EA3CD0"/>
    <w:rsid w:val="00EA3D19"/>
    <w:rsid w:val="00EA409B"/>
    <w:rsid w:val="00EA4155"/>
    <w:rsid w:val="00EA43FA"/>
    <w:rsid w:val="00EA4634"/>
    <w:rsid w:val="00EA483D"/>
    <w:rsid w:val="00EA48AA"/>
    <w:rsid w:val="00EA4F73"/>
    <w:rsid w:val="00EA52F5"/>
    <w:rsid w:val="00EA5C13"/>
    <w:rsid w:val="00EA5DB9"/>
    <w:rsid w:val="00EA67BF"/>
    <w:rsid w:val="00EA6806"/>
    <w:rsid w:val="00EA6ACB"/>
    <w:rsid w:val="00EA6B73"/>
    <w:rsid w:val="00EA6D22"/>
    <w:rsid w:val="00EA6DEB"/>
    <w:rsid w:val="00EA6EAE"/>
    <w:rsid w:val="00EA7421"/>
    <w:rsid w:val="00EA74FF"/>
    <w:rsid w:val="00EA7552"/>
    <w:rsid w:val="00EA775E"/>
    <w:rsid w:val="00EA7760"/>
    <w:rsid w:val="00EA7CDC"/>
    <w:rsid w:val="00EA7F0D"/>
    <w:rsid w:val="00EB0041"/>
    <w:rsid w:val="00EB0056"/>
    <w:rsid w:val="00EB0595"/>
    <w:rsid w:val="00EB0EA0"/>
    <w:rsid w:val="00EB0EF5"/>
    <w:rsid w:val="00EB0FD0"/>
    <w:rsid w:val="00EB1AC4"/>
    <w:rsid w:val="00EB1D00"/>
    <w:rsid w:val="00EB277C"/>
    <w:rsid w:val="00EB28C7"/>
    <w:rsid w:val="00EB2E95"/>
    <w:rsid w:val="00EB32FC"/>
    <w:rsid w:val="00EB33BF"/>
    <w:rsid w:val="00EB33DA"/>
    <w:rsid w:val="00EB37C8"/>
    <w:rsid w:val="00EB3A13"/>
    <w:rsid w:val="00EB3D23"/>
    <w:rsid w:val="00EB40B9"/>
    <w:rsid w:val="00EB4170"/>
    <w:rsid w:val="00EB43D5"/>
    <w:rsid w:val="00EB443F"/>
    <w:rsid w:val="00EB49F3"/>
    <w:rsid w:val="00EB5143"/>
    <w:rsid w:val="00EB55D3"/>
    <w:rsid w:val="00EB564A"/>
    <w:rsid w:val="00EB5A75"/>
    <w:rsid w:val="00EB5C81"/>
    <w:rsid w:val="00EB5DB1"/>
    <w:rsid w:val="00EB5F1F"/>
    <w:rsid w:val="00EB62F4"/>
    <w:rsid w:val="00EB64F1"/>
    <w:rsid w:val="00EB6606"/>
    <w:rsid w:val="00EB6D23"/>
    <w:rsid w:val="00EB6DEA"/>
    <w:rsid w:val="00EB6EF8"/>
    <w:rsid w:val="00EB7058"/>
    <w:rsid w:val="00EB7CC4"/>
    <w:rsid w:val="00EC0117"/>
    <w:rsid w:val="00EC03C8"/>
    <w:rsid w:val="00EC06A1"/>
    <w:rsid w:val="00EC07EF"/>
    <w:rsid w:val="00EC087E"/>
    <w:rsid w:val="00EC0FC6"/>
    <w:rsid w:val="00EC10FD"/>
    <w:rsid w:val="00EC12BD"/>
    <w:rsid w:val="00EC142F"/>
    <w:rsid w:val="00EC1A5D"/>
    <w:rsid w:val="00EC1B64"/>
    <w:rsid w:val="00EC1C58"/>
    <w:rsid w:val="00EC1CF5"/>
    <w:rsid w:val="00EC2049"/>
    <w:rsid w:val="00EC27C4"/>
    <w:rsid w:val="00EC2999"/>
    <w:rsid w:val="00EC2AA9"/>
    <w:rsid w:val="00EC2B43"/>
    <w:rsid w:val="00EC33EB"/>
    <w:rsid w:val="00EC3868"/>
    <w:rsid w:val="00EC3945"/>
    <w:rsid w:val="00EC3C0A"/>
    <w:rsid w:val="00EC3DF4"/>
    <w:rsid w:val="00EC3E47"/>
    <w:rsid w:val="00EC4400"/>
    <w:rsid w:val="00EC45C6"/>
    <w:rsid w:val="00EC4809"/>
    <w:rsid w:val="00EC489E"/>
    <w:rsid w:val="00EC4AF9"/>
    <w:rsid w:val="00EC4C06"/>
    <w:rsid w:val="00EC4E6E"/>
    <w:rsid w:val="00EC540C"/>
    <w:rsid w:val="00EC5468"/>
    <w:rsid w:val="00EC54BA"/>
    <w:rsid w:val="00EC55B1"/>
    <w:rsid w:val="00EC575E"/>
    <w:rsid w:val="00EC5A22"/>
    <w:rsid w:val="00EC5A48"/>
    <w:rsid w:val="00EC5AB2"/>
    <w:rsid w:val="00EC60F0"/>
    <w:rsid w:val="00EC616A"/>
    <w:rsid w:val="00EC625F"/>
    <w:rsid w:val="00EC6316"/>
    <w:rsid w:val="00EC6492"/>
    <w:rsid w:val="00EC6825"/>
    <w:rsid w:val="00EC68B2"/>
    <w:rsid w:val="00EC68D4"/>
    <w:rsid w:val="00EC6CAB"/>
    <w:rsid w:val="00EC6DA6"/>
    <w:rsid w:val="00EC6E27"/>
    <w:rsid w:val="00EC6F2E"/>
    <w:rsid w:val="00EC753A"/>
    <w:rsid w:val="00EC7727"/>
    <w:rsid w:val="00EC7CB6"/>
    <w:rsid w:val="00EC7D36"/>
    <w:rsid w:val="00ED0425"/>
    <w:rsid w:val="00ED046B"/>
    <w:rsid w:val="00ED08D2"/>
    <w:rsid w:val="00ED09B2"/>
    <w:rsid w:val="00ED0BA1"/>
    <w:rsid w:val="00ED0C0C"/>
    <w:rsid w:val="00ED122B"/>
    <w:rsid w:val="00ED1296"/>
    <w:rsid w:val="00ED1319"/>
    <w:rsid w:val="00ED1C68"/>
    <w:rsid w:val="00ED1DEC"/>
    <w:rsid w:val="00ED1EEA"/>
    <w:rsid w:val="00ED1F66"/>
    <w:rsid w:val="00ED1FA2"/>
    <w:rsid w:val="00ED29F0"/>
    <w:rsid w:val="00ED302B"/>
    <w:rsid w:val="00ED3130"/>
    <w:rsid w:val="00ED31F3"/>
    <w:rsid w:val="00ED33B7"/>
    <w:rsid w:val="00ED36D4"/>
    <w:rsid w:val="00ED3960"/>
    <w:rsid w:val="00ED3F04"/>
    <w:rsid w:val="00ED3FCD"/>
    <w:rsid w:val="00ED41BC"/>
    <w:rsid w:val="00ED45BC"/>
    <w:rsid w:val="00ED4951"/>
    <w:rsid w:val="00ED4A0D"/>
    <w:rsid w:val="00ED4BCB"/>
    <w:rsid w:val="00ED4E6C"/>
    <w:rsid w:val="00ED53B8"/>
    <w:rsid w:val="00ED551C"/>
    <w:rsid w:val="00ED55CD"/>
    <w:rsid w:val="00ED5A7B"/>
    <w:rsid w:val="00ED5E1A"/>
    <w:rsid w:val="00ED6005"/>
    <w:rsid w:val="00ED61C1"/>
    <w:rsid w:val="00ED6688"/>
    <w:rsid w:val="00ED677A"/>
    <w:rsid w:val="00ED67AB"/>
    <w:rsid w:val="00ED68FB"/>
    <w:rsid w:val="00ED6A75"/>
    <w:rsid w:val="00ED6AB7"/>
    <w:rsid w:val="00ED6ADF"/>
    <w:rsid w:val="00ED6D0D"/>
    <w:rsid w:val="00ED6E75"/>
    <w:rsid w:val="00ED70BD"/>
    <w:rsid w:val="00ED71C3"/>
    <w:rsid w:val="00ED76BE"/>
    <w:rsid w:val="00ED783A"/>
    <w:rsid w:val="00ED7D6F"/>
    <w:rsid w:val="00ED7F1A"/>
    <w:rsid w:val="00EE0246"/>
    <w:rsid w:val="00EE033A"/>
    <w:rsid w:val="00EE051E"/>
    <w:rsid w:val="00EE0C90"/>
    <w:rsid w:val="00EE0CEF"/>
    <w:rsid w:val="00EE0E08"/>
    <w:rsid w:val="00EE0E5C"/>
    <w:rsid w:val="00EE117B"/>
    <w:rsid w:val="00EE13B4"/>
    <w:rsid w:val="00EE13B5"/>
    <w:rsid w:val="00EE155A"/>
    <w:rsid w:val="00EE16B9"/>
    <w:rsid w:val="00EE1821"/>
    <w:rsid w:val="00EE1AB6"/>
    <w:rsid w:val="00EE1B89"/>
    <w:rsid w:val="00EE1D4B"/>
    <w:rsid w:val="00EE226B"/>
    <w:rsid w:val="00EE22FD"/>
    <w:rsid w:val="00EE28D1"/>
    <w:rsid w:val="00EE2B54"/>
    <w:rsid w:val="00EE2C20"/>
    <w:rsid w:val="00EE2FB3"/>
    <w:rsid w:val="00EE305C"/>
    <w:rsid w:val="00EE341D"/>
    <w:rsid w:val="00EE3488"/>
    <w:rsid w:val="00EE350E"/>
    <w:rsid w:val="00EE3590"/>
    <w:rsid w:val="00EE3AD0"/>
    <w:rsid w:val="00EE3AE1"/>
    <w:rsid w:val="00EE3AEF"/>
    <w:rsid w:val="00EE46FC"/>
    <w:rsid w:val="00EE4739"/>
    <w:rsid w:val="00EE4A81"/>
    <w:rsid w:val="00EE4B0A"/>
    <w:rsid w:val="00EE4C03"/>
    <w:rsid w:val="00EE4D21"/>
    <w:rsid w:val="00EE4D67"/>
    <w:rsid w:val="00EE4ECE"/>
    <w:rsid w:val="00EE511D"/>
    <w:rsid w:val="00EE5666"/>
    <w:rsid w:val="00EE5676"/>
    <w:rsid w:val="00EE5A04"/>
    <w:rsid w:val="00EE610B"/>
    <w:rsid w:val="00EE65FE"/>
    <w:rsid w:val="00EE674F"/>
    <w:rsid w:val="00EE67B7"/>
    <w:rsid w:val="00EE6A9F"/>
    <w:rsid w:val="00EE6B71"/>
    <w:rsid w:val="00EE6DC1"/>
    <w:rsid w:val="00EE6EA5"/>
    <w:rsid w:val="00EE70B8"/>
    <w:rsid w:val="00EE72F9"/>
    <w:rsid w:val="00EE74EA"/>
    <w:rsid w:val="00EE7633"/>
    <w:rsid w:val="00EE7657"/>
    <w:rsid w:val="00EE77C3"/>
    <w:rsid w:val="00EE7957"/>
    <w:rsid w:val="00EE7E6E"/>
    <w:rsid w:val="00EE7FCC"/>
    <w:rsid w:val="00EE7FE8"/>
    <w:rsid w:val="00EE7FF0"/>
    <w:rsid w:val="00EF0359"/>
    <w:rsid w:val="00EF0584"/>
    <w:rsid w:val="00EF06EA"/>
    <w:rsid w:val="00EF09D7"/>
    <w:rsid w:val="00EF0BB6"/>
    <w:rsid w:val="00EF0EC2"/>
    <w:rsid w:val="00EF0F82"/>
    <w:rsid w:val="00EF1027"/>
    <w:rsid w:val="00EF113B"/>
    <w:rsid w:val="00EF1789"/>
    <w:rsid w:val="00EF17DE"/>
    <w:rsid w:val="00EF20E4"/>
    <w:rsid w:val="00EF23AB"/>
    <w:rsid w:val="00EF2574"/>
    <w:rsid w:val="00EF27DF"/>
    <w:rsid w:val="00EF32AF"/>
    <w:rsid w:val="00EF3508"/>
    <w:rsid w:val="00EF35D1"/>
    <w:rsid w:val="00EF3602"/>
    <w:rsid w:val="00EF3A92"/>
    <w:rsid w:val="00EF3E62"/>
    <w:rsid w:val="00EF3F55"/>
    <w:rsid w:val="00EF405F"/>
    <w:rsid w:val="00EF43F4"/>
    <w:rsid w:val="00EF4618"/>
    <w:rsid w:val="00EF46D8"/>
    <w:rsid w:val="00EF46F8"/>
    <w:rsid w:val="00EF4818"/>
    <w:rsid w:val="00EF4A8D"/>
    <w:rsid w:val="00EF4F79"/>
    <w:rsid w:val="00EF5407"/>
    <w:rsid w:val="00EF570A"/>
    <w:rsid w:val="00EF57B5"/>
    <w:rsid w:val="00EF591E"/>
    <w:rsid w:val="00EF59B4"/>
    <w:rsid w:val="00EF5AC7"/>
    <w:rsid w:val="00EF5B6C"/>
    <w:rsid w:val="00EF6356"/>
    <w:rsid w:val="00EF6418"/>
    <w:rsid w:val="00EF6500"/>
    <w:rsid w:val="00EF655F"/>
    <w:rsid w:val="00EF6628"/>
    <w:rsid w:val="00EF66BD"/>
    <w:rsid w:val="00EF6B47"/>
    <w:rsid w:val="00EF7055"/>
    <w:rsid w:val="00EF725C"/>
    <w:rsid w:val="00EF7338"/>
    <w:rsid w:val="00EF7497"/>
    <w:rsid w:val="00EF74F2"/>
    <w:rsid w:val="00EF7919"/>
    <w:rsid w:val="00EF7A21"/>
    <w:rsid w:val="00EF7AD8"/>
    <w:rsid w:val="00EF7BEB"/>
    <w:rsid w:val="00EF7C19"/>
    <w:rsid w:val="00EF7CD9"/>
    <w:rsid w:val="00F0054E"/>
    <w:rsid w:val="00F008BB"/>
    <w:rsid w:val="00F00B56"/>
    <w:rsid w:val="00F010BB"/>
    <w:rsid w:val="00F01158"/>
    <w:rsid w:val="00F012F2"/>
    <w:rsid w:val="00F0144A"/>
    <w:rsid w:val="00F0188B"/>
    <w:rsid w:val="00F01B2C"/>
    <w:rsid w:val="00F01EEE"/>
    <w:rsid w:val="00F0212A"/>
    <w:rsid w:val="00F02190"/>
    <w:rsid w:val="00F02722"/>
    <w:rsid w:val="00F02812"/>
    <w:rsid w:val="00F028AE"/>
    <w:rsid w:val="00F02C64"/>
    <w:rsid w:val="00F02E52"/>
    <w:rsid w:val="00F03110"/>
    <w:rsid w:val="00F0311E"/>
    <w:rsid w:val="00F034FD"/>
    <w:rsid w:val="00F035A6"/>
    <w:rsid w:val="00F03641"/>
    <w:rsid w:val="00F03902"/>
    <w:rsid w:val="00F040F5"/>
    <w:rsid w:val="00F0418B"/>
    <w:rsid w:val="00F041DE"/>
    <w:rsid w:val="00F0431F"/>
    <w:rsid w:val="00F04726"/>
    <w:rsid w:val="00F04A9D"/>
    <w:rsid w:val="00F04E33"/>
    <w:rsid w:val="00F04E4B"/>
    <w:rsid w:val="00F050E4"/>
    <w:rsid w:val="00F05710"/>
    <w:rsid w:val="00F05AAD"/>
    <w:rsid w:val="00F05ED2"/>
    <w:rsid w:val="00F0624C"/>
    <w:rsid w:val="00F0626F"/>
    <w:rsid w:val="00F06579"/>
    <w:rsid w:val="00F06629"/>
    <w:rsid w:val="00F066A0"/>
    <w:rsid w:val="00F06BFB"/>
    <w:rsid w:val="00F06E87"/>
    <w:rsid w:val="00F07505"/>
    <w:rsid w:val="00F07981"/>
    <w:rsid w:val="00F079F0"/>
    <w:rsid w:val="00F07A20"/>
    <w:rsid w:val="00F10175"/>
    <w:rsid w:val="00F1021B"/>
    <w:rsid w:val="00F1021C"/>
    <w:rsid w:val="00F10288"/>
    <w:rsid w:val="00F1037F"/>
    <w:rsid w:val="00F109C6"/>
    <w:rsid w:val="00F10B36"/>
    <w:rsid w:val="00F10C60"/>
    <w:rsid w:val="00F10CD6"/>
    <w:rsid w:val="00F1126D"/>
    <w:rsid w:val="00F11F6B"/>
    <w:rsid w:val="00F11F82"/>
    <w:rsid w:val="00F12366"/>
    <w:rsid w:val="00F12488"/>
    <w:rsid w:val="00F124AA"/>
    <w:rsid w:val="00F12BA9"/>
    <w:rsid w:val="00F1317B"/>
    <w:rsid w:val="00F13C4C"/>
    <w:rsid w:val="00F13FBD"/>
    <w:rsid w:val="00F1420C"/>
    <w:rsid w:val="00F144BF"/>
    <w:rsid w:val="00F1498E"/>
    <w:rsid w:val="00F14CD9"/>
    <w:rsid w:val="00F14DF8"/>
    <w:rsid w:val="00F15302"/>
    <w:rsid w:val="00F154BC"/>
    <w:rsid w:val="00F154DF"/>
    <w:rsid w:val="00F15586"/>
    <w:rsid w:val="00F15DB0"/>
    <w:rsid w:val="00F15FC2"/>
    <w:rsid w:val="00F16010"/>
    <w:rsid w:val="00F1646C"/>
    <w:rsid w:val="00F16659"/>
    <w:rsid w:val="00F168D0"/>
    <w:rsid w:val="00F16D67"/>
    <w:rsid w:val="00F16ECA"/>
    <w:rsid w:val="00F17190"/>
    <w:rsid w:val="00F17D93"/>
    <w:rsid w:val="00F17EB5"/>
    <w:rsid w:val="00F17EFF"/>
    <w:rsid w:val="00F20051"/>
    <w:rsid w:val="00F20348"/>
    <w:rsid w:val="00F204DA"/>
    <w:rsid w:val="00F20A44"/>
    <w:rsid w:val="00F20E60"/>
    <w:rsid w:val="00F20E6E"/>
    <w:rsid w:val="00F20E94"/>
    <w:rsid w:val="00F211B1"/>
    <w:rsid w:val="00F214B8"/>
    <w:rsid w:val="00F21689"/>
    <w:rsid w:val="00F21912"/>
    <w:rsid w:val="00F2196E"/>
    <w:rsid w:val="00F21A20"/>
    <w:rsid w:val="00F21B73"/>
    <w:rsid w:val="00F21D9B"/>
    <w:rsid w:val="00F22272"/>
    <w:rsid w:val="00F22365"/>
    <w:rsid w:val="00F22846"/>
    <w:rsid w:val="00F2299E"/>
    <w:rsid w:val="00F229D9"/>
    <w:rsid w:val="00F236C4"/>
    <w:rsid w:val="00F23892"/>
    <w:rsid w:val="00F238B1"/>
    <w:rsid w:val="00F23969"/>
    <w:rsid w:val="00F23E56"/>
    <w:rsid w:val="00F23F6B"/>
    <w:rsid w:val="00F24A78"/>
    <w:rsid w:val="00F24B03"/>
    <w:rsid w:val="00F250C0"/>
    <w:rsid w:val="00F259A8"/>
    <w:rsid w:val="00F25A3E"/>
    <w:rsid w:val="00F25A9B"/>
    <w:rsid w:val="00F25AB7"/>
    <w:rsid w:val="00F25ADA"/>
    <w:rsid w:val="00F25DA0"/>
    <w:rsid w:val="00F263E8"/>
    <w:rsid w:val="00F266CD"/>
    <w:rsid w:val="00F2696F"/>
    <w:rsid w:val="00F26D5B"/>
    <w:rsid w:val="00F26F7B"/>
    <w:rsid w:val="00F26FC0"/>
    <w:rsid w:val="00F2793C"/>
    <w:rsid w:val="00F27C03"/>
    <w:rsid w:val="00F30201"/>
    <w:rsid w:val="00F30282"/>
    <w:rsid w:val="00F302DB"/>
    <w:rsid w:val="00F3062D"/>
    <w:rsid w:val="00F3083A"/>
    <w:rsid w:val="00F30A24"/>
    <w:rsid w:val="00F30A7D"/>
    <w:rsid w:val="00F30A91"/>
    <w:rsid w:val="00F30B0C"/>
    <w:rsid w:val="00F30F8B"/>
    <w:rsid w:val="00F311E8"/>
    <w:rsid w:val="00F31427"/>
    <w:rsid w:val="00F31525"/>
    <w:rsid w:val="00F3162D"/>
    <w:rsid w:val="00F316C4"/>
    <w:rsid w:val="00F317D7"/>
    <w:rsid w:val="00F31AD3"/>
    <w:rsid w:val="00F31BAB"/>
    <w:rsid w:val="00F31CE8"/>
    <w:rsid w:val="00F31F66"/>
    <w:rsid w:val="00F320F3"/>
    <w:rsid w:val="00F32753"/>
    <w:rsid w:val="00F327C7"/>
    <w:rsid w:val="00F32B8C"/>
    <w:rsid w:val="00F32D05"/>
    <w:rsid w:val="00F331DC"/>
    <w:rsid w:val="00F33442"/>
    <w:rsid w:val="00F335E9"/>
    <w:rsid w:val="00F33B02"/>
    <w:rsid w:val="00F33E2E"/>
    <w:rsid w:val="00F33F2A"/>
    <w:rsid w:val="00F34A04"/>
    <w:rsid w:val="00F34C0D"/>
    <w:rsid w:val="00F34F45"/>
    <w:rsid w:val="00F34FF7"/>
    <w:rsid w:val="00F350CF"/>
    <w:rsid w:val="00F350D9"/>
    <w:rsid w:val="00F35188"/>
    <w:rsid w:val="00F353EC"/>
    <w:rsid w:val="00F355A9"/>
    <w:rsid w:val="00F356C0"/>
    <w:rsid w:val="00F3580E"/>
    <w:rsid w:val="00F3584C"/>
    <w:rsid w:val="00F35A19"/>
    <w:rsid w:val="00F35B79"/>
    <w:rsid w:val="00F35D15"/>
    <w:rsid w:val="00F3617E"/>
    <w:rsid w:val="00F363A9"/>
    <w:rsid w:val="00F364C9"/>
    <w:rsid w:val="00F364D1"/>
    <w:rsid w:val="00F365A3"/>
    <w:rsid w:val="00F36A6F"/>
    <w:rsid w:val="00F36EC4"/>
    <w:rsid w:val="00F370BA"/>
    <w:rsid w:val="00F37411"/>
    <w:rsid w:val="00F374CB"/>
    <w:rsid w:val="00F37745"/>
    <w:rsid w:val="00F40302"/>
    <w:rsid w:val="00F40379"/>
    <w:rsid w:val="00F40687"/>
    <w:rsid w:val="00F40791"/>
    <w:rsid w:val="00F40E24"/>
    <w:rsid w:val="00F40EAD"/>
    <w:rsid w:val="00F41159"/>
    <w:rsid w:val="00F41381"/>
    <w:rsid w:val="00F41663"/>
    <w:rsid w:val="00F41B64"/>
    <w:rsid w:val="00F41BE0"/>
    <w:rsid w:val="00F41C86"/>
    <w:rsid w:val="00F41DB2"/>
    <w:rsid w:val="00F42074"/>
    <w:rsid w:val="00F420B0"/>
    <w:rsid w:val="00F42234"/>
    <w:rsid w:val="00F422CA"/>
    <w:rsid w:val="00F423F1"/>
    <w:rsid w:val="00F425DD"/>
    <w:rsid w:val="00F42601"/>
    <w:rsid w:val="00F42628"/>
    <w:rsid w:val="00F4274C"/>
    <w:rsid w:val="00F428CB"/>
    <w:rsid w:val="00F4290D"/>
    <w:rsid w:val="00F42BBA"/>
    <w:rsid w:val="00F42CCB"/>
    <w:rsid w:val="00F436A4"/>
    <w:rsid w:val="00F43705"/>
    <w:rsid w:val="00F4372B"/>
    <w:rsid w:val="00F43AD0"/>
    <w:rsid w:val="00F440E0"/>
    <w:rsid w:val="00F44478"/>
    <w:rsid w:val="00F446C5"/>
    <w:rsid w:val="00F44762"/>
    <w:rsid w:val="00F44859"/>
    <w:rsid w:val="00F44F2F"/>
    <w:rsid w:val="00F44F4F"/>
    <w:rsid w:val="00F4519C"/>
    <w:rsid w:val="00F4530A"/>
    <w:rsid w:val="00F454AD"/>
    <w:rsid w:val="00F4588D"/>
    <w:rsid w:val="00F45A93"/>
    <w:rsid w:val="00F46670"/>
    <w:rsid w:val="00F469CE"/>
    <w:rsid w:val="00F46A56"/>
    <w:rsid w:val="00F46D97"/>
    <w:rsid w:val="00F46E1D"/>
    <w:rsid w:val="00F46E46"/>
    <w:rsid w:val="00F46F40"/>
    <w:rsid w:val="00F476B5"/>
    <w:rsid w:val="00F47797"/>
    <w:rsid w:val="00F479E4"/>
    <w:rsid w:val="00F47DC2"/>
    <w:rsid w:val="00F47FB5"/>
    <w:rsid w:val="00F50055"/>
    <w:rsid w:val="00F50482"/>
    <w:rsid w:val="00F504B8"/>
    <w:rsid w:val="00F50582"/>
    <w:rsid w:val="00F50637"/>
    <w:rsid w:val="00F50CF4"/>
    <w:rsid w:val="00F5150C"/>
    <w:rsid w:val="00F51590"/>
    <w:rsid w:val="00F51D84"/>
    <w:rsid w:val="00F51EE1"/>
    <w:rsid w:val="00F51F15"/>
    <w:rsid w:val="00F51FCF"/>
    <w:rsid w:val="00F52600"/>
    <w:rsid w:val="00F5284D"/>
    <w:rsid w:val="00F52A1C"/>
    <w:rsid w:val="00F52AB1"/>
    <w:rsid w:val="00F52E8C"/>
    <w:rsid w:val="00F52F1B"/>
    <w:rsid w:val="00F52F96"/>
    <w:rsid w:val="00F53165"/>
    <w:rsid w:val="00F539DB"/>
    <w:rsid w:val="00F53BF4"/>
    <w:rsid w:val="00F53C1E"/>
    <w:rsid w:val="00F54555"/>
    <w:rsid w:val="00F54577"/>
    <w:rsid w:val="00F54A62"/>
    <w:rsid w:val="00F54BD2"/>
    <w:rsid w:val="00F54CBA"/>
    <w:rsid w:val="00F54D21"/>
    <w:rsid w:val="00F54D25"/>
    <w:rsid w:val="00F54D29"/>
    <w:rsid w:val="00F553DD"/>
    <w:rsid w:val="00F558C1"/>
    <w:rsid w:val="00F5619B"/>
    <w:rsid w:val="00F56499"/>
    <w:rsid w:val="00F56F3D"/>
    <w:rsid w:val="00F570AF"/>
    <w:rsid w:val="00F57235"/>
    <w:rsid w:val="00F5727B"/>
    <w:rsid w:val="00F57307"/>
    <w:rsid w:val="00F57442"/>
    <w:rsid w:val="00F574AC"/>
    <w:rsid w:val="00F575D0"/>
    <w:rsid w:val="00F576E9"/>
    <w:rsid w:val="00F60161"/>
    <w:rsid w:val="00F6027D"/>
    <w:rsid w:val="00F604C6"/>
    <w:rsid w:val="00F60640"/>
    <w:rsid w:val="00F60692"/>
    <w:rsid w:val="00F60BB5"/>
    <w:rsid w:val="00F60D5D"/>
    <w:rsid w:val="00F60E31"/>
    <w:rsid w:val="00F611F9"/>
    <w:rsid w:val="00F612B6"/>
    <w:rsid w:val="00F618CB"/>
    <w:rsid w:val="00F61934"/>
    <w:rsid w:val="00F61D92"/>
    <w:rsid w:val="00F61F0A"/>
    <w:rsid w:val="00F61F41"/>
    <w:rsid w:val="00F61F68"/>
    <w:rsid w:val="00F61FA1"/>
    <w:rsid w:val="00F6205C"/>
    <w:rsid w:val="00F6219F"/>
    <w:rsid w:val="00F62207"/>
    <w:rsid w:val="00F622C1"/>
    <w:rsid w:val="00F62606"/>
    <w:rsid w:val="00F629CC"/>
    <w:rsid w:val="00F62A85"/>
    <w:rsid w:val="00F62B1F"/>
    <w:rsid w:val="00F631F6"/>
    <w:rsid w:val="00F638DC"/>
    <w:rsid w:val="00F639F4"/>
    <w:rsid w:val="00F63A74"/>
    <w:rsid w:val="00F63CCC"/>
    <w:rsid w:val="00F63D3F"/>
    <w:rsid w:val="00F63D6B"/>
    <w:rsid w:val="00F64133"/>
    <w:rsid w:val="00F64153"/>
    <w:rsid w:val="00F641D0"/>
    <w:rsid w:val="00F6486B"/>
    <w:rsid w:val="00F64874"/>
    <w:rsid w:val="00F64EAF"/>
    <w:rsid w:val="00F64F90"/>
    <w:rsid w:val="00F65260"/>
    <w:rsid w:val="00F65FFC"/>
    <w:rsid w:val="00F662E3"/>
    <w:rsid w:val="00F66373"/>
    <w:rsid w:val="00F666C9"/>
    <w:rsid w:val="00F66DCC"/>
    <w:rsid w:val="00F6700D"/>
    <w:rsid w:val="00F67023"/>
    <w:rsid w:val="00F67086"/>
    <w:rsid w:val="00F6710F"/>
    <w:rsid w:val="00F673FD"/>
    <w:rsid w:val="00F674EE"/>
    <w:rsid w:val="00F67BAB"/>
    <w:rsid w:val="00F7002C"/>
    <w:rsid w:val="00F70638"/>
    <w:rsid w:val="00F70E6E"/>
    <w:rsid w:val="00F70EF7"/>
    <w:rsid w:val="00F70F5B"/>
    <w:rsid w:val="00F70FBE"/>
    <w:rsid w:val="00F7130D"/>
    <w:rsid w:val="00F7148A"/>
    <w:rsid w:val="00F7183B"/>
    <w:rsid w:val="00F71F59"/>
    <w:rsid w:val="00F720D7"/>
    <w:rsid w:val="00F723FA"/>
    <w:rsid w:val="00F72459"/>
    <w:rsid w:val="00F7254F"/>
    <w:rsid w:val="00F725B7"/>
    <w:rsid w:val="00F72890"/>
    <w:rsid w:val="00F7338F"/>
    <w:rsid w:val="00F733AC"/>
    <w:rsid w:val="00F7343A"/>
    <w:rsid w:val="00F73660"/>
    <w:rsid w:val="00F73FBA"/>
    <w:rsid w:val="00F74595"/>
    <w:rsid w:val="00F747E9"/>
    <w:rsid w:val="00F7481F"/>
    <w:rsid w:val="00F74C63"/>
    <w:rsid w:val="00F750FD"/>
    <w:rsid w:val="00F75523"/>
    <w:rsid w:val="00F75BB5"/>
    <w:rsid w:val="00F75C8A"/>
    <w:rsid w:val="00F75D08"/>
    <w:rsid w:val="00F764EF"/>
    <w:rsid w:val="00F769AE"/>
    <w:rsid w:val="00F76ADF"/>
    <w:rsid w:val="00F76D17"/>
    <w:rsid w:val="00F76FB3"/>
    <w:rsid w:val="00F770F9"/>
    <w:rsid w:val="00F77653"/>
    <w:rsid w:val="00F776F5"/>
    <w:rsid w:val="00F7777D"/>
    <w:rsid w:val="00F77F6B"/>
    <w:rsid w:val="00F802F7"/>
    <w:rsid w:val="00F80597"/>
    <w:rsid w:val="00F806DF"/>
    <w:rsid w:val="00F80732"/>
    <w:rsid w:val="00F80766"/>
    <w:rsid w:val="00F80B06"/>
    <w:rsid w:val="00F80C37"/>
    <w:rsid w:val="00F80DC3"/>
    <w:rsid w:val="00F81169"/>
    <w:rsid w:val="00F81555"/>
    <w:rsid w:val="00F815EB"/>
    <w:rsid w:val="00F81982"/>
    <w:rsid w:val="00F81F7F"/>
    <w:rsid w:val="00F820FF"/>
    <w:rsid w:val="00F824CB"/>
    <w:rsid w:val="00F8285F"/>
    <w:rsid w:val="00F82928"/>
    <w:rsid w:val="00F829DD"/>
    <w:rsid w:val="00F82A0A"/>
    <w:rsid w:val="00F82B8E"/>
    <w:rsid w:val="00F82DB1"/>
    <w:rsid w:val="00F82F2D"/>
    <w:rsid w:val="00F832F3"/>
    <w:rsid w:val="00F83356"/>
    <w:rsid w:val="00F833AB"/>
    <w:rsid w:val="00F83480"/>
    <w:rsid w:val="00F8353D"/>
    <w:rsid w:val="00F83F5E"/>
    <w:rsid w:val="00F847BC"/>
    <w:rsid w:val="00F84829"/>
    <w:rsid w:val="00F8483B"/>
    <w:rsid w:val="00F8493B"/>
    <w:rsid w:val="00F84C25"/>
    <w:rsid w:val="00F850E0"/>
    <w:rsid w:val="00F85680"/>
    <w:rsid w:val="00F8593A"/>
    <w:rsid w:val="00F85A49"/>
    <w:rsid w:val="00F85E1B"/>
    <w:rsid w:val="00F85FDD"/>
    <w:rsid w:val="00F860C4"/>
    <w:rsid w:val="00F86470"/>
    <w:rsid w:val="00F867B0"/>
    <w:rsid w:val="00F86C84"/>
    <w:rsid w:val="00F86CED"/>
    <w:rsid w:val="00F86D7C"/>
    <w:rsid w:val="00F86E50"/>
    <w:rsid w:val="00F86E73"/>
    <w:rsid w:val="00F87098"/>
    <w:rsid w:val="00F871B8"/>
    <w:rsid w:val="00F8721E"/>
    <w:rsid w:val="00F873F1"/>
    <w:rsid w:val="00F874B8"/>
    <w:rsid w:val="00F874D9"/>
    <w:rsid w:val="00F87595"/>
    <w:rsid w:val="00F87704"/>
    <w:rsid w:val="00F87801"/>
    <w:rsid w:val="00F87A61"/>
    <w:rsid w:val="00F87B0F"/>
    <w:rsid w:val="00F87FDD"/>
    <w:rsid w:val="00F90021"/>
    <w:rsid w:val="00F90072"/>
    <w:rsid w:val="00F90448"/>
    <w:rsid w:val="00F90627"/>
    <w:rsid w:val="00F907AF"/>
    <w:rsid w:val="00F90920"/>
    <w:rsid w:val="00F90A6D"/>
    <w:rsid w:val="00F90B79"/>
    <w:rsid w:val="00F90BD6"/>
    <w:rsid w:val="00F90F6B"/>
    <w:rsid w:val="00F90F86"/>
    <w:rsid w:val="00F90FA9"/>
    <w:rsid w:val="00F90FED"/>
    <w:rsid w:val="00F91038"/>
    <w:rsid w:val="00F91152"/>
    <w:rsid w:val="00F91420"/>
    <w:rsid w:val="00F91538"/>
    <w:rsid w:val="00F9155E"/>
    <w:rsid w:val="00F91731"/>
    <w:rsid w:val="00F918BC"/>
    <w:rsid w:val="00F91A03"/>
    <w:rsid w:val="00F9209C"/>
    <w:rsid w:val="00F92341"/>
    <w:rsid w:val="00F9273E"/>
    <w:rsid w:val="00F92BC1"/>
    <w:rsid w:val="00F92DD6"/>
    <w:rsid w:val="00F92FEC"/>
    <w:rsid w:val="00F92FFA"/>
    <w:rsid w:val="00F93044"/>
    <w:rsid w:val="00F930D3"/>
    <w:rsid w:val="00F932A8"/>
    <w:rsid w:val="00F9346F"/>
    <w:rsid w:val="00F93997"/>
    <w:rsid w:val="00F93B50"/>
    <w:rsid w:val="00F93DC3"/>
    <w:rsid w:val="00F93F60"/>
    <w:rsid w:val="00F942AE"/>
    <w:rsid w:val="00F94490"/>
    <w:rsid w:val="00F944CD"/>
    <w:rsid w:val="00F94756"/>
    <w:rsid w:val="00F948C0"/>
    <w:rsid w:val="00F94B4B"/>
    <w:rsid w:val="00F94BEC"/>
    <w:rsid w:val="00F94E9B"/>
    <w:rsid w:val="00F94FF4"/>
    <w:rsid w:val="00F951A5"/>
    <w:rsid w:val="00F95377"/>
    <w:rsid w:val="00F95416"/>
    <w:rsid w:val="00F9548E"/>
    <w:rsid w:val="00F95595"/>
    <w:rsid w:val="00F956C6"/>
    <w:rsid w:val="00F95A60"/>
    <w:rsid w:val="00F95FAA"/>
    <w:rsid w:val="00F9616A"/>
    <w:rsid w:val="00F96308"/>
    <w:rsid w:val="00F967B1"/>
    <w:rsid w:val="00F968CD"/>
    <w:rsid w:val="00F96927"/>
    <w:rsid w:val="00F96B46"/>
    <w:rsid w:val="00F9709A"/>
    <w:rsid w:val="00F97293"/>
    <w:rsid w:val="00F975CA"/>
    <w:rsid w:val="00F97C8F"/>
    <w:rsid w:val="00F97DFB"/>
    <w:rsid w:val="00FA0200"/>
    <w:rsid w:val="00FA021C"/>
    <w:rsid w:val="00FA087F"/>
    <w:rsid w:val="00FA12F3"/>
    <w:rsid w:val="00FA140B"/>
    <w:rsid w:val="00FA1743"/>
    <w:rsid w:val="00FA17A6"/>
    <w:rsid w:val="00FA17D3"/>
    <w:rsid w:val="00FA19D2"/>
    <w:rsid w:val="00FA1BD5"/>
    <w:rsid w:val="00FA2084"/>
    <w:rsid w:val="00FA2204"/>
    <w:rsid w:val="00FA2227"/>
    <w:rsid w:val="00FA22AB"/>
    <w:rsid w:val="00FA24D3"/>
    <w:rsid w:val="00FA2569"/>
    <w:rsid w:val="00FA29C4"/>
    <w:rsid w:val="00FA2D01"/>
    <w:rsid w:val="00FA2E0C"/>
    <w:rsid w:val="00FA2E18"/>
    <w:rsid w:val="00FA2E47"/>
    <w:rsid w:val="00FA303F"/>
    <w:rsid w:val="00FA3173"/>
    <w:rsid w:val="00FA37D3"/>
    <w:rsid w:val="00FA3C8C"/>
    <w:rsid w:val="00FA3EF0"/>
    <w:rsid w:val="00FA3F78"/>
    <w:rsid w:val="00FA418B"/>
    <w:rsid w:val="00FA4269"/>
    <w:rsid w:val="00FA47A7"/>
    <w:rsid w:val="00FA47AF"/>
    <w:rsid w:val="00FA499E"/>
    <w:rsid w:val="00FA4DDE"/>
    <w:rsid w:val="00FA508E"/>
    <w:rsid w:val="00FA524C"/>
    <w:rsid w:val="00FA53CB"/>
    <w:rsid w:val="00FA54C4"/>
    <w:rsid w:val="00FA5B87"/>
    <w:rsid w:val="00FA5BE5"/>
    <w:rsid w:val="00FA5C20"/>
    <w:rsid w:val="00FA5D74"/>
    <w:rsid w:val="00FA5DD6"/>
    <w:rsid w:val="00FA6216"/>
    <w:rsid w:val="00FA636C"/>
    <w:rsid w:val="00FA6CD0"/>
    <w:rsid w:val="00FA6F68"/>
    <w:rsid w:val="00FA7004"/>
    <w:rsid w:val="00FA73B2"/>
    <w:rsid w:val="00FA7752"/>
    <w:rsid w:val="00FA791B"/>
    <w:rsid w:val="00FA7CE7"/>
    <w:rsid w:val="00FA7E3B"/>
    <w:rsid w:val="00FA7F77"/>
    <w:rsid w:val="00FB0146"/>
    <w:rsid w:val="00FB048C"/>
    <w:rsid w:val="00FB0B80"/>
    <w:rsid w:val="00FB0B96"/>
    <w:rsid w:val="00FB0CBD"/>
    <w:rsid w:val="00FB0F41"/>
    <w:rsid w:val="00FB113D"/>
    <w:rsid w:val="00FB11D4"/>
    <w:rsid w:val="00FB120F"/>
    <w:rsid w:val="00FB1317"/>
    <w:rsid w:val="00FB169E"/>
    <w:rsid w:val="00FB1C67"/>
    <w:rsid w:val="00FB1D9B"/>
    <w:rsid w:val="00FB1F71"/>
    <w:rsid w:val="00FB2382"/>
    <w:rsid w:val="00FB2706"/>
    <w:rsid w:val="00FB2818"/>
    <w:rsid w:val="00FB2A93"/>
    <w:rsid w:val="00FB2B42"/>
    <w:rsid w:val="00FB2D2A"/>
    <w:rsid w:val="00FB2FC8"/>
    <w:rsid w:val="00FB3787"/>
    <w:rsid w:val="00FB380D"/>
    <w:rsid w:val="00FB38EE"/>
    <w:rsid w:val="00FB3A0E"/>
    <w:rsid w:val="00FB3D36"/>
    <w:rsid w:val="00FB3E76"/>
    <w:rsid w:val="00FB3F50"/>
    <w:rsid w:val="00FB3FB2"/>
    <w:rsid w:val="00FB4570"/>
    <w:rsid w:val="00FB46CF"/>
    <w:rsid w:val="00FB4FFC"/>
    <w:rsid w:val="00FB524B"/>
    <w:rsid w:val="00FB5427"/>
    <w:rsid w:val="00FB5A90"/>
    <w:rsid w:val="00FB5FA4"/>
    <w:rsid w:val="00FB603C"/>
    <w:rsid w:val="00FB625B"/>
    <w:rsid w:val="00FB6639"/>
    <w:rsid w:val="00FB672D"/>
    <w:rsid w:val="00FB6746"/>
    <w:rsid w:val="00FB6905"/>
    <w:rsid w:val="00FB7170"/>
    <w:rsid w:val="00FB7A78"/>
    <w:rsid w:val="00FC01DD"/>
    <w:rsid w:val="00FC0988"/>
    <w:rsid w:val="00FC0C20"/>
    <w:rsid w:val="00FC0CEA"/>
    <w:rsid w:val="00FC1277"/>
    <w:rsid w:val="00FC12DB"/>
    <w:rsid w:val="00FC184A"/>
    <w:rsid w:val="00FC1A62"/>
    <w:rsid w:val="00FC1D6C"/>
    <w:rsid w:val="00FC2033"/>
    <w:rsid w:val="00FC205C"/>
    <w:rsid w:val="00FC2848"/>
    <w:rsid w:val="00FC29D3"/>
    <w:rsid w:val="00FC2B27"/>
    <w:rsid w:val="00FC31BB"/>
    <w:rsid w:val="00FC334F"/>
    <w:rsid w:val="00FC38FA"/>
    <w:rsid w:val="00FC39C3"/>
    <w:rsid w:val="00FC3B4D"/>
    <w:rsid w:val="00FC3BE0"/>
    <w:rsid w:val="00FC43D9"/>
    <w:rsid w:val="00FC4EEC"/>
    <w:rsid w:val="00FC51EE"/>
    <w:rsid w:val="00FC5345"/>
    <w:rsid w:val="00FC55F7"/>
    <w:rsid w:val="00FC5A3A"/>
    <w:rsid w:val="00FC5C16"/>
    <w:rsid w:val="00FC5D52"/>
    <w:rsid w:val="00FC5DEA"/>
    <w:rsid w:val="00FC61E4"/>
    <w:rsid w:val="00FC632F"/>
    <w:rsid w:val="00FC6334"/>
    <w:rsid w:val="00FC6555"/>
    <w:rsid w:val="00FC69B6"/>
    <w:rsid w:val="00FC6DA7"/>
    <w:rsid w:val="00FC6EDC"/>
    <w:rsid w:val="00FC72DC"/>
    <w:rsid w:val="00FC7800"/>
    <w:rsid w:val="00FC79EF"/>
    <w:rsid w:val="00FC7A76"/>
    <w:rsid w:val="00FC7BC2"/>
    <w:rsid w:val="00FC7BE6"/>
    <w:rsid w:val="00FC7D4D"/>
    <w:rsid w:val="00FD0B02"/>
    <w:rsid w:val="00FD0B88"/>
    <w:rsid w:val="00FD0CCF"/>
    <w:rsid w:val="00FD13C7"/>
    <w:rsid w:val="00FD1489"/>
    <w:rsid w:val="00FD1546"/>
    <w:rsid w:val="00FD1F38"/>
    <w:rsid w:val="00FD278E"/>
    <w:rsid w:val="00FD28B5"/>
    <w:rsid w:val="00FD28DA"/>
    <w:rsid w:val="00FD297C"/>
    <w:rsid w:val="00FD2C00"/>
    <w:rsid w:val="00FD2E12"/>
    <w:rsid w:val="00FD31FD"/>
    <w:rsid w:val="00FD3216"/>
    <w:rsid w:val="00FD36BD"/>
    <w:rsid w:val="00FD3960"/>
    <w:rsid w:val="00FD3A29"/>
    <w:rsid w:val="00FD3BAA"/>
    <w:rsid w:val="00FD4220"/>
    <w:rsid w:val="00FD42A0"/>
    <w:rsid w:val="00FD42CD"/>
    <w:rsid w:val="00FD4844"/>
    <w:rsid w:val="00FD4B90"/>
    <w:rsid w:val="00FD4C17"/>
    <w:rsid w:val="00FD4D33"/>
    <w:rsid w:val="00FD5386"/>
    <w:rsid w:val="00FD53B5"/>
    <w:rsid w:val="00FD54D4"/>
    <w:rsid w:val="00FD557C"/>
    <w:rsid w:val="00FD5684"/>
    <w:rsid w:val="00FD585A"/>
    <w:rsid w:val="00FD5B2C"/>
    <w:rsid w:val="00FD5DA1"/>
    <w:rsid w:val="00FD62B8"/>
    <w:rsid w:val="00FD645C"/>
    <w:rsid w:val="00FD6552"/>
    <w:rsid w:val="00FD656C"/>
    <w:rsid w:val="00FD665D"/>
    <w:rsid w:val="00FD6A0B"/>
    <w:rsid w:val="00FD6B9C"/>
    <w:rsid w:val="00FD6E60"/>
    <w:rsid w:val="00FD6F4D"/>
    <w:rsid w:val="00FD780C"/>
    <w:rsid w:val="00FD7810"/>
    <w:rsid w:val="00FE038C"/>
    <w:rsid w:val="00FE03FA"/>
    <w:rsid w:val="00FE0543"/>
    <w:rsid w:val="00FE06ED"/>
    <w:rsid w:val="00FE08B4"/>
    <w:rsid w:val="00FE0906"/>
    <w:rsid w:val="00FE0A27"/>
    <w:rsid w:val="00FE0A94"/>
    <w:rsid w:val="00FE0F06"/>
    <w:rsid w:val="00FE1064"/>
    <w:rsid w:val="00FE129C"/>
    <w:rsid w:val="00FE133B"/>
    <w:rsid w:val="00FE148E"/>
    <w:rsid w:val="00FE1556"/>
    <w:rsid w:val="00FE177D"/>
    <w:rsid w:val="00FE1C02"/>
    <w:rsid w:val="00FE22F3"/>
    <w:rsid w:val="00FE2828"/>
    <w:rsid w:val="00FE2AAC"/>
    <w:rsid w:val="00FE32B1"/>
    <w:rsid w:val="00FE372A"/>
    <w:rsid w:val="00FE379A"/>
    <w:rsid w:val="00FE3A25"/>
    <w:rsid w:val="00FE3ABD"/>
    <w:rsid w:val="00FE3C90"/>
    <w:rsid w:val="00FE43AA"/>
    <w:rsid w:val="00FE43D1"/>
    <w:rsid w:val="00FE4A40"/>
    <w:rsid w:val="00FE4B91"/>
    <w:rsid w:val="00FE4EAD"/>
    <w:rsid w:val="00FE522B"/>
    <w:rsid w:val="00FE5712"/>
    <w:rsid w:val="00FE57EE"/>
    <w:rsid w:val="00FE59DF"/>
    <w:rsid w:val="00FE5B26"/>
    <w:rsid w:val="00FE5F7C"/>
    <w:rsid w:val="00FE621C"/>
    <w:rsid w:val="00FE6592"/>
    <w:rsid w:val="00FE6649"/>
    <w:rsid w:val="00FE6863"/>
    <w:rsid w:val="00FE6A4E"/>
    <w:rsid w:val="00FE6A6A"/>
    <w:rsid w:val="00FE6CBE"/>
    <w:rsid w:val="00FE6FA1"/>
    <w:rsid w:val="00FE7302"/>
    <w:rsid w:val="00FE7743"/>
    <w:rsid w:val="00FE7764"/>
    <w:rsid w:val="00FE7BB2"/>
    <w:rsid w:val="00FE7CFC"/>
    <w:rsid w:val="00FE7ED1"/>
    <w:rsid w:val="00FF011B"/>
    <w:rsid w:val="00FF0AFF"/>
    <w:rsid w:val="00FF0B9E"/>
    <w:rsid w:val="00FF1261"/>
    <w:rsid w:val="00FF16C6"/>
    <w:rsid w:val="00FF1A41"/>
    <w:rsid w:val="00FF20E8"/>
    <w:rsid w:val="00FF25B4"/>
    <w:rsid w:val="00FF25CA"/>
    <w:rsid w:val="00FF25EF"/>
    <w:rsid w:val="00FF297A"/>
    <w:rsid w:val="00FF2B60"/>
    <w:rsid w:val="00FF2DCE"/>
    <w:rsid w:val="00FF2EE7"/>
    <w:rsid w:val="00FF2F99"/>
    <w:rsid w:val="00FF2FD5"/>
    <w:rsid w:val="00FF30AC"/>
    <w:rsid w:val="00FF348E"/>
    <w:rsid w:val="00FF3A20"/>
    <w:rsid w:val="00FF3F13"/>
    <w:rsid w:val="00FF420C"/>
    <w:rsid w:val="00FF431C"/>
    <w:rsid w:val="00FF4BC7"/>
    <w:rsid w:val="00FF4CFD"/>
    <w:rsid w:val="00FF4E15"/>
    <w:rsid w:val="00FF4FE7"/>
    <w:rsid w:val="00FF50AD"/>
    <w:rsid w:val="00FF5103"/>
    <w:rsid w:val="00FF516B"/>
    <w:rsid w:val="00FF51BC"/>
    <w:rsid w:val="00FF572C"/>
    <w:rsid w:val="00FF5936"/>
    <w:rsid w:val="00FF5964"/>
    <w:rsid w:val="00FF5A86"/>
    <w:rsid w:val="00FF5D35"/>
    <w:rsid w:val="00FF5F08"/>
    <w:rsid w:val="00FF64C4"/>
    <w:rsid w:val="00FF6EB9"/>
    <w:rsid w:val="00FF70C9"/>
    <w:rsid w:val="00FF730E"/>
    <w:rsid w:val="00FF7321"/>
    <w:rsid w:val="00FF7553"/>
    <w:rsid w:val="00FF7856"/>
    <w:rsid w:val="00FF79D0"/>
    <w:rsid w:val="00FF7D7C"/>
    <w:rsid w:val="00FF7DAE"/>
    <w:rsid w:val="00FF7EAD"/>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red">
      <v:fill color="white" on="f"/>
      <v:stroke dashstyle="1 1" color="red" weight="2.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caption" w:semiHidden="0" w:uiPriority="35" w:unhideWhenUsed="0" w:qFormat="1"/>
    <w:lsdException w:name="envelope return" w:uiPriority="0"/>
    <w:lsdException w:name="footnote reference" w:uiPriority="0"/>
    <w:lsdException w:name="annotation reference" w:uiPriority="0"/>
    <w:lsdException w:name="page number" w:uiPriority="0"/>
    <w:lsdException w:name="List" w:uiPriority="0"/>
    <w:lsdException w:name="List Bullet" w:uiPriority="0" w:qFormat="1"/>
    <w:lsdException w:name="List Number" w:uiPriority="0"/>
    <w:lsdException w:name="List 2" w:uiPriority="0"/>
    <w:lsdException w:name="List 3" w:uiPriority="0"/>
    <w:lsdException w:name="List Bullet 2"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semiHidden="0" w:uiPriority="39" w:unhideWhenUsed="0" w:qFormat="1"/>
  </w:latentStyles>
  <w:style w:type="paragraph" w:default="1" w:styleId="Normln">
    <w:name w:val="Normal"/>
    <w:rsid w:val="009679AD"/>
    <w:pPr>
      <w:spacing w:before="120" w:after="120"/>
      <w:jc w:val="both"/>
    </w:pPr>
    <w:rPr>
      <w:rFonts w:ascii="Garamond" w:hAnsi="Garamond"/>
      <w:sz w:val="24"/>
      <w:szCs w:val="22"/>
    </w:rPr>
  </w:style>
  <w:style w:type="paragraph" w:styleId="Nadpis1">
    <w:name w:val="heading 1"/>
    <w:aliases w:val="nadpis 1,N 1,Dipl 1,título 1,H1,h1,h11,h12,h13,h14,h15,h16,h17,h111,h121,h131,h141,h151,h161,h18,h112,h122,h132,h142,h152,h162,h19,h113,h123,h133,h143,h153,h163,l1,II+,I,Section Head,Chapter Heading,h:1,h:1app,app heading 1,Titre§,adpis 1"/>
    <w:basedOn w:val="Normln"/>
    <w:next w:val="Normln"/>
    <w:link w:val="Nadpis1Char1"/>
    <w:qFormat/>
    <w:rsid w:val="009679AD"/>
    <w:pPr>
      <w:widowControl w:val="0"/>
      <w:numPr>
        <w:numId w:val="1"/>
      </w:numPr>
      <w:outlineLvl w:val="0"/>
    </w:pPr>
    <w:rPr>
      <w:rFonts w:ascii="Cambria" w:eastAsia="Times New Roman" w:hAnsi="Cambria"/>
      <w:b/>
      <w:bCs/>
      <w:color w:val="B6B002"/>
      <w:sz w:val="28"/>
      <w:szCs w:val="28"/>
    </w:rPr>
  </w:style>
  <w:style w:type="paragraph" w:styleId="Nadpis2">
    <w:name w:val="heading 2"/>
    <w:aliases w:val="Heading 2 Firm,Heading 2 Firm1,nadpis 2,Nadpis 2 Z,Dipl2,Heading 2 Firm11"/>
    <w:basedOn w:val="Normln"/>
    <w:next w:val="Normln"/>
    <w:link w:val="Nadpis2Char1"/>
    <w:qFormat/>
    <w:rsid w:val="0015726B"/>
    <w:pPr>
      <w:keepNext/>
      <w:numPr>
        <w:ilvl w:val="1"/>
        <w:numId w:val="1"/>
      </w:numPr>
      <w:outlineLvl w:val="1"/>
    </w:pPr>
    <w:rPr>
      <w:rFonts w:ascii="Cambria" w:eastAsia="Times New Roman" w:hAnsi="Cambria"/>
      <w:b/>
      <w:bCs/>
      <w:color w:val="B6B002"/>
      <w:sz w:val="26"/>
      <w:szCs w:val="26"/>
    </w:rPr>
  </w:style>
  <w:style w:type="paragraph" w:styleId="Nadpis3">
    <w:name w:val="heading 3"/>
    <w:aliases w:val="nadpis 3,Nadpis 3 Z,Dipl3"/>
    <w:basedOn w:val="Normln"/>
    <w:next w:val="Normln"/>
    <w:link w:val="Nadpis3Char1"/>
    <w:qFormat/>
    <w:rsid w:val="00E97160"/>
    <w:pPr>
      <w:keepNext/>
      <w:numPr>
        <w:ilvl w:val="2"/>
        <w:numId w:val="1"/>
      </w:numPr>
      <w:outlineLvl w:val="2"/>
    </w:pPr>
    <w:rPr>
      <w:rFonts w:ascii="Cambria" w:eastAsia="Times New Roman" w:hAnsi="Cambria"/>
      <w:b/>
      <w:bCs/>
      <w:color w:val="B6B002"/>
    </w:rPr>
  </w:style>
  <w:style w:type="paragraph" w:styleId="Nadpis4">
    <w:name w:val="heading 4"/>
    <w:aliases w:val="nadpis 4,Nadpis 4 Z,1-1"/>
    <w:basedOn w:val="Normln"/>
    <w:next w:val="Normln"/>
    <w:link w:val="Nadpis4Char1"/>
    <w:uiPriority w:val="9"/>
    <w:qFormat/>
    <w:rsid w:val="00F41B64"/>
    <w:pPr>
      <w:keepNext/>
      <w:keepLines/>
      <w:numPr>
        <w:ilvl w:val="3"/>
        <w:numId w:val="1"/>
      </w:numPr>
      <w:spacing w:before="200" w:after="0"/>
      <w:outlineLvl w:val="3"/>
    </w:pPr>
    <w:rPr>
      <w:rFonts w:ascii="Cambria" w:eastAsia="Times New Roman" w:hAnsi="Cambria"/>
      <w:b/>
      <w:bCs/>
      <w:i/>
      <w:iCs/>
      <w:color w:val="AC9B02"/>
      <w:sz w:val="22"/>
    </w:rPr>
  </w:style>
  <w:style w:type="paragraph" w:styleId="Nadpis5">
    <w:name w:val="heading 5"/>
    <w:aliases w:val="nadpis 5"/>
    <w:basedOn w:val="Normln"/>
    <w:next w:val="Normln"/>
    <w:link w:val="Nadpis5Char1"/>
    <w:uiPriority w:val="9"/>
    <w:qFormat/>
    <w:rsid w:val="00D4266B"/>
    <w:pPr>
      <w:numPr>
        <w:ilvl w:val="4"/>
        <w:numId w:val="1"/>
      </w:numPr>
      <w:spacing w:before="240" w:after="60"/>
      <w:outlineLvl w:val="4"/>
    </w:pPr>
    <w:rPr>
      <w:rFonts w:ascii="Calibri" w:eastAsia="Times New Roman" w:hAnsi="Calibri"/>
      <w:b/>
      <w:bCs/>
      <w:i/>
      <w:iCs/>
      <w:sz w:val="22"/>
      <w:szCs w:val="26"/>
    </w:rPr>
  </w:style>
  <w:style w:type="paragraph" w:styleId="Nadpis6">
    <w:name w:val="heading 6"/>
    <w:basedOn w:val="Normln"/>
    <w:next w:val="Normln"/>
    <w:link w:val="Nadpis6Char1"/>
    <w:uiPriority w:val="9"/>
    <w:qFormat/>
    <w:rsid w:val="00D4266B"/>
    <w:pPr>
      <w:numPr>
        <w:ilvl w:val="5"/>
        <w:numId w:val="1"/>
      </w:numPr>
      <w:spacing w:before="240" w:after="60"/>
      <w:outlineLvl w:val="5"/>
    </w:pPr>
    <w:rPr>
      <w:rFonts w:ascii="Calibri" w:eastAsia="Times New Roman" w:hAnsi="Calibri"/>
      <w:bCs/>
      <w:sz w:val="22"/>
      <w:u w:val="single"/>
    </w:rPr>
  </w:style>
  <w:style w:type="paragraph" w:styleId="Nadpis7">
    <w:name w:val="heading 7"/>
    <w:basedOn w:val="Normln"/>
    <w:next w:val="Normln"/>
    <w:link w:val="Nadpis7Char1"/>
    <w:uiPriority w:val="9"/>
    <w:qFormat/>
    <w:rsid w:val="00243636"/>
    <w:pPr>
      <w:numPr>
        <w:ilvl w:val="6"/>
        <w:numId w:val="1"/>
      </w:numPr>
      <w:spacing w:before="240" w:after="60"/>
      <w:outlineLvl w:val="6"/>
    </w:pPr>
    <w:rPr>
      <w:rFonts w:ascii="Calibri" w:eastAsia="Times New Roman" w:hAnsi="Calibri"/>
      <w:szCs w:val="24"/>
    </w:rPr>
  </w:style>
  <w:style w:type="paragraph" w:styleId="Nadpis8">
    <w:name w:val="heading 8"/>
    <w:basedOn w:val="Normln"/>
    <w:next w:val="Normln"/>
    <w:link w:val="Nadpis8Char1"/>
    <w:uiPriority w:val="9"/>
    <w:qFormat/>
    <w:rsid w:val="00243636"/>
    <w:pPr>
      <w:numPr>
        <w:ilvl w:val="7"/>
        <w:numId w:val="1"/>
      </w:numPr>
      <w:spacing w:before="240" w:after="60"/>
      <w:outlineLvl w:val="7"/>
    </w:pPr>
    <w:rPr>
      <w:rFonts w:ascii="Calibri" w:eastAsia="Times New Roman" w:hAnsi="Calibri"/>
      <w:i/>
      <w:iCs/>
      <w:szCs w:val="24"/>
    </w:rPr>
  </w:style>
  <w:style w:type="paragraph" w:styleId="Nadpis9">
    <w:name w:val="heading 9"/>
    <w:basedOn w:val="Normln"/>
    <w:next w:val="Normln"/>
    <w:link w:val="Nadpis9Char1"/>
    <w:uiPriority w:val="9"/>
    <w:qFormat/>
    <w:rsid w:val="00243636"/>
    <w:pPr>
      <w:numPr>
        <w:ilvl w:val="8"/>
        <w:numId w:val="1"/>
      </w:num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_Odstavec se seznamem,Seznam - odrážky,Tučné,Odstavec cíl se seznamem,A-Odrážky1,Odstavec_muj,Nad,Odstavec_muj1,Odstavec_muj2,Odstavec_muj3,Nad1,Odstavec_muj4,Nad2,List Paragraph2,Odstavec_muj5,Odstavec_muj6,Odstavec_muj7,Odstavec1"/>
    <w:basedOn w:val="Normln"/>
    <w:link w:val="OdstavecseseznamemChar"/>
    <w:uiPriority w:val="34"/>
    <w:qFormat/>
    <w:rsid w:val="00243636"/>
    <w:pPr>
      <w:ind w:left="720"/>
      <w:contextualSpacing/>
    </w:pPr>
  </w:style>
  <w:style w:type="paragraph" w:styleId="Textbubliny">
    <w:name w:val="Balloon Text"/>
    <w:basedOn w:val="Normln"/>
    <w:link w:val="TextbublinyChar1"/>
    <w:uiPriority w:val="99"/>
    <w:unhideWhenUsed/>
    <w:rsid w:val="00243636"/>
    <w:pPr>
      <w:spacing w:after="0"/>
    </w:pPr>
    <w:rPr>
      <w:rFonts w:ascii="Tahoma" w:hAnsi="Tahoma" w:cs="Tahoma"/>
      <w:sz w:val="16"/>
      <w:szCs w:val="16"/>
    </w:rPr>
  </w:style>
  <w:style w:type="character" w:customStyle="1" w:styleId="TextbublinyChar">
    <w:name w:val="Text bubliny Char"/>
    <w:basedOn w:val="Standardnpsmoodstavce"/>
    <w:uiPriority w:val="99"/>
    <w:rsid w:val="00243636"/>
    <w:rPr>
      <w:rFonts w:ascii="Tahoma" w:hAnsi="Tahoma" w:cs="Tahoma"/>
      <w:sz w:val="16"/>
      <w:szCs w:val="16"/>
    </w:rPr>
  </w:style>
  <w:style w:type="paragraph" w:styleId="Titulek">
    <w:name w:val="caption"/>
    <w:aliases w:val="Titulek tabulky,Title for table,picture,graph,formula,Zdroj_moje,titulek tabulka,Tabulka-PK,Tabulka,Tabulka_nadpis"/>
    <w:basedOn w:val="Normln"/>
    <w:next w:val="Normln"/>
    <w:link w:val="TitulekChar"/>
    <w:uiPriority w:val="35"/>
    <w:qFormat/>
    <w:rsid w:val="00EC3868"/>
    <w:pPr>
      <w:widowControl w:val="0"/>
      <w:spacing w:after="0"/>
    </w:pPr>
    <w:rPr>
      <w:rFonts w:eastAsia="Times New Roman"/>
      <w:b/>
      <w:bCs/>
      <w:color w:val="000000"/>
      <w:sz w:val="22"/>
      <w:szCs w:val="20"/>
      <w:lang w:eastAsia="cs-CZ"/>
    </w:rPr>
  </w:style>
  <w:style w:type="character" w:styleId="Zstupntext">
    <w:name w:val="Placeholder Text"/>
    <w:basedOn w:val="Standardnpsmoodstavce"/>
    <w:uiPriority w:val="99"/>
    <w:semiHidden/>
    <w:rsid w:val="00243636"/>
    <w:rPr>
      <w:color w:val="808080"/>
    </w:rPr>
  </w:style>
  <w:style w:type="character" w:styleId="Odkaznakoment">
    <w:name w:val="annotation reference"/>
    <w:basedOn w:val="Standardnpsmoodstavce"/>
    <w:unhideWhenUsed/>
    <w:rsid w:val="00243636"/>
    <w:rPr>
      <w:sz w:val="16"/>
      <w:szCs w:val="16"/>
    </w:rPr>
  </w:style>
  <w:style w:type="paragraph" w:styleId="Textkomente">
    <w:name w:val="annotation text"/>
    <w:aliases w:val="Text poznámky"/>
    <w:basedOn w:val="Normln"/>
    <w:link w:val="TextkomenteChar1"/>
    <w:unhideWhenUsed/>
    <w:rsid w:val="00243636"/>
    <w:rPr>
      <w:sz w:val="20"/>
      <w:szCs w:val="20"/>
    </w:rPr>
  </w:style>
  <w:style w:type="character" w:customStyle="1" w:styleId="TextkomenteChar">
    <w:name w:val="Text komentáře Char"/>
    <w:aliases w:val="Text poznámky Char"/>
    <w:basedOn w:val="Standardnpsmoodstavce"/>
    <w:rsid w:val="00243636"/>
    <w:rPr>
      <w:sz w:val="20"/>
      <w:szCs w:val="20"/>
    </w:rPr>
  </w:style>
  <w:style w:type="paragraph" w:styleId="Pedmtkomente">
    <w:name w:val="annotation subject"/>
    <w:basedOn w:val="Textkomente"/>
    <w:next w:val="Textkomente"/>
    <w:link w:val="PedmtkomenteChar1"/>
    <w:uiPriority w:val="99"/>
    <w:unhideWhenUsed/>
    <w:rsid w:val="00243636"/>
    <w:rPr>
      <w:b/>
      <w:bCs/>
    </w:rPr>
  </w:style>
  <w:style w:type="character" w:customStyle="1" w:styleId="PedmtkomenteChar">
    <w:name w:val="Předmět komentáře Char"/>
    <w:basedOn w:val="TextkomenteChar"/>
    <w:uiPriority w:val="99"/>
    <w:rsid w:val="00243636"/>
    <w:rPr>
      <w:b/>
      <w:bCs/>
      <w:sz w:val="20"/>
      <w:szCs w:val="20"/>
    </w:rPr>
  </w:style>
  <w:style w:type="character" w:styleId="Hypertextovodkaz">
    <w:name w:val="Hyperlink"/>
    <w:basedOn w:val="Standardnpsmoodstavce"/>
    <w:uiPriority w:val="99"/>
    <w:unhideWhenUsed/>
    <w:rsid w:val="00243636"/>
    <w:rPr>
      <w:color w:val="0000FF"/>
      <w:u w:val="single"/>
    </w:rPr>
  </w:style>
  <w:style w:type="character" w:styleId="CittHTML">
    <w:name w:val="HTML Cite"/>
    <w:basedOn w:val="Standardnpsmoodstavce"/>
    <w:uiPriority w:val="99"/>
    <w:semiHidden/>
    <w:unhideWhenUsed/>
    <w:rsid w:val="00243636"/>
    <w:rPr>
      <w:i/>
      <w:iCs/>
    </w:rPr>
  </w:style>
  <w:style w:type="character" w:customStyle="1" w:styleId="Nadpis2Char">
    <w:name w:val="Nadpis 2 Char"/>
    <w:aliases w:val="nadpis 2 Char,Nadpis 2 Z Char,Dipl2 Char"/>
    <w:basedOn w:val="Standardnpsmoodstavce"/>
    <w:uiPriority w:val="9"/>
    <w:rsid w:val="00243636"/>
    <w:rPr>
      <w:rFonts w:ascii="Cambria" w:eastAsia="Times New Roman" w:hAnsi="Cambria"/>
      <w:b/>
      <w:bCs/>
      <w:color w:val="B6B002"/>
      <w:sz w:val="26"/>
      <w:szCs w:val="26"/>
      <w:lang w:eastAsia="en-US"/>
    </w:rPr>
  </w:style>
  <w:style w:type="character" w:customStyle="1" w:styleId="Nadpis1Char">
    <w:name w:val="Nadpis 1 Char"/>
    <w:aliases w:val="nadpis 1 Char,N 1 Char,Dipl 1 Char"/>
    <w:basedOn w:val="Standardnpsmoodstavce"/>
    <w:uiPriority w:val="9"/>
    <w:rsid w:val="00243636"/>
    <w:rPr>
      <w:rFonts w:ascii="Cambria" w:eastAsia="Times New Roman" w:hAnsi="Cambria"/>
      <w:b/>
      <w:bCs/>
      <w:color w:val="B6B002"/>
      <w:sz w:val="28"/>
      <w:szCs w:val="28"/>
      <w:lang w:eastAsia="en-US"/>
    </w:rPr>
  </w:style>
  <w:style w:type="character" w:customStyle="1" w:styleId="Nadpis3Char">
    <w:name w:val="Nadpis 3 Char"/>
    <w:aliases w:val="nadpis 3 Char,Nadpis 3 Z Char,Dipl3 Char"/>
    <w:basedOn w:val="Standardnpsmoodstavce"/>
    <w:uiPriority w:val="9"/>
    <w:rsid w:val="00243636"/>
    <w:rPr>
      <w:rFonts w:ascii="Cambria" w:eastAsia="Times New Roman" w:hAnsi="Cambria"/>
      <w:b/>
      <w:bCs/>
      <w:color w:val="B6B002"/>
      <w:sz w:val="24"/>
      <w:szCs w:val="22"/>
      <w:lang w:eastAsia="en-US"/>
    </w:rPr>
  </w:style>
  <w:style w:type="character" w:customStyle="1" w:styleId="Nadpis4Char">
    <w:name w:val="Nadpis 4 Char"/>
    <w:aliases w:val="nadpis 4 Char,Nadpis 4 Z Char"/>
    <w:basedOn w:val="Standardnpsmoodstavce"/>
    <w:uiPriority w:val="9"/>
    <w:rsid w:val="00243636"/>
    <w:rPr>
      <w:rFonts w:ascii="Cambria" w:eastAsia="Times New Roman" w:hAnsi="Cambria"/>
      <w:b/>
      <w:bCs/>
      <w:i/>
      <w:iCs/>
      <w:color w:val="4F81BD"/>
      <w:sz w:val="24"/>
      <w:szCs w:val="22"/>
      <w:lang w:eastAsia="en-US"/>
    </w:rPr>
  </w:style>
  <w:style w:type="character" w:styleId="Sledovanodkaz">
    <w:name w:val="FollowedHyperlink"/>
    <w:basedOn w:val="Standardnpsmoodstavce"/>
    <w:uiPriority w:val="99"/>
    <w:unhideWhenUsed/>
    <w:rsid w:val="00243636"/>
    <w:rPr>
      <w:color w:val="800080"/>
      <w:u w:val="single"/>
    </w:rPr>
  </w:style>
  <w:style w:type="paragraph" w:styleId="Textpoznpodarou">
    <w:name w:val="footnote text"/>
    <w:aliases w:val="Text poznámky pod čiarou 007,_Poznámka pod čiarou,Poznámka,Footnote text,Fußnotentextf,Char1,Schriftart: 9 pt,Schriftart: 10 pt,Schriftart: 8 pt,Geneva 9,Font: Geneva 9,Boston 10,f,Text pozn. pod čarou1,o,Char,Char3,fn"/>
    <w:basedOn w:val="Normln"/>
    <w:link w:val="TextpoznpodarouChar1"/>
    <w:qFormat/>
    <w:rsid w:val="00140ED7"/>
    <w:pPr>
      <w:spacing w:before="0" w:after="0"/>
    </w:pPr>
    <w:rPr>
      <w:rFonts w:eastAsia="Times New Roman"/>
      <w:sz w:val="18"/>
      <w:szCs w:val="20"/>
      <w:lang w:eastAsia="cs-CZ"/>
    </w:rPr>
  </w:style>
  <w:style w:type="character" w:customStyle="1" w:styleId="TextpoznpodarouChar">
    <w:name w:val="Text pozn. pod čarou Char"/>
    <w:aliases w:val="Text poznámky pod čiarou 007 Char,_Poznámka pod čiarou Char,Poznámka Char,Footnote text Char,Fußnotentextf Char,Char1 Char,Schriftart: 9 pt Char,Schriftart: 10 pt Char,Schriftart: 8 pt Char,Geneva 9 Char,Footnote Text Char Char"/>
    <w:basedOn w:val="Standardnpsmoodstavce"/>
    <w:uiPriority w:val="99"/>
    <w:rsid w:val="00243636"/>
    <w:rPr>
      <w:rFonts w:ascii="Times New Roman" w:eastAsia="Times New Roman" w:hAnsi="Times New Roman" w:cs="Times New Roman"/>
      <w:sz w:val="20"/>
      <w:szCs w:val="20"/>
      <w:lang w:eastAsia="cs-CZ"/>
    </w:rPr>
  </w:style>
  <w:style w:type="character" w:styleId="Znakapoznpodarou">
    <w:name w:val="footnote reference"/>
    <w:aliases w:val="Footnote Reference Number,Footnote symbol,Footnote,PGI Fußnote Ziffer,BVI fnr,Footnote Reference Superscript,Appel note de bas de p,Appel note de bas de page,Légende,Char Car Car Car Car,Voetnootverwijzing,text pozn. pod čarou,fr"/>
    <w:basedOn w:val="Standardnpsmoodstavce"/>
    <w:rsid w:val="00243636"/>
    <w:rPr>
      <w:vertAlign w:val="superscript"/>
    </w:rPr>
  </w:style>
  <w:style w:type="paragraph" w:styleId="Zhlav">
    <w:name w:val="header"/>
    <w:aliases w:val="Záhlaví a zápatí"/>
    <w:basedOn w:val="Normln"/>
    <w:link w:val="ZhlavChar1"/>
    <w:uiPriority w:val="99"/>
    <w:unhideWhenUsed/>
    <w:rsid w:val="00243636"/>
    <w:pPr>
      <w:tabs>
        <w:tab w:val="center" w:pos="4536"/>
        <w:tab w:val="right" w:pos="9072"/>
      </w:tabs>
      <w:spacing w:after="0"/>
    </w:pPr>
  </w:style>
  <w:style w:type="character" w:customStyle="1" w:styleId="ZhlavChar">
    <w:name w:val="Záhlaví Char"/>
    <w:aliases w:val="Záhlaví a zápatí Char"/>
    <w:basedOn w:val="Standardnpsmoodstavce"/>
    <w:uiPriority w:val="99"/>
    <w:rsid w:val="00243636"/>
  </w:style>
  <w:style w:type="paragraph" w:styleId="Zpat">
    <w:name w:val="footer"/>
    <w:aliases w:val=" Char10,Char10"/>
    <w:basedOn w:val="Normln"/>
    <w:link w:val="ZpatChar1"/>
    <w:uiPriority w:val="99"/>
    <w:unhideWhenUsed/>
    <w:rsid w:val="00243636"/>
    <w:pPr>
      <w:tabs>
        <w:tab w:val="center" w:pos="4536"/>
        <w:tab w:val="right" w:pos="9072"/>
      </w:tabs>
      <w:spacing w:after="0"/>
    </w:pPr>
  </w:style>
  <w:style w:type="character" w:customStyle="1" w:styleId="ZpatChar">
    <w:name w:val="Zápatí Char"/>
    <w:aliases w:val=" Char10 Char,Char10 Char"/>
    <w:basedOn w:val="Standardnpsmoodstavce"/>
    <w:uiPriority w:val="99"/>
    <w:rsid w:val="00243636"/>
  </w:style>
  <w:style w:type="paragraph" w:styleId="Rejstk1">
    <w:name w:val="index 1"/>
    <w:basedOn w:val="Normln"/>
    <w:next w:val="Normln"/>
    <w:autoRedefine/>
    <w:unhideWhenUsed/>
    <w:rsid w:val="00243636"/>
    <w:pPr>
      <w:spacing w:after="0"/>
      <w:ind w:left="220" w:hanging="220"/>
    </w:pPr>
  </w:style>
  <w:style w:type="paragraph" w:styleId="Nadpisobsahu">
    <w:name w:val="TOC Heading"/>
    <w:basedOn w:val="Nadpis1"/>
    <w:next w:val="Normln"/>
    <w:uiPriority w:val="39"/>
    <w:qFormat/>
    <w:rsid w:val="00243636"/>
    <w:pPr>
      <w:outlineLvl w:val="9"/>
    </w:pPr>
  </w:style>
  <w:style w:type="paragraph" w:styleId="Obsah1">
    <w:name w:val="toc 1"/>
    <w:basedOn w:val="Normln"/>
    <w:next w:val="Normln"/>
    <w:autoRedefine/>
    <w:uiPriority w:val="39"/>
    <w:unhideWhenUsed/>
    <w:rsid w:val="00F56499"/>
    <w:pPr>
      <w:tabs>
        <w:tab w:val="left" w:pos="480"/>
        <w:tab w:val="right" w:leader="dot" w:pos="9062"/>
      </w:tabs>
    </w:pPr>
    <w:rPr>
      <w:rFonts w:asciiTheme="minorHAnsi" w:hAnsiTheme="minorHAnsi"/>
      <w:b/>
      <w:bCs/>
      <w:caps/>
      <w:sz w:val="20"/>
      <w:szCs w:val="20"/>
    </w:rPr>
  </w:style>
  <w:style w:type="paragraph" w:styleId="Obsah2">
    <w:name w:val="toc 2"/>
    <w:basedOn w:val="Normln"/>
    <w:next w:val="Normln"/>
    <w:autoRedefine/>
    <w:uiPriority w:val="39"/>
    <w:unhideWhenUsed/>
    <w:rsid w:val="009B273B"/>
    <w:pPr>
      <w:spacing w:before="0" w:after="0"/>
      <w:ind w:left="240"/>
    </w:pPr>
    <w:rPr>
      <w:rFonts w:asciiTheme="minorHAnsi" w:hAnsiTheme="minorHAnsi"/>
      <w:smallCaps/>
      <w:sz w:val="20"/>
      <w:szCs w:val="20"/>
    </w:rPr>
  </w:style>
  <w:style w:type="paragraph" w:styleId="Obsah3">
    <w:name w:val="toc 3"/>
    <w:basedOn w:val="Normln"/>
    <w:next w:val="Normln"/>
    <w:autoRedefine/>
    <w:uiPriority w:val="39"/>
    <w:unhideWhenUsed/>
    <w:rsid w:val="009B273B"/>
    <w:pPr>
      <w:spacing w:before="0" w:after="0"/>
      <w:ind w:left="480"/>
    </w:pPr>
    <w:rPr>
      <w:rFonts w:asciiTheme="minorHAnsi" w:hAnsiTheme="minorHAnsi"/>
      <w:i/>
      <w:iCs/>
      <w:sz w:val="18"/>
      <w:szCs w:val="20"/>
    </w:rPr>
  </w:style>
  <w:style w:type="paragraph" w:styleId="Seznamobrzk">
    <w:name w:val="table of figures"/>
    <w:basedOn w:val="Normln"/>
    <w:next w:val="Normln"/>
    <w:uiPriority w:val="99"/>
    <w:unhideWhenUsed/>
    <w:rsid w:val="00243636"/>
    <w:pPr>
      <w:spacing w:after="0"/>
    </w:pPr>
  </w:style>
  <w:style w:type="paragraph" w:styleId="Zkladntext3">
    <w:name w:val="Body Text 3"/>
    <w:basedOn w:val="Normln"/>
    <w:uiPriority w:val="99"/>
    <w:rsid w:val="00243636"/>
    <w:rPr>
      <w:rFonts w:ascii="Times New Roman" w:eastAsia="Times New Roman" w:hAnsi="Times New Roman"/>
      <w:sz w:val="16"/>
      <w:szCs w:val="16"/>
      <w:lang w:eastAsia="cs-CZ"/>
    </w:rPr>
  </w:style>
  <w:style w:type="character" w:customStyle="1" w:styleId="Zkladntext3Char">
    <w:name w:val="Základní text 3 Char"/>
    <w:basedOn w:val="Standardnpsmoodstavce"/>
    <w:uiPriority w:val="99"/>
    <w:rsid w:val="00243636"/>
    <w:rPr>
      <w:rFonts w:ascii="Times New Roman" w:eastAsia="Times New Roman" w:hAnsi="Times New Roman"/>
      <w:sz w:val="16"/>
      <w:szCs w:val="16"/>
    </w:rPr>
  </w:style>
  <w:style w:type="paragraph" w:customStyle="1" w:styleId="bn">
    <w:name w:val="běžný"/>
    <w:basedOn w:val="Normln"/>
    <w:rsid w:val="00243636"/>
    <w:pPr>
      <w:autoSpaceDE w:val="0"/>
      <w:autoSpaceDN w:val="0"/>
      <w:adjustRightInd w:val="0"/>
    </w:pPr>
    <w:rPr>
      <w:rFonts w:ascii="Times New Roman" w:eastAsia="Times New Roman" w:hAnsi="Times New Roman"/>
      <w:szCs w:val="24"/>
      <w:lang w:eastAsia="cs-CZ"/>
    </w:rPr>
  </w:style>
  <w:style w:type="paragraph" w:customStyle="1" w:styleId="MDSR">
    <w:name w:val="MDS ČR"/>
    <w:rsid w:val="00243636"/>
    <w:pPr>
      <w:suppressAutoHyphens/>
      <w:overflowPunct w:val="0"/>
      <w:autoSpaceDE w:val="0"/>
      <w:autoSpaceDN w:val="0"/>
      <w:adjustRightInd w:val="0"/>
      <w:spacing w:before="120"/>
      <w:ind w:firstLine="567"/>
      <w:jc w:val="both"/>
      <w:textAlignment w:val="baseline"/>
    </w:pPr>
    <w:rPr>
      <w:rFonts w:ascii="Times New Roman" w:eastAsia="Times New Roman" w:hAnsi="Times New Roman"/>
      <w:sz w:val="24"/>
      <w:lang w:eastAsia="cs-CZ"/>
    </w:rPr>
  </w:style>
  <w:style w:type="paragraph" w:styleId="Citt">
    <w:name w:val="Quote"/>
    <w:basedOn w:val="Normln"/>
    <w:next w:val="Normln"/>
    <w:link w:val="CittChar"/>
    <w:uiPriority w:val="29"/>
    <w:qFormat/>
    <w:rsid w:val="00B80ACE"/>
    <w:pPr>
      <w:widowControl w:val="0"/>
      <w:spacing w:before="0" w:after="0"/>
    </w:pPr>
    <w:rPr>
      <w:rFonts w:eastAsia="Times New Roman"/>
      <w:i/>
      <w:iCs/>
      <w:color w:val="000000"/>
      <w:sz w:val="22"/>
      <w:szCs w:val="20"/>
      <w:lang w:eastAsia="cs-CZ"/>
    </w:rPr>
  </w:style>
  <w:style w:type="character" w:customStyle="1" w:styleId="CitaceChar">
    <w:name w:val="Citace Char"/>
    <w:basedOn w:val="Standardnpsmoodstavce"/>
    <w:rsid w:val="00243636"/>
    <w:rPr>
      <w:i/>
      <w:iCs/>
      <w:color w:val="000000"/>
      <w:sz w:val="22"/>
      <w:szCs w:val="22"/>
      <w:lang w:eastAsia="en-US"/>
    </w:rPr>
  </w:style>
  <w:style w:type="character" w:customStyle="1" w:styleId="CitaceChar1">
    <w:name w:val="Citace Char1"/>
    <w:basedOn w:val="Standardnpsmoodstavce"/>
    <w:link w:val="1"/>
    <w:uiPriority w:val="29"/>
    <w:rsid w:val="00243636"/>
    <w:rPr>
      <w:rFonts w:ascii="Times New Roman" w:eastAsia="Times New Roman" w:hAnsi="Times New Roman"/>
      <w:i/>
      <w:iCs/>
      <w:color w:val="000000"/>
      <w:sz w:val="24"/>
    </w:rPr>
  </w:style>
  <w:style w:type="character" w:styleId="Zvraznn">
    <w:name w:val="Emphasis"/>
    <w:aliases w:val="Zdroj - tabulky;grafy atd."/>
    <w:basedOn w:val="Standardnpsmoodstavce"/>
    <w:uiPriority w:val="20"/>
    <w:qFormat/>
    <w:rsid w:val="00243636"/>
    <w:rPr>
      <w:i/>
      <w:iCs/>
    </w:rPr>
  </w:style>
  <w:style w:type="character" w:customStyle="1" w:styleId="Nadpis5Char">
    <w:name w:val="Nadpis 5 Char"/>
    <w:aliases w:val="nadpis 5 Char"/>
    <w:basedOn w:val="Standardnpsmoodstavce"/>
    <w:uiPriority w:val="9"/>
    <w:rsid w:val="00243636"/>
    <w:rPr>
      <w:rFonts w:eastAsia="Times New Roman"/>
      <w:b/>
      <w:bCs/>
      <w:i/>
      <w:iCs/>
      <w:sz w:val="26"/>
      <w:szCs w:val="26"/>
      <w:lang w:eastAsia="en-US"/>
    </w:rPr>
  </w:style>
  <w:style w:type="character" w:customStyle="1" w:styleId="Nadpis6Char">
    <w:name w:val="Nadpis 6 Char"/>
    <w:basedOn w:val="Standardnpsmoodstavce"/>
    <w:uiPriority w:val="9"/>
    <w:rsid w:val="00243636"/>
    <w:rPr>
      <w:rFonts w:eastAsia="Times New Roman"/>
      <w:b/>
      <w:bCs/>
      <w:sz w:val="24"/>
      <w:szCs w:val="22"/>
      <w:lang w:eastAsia="en-US"/>
    </w:rPr>
  </w:style>
  <w:style w:type="character" w:customStyle="1" w:styleId="Nadpis7Char">
    <w:name w:val="Nadpis 7 Char"/>
    <w:basedOn w:val="Standardnpsmoodstavce"/>
    <w:uiPriority w:val="9"/>
    <w:rsid w:val="00243636"/>
    <w:rPr>
      <w:rFonts w:eastAsia="Times New Roman"/>
      <w:sz w:val="24"/>
      <w:szCs w:val="24"/>
      <w:lang w:eastAsia="en-US"/>
    </w:rPr>
  </w:style>
  <w:style w:type="character" w:customStyle="1" w:styleId="Nadpis8Char">
    <w:name w:val="Nadpis 8 Char"/>
    <w:basedOn w:val="Standardnpsmoodstavce"/>
    <w:uiPriority w:val="9"/>
    <w:rsid w:val="00243636"/>
    <w:rPr>
      <w:rFonts w:eastAsia="Times New Roman"/>
      <w:i/>
      <w:iCs/>
      <w:sz w:val="24"/>
      <w:szCs w:val="24"/>
      <w:lang w:eastAsia="en-US"/>
    </w:rPr>
  </w:style>
  <w:style w:type="character" w:customStyle="1" w:styleId="Nadpis9Char">
    <w:name w:val="Nadpis 9 Char"/>
    <w:basedOn w:val="Standardnpsmoodstavce"/>
    <w:uiPriority w:val="9"/>
    <w:rsid w:val="00243636"/>
    <w:rPr>
      <w:rFonts w:ascii="Cambria" w:eastAsia="Times New Roman" w:hAnsi="Cambria"/>
      <w:sz w:val="24"/>
      <w:szCs w:val="22"/>
      <w:lang w:eastAsia="en-US"/>
    </w:rPr>
  </w:style>
  <w:style w:type="paragraph" w:styleId="Normlnweb">
    <w:name w:val="Normal (Web)"/>
    <w:basedOn w:val="Normln"/>
    <w:link w:val="NormlnwebChar"/>
    <w:uiPriority w:val="99"/>
    <w:qFormat/>
    <w:rsid w:val="00243636"/>
    <w:pPr>
      <w:spacing w:before="100" w:beforeAutospacing="1" w:after="100" w:afterAutospacing="1"/>
      <w:jc w:val="left"/>
    </w:pPr>
    <w:rPr>
      <w:rFonts w:ascii="Times New Roman" w:eastAsia="Times New Roman" w:hAnsi="Times New Roman"/>
      <w:szCs w:val="24"/>
      <w:lang w:eastAsia="cs-CZ"/>
    </w:rPr>
  </w:style>
  <w:style w:type="table" w:customStyle="1" w:styleId="Svtlstnovn1">
    <w:name w:val="Světlé stínování1"/>
    <w:basedOn w:val="Normlntabulka"/>
    <w:uiPriority w:val="60"/>
    <w:rsid w:val="007D72A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ze">
    <w:name w:val="Revision"/>
    <w:hidden/>
    <w:uiPriority w:val="99"/>
    <w:semiHidden/>
    <w:rsid w:val="0099667A"/>
    <w:rPr>
      <w:rFonts w:ascii="Garamond" w:hAnsi="Garamond"/>
      <w:sz w:val="24"/>
      <w:szCs w:val="22"/>
    </w:rPr>
  </w:style>
  <w:style w:type="paragraph" w:styleId="Rozloendokumentu">
    <w:name w:val="Document Map"/>
    <w:basedOn w:val="Normln"/>
    <w:link w:val="RozloendokumentuChar"/>
    <w:rsid w:val="00F662E3"/>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rsid w:val="00FF4BC7"/>
    <w:rPr>
      <w:rFonts w:ascii="Tahoma" w:hAnsi="Tahoma" w:cs="Tahoma"/>
      <w:shd w:val="clear" w:color="auto" w:fill="000080"/>
      <w:lang w:eastAsia="en-US"/>
    </w:rPr>
  </w:style>
  <w:style w:type="paragraph" w:styleId="Zkladntext">
    <w:name w:val="Body Text"/>
    <w:basedOn w:val="Normln"/>
    <w:link w:val="ZkladntextChar"/>
    <w:unhideWhenUsed/>
    <w:rsid w:val="00A34BC8"/>
  </w:style>
  <w:style w:type="character" w:customStyle="1" w:styleId="ZkladntextChar">
    <w:name w:val="Základní text Char"/>
    <w:basedOn w:val="Standardnpsmoodstavce"/>
    <w:link w:val="Zkladntext"/>
    <w:rsid w:val="00A34BC8"/>
    <w:rPr>
      <w:rFonts w:ascii="Garamond" w:hAnsi="Garamond"/>
      <w:sz w:val="24"/>
      <w:szCs w:val="22"/>
      <w:lang w:eastAsia="en-US"/>
    </w:rPr>
  </w:style>
  <w:style w:type="paragraph" w:customStyle="1" w:styleId="Citace1">
    <w:name w:val="Citace1"/>
    <w:aliases w:val="Quote,Quote2"/>
    <w:basedOn w:val="Titulek"/>
    <w:next w:val="Normln"/>
    <w:qFormat/>
    <w:rsid w:val="00AD2EB2"/>
    <w:rPr>
      <w:b w:val="0"/>
      <w:bCs w:val="0"/>
      <w:sz w:val="20"/>
    </w:rPr>
  </w:style>
  <w:style w:type="character" w:customStyle="1" w:styleId="longtext">
    <w:name w:val="long_text"/>
    <w:basedOn w:val="Standardnpsmoodstavce"/>
    <w:rsid w:val="00D8660D"/>
  </w:style>
  <w:style w:type="character" w:customStyle="1" w:styleId="TextpoznpodarouChar1">
    <w:name w:val="Text pozn. pod čarou Char1"/>
    <w:aliases w:val="Text poznámky pod čiarou 007 Char1,_Poznámka pod čiarou Char1,Poznámka Char1,Footnote text Char1,Fußnotentextf Char1,Char1 Char1,Schriftart: 9 pt Char1,Schriftart: 10 pt Char1,Schriftart: 8 pt Char1,Geneva 9 Char1,f Char"/>
    <w:basedOn w:val="Standardnpsmoodstavce"/>
    <w:link w:val="Textpoznpodarou"/>
    <w:uiPriority w:val="99"/>
    <w:rsid w:val="00140ED7"/>
    <w:rPr>
      <w:rFonts w:ascii="Garamond" w:eastAsia="Times New Roman" w:hAnsi="Garamond"/>
      <w:sz w:val="18"/>
      <w:lang w:val="en-GB" w:eastAsia="cs-CZ"/>
    </w:rPr>
  </w:style>
  <w:style w:type="paragraph" w:customStyle="1" w:styleId="Odstavecseseznamem1">
    <w:name w:val="Odstavec se seznamem1"/>
    <w:basedOn w:val="Normln"/>
    <w:uiPriority w:val="34"/>
    <w:qFormat/>
    <w:rsid w:val="001F1631"/>
    <w:pPr>
      <w:numPr>
        <w:numId w:val="9"/>
      </w:numPr>
      <w:ind w:left="567" w:hanging="567"/>
      <w:contextualSpacing/>
    </w:pPr>
  </w:style>
  <w:style w:type="character" w:customStyle="1" w:styleId="Zstupntext1">
    <w:name w:val="Zástupný text1"/>
    <w:basedOn w:val="Standardnpsmoodstavce"/>
    <w:uiPriority w:val="99"/>
    <w:semiHidden/>
    <w:rsid w:val="00D8660D"/>
    <w:rPr>
      <w:color w:val="808080"/>
    </w:rPr>
  </w:style>
  <w:style w:type="paragraph" w:customStyle="1" w:styleId="Nadpisobsahu1">
    <w:name w:val="Nadpis obsahu1"/>
    <w:basedOn w:val="Nadpis1"/>
    <w:next w:val="Normln"/>
    <w:uiPriority w:val="39"/>
    <w:rsid w:val="00D8660D"/>
    <w:pPr>
      <w:outlineLvl w:val="9"/>
    </w:pPr>
  </w:style>
  <w:style w:type="paragraph" w:customStyle="1" w:styleId="Revize1">
    <w:name w:val="Revize1"/>
    <w:hidden/>
    <w:uiPriority w:val="99"/>
    <w:semiHidden/>
    <w:rsid w:val="00D8660D"/>
    <w:rPr>
      <w:rFonts w:ascii="Garamond" w:hAnsi="Garamond"/>
      <w:sz w:val="24"/>
      <w:szCs w:val="22"/>
    </w:rPr>
  </w:style>
  <w:style w:type="numbering" w:customStyle="1" w:styleId="NoList1">
    <w:name w:val="No List1"/>
    <w:next w:val="Bezseznamu"/>
    <w:semiHidden/>
    <w:rsid w:val="00D8660D"/>
  </w:style>
  <w:style w:type="paragraph" w:customStyle="1" w:styleId="beznytext">
    <w:name w:val="bezny_text"/>
    <w:basedOn w:val="Normln"/>
    <w:rsid w:val="00D8660D"/>
    <w:pPr>
      <w:spacing w:before="100" w:beforeAutospacing="1" w:after="100" w:afterAutospacing="1"/>
    </w:pPr>
    <w:rPr>
      <w:rFonts w:ascii="Times New Roman" w:eastAsia="MS Mincho" w:hAnsi="Times New Roman"/>
      <w:szCs w:val="24"/>
      <w:shd w:val="clear" w:color="auto" w:fill="FFFFFF"/>
      <w:lang w:eastAsia="ja-JP"/>
    </w:rPr>
  </w:style>
  <w:style w:type="character" w:styleId="Siln">
    <w:name w:val="Strong"/>
    <w:basedOn w:val="Standardnpsmoodstavce"/>
    <w:uiPriority w:val="22"/>
    <w:qFormat/>
    <w:rsid w:val="00D90EF8"/>
    <w:rPr>
      <w:i/>
      <w:color w:val="auto"/>
      <w:sz w:val="24"/>
      <w:szCs w:val="24"/>
    </w:rPr>
  </w:style>
  <w:style w:type="paragraph" w:styleId="z-Konecformule">
    <w:name w:val="HTML Bottom of Form"/>
    <w:basedOn w:val="Normln"/>
    <w:next w:val="Normln"/>
    <w:link w:val="z-KonecformuleChar"/>
    <w:hidden/>
    <w:uiPriority w:val="99"/>
    <w:unhideWhenUsed/>
    <w:rsid w:val="00D8660D"/>
    <w:pPr>
      <w:pBdr>
        <w:top w:val="single" w:sz="6" w:space="1" w:color="auto"/>
      </w:pBdr>
      <w:jc w:val="center"/>
    </w:pPr>
    <w:rPr>
      <w:rFonts w:ascii="Arial" w:eastAsia="Times New Roman" w:hAnsi="Arial" w:cs="Arial"/>
      <w:vanish/>
      <w:sz w:val="16"/>
      <w:szCs w:val="16"/>
      <w:shd w:val="clear" w:color="auto" w:fill="FFFFFF"/>
      <w:lang w:val="en-US"/>
    </w:rPr>
  </w:style>
  <w:style w:type="character" w:customStyle="1" w:styleId="z-KonecformuleChar">
    <w:name w:val="z-Konec formuláře Char"/>
    <w:basedOn w:val="Standardnpsmoodstavce"/>
    <w:link w:val="z-Konecformule"/>
    <w:uiPriority w:val="99"/>
    <w:rsid w:val="00D8660D"/>
    <w:rPr>
      <w:rFonts w:ascii="Arial" w:eastAsia="Times New Roman" w:hAnsi="Arial" w:cs="Arial"/>
      <w:vanish/>
      <w:sz w:val="16"/>
      <w:szCs w:val="16"/>
      <w:lang w:val="en-US" w:eastAsia="en-US"/>
    </w:rPr>
  </w:style>
  <w:style w:type="paragraph" w:styleId="Podtitul">
    <w:name w:val="Subtitle"/>
    <w:aliases w:val="Heading5,NADPES00"/>
    <w:basedOn w:val="Normln"/>
    <w:link w:val="PodtitulChar"/>
    <w:qFormat/>
    <w:rsid w:val="00D8660D"/>
    <w:pPr>
      <w:numPr>
        <w:numId w:val="2"/>
      </w:numPr>
      <w:spacing w:line="480" w:lineRule="auto"/>
    </w:pPr>
    <w:rPr>
      <w:rFonts w:ascii="AT*Switzerland" w:eastAsia="Times New Roman" w:hAnsi="AT*Switzerland"/>
      <w:b/>
      <w:szCs w:val="20"/>
      <w:shd w:val="clear" w:color="auto" w:fill="FFFFFF"/>
      <w:lang w:val="sk-SK"/>
    </w:rPr>
  </w:style>
  <w:style w:type="character" w:customStyle="1" w:styleId="PodtitulChar">
    <w:name w:val="Podtitul Char"/>
    <w:aliases w:val="Heading5 Char,NADPES00 Char"/>
    <w:basedOn w:val="Standardnpsmoodstavce"/>
    <w:link w:val="Podtitul"/>
    <w:rsid w:val="00D8660D"/>
    <w:rPr>
      <w:rFonts w:ascii="AT*Switzerland" w:eastAsia="Times New Roman" w:hAnsi="AT*Switzerland"/>
      <w:b/>
      <w:sz w:val="24"/>
      <w:lang w:val="sk-SK"/>
    </w:rPr>
  </w:style>
  <w:style w:type="table" w:styleId="Mkatabulky">
    <w:name w:val="Table Grid"/>
    <w:basedOn w:val="Normlntabulka"/>
    <w:uiPriority w:val="59"/>
    <w:rsid w:val="00D8660D"/>
    <w:rPr>
      <w:rFonts w:ascii="Times New Roman" w:eastAsia="MS Mincho"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yl1">
    <w:name w:val="styl1"/>
    <w:basedOn w:val="Standardnpsmoodstavce"/>
    <w:rsid w:val="00D8660D"/>
    <w:rPr>
      <w:sz w:val="14"/>
      <w:szCs w:val="14"/>
    </w:rPr>
  </w:style>
  <w:style w:type="character" w:customStyle="1" w:styleId="longtext1">
    <w:name w:val="long_text1"/>
    <w:basedOn w:val="Standardnpsmoodstavce"/>
    <w:rsid w:val="00D8660D"/>
    <w:rPr>
      <w:sz w:val="20"/>
      <w:szCs w:val="20"/>
    </w:rPr>
  </w:style>
  <w:style w:type="paragraph" w:customStyle="1" w:styleId="poduct020301blit">
    <w:name w:val="poduct_020301_blit"/>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mt30">
    <w:name w:val="mt3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mt20">
    <w:name w:val="mt2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itle41">
    <w:name w:val="title4_1"/>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centermt10">
    <w:name w:val="tcenter mt1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itle41mt10">
    <w:name w:val="title4_1mt10"/>
    <w:basedOn w:val="Normln"/>
    <w:rsid w:val="00D8660D"/>
    <w:pPr>
      <w:spacing w:before="100" w:beforeAutospacing="1" w:after="100" w:afterAutospacing="1"/>
      <w:jc w:val="left"/>
    </w:pPr>
    <w:rPr>
      <w:rFonts w:ascii="Times New Roman" w:eastAsia="MS Mincho" w:hAnsi="Times New Roman"/>
      <w:szCs w:val="24"/>
      <w:lang w:eastAsia="ja-JP"/>
    </w:rPr>
  </w:style>
  <w:style w:type="character" w:customStyle="1" w:styleId="TextbublinyChar1">
    <w:name w:val="Text bubliny Char1"/>
    <w:basedOn w:val="Standardnpsmoodstavce"/>
    <w:link w:val="Textbubliny"/>
    <w:uiPriority w:val="99"/>
    <w:rsid w:val="00D8660D"/>
    <w:rPr>
      <w:rFonts w:ascii="Tahoma" w:hAnsi="Tahoma" w:cs="Tahoma"/>
      <w:sz w:val="16"/>
      <w:szCs w:val="16"/>
      <w:lang w:eastAsia="en-US"/>
    </w:rPr>
  </w:style>
  <w:style w:type="character" w:customStyle="1" w:styleId="A4">
    <w:name w:val="A4"/>
    <w:uiPriority w:val="99"/>
    <w:rsid w:val="00D8660D"/>
    <w:rPr>
      <w:rFonts w:cs="H-Helvetica"/>
      <w:color w:val="000000"/>
      <w:sz w:val="18"/>
      <w:szCs w:val="18"/>
    </w:rPr>
  </w:style>
  <w:style w:type="character" w:customStyle="1" w:styleId="Nadpis2Char1">
    <w:name w:val="Nadpis 2 Char1"/>
    <w:aliases w:val="Heading 2 Firm Char,Heading 2 Firm1 Char,nadpis 2 Char1,Nadpis 2 Z Char1,Dipl2 Char1,Heading 2 Firm11 Char"/>
    <w:basedOn w:val="Standardnpsmoodstavce"/>
    <w:link w:val="Nadpis2"/>
    <w:rsid w:val="0015726B"/>
    <w:rPr>
      <w:rFonts w:ascii="Cambria" w:eastAsia="Times New Roman" w:hAnsi="Cambria"/>
      <w:b/>
      <w:bCs/>
      <w:color w:val="B6B002"/>
      <w:sz w:val="26"/>
      <w:szCs w:val="26"/>
    </w:rPr>
  </w:style>
  <w:style w:type="character" w:customStyle="1" w:styleId="Nadpis1Char1">
    <w:name w:val="Nadpis 1 Char1"/>
    <w:aliases w:val="nadpis 1 Char1,N 1 Char1,Dipl 1 Char1,título 1 Char,H1 Char,h1 Char,h11 Char,h12 Char,h13 Char,h14 Char,h15 Char,h16 Char,h17 Char,h111 Char,h121 Char,h131 Char,h141 Char,h151 Char,h161 Char,h18 Char,h112 Char,h122 Char,h132 Char,h19 Char"/>
    <w:basedOn w:val="Standardnpsmoodstavce"/>
    <w:link w:val="Nadpis1"/>
    <w:rsid w:val="009679AD"/>
    <w:rPr>
      <w:rFonts w:ascii="Cambria" w:eastAsia="Times New Roman" w:hAnsi="Cambria"/>
      <w:b/>
      <w:bCs/>
      <w:color w:val="B6B002"/>
      <w:sz w:val="28"/>
      <w:szCs w:val="28"/>
    </w:rPr>
  </w:style>
  <w:style w:type="paragraph" w:customStyle="1" w:styleId="Default">
    <w:name w:val="Default"/>
    <w:link w:val="DefaultChar"/>
    <w:rsid w:val="00D8660D"/>
    <w:pPr>
      <w:autoSpaceDE w:val="0"/>
      <w:autoSpaceDN w:val="0"/>
      <w:adjustRightInd w:val="0"/>
    </w:pPr>
    <w:rPr>
      <w:rFonts w:eastAsia="MS Mincho" w:cs="Calibri"/>
      <w:color w:val="000000"/>
      <w:sz w:val="24"/>
      <w:szCs w:val="24"/>
    </w:rPr>
  </w:style>
  <w:style w:type="paragraph" w:customStyle="1" w:styleId="pagehdr">
    <w:name w:val="pagehdr"/>
    <w:basedOn w:val="Normln"/>
    <w:rsid w:val="00D8660D"/>
    <w:pPr>
      <w:spacing w:before="100" w:beforeAutospacing="1" w:after="100" w:afterAutospacing="1"/>
      <w:jc w:val="left"/>
    </w:pPr>
    <w:rPr>
      <w:rFonts w:ascii="Arial" w:eastAsia="Times New Roman" w:hAnsi="Arial" w:cs="Arial"/>
      <w:b/>
      <w:bCs/>
      <w:color w:val="456994"/>
      <w:sz w:val="20"/>
      <w:szCs w:val="20"/>
      <w:lang w:val="en-US"/>
    </w:rPr>
  </w:style>
  <w:style w:type="character" w:customStyle="1" w:styleId="titles21">
    <w:name w:val="titles21"/>
    <w:basedOn w:val="Standardnpsmoodstavce"/>
    <w:rsid w:val="00D8660D"/>
    <w:rPr>
      <w:rFonts w:ascii="Verdana" w:hAnsi="Verdana" w:hint="default"/>
      <w:b/>
      <w:bCs/>
      <w:color w:val="073770"/>
      <w:sz w:val="15"/>
      <w:szCs w:val="15"/>
    </w:rPr>
  </w:style>
  <w:style w:type="character" w:customStyle="1" w:styleId="style341">
    <w:name w:val="style341"/>
    <w:basedOn w:val="Standardnpsmoodstavce"/>
    <w:rsid w:val="00D8660D"/>
    <w:rPr>
      <w:color w:val="006600"/>
    </w:rPr>
  </w:style>
  <w:style w:type="character" w:customStyle="1" w:styleId="style251">
    <w:name w:val="style251"/>
    <w:basedOn w:val="Standardnpsmoodstavce"/>
    <w:rsid w:val="00D8660D"/>
    <w:rPr>
      <w:b/>
      <w:bCs/>
      <w:color w:val="993300"/>
      <w:sz w:val="15"/>
      <w:szCs w:val="15"/>
    </w:rPr>
  </w:style>
  <w:style w:type="character" w:customStyle="1" w:styleId="style231">
    <w:name w:val="style231"/>
    <w:basedOn w:val="Standardnpsmoodstavce"/>
    <w:rsid w:val="00D8660D"/>
    <w:rPr>
      <w:color w:val="000000"/>
      <w:sz w:val="15"/>
      <w:szCs w:val="15"/>
    </w:rPr>
  </w:style>
  <w:style w:type="character" w:customStyle="1" w:styleId="style27">
    <w:name w:val="style27"/>
    <w:basedOn w:val="Standardnpsmoodstavce"/>
    <w:rsid w:val="00D8660D"/>
  </w:style>
  <w:style w:type="table" w:customStyle="1" w:styleId="TableGrid1">
    <w:name w:val="Table Grid1"/>
    <w:basedOn w:val="Normlntabulka"/>
    <w:next w:val="Mkatabulky"/>
    <w:rsid w:val="00D8660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arCharCharChar">
    <w:name w:val="Default Paragraph Font Para Char Car Char Char Char"/>
    <w:aliases w:val="Default Paragraph Font Para Char Para Char Car Car Char Char Char Char"/>
    <w:basedOn w:val="Normln"/>
    <w:rsid w:val="00D8660D"/>
    <w:pPr>
      <w:spacing w:before="0" w:after="0"/>
      <w:jc w:val="left"/>
    </w:pPr>
    <w:rPr>
      <w:rFonts w:ascii="Times New Roman" w:eastAsia="Times New Roman" w:hAnsi="Times New Roman"/>
      <w:sz w:val="20"/>
      <w:szCs w:val="20"/>
      <w:lang w:val="en-US"/>
    </w:rPr>
  </w:style>
  <w:style w:type="paragraph" w:styleId="Bezmezer">
    <w:name w:val="No Spacing"/>
    <w:aliases w:val="podtrženo"/>
    <w:link w:val="BezmezerChar"/>
    <w:uiPriority w:val="1"/>
    <w:qFormat/>
    <w:rsid w:val="00AB189A"/>
    <w:pPr>
      <w:jc w:val="both"/>
    </w:pPr>
    <w:rPr>
      <w:rFonts w:ascii="Garamond" w:hAnsi="Garamond"/>
      <w:sz w:val="24"/>
      <w:szCs w:val="22"/>
    </w:rPr>
  </w:style>
  <w:style w:type="numbering" w:customStyle="1" w:styleId="NoList2">
    <w:name w:val="No List2"/>
    <w:next w:val="Bezseznamu"/>
    <w:uiPriority w:val="99"/>
    <w:semiHidden/>
    <w:unhideWhenUsed/>
    <w:rsid w:val="003C606D"/>
  </w:style>
  <w:style w:type="character" w:styleId="slostrnky">
    <w:name w:val="page number"/>
    <w:basedOn w:val="Standardnpsmoodstavce"/>
    <w:rsid w:val="003C606D"/>
  </w:style>
  <w:style w:type="paragraph" w:customStyle="1" w:styleId="nadp">
    <w:name w:val="nadp"/>
    <w:basedOn w:val="Zkladntext"/>
    <w:rsid w:val="003C606D"/>
  </w:style>
  <w:style w:type="paragraph" w:customStyle="1" w:styleId="text">
    <w:name w:val="text"/>
    <w:basedOn w:val="Normln"/>
    <w:rsid w:val="003C606D"/>
    <w:pPr>
      <w:spacing w:before="100" w:beforeAutospacing="1" w:after="100" w:afterAutospacing="1"/>
    </w:pPr>
    <w:rPr>
      <w:rFonts w:ascii="Verdana" w:eastAsia="Arial Unicode MS" w:hAnsi="Verdana" w:cs="Arial Unicode MS"/>
      <w:color w:val="000000"/>
      <w:sz w:val="22"/>
      <w:lang w:eastAsia="cs-CZ"/>
    </w:rPr>
  </w:style>
  <w:style w:type="paragraph" w:customStyle="1" w:styleId="textleft">
    <w:name w:val="text_left"/>
    <w:basedOn w:val="Normln"/>
    <w:rsid w:val="003C606D"/>
    <w:pPr>
      <w:spacing w:before="100" w:beforeAutospacing="1" w:after="100" w:afterAutospacing="1"/>
      <w:textAlignment w:val="top"/>
    </w:pPr>
    <w:rPr>
      <w:rFonts w:ascii="Verdana" w:eastAsia="Arial Unicode MS" w:hAnsi="Verdana" w:cs="Arial Unicode MS"/>
      <w:color w:val="000000"/>
      <w:sz w:val="20"/>
      <w:szCs w:val="20"/>
      <w:lang w:eastAsia="cs-CZ"/>
    </w:rPr>
  </w:style>
  <w:style w:type="paragraph" w:styleId="Zkladntext2">
    <w:name w:val="Body Text 2"/>
    <w:basedOn w:val="Normln"/>
    <w:link w:val="Zkladntext2Char"/>
    <w:uiPriority w:val="99"/>
    <w:rsid w:val="003C606D"/>
    <w:rPr>
      <w:rFonts w:ascii="Arial" w:eastAsia="Times New Roman" w:hAnsi="Arial" w:cs="Arial"/>
      <w:sz w:val="20"/>
      <w:szCs w:val="24"/>
      <w:lang w:val="en-US" w:eastAsia="cs-CZ"/>
    </w:rPr>
  </w:style>
  <w:style w:type="character" w:customStyle="1" w:styleId="Zkladntext2Char">
    <w:name w:val="Základní text 2 Char"/>
    <w:basedOn w:val="Standardnpsmoodstavce"/>
    <w:link w:val="Zkladntext2"/>
    <w:uiPriority w:val="99"/>
    <w:rsid w:val="003C606D"/>
    <w:rPr>
      <w:rFonts w:ascii="Arial" w:eastAsia="Times New Roman" w:hAnsi="Arial" w:cs="Arial"/>
      <w:szCs w:val="24"/>
      <w:lang w:eastAsia="cs-CZ"/>
    </w:rPr>
  </w:style>
  <w:style w:type="paragraph" w:customStyle="1" w:styleId="04dot">
    <w:name w:val="04 dot"/>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
    <w:name w:val="Nadpis 2;Heading 2 Firm;Heading 2 Firm1"/>
    <w:basedOn w:val="Normln"/>
    <w:rsid w:val="003C606D"/>
    <w:pPr>
      <w:spacing w:before="0"/>
    </w:pPr>
    <w:rPr>
      <w:rFonts w:ascii="Times New Roman" w:eastAsia="Times New Roman" w:hAnsi="Times New Roman"/>
      <w:sz w:val="20"/>
      <w:szCs w:val="20"/>
      <w:lang w:eastAsia="cs-CZ"/>
    </w:rPr>
  </w:style>
  <w:style w:type="paragraph" w:customStyle="1" w:styleId="normalodsazene">
    <w:name w:val="normalodsazene"/>
    <w:basedOn w:val="Normln"/>
    <w:rsid w:val="003C606D"/>
    <w:pPr>
      <w:spacing w:before="100" w:beforeAutospacing="1" w:after="100" w:afterAutospacing="1"/>
      <w:ind w:firstLine="480"/>
    </w:pPr>
    <w:rPr>
      <w:rFonts w:ascii="MS Sans Serif" w:eastAsia="Times New Roman" w:hAnsi="MS Sans Serif"/>
      <w:snapToGrid w:val="0"/>
      <w:color w:val="343434"/>
      <w:sz w:val="15"/>
      <w:szCs w:val="15"/>
      <w:lang w:eastAsia="cs-CZ"/>
    </w:rPr>
  </w:style>
  <w:style w:type="paragraph" w:customStyle="1" w:styleId="pskom">
    <w:name w:val="pskom"/>
    <w:basedOn w:val="Normln"/>
    <w:rsid w:val="003C606D"/>
    <w:pPr>
      <w:spacing w:before="100" w:beforeAutospacing="1" w:after="100" w:afterAutospacing="1"/>
    </w:pPr>
    <w:rPr>
      <w:rFonts w:ascii="Verdana" w:eastAsia="Times New Roman" w:hAnsi="Verdana"/>
      <w:i/>
      <w:iCs/>
      <w:snapToGrid w:val="0"/>
      <w:color w:val="343434"/>
      <w:szCs w:val="24"/>
      <w:lang w:eastAsia="cs-CZ"/>
    </w:rPr>
  </w:style>
  <w:style w:type="paragraph" w:customStyle="1" w:styleId="Textbodu">
    <w:name w:val="Text bodu"/>
    <w:basedOn w:val="Normln"/>
    <w:uiPriority w:val="99"/>
    <w:rsid w:val="003C606D"/>
    <w:pPr>
      <w:numPr>
        <w:ilvl w:val="2"/>
        <w:numId w:val="3"/>
      </w:numPr>
      <w:spacing w:before="0"/>
      <w:outlineLvl w:val="8"/>
    </w:pPr>
    <w:rPr>
      <w:rFonts w:ascii="Times New Roman" w:eastAsia="Times New Roman" w:hAnsi="Times New Roman"/>
      <w:szCs w:val="20"/>
      <w:lang w:eastAsia="cs-CZ"/>
    </w:rPr>
  </w:style>
  <w:style w:type="paragraph" w:customStyle="1" w:styleId="Textpsmene">
    <w:name w:val="Text písmene"/>
    <w:basedOn w:val="Normln"/>
    <w:uiPriority w:val="99"/>
    <w:rsid w:val="003C606D"/>
    <w:pPr>
      <w:numPr>
        <w:ilvl w:val="1"/>
        <w:numId w:val="3"/>
      </w:numPr>
      <w:spacing w:before="0"/>
      <w:outlineLvl w:val="7"/>
    </w:pPr>
    <w:rPr>
      <w:rFonts w:ascii="Times New Roman" w:eastAsia="Times New Roman" w:hAnsi="Times New Roman"/>
      <w:szCs w:val="20"/>
      <w:lang w:eastAsia="cs-CZ"/>
    </w:rPr>
  </w:style>
  <w:style w:type="paragraph" w:customStyle="1" w:styleId="Textodstavce">
    <w:name w:val="Text odstavce"/>
    <w:basedOn w:val="Normln"/>
    <w:uiPriority w:val="99"/>
    <w:rsid w:val="003C606D"/>
    <w:pPr>
      <w:numPr>
        <w:numId w:val="3"/>
      </w:numPr>
      <w:tabs>
        <w:tab w:val="left" w:pos="851"/>
      </w:tabs>
      <w:outlineLvl w:val="6"/>
    </w:pPr>
    <w:rPr>
      <w:rFonts w:ascii="Times New Roman" w:eastAsia="Times New Roman" w:hAnsi="Times New Roman"/>
      <w:szCs w:val="20"/>
      <w:lang w:eastAsia="cs-CZ"/>
    </w:rPr>
  </w:style>
  <w:style w:type="paragraph" w:customStyle="1" w:styleId="Nadpis-11">
    <w:name w:val="Nadpis-1.1"/>
    <w:basedOn w:val="Normln"/>
    <w:rsid w:val="003C606D"/>
    <w:pPr>
      <w:keepNext/>
      <w:numPr>
        <w:ilvl w:val="1"/>
        <w:numId w:val="4"/>
      </w:numPr>
      <w:spacing w:before="360"/>
    </w:pPr>
    <w:rPr>
      <w:rFonts w:ascii="Times New Roman" w:eastAsia="Times New Roman" w:hAnsi="Times New Roman"/>
      <w:b/>
      <w:szCs w:val="24"/>
      <w:lang w:eastAsia="cs-CZ"/>
    </w:rPr>
  </w:style>
  <w:style w:type="paragraph" w:customStyle="1" w:styleId="StylTunZarovnatdoblokuPed6b">
    <w:name w:val="Styl Tučné Zarovnat do bloku Před:  6 b."/>
    <w:basedOn w:val="Normln"/>
    <w:rsid w:val="003C606D"/>
    <w:rPr>
      <w:rFonts w:ascii="Times New Roman" w:eastAsia="Times New Roman" w:hAnsi="Times New Roman"/>
      <w:b/>
      <w:bCs/>
      <w:szCs w:val="20"/>
      <w:u w:val="single"/>
      <w:lang w:eastAsia="cs-CZ"/>
    </w:rPr>
  </w:style>
  <w:style w:type="paragraph" w:customStyle="1" w:styleId="StylTunKurzvaZarovnatdoblokuPed6b">
    <w:name w:val="Styl Tučné Kurzíva Zarovnat do bloku Před:  6 b."/>
    <w:basedOn w:val="Normln"/>
    <w:rsid w:val="003C606D"/>
    <w:rPr>
      <w:rFonts w:ascii="Times New Roman" w:eastAsia="Times New Roman" w:hAnsi="Times New Roman"/>
      <w:bCs/>
      <w:i/>
      <w:iCs/>
      <w:szCs w:val="20"/>
      <w:u w:val="single"/>
      <w:lang w:eastAsia="cs-CZ"/>
    </w:rPr>
  </w:style>
  <w:style w:type="paragraph" w:customStyle="1" w:styleId="poznamkadole">
    <w:name w:val="poznamkadole"/>
    <w:basedOn w:val="Normln"/>
    <w:rsid w:val="003C606D"/>
    <w:pPr>
      <w:spacing w:before="100" w:beforeAutospacing="1" w:after="100" w:afterAutospacing="1"/>
    </w:pPr>
    <w:rPr>
      <w:rFonts w:ascii="Arial Unicode MS" w:eastAsia="Arial Unicode MS" w:hAnsi="Arial Unicode MS" w:cs="Arial Unicode MS"/>
      <w:sz w:val="17"/>
      <w:szCs w:val="17"/>
      <w:lang w:eastAsia="cs-CZ"/>
    </w:rPr>
  </w:style>
  <w:style w:type="paragraph" w:styleId="Datum">
    <w:name w:val="Date"/>
    <w:basedOn w:val="Normln"/>
    <w:link w:val="DatumChar"/>
    <w:semiHidden/>
    <w:rsid w:val="003C606D"/>
    <w:pPr>
      <w:spacing w:before="100" w:beforeAutospacing="1" w:after="100" w:afterAutospacing="1"/>
    </w:pPr>
    <w:rPr>
      <w:rFonts w:ascii="Arial Unicode MS" w:eastAsia="Arial Unicode MS" w:hAnsi="Arial Unicode MS" w:cs="Arial Unicode MS"/>
      <w:szCs w:val="24"/>
      <w:lang w:eastAsia="cs-CZ"/>
    </w:rPr>
  </w:style>
  <w:style w:type="character" w:customStyle="1" w:styleId="DatumChar">
    <w:name w:val="Datum Char"/>
    <w:basedOn w:val="Standardnpsmoodstavce"/>
    <w:link w:val="Datum"/>
    <w:semiHidden/>
    <w:rsid w:val="003C606D"/>
    <w:rPr>
      <w:rFonts w:ascii="Arial Unicode MS" w:eastAsia="Arial Unicode MS" w:hAnsi="Arial Unicode MS" w:cs="Arial Unicode MS"/>
      <w:sz w:val="24"/>
      <w:szCs w:val="24"/>
      <w:lang w:val="en-GB" w:eastAsia="cs-CZ"/>
    </w:rPr>
  </w:style>
  <w:style w:type="paragraph" w:customStyle="1" w:styleId="perex">
    <w:name w:val="perex"/>
    <w:basedOn w:val="Normln"/>
    <w:rsid w:val="003C606D"/>
    <w:pPr>
      <w:spacing w:before="100" w:beforeAutospacing="1" w:after="100" w:afterAutospacing="1"/>
    </w:pPr>
    <w:rPr>
      <w:rFonts w:ascii="Arial Unicode MS" w:eastAsia="Arial Unicode MS" w:hAnsi="Arial Unicode MS" w:cs="Arial Unicode MS"/>
      <w:szCs w:val="24"/>
      <w:lang w:eastAsia="cs-CZ"/>
    </w:rPr>
  </w:style>
  <w:style w:type="paragraph" w:customStyle="1" w:styleId="tdhlavickal">
    <w:name w:val="tdhlavickal"/>
    <w:basedOn w:val="Normln"/>
    <w:rsid w:val="003C606D"/>
    <w:pPr>
      <w:spacing w:before="100" w:beforeAutospacing="1" w:after="100" w:afterAutospacing="1"/>
    </w:pPr>
    <w:rPr>
      <w:rFonts w:ascii="Arial Unicode MS" w:eastAsia="Arial Unicode MS" w:hAnsi="Arial Unicode MS" w:cs="Arial Unicode MS"/>
      <w:b/>
      <w:bCs/>
      <w:sz w:val="18"/>
      <w:szCs w:val="18"/>
      <w:lang w:eastAsia="cs-CZ"/>
    </w:rPr>
  </w:style>
  <w:style w:type="paragraph" w:customStyle="1" w:styleId="tdhlavickat">
    <w:name w:val="tdhlavickat"/>
    <w:basedOn w:val="Normln"/>
    <w:rsid w:val="003C606D"/>
    <w:pPr>
      <w:shd w:val="clear" w:color="auto" w:fill="999999"/>
      <w:spacing w:before="100" w:beforeAutospacing="1" w:after="100" w:afterAutospacing="1"/>
      <w:jc w:val="center"/>
    </w:pPr>
    <w:rPr>
      <w:rFonts w:ascii="Arial Unicode MS" w:eastAsia="Arial Unicode MS" w:hAnsi="Arial Unicode MS" w:cs="Arial Unicode MS"/>
      <w:b/>
      <w:bCs/>
      <w:sz w:val="18"/>
      <w:szCs w:val="18"/>
      <w:lang w:eastAsia="cs-CZ"/>
    </w:rPr>
  </w:style>
  <w:style w:type="paragraph" w:customStyle="1" w:styleId="textnorm">
    <w:name w:val="textnorm"/>
    <w:basedOn w:val="Normln"/>
    <w:rsid w:val="003C606D"/>
    <w:pPr>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radektmava">
    <w:name w:val="radektmava"/>
    <w:basedOn w:val="Normln"/>
    <w:rsid w:val="003C606D"/>
    <w:pPr>
      <w:shd w:val="clear" w:color="auto" w:fill="CCCCCC"/>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tdzluta">
    <w:name w:val="tdzluta"/>
    <w:basedOn w:val="Normln"/>
    <w:rsid w:val="003C606D"/>
    <w:pPr>
      <w:shd w:val="clear" w:color="auto" w:fill="FFFF00"/>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textcervena">
    <w:name w:val="textcervena"/>
    <w:basedOn w:val="Normln"/>
    <w:rsid w:val="003C606D"/>
    <w:pPr>
      <w:spacing w:before="100" w:beforeAutospacing="1" w:after="100" w:afterAutospacing="1"/>
    </w:pPr>
    <w:rPr>
      <w:rFonts w:ascii="Arial Unicode MS" w:eastAsia="Arial Unicode MS" w:hAnsi="Arial Unicode MS" w:cs="Arial Unicode MS"/>
      <w:color w:val="FF0000"/>
      <w:sz w:val="18"/>
      <w:szCs w:val="18"/>
      <w:lang w:eastAsia="cs-CZ"/>
    </w:rPr>
  </w:style>
  <w:style w:type="paragraph" w:customStyle="1" w:styleId="poznamkanahore">
    <w:name w:val="poznamkanahore"/>
    <w:basedOn w:val="Normln"/>
    <w:rsid w:val="003C606D"/>
    <w:pPr>
      <w:spacing w:before="100" w:beforeAutospacing="1" w:after="100" w:afterAutospacing="1"/>
    </w:pPr>
    <w:rPr>
      <w:rFonts w:ascii="Arial Unicode MS" w:eastAsia="Arial Unicode MS" w:hAnsi="Arial Unicode MS" w:cs="Arial Unicode MS"/>
      <w:i/>
      <w:iCs/>
      <w:sz w:val="18"/>
      <w:szCs w:val="18"/>
      <w:lang w:eastAsia="cs-CZ"/>
    </w:rPr>
  </w:style>
  <w:style w:type="paragraph" w:customStyle="1" w:styleId="index">
    <w:name w:val="index"/>
    <w:basedOn w:val="Normln"/>
    <w:rsid w:val="003C606D"/>
    <w:pPr>
      <w:spacing w:before="100" w:beforeAutospacing="1" w:after="100" w:afterAutospacing="1"/>
    </w:pPr>
    <w:rPr>
      <w:rFonts w:ascii="Arial Unicode MS" w:eastAsia="Arial Unicode MS" w:hAnsi="Arial Unicode MS" w:cs="Arial Unicode MS"/>
      <w:sz w:val="21"/>
      <w:szCs w:val="21"/>
      <w:lang w:eastAsia="cs-CZ"/>
    </w:rPr>
  </w:style>
  <w:style w:type="paragraph" w:customStyle="1" w:styleId="navigace">
    <w:name w:val="navigace"/>
    <w:basedOn w:val="Normln"/>
    <w:rsid w:val="003C606D"/>
    <w:pPr>
      <w:spacing w:before="100" w:beforeAutospacing="1" w:after="100" w:afterAutospacing="1"/>
      <w:jc w:val="right"/>
    </w:pPr>
    <w:rPr>
      <w:rFonts w:ascii="Arial Unicode MS" w:eastAsia="Arial Unicode MS" w:hAnsi="Arial Unicode MS" w:cs="Arial Unicode MS"/>
      <w:b/>
      <w:bCs/>
      <w:sz w:val="17"/>
      <w:szCs w:val="17"/>
      <w:lang w:eastAsia="cs-CZ"/>
    </w:rPr>
  </w:style>
  <w:style w:type="paragraph" w:customStyle="1" w:styleId="textcerny">
    <w:name w:val="text_cerny"/>
    <w:basedOn w:val="Normln"/>
    <w:rsid w:val="003C606D"/>
    <w:pPr>
      <w:spacing w:before="100" w:beforeAutospacing="1" w:after="100" w:afterAutospacing="1"/>
    </w:pPr>
    <w:rPr>
      <w:rFonts w:ascii="Verdana" w:eastAsia="Arial Unicode MS" w:hAnsi="Verdana" w:cs="Arial Unicode MS"/>
      <w:color w:val="000000"/>
      <w:sz w:val="17"/>
      <w:szCs w:val="17"/>
      <w:lang w:eastAsia="cs-CZ"/>
    </w:rPr>
  </w:style>
  <w:style w:type="character" w:customStyle="1" w:styleId="a">
    <w:name w:val="a"/>
    <w:basedOn w:val="Standardnpsmoodstavce"/>
    <w:rsid w:val="003C606D"/>
  </w:style>
  <w:style w:type="character" w:customStyle="1" w:styleId="bbtext">
    <w:name w:val="bbtext"/>
    <w:basedOn w:val="Standardnpsmoodstavce"/>
    <w:rsid w:val="003C606D"/>
  </w:style>
  <w:style w:type="paragraph" w:customStyle="1" w:styleId="Normlntun">
    <w:name w:val="Normální tučný"/>
    <w:basedOn w:val="Normln"/>
    <w:rsid w:val="003C606D"/>
    <w:pPr>
      <w:widowControl w:val="0"/>
    </w:pPr>
    <w:rPr>
      <w:rFonts w:ascii="Times New Roman" w:eastAsia="Times New Roman" w:hAnsi="Times New Roman"/>
      <w:b/>
      <w:bCs/>
      <w:sz w:val="20"/>
      <w:szCs w:val="20"/>
      <w:lang w:val="en-US" w:eastAsia="cs-CZ"/>
    </w:rPr>
  </w:style>
  <w:style w:type="paragraph" w:customStyle="1" w:styleId="Normlnkurzva">
    <w:name w:val="Normální kurzíva"/>
    <w:basedOn w:val="Normln"/>
    <w:rsid w:val="003C606D"/>
    <w:rPr>
      <w:rFonts w:ascii="Times New Roman" w:eastAsia="Times New Roman" w:hAnsi="Times New Roman"/>
      <w:i/>
      <w:iCs/>
      <w:sz w:val="20"/>
      <w:szCs w:val="20"/>
      <w:lang w:eastAsia="cs-CZ"/>
    </w:rPr>
  </w:style>
  <w:style w:type="paragraph" w:customStyle="1" w:styleId="Source">
    <w:name w:val="Source"/>
    <w:basedOn w:val="Normln"/>
    <w:rsid w:val="003C606D"/>
    <w:rPr>
      <w:rFonts w:ascii="Times New Roman" w:eastAsia="Times New Roman" w:hAnsi="Times New Roman"/>
      <w:sz w:val="16"/>
      <w:szCs w:val="20"/>
      <w:lang w:eastAsia="cs-CZ"/>
    </w:rPr>
  </w:style>
  <w:style w:type="paragraph" w:styleId="Zkladntextodsazen">
    <w:name w:val="Body Text Indent"/>
    <w:basedOn w:val="Normln"/>
    <w:link w:val="ZkladntextodsazenChar"/>
    <w:rsid w:val="003C606D"/>
    <w:pPr>
      <w:spacing w:before="0"/>
      <w:ind w:left="4248" w:hanging="4245"/>
    </w:pPr>
    <w:rPr>
      <w:rFonts w:ascii="Arial" w:eastAsia="Times New Roman" w:hAnsi="Arial" w:cs="Arial"/>
      <w:sz w:val="20"/>
      <w:szCs w:val="24"/>
      <w:lang w:eastAsia="cs-CZ"/>
    </w:rPr>
  </w:style>
  <w:style w:type="character" w:customStyle="1" w:styleId="ZkladntextodsazenChar">
    <w:name w:val="Základní text odsazený Char"/>
    <w:basedOn w:val="Standardnpsmoodstavce"/>
    <w:link w:val="Zkladntextodsazen"/>
    <w:rsid w:val="003C606D"/>
    <w:rPr>
      <w:rFonts w:ascii="Arial" w:eastAsia="Times New Roman" w:hAnsi="Arial" w:cs="Arial"/>
      <w:szCs w:val="24"/>
      <w:lang w:val="cs-CZ" w:eastAsia="cs-CZ"/>
    </w:rPr>
  </w:style>
  <w:style w:type="paragraph" w:customStyle="1" w:styleId="Normlnsmezerou">
    <w:name w:val="Normální s mezerou"/>
    <w:basedOn w:val="Normln"/>
    <w:rsid w:val="003C606D"/>
    <w:pPr>
      <w:widowControl w:val="0"/>
      <w:autoSpaceDE w:val="0"/>
      <w:autoSpaceDN w:val="0"/>
      <w:adjustRightInd w:val="0"/>
      <w:spacing w:before="60" w:after="60"/>
      <w:ind w:firstLine="709"/>
    </w:pPr>
    <w:rPr>
      <w:rFonts w:ascii="Arial" w:eastAsia="Times New Roman" w:hAnsi="Arial" w:cs="Arial"/>
      <w:szCs w:val="24"/>
      <w:lang w:eastAsia="cs-CZ"/>
    </w:rPr>
  </w:style>
  <w:style w:type="paragraph" w:styleId="Zkladntextodsazen3">
    <w:name w:val="Body Text Indent 3"/>
    <w:basedOn w:val="Normln"/>
    <w:link w:val="Zkladntextodsazen3Char"/>
    <w:uiPriority w:val="99"/>
    <w:rsid w:val="003C606D"/>
    <w:pPr>
      <w:spacing w:before="0"/>
      <w:ind w:left="60"/>
    </w:pPr>
    <w:rPr>
      <w:rFonts w:ascii="Times New Roman" w:eastAsia="Times New Roman" w:hAnsi="Times New Roman"/>
      <w:sz w:val="22"/>
      <w:szCs w:val="20"/>
      <w:lang w:val="en-US" w:eastAsia="cs-CZ"/>
    </w:rPr>
  </w:style>
  <w:style w:type="character" w:customStyle="1" w:styleId="Zkladntextodsazen3Char">
    <w:name w:val="Základní text odsazený 3 Char"/>
    <w:basedOn w:val="Standardnpsmoodstavce"/>
    <w:link w:val="Zkladntextodsazen3"/>
    <w:uiPriority w:val="99"/>
    <w:rsid w:val="003C606D"/>
    <w:rPr>
      <w:rFonts w:ascii="Times New Roman" w:eastAsia="Times New Roman" w:hAnsi="Times New Roman"/>
      <w:sz w:val="22"/>
      <w:lang w:eastAsia="cs-CZ"/>
    </w:rPr>
  </w:style>
  <w:style w:type="paragraph" w:customStyle="1" w:styleId="Nadpes">
    <w:name w:val="Nadpes"/>
    <w:basedOn w:val="Nadpis2"/>
    <w:rsid w:val="003C606D"/>
    <w:pPr>
      <w:widowControl w:val="0"/>
      <w:numPr>
        <w:ilvl w:val="0"/>
        <w:numId w:val="5"/>
      </w:numPr>
      <w:tabs>
        <w:tab w:val="center" w:pos="1134"/>
      </w:tabs>
      <w:autoSpaceDE w:val="0"/>
      <w:autoSpaceDN w:val="0"/>
      <w:adjustRightInd w:val="0"/>
      <w:spacing w:before="360"/>
    </w:pPr>
    <w:rPr>
      <w:rFonts w:ascii="Times New Roman" w:hAnsi="Times New Roman"/>
      <w:color w:val="808000"/>
      <w:sz w:val="28"/>
      <w:szCs w:val="24"/>
      <w:lang w:val="en-US" w:eastAsia="cs-CZ"/>
    </w:rPr>
  </w:style>
  <w:style w:type="paragraph" w:customStyle="1" w:styleId="Nadpepes">
    <w:name w:val="Nadpepes"/>
    <w:basedOn w:val="Nadpis2"/>
    <w:rsid w:val="003C606D"/>
    <w:pPr>
      <w:widowControl w:val="0"/>
      <w:numPr>
        <w:numId w:val="5"/>
      </w:numPr>
      <w:tabs>
        <w:tab w:val="center" w:pos="1134"/>
      </w:tabs>
      <w:autoSpaceDE w:val="0"/>
      <w:autoSpaceDN w:val="0"/>
      <w:adjustRightInd w:val="0"/>
      <w:spacing w:before="360"/>
    </w:pPr>
    <w:rPr>
      <w:rFonts w:ascii="Times New Roman" w:hAnsi="Times New Roman"/>
      <w:i/>
      <w:iCs/>
      <w:color w:val="808000"/>
      <w:szCs w:val="24"/>
      <w:lang w:val="en-US" w:eastAsia="cs-CZ"/>
    </w:rPr>
  </w:style>
  <w:style w:type="paragraph" w:customStyle="1" w:styleId="Nadpepepes">
    <w:name w:val="Nadpepepes"/>
    <w:basedOn w:val="Nadpis4"/>
    <w:rsid w:val="003C606D"/>
    <w:pPr>
      <w:keepLines w:val="0"/>
      <w:numPr>
        <w:ilvl w:val="2"/>
        <w:numId w:val="5"/>
      </w:numPr>
      <w:tabs>
        <w:tab w:val="center" w:pos="4536"/>
        <w:tab w:val="left" w:pos="8306"/>
        <w:tab w:val="right" w:pos="10206"/>
      </w:tabs>
      <w:spacing w:before="240"/>
    </w:pPr>
    <w:rPr>
      <w:rFonts w:ascii="Times New Roman" w:hAnsi="Times New Roman"/>
      <w:i w:val="0"/>
      <w:iCs w:val="0"/>
      <w:color w:val="808000"/>
      <w:szCs w:val="20"/>
      <w:lang w:val="en-US" w:eastAsia="cs-CZ"/>
    </w:rPr>
  </w:style>
  <w:style w:type="paragraph" w:customStyle="1" w:styleId="Pedmtkomente1">
    <w:name w:val="Předmět komentáře1"/>
    <w:basedOn w:val="Textkomente"/>
    <w:next w:val="Textkomente"/>
    <w:semiHidden/>
    <w:rsid w:val="003C606D"/>
    <w:pPr>
      <w:spacing w:before="0" w:after="0"/>
      <w:jc w:val="left"/>
    </w:pPr>
    <w:rPr>
      <w:rFonts w:ascii="Times New Roman" w:eastAsia="Times New Roman" w:hAnsi="Times New Roman"/>
      <w:b/>
      <w:bCs/>
      <w:lang w:val="en-US"/>
    </w:rPr>
  </w:style>
  <w:style w:type="paragraph" w:customStyle="1" w:styleId="Textbubliny1">
    <w:name w:val="Text bubliny1"/>
    <w:basedOn w:val="Normln"/>
    <w:semiHidden/>
    <w:rsid w:val="003C606D"/>
    <w:pPr>
      <w:spacing w:before="0" w:after="0"/>
      <w:jc w:val="left"/>
    </w:pPr>
    <w:rPr>
      <w:rFonts w:ascii="Tahoma" w:eastAsia="Times New Roman" w:hAnsi="Tahoma" w:cs="Tahoma"/>
      <w:sz w:val="16"/>
      <w:szCs w:val="16"/>
      <w:lang w:val="en-US"/>
    </w:rPr>
  </w:style>
  <w:style w:type="paragraph" w:styleId="Obsah4">
    <w:name w:val="toc 4"/>
    <w:basedOn w:val="Normln"/>
    <w:next w:val="Normln"/>
    <w:autoRedefine/>
    <w:uiPriority w:val="39"/>
    <w:rsid w:val="003C606D"/>
    <w:pPr>
      <w:spacing w:before="0" w:after="0"/>
      <w:ind w:left="720"/>
      <w:jc w:val="left"/>
    </w:pPr>
    <w:rPr>
      <w:rFonts w:asciiTheme="minorHAnsi" w:hAnsiTheme="minorHAnsi"/>
      <w:sz w:val="18"/>
      <w:szCs w:val="18"/>
    </w:rPr>
  </w:style>
  <w:style w:type="paragraph" w:styleId="Obsah5">
    <w:name w:val="toc 5"/>
    <w:basedOn w:val="Normln"/>
    <w:next w:val="Normln"/>
    <w:autoRedefine/>
    <w:uiPriority w:val="39"/>
    <w:rsid w:val="003C606D"/>
    <w:pPr>
      <w:spacing w:before="0" w:after="0"/>
      <w:ind w:left="960"/>
      <w:jc w:val="left"/>
    </w:pPr>
    <w:rPr>
      <w:rFonts w:asciiTheme="minorHAnsi" w:hAnsiTheme="minorHAnsi"/>
      <w:sz w:val="18"/>
      <w:szCs w:val="18"/>
    </w:rPr>
  </w:style>
  <w:style w:type="paragraph" w:styleId="Obsah6">
    <w:name w:val="toc 6"/>
    <w:basedOn w:val="Normln"/>
    <w:next w:val="Normln"/>
    <w:autoRedefine/>
    <w:uiPriority w:val="39"/>
    <w:rsid w:val="003C606D"/>
    <w:pPr>
      <w:spacing w:before="0" w:after="0"/>
      <w:ind w:left="1200"/>
      <w:jc w:val="left"/>
    </w:pPr>
    <w:rPr>
      <w:rFonts w:asciiTheme="minorHAnsi" w:hAnsiTheme="minorHAnsi"/>
      <w:sz w:val="18"/>
      <w:szCs w:val="18"/>
    </w:rPr>
  </w:style>
  <w:style w:type="paragraph" w:styleId="Obsah7">
    <w:name w:val="toc 7"/>
    <w:basedOn w:val="Normln"/>
    <w:next w:val="Normln"/>
    <w:autoRedefine/>
    <w:uiPriority w:val="39"/>
    <w:rsid w:val="003C606D"/>
    <w:pPr>
      <w:spacing w:before="0" w:after="0"/>
      <w:ind w:left="1440"/>
      <w:jc w:val="left"/>
    </w:pPr>
    <w:rPr>
      <w:rFonts w:asciiTheme="minorHAnsi" w:hAnsiTheme="minorHAnsi"/>
      <w:sz w:val="18"/>
      <w:szCs w:val="18"/>
    </w:rPr>
  </w:style>
  <w:style w:type="paragraph" w:styleId="Obsah8">
    <w:name w:val="toc 8"/>
    <w:basedOn w:val="Normln"/>
    <w:next w:val="Normln"/>
    <w:autoRedefine/>
    <w:uiPriority w:val="39"/>
    <w:rsid w:val="003C606D"/>
    <w:pPr>
      <w:spacing w:before="0" w:after="0"/>
      <w:ind w:left="1680"/>
      <w:jc w:val="left"/>
    </w:pPr>
    <w:rPr>
      <w:rFonts w:asciiTheme="minorHAnsi" w:hAnsiTheme="minorHAnsi"/>
      <w:sz w:val="18"/>
      <w:szCs w:val="18"/>
    </w:rPr>
  </w:style>
  <w:style w:type="paragraph" w:styleId="Obsah9">
    <w:name w:val="toc 9"/>
    <w:basedOn w:val="Normln"/>
    <w:next w:val="Normln"/>
    <w:autoRedefine/>
    <w:uiPriority w:val="39"/>
    <w:rsid w:val="003C606D"/>
    <w:pPr>
      <w:spacing w:before="0" w:after="0"/>
      <w:ind w:left="1920"/>
      <w:jc w:val="left"/>
    </w:pPr>
    <w:rPr>
      <w:rFonts w:asciiTheme="minorHAnsi" w:hAnsiTheme="minorHAnsi"/>
      <w:sz w:val="18"/>
      <w:szCs w:val="18"/>
    </w:rPr>
  </w:style>
  <w:style w:type="paragraph" w:customStyle="1" w:styleId="Nadpis2Heading2FirmHeading2Firm13">
    <w:name w:val="Nadpis 2;Heading 2 Firm;Heading 2 Firm13"/>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2">
    <w:name w:val="Nadpis 2;Heading 2 Firm;Heading 2 Firm12"/>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1">
    <w:name w:val="Nadpis 2;Heading 2 Firm;Heading 2 Firm11"/>
    <w:basedOn w:val="Normln"/>
    <w:rsid w:val="003C606D"/>
    <w:pPr>
      <w:spacing w:before="0"/>
    </w:pPr>
    <w:rPr>
      <w:rFonts w:ascii="Times New Roman" w:eastAsia="Times New Roman" w:hAnsi="Times New Roman"/>
      <w:sz w:val="20"/>
      <w:szCs w:val="20"/>
      <w:lang w:eastAsia="cs-CZ"/>
    </w:rPr>
  </w:style>
  <w:style w:type="character" w:customStyle="1" w:styleId="SourceChar">
    <w:name w:val="Source Char"/>
    <w:basedOn w:val="Standardnpsmoodstavce"/>
    <w:rsid w:val="003C606D"/>
    <w:rPr>
      <w:sz w:val="16"/>
      <w:lang w:val="en-GB" w:eastAsia="cs-CZ" w:bidi="ar-SA"/>
    </w:rPr>
  </w:style>
  <w:style w:type="paragraph" w:customStyle="1" w:styleId="font5">
    <w:name w:val="font5"/>
    <w:basedOn w:val="Normln"/>
    <w:rsid w:val="003C606D"/>
    <w:pPr>
      <w:spacing w:before="100" w:beforeAutospacing="1" w:after="100" w:afterAutospacing="1"/>
      <w:jc w:val="left"/>
    </w:pPr>
    <w:rPr>
      <w:rFonts w:ascii="Tahoma" w:eastAsia="Arial Unicode MS" w:hAnsi="Tahoma" w:cs="Tahoma"/>
      <w:color w:val="000000"/>
      <w:sz w:val="16"/>
      <w:szCs w:val="16"/>
      <w:lang w:eastAsia="cs-CZ"/>
    </w:rPr>
  </w:style>
  <w:style w:type="paragraph" w:customStyle="1" w:styleId="font6">
    <w:name w:val="font6"/>
    <w:basedOn w:val="Normln"/>
    <w:rsid w:val="003C606D"/>
    <w:pPr>
      <w:spacing w:before="100" w:beforeAutospacing="1" w:after="100" w:afterAutospacing="1"/>
      <w:jc w:val="left"/>
    </w:pPr>
    <w:rPr>
      <w:rFonts w:ascii="Tahoma" w:eastAsia="Arial Unicode MS" w:hAnsi="Tahoma" w:cs="Tahoma"/>
      <w:b/>
      <w:bCs/>
      <w:color w:val="000000"/>
      <w:sz w:val="16"/>
      <w:szCs w:val="16"/>
      <w:lang w:eastAsia="cs-CZ"/>
    </w:rPr>
  </w:style>
  <w:style w:type="paragraph" w:customStyle="1" w:styleId="xl24">
    <w:name w:val="xl24"/>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25">
    <w:name w:val="xl25"/>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26">
    <w:name w:val="xl26"/>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27">
    <w:name w:val="xl27"/>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28">
    <w:name w:val="xl28"/>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29">
    <w:name w:val="xl29"/>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0">
    <w:name w:val="xl30"/>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1">
    <w:name w:val="xl31"/>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2">
    <w:name w:val="xl32"/>
    <w:basedOn w:val="Normln"/>
    <w:rsid w:val="003C606D"/>
    <w:pPr>
      <w:pBdr>
        <w:top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3">
    <w:name w:val="xl33"/>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5">
    <w:name w:val="xl35"/>
    <w:basedOn w:val="Normln"/>
    <w:rsid w:val="003C606D"/>
    <w:pPr>
      <w:spacing w:before="100" w:beforeAutospacing="1" w:after="100" w:afterAutospacing="1"/>
      <w:jc w:val="left"/>
    </w:pPr>
    <w:rPr>
      <w:rFonts w:ascii="Arial" w:eastAsia="Arial Unicode MS" w:hAnsi="Arial" w:cs="Arial Unicode MS"/>
      <w:i/>
      <w:iCs/>
      <w:szCs w:val="24"/>
      <w:lang w:eastAsia="cs-CZ"/>
    </w:rPr>
  </w:style>
  <w:style w:type="paragraph" w:customStyle="1" w:styleId="xl36">
    <w:name w:val="xl36"/>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7">
    <w:name w:val="xl37"/>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38">
    <w:name w:val="xl38"/>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9">
    <w:name w:val="xl39"/>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0">
    <w:name w:val="xl40"/>
    <w:basedOn w:val="Normln"/>
    <w:rsid w:val="003C606D"/>
    <w:pPr>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41">
    <w:name w:val="xl41"/>
    <w:basedOn w:val="Normln"/>
    <w:rsid w:val="003C606D"/>
    <w:pPr>
      <w:spacing w:before="100" w:beforeAutospacing="1" w:after="100" w:afterAutospacing="1"/>
      <w:jc w:val="left"/>
    </w:pPr>
    <w:rPr>
      <w:rFonts w:ascii="Arial" w:eastAsia="Arial Unicode MS" w:hAnsi="Arial" w:cs="Arial Unicode MS"/>
      <w:i/>
      <w:iCs/>
      <w:szCs w:val="24"/>
      <w:lang w:eastAsia="cs-CZ"/>
    </w:rPr>
  </w:style>
  <w:style w:type="paragraph" w:customStyle="1" w:styleId="xl42">
    <w:name w:val="xl42"/>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43">
    <w:name w:val="xl43"/>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4">
    <w:name w:val="xl44"/>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5">
    <w:name w:val="xl45"/>
    <w:basedOn w:val="Normln"/>
    <w:rsid w:val="003C606D"/>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6">
    <w:name w:val="xl46"/>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7">
    <w:name w:val="xl4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8">
    <w:name w:val="xl48"/>
    <w:basedOn w:val="Normln"/>
    <w:rsid w:val="003C606D"/>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49">
    <w:name w:val="xl49"/>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0">
    <w:name w:val="xl50"/>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51">
    <w:name w:val="xl51"/>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52">
    <w:name w:val="xl52"/>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3">
    <w:name w:val="xl53"/>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4">
    <w:name w:val="xl54"/>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5">
    <w:name w:val="xl55"/>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6">
    <w:name w:val="xl56"/>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57">
    <w:name w:val="xl57"/>
    <w:basedOn w:val="Normln"/>
    <w:rsid w:val="003C606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58">
    <w:name w:val="xl58"/>
    <w:basedOn w:val="Normln"/>
    <w:rsid w:val="003C606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59">
    <w:name w:val="xl59"/>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60">
    <w:name w:val="xl60"/>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61">
    <w:name w:val="xl61"/>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2">
    <w:name w:val="xl62"/>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3">
    <w:name w:val="xl63"/>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4">
    <w:name w:val="xl64"/>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5">
    <w:name w:val="xl65"/>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6">
    <w:name w:val="xl66"/>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7">
    <w:name w:val="xl67"/>
    <w:basedOn w:val="Normln"/>
    <w:rsid w:val="003C606D"/>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8">
    <w:name w:val="xl68"/>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9">
    <w:name w:val="xl69"/>
    <w:basedOn w:val="Normln"/>
    <w:rsid w:val="003C606D"/>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0">
    <w:name w:val="xl70"/>
    <w:basedOn w:val="Normln"/>
    <w:rsid w:val="003C606D"/>
    <w:pPr>
      <w:pBdr>
        <w:top w:val="single" w:sz="4" w:space="0" w:color="auto"/>
        <w:lef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1">
    <w:name w:val="xl71"/>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72">
    <w:name w:val="xl72"/>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73">
    <w:name w:val="xl73"/>
    <w:basedOn w:val="Normln"/>
    <w:rsid w:val="003C606D"/>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4">
    <w:name w:val="xl74"/>
    <w:basedOn w:val="Normln"/>
    <w:rsid w:val="003C606D"/>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5">
    <w:name w:val="xl75"/>
    <w:basedOn w:val="Normln"/>
    <w:rsid w:val="003C606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76">
    <w:name w:val="xl76"/>
    <w:basedOn w:val="Normln"/>
    <w:rsid w:val="003C606D"/>
    <w:pPr>
      <w:pBdr>
        <w:top w:val="single" w:sz="4"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7">
    <w:name w:val="xl7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8">
    <w:name w:val="xl78"/>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9">
    <w:name w:val="xl79"/>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80">
    <w:name w:val="xl80"/>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81">
    <w:name w:val="xl81"/>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82">
    <w:name w:val="xl82"/>
    <w:basedOn w:val="Normln"/>
    <w:rsid w:val="003C606D"/>
    <w:pPr>
      <w:pBdr>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3">
    <w:name w:val="xl83"/>
    <w:basedOn w:val="Normln"/>
    <w:rsid w:val="003C606D"/>
    <w:pPr>
      <w:pBdr>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4">
    <w:name w:val="xl84"/>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5">
    <w:name w:val="xl85"/>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6">
    <w:name w:val="xl86"/>
    <w:basedOn w:val="Normln"/>
    <w:rsid w:val="003C606D"/>
    <w:pPr>
      <w:pBdr>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7">
    <w:name w:val="xl87"/>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8">
    <w:name w:val="xl88"/>
    <w:basedOn w:val="Normln"/>
    <w:rsid w:val="003C606D"/>
    <w:pPr>
      <w:pBdr>
        <w:top w:val="single" w:sz="4"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9">
    <w:name w:val="xl89"/>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0">
    <w:name w:val="xl90"/>
    <w:basedOn w:val="Normln"/>
    <w:rsid w:val="003C606D"/>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1">
    <w:name w:val="xl91"/>
    <w:basedOn w:val="Normln"/>
    <w:rsid w:val="003C606D"/>
    <w:pPr>
      <w:pBdr>
        <w:lef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2">
    <w:name w:val="xl92"/>
    <w:basedOn w:val="Normln"/>
    <w:rsid w:val="003C606D"/>
    <w:pPr>
      <w:pBdr>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3">
    <w:name w:val="xl93"/>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94">
    <w:name w:val="xl94"/>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95">
    <w:name w:val="xl95"/>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6">
    <w:name w:val="xl96"/>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7">
    <w:name w:val="xl9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8">
    <w:name w:val="xl98"/>
    <w:basedOn w:val="Normln"/>
    <w:rsid w:val="003C606D"/>
    <w:pPr>
      <w:pBdr>
        <w:top w:val="single" w:sz="8"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9">
    <w:name w:val="xl99"/>
    <w:basedOn w:val="Normln"/>
    <w:rsid w:val="003C606D"/>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0">
    <w:name w:val="xl100"/>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1">
    <w:name w:val="xl101"/>
    <w:basedOn w:val="Normln"/>
    <w:rsid w:val="003C606D"/>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2">
    <w:name w:val="xl102"/>
    <w:basedOn w:val="Normln"/>
    <w:rsid w:val="003C606D"/>
    <w:pPr>
      <w:pBdr>
        <w:top w:val="single" w:sz="4"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03">
    <w:name w:val="xl103"/>
    <w:basedOn w:val="Normln"/>
    <w:rsid w:val="003C606D"/>
    <w:pPr>
      <w:pBdr>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4">
    <w:name w:val="xl104"/>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5">
    <w:name w:val="xl105"/>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06">
    <w:name w:val="xl106"/>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07">
    <w:name w:val="xl107"/>
    <w:basedOn w:val="Normln"/>
    <w:rsid w:val="003C606D"/>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8">
    <w:name w:val="xl108"/>
    <w:basedOn w:val="Normln"/>
    <w:rsid w:val="003C606D"/>
    <w:pPr>
      <w:pBdr>
        <w:top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9">
    <w:name w:val="xl109"/>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0">
    <w:name w:val="xl110"/>
    <w:basedOn w:val="Normln"/>
    <w:rsid w:val="003C606D"/>
    <w:pPr>
      <w:pBdr>
        <w:top w:val="single" w:sz="8"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1">
    <w:name w:val="xl111"/>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color w:val="FF0000"/>
      <w:szCs w:val="24"/>
      <w:lang w:eastAsia="cs-CZ"/>
    </w:rPr>
  </w:style>
  <w:style w:type="paragraph" w:customStyle="1" w:styleId="xl112">
    <w:name w:val="xl112"/>
    <w:basedOn w:val="Normln"/>
    <w:rsid w:val="003C606D"/>
    <w:pPr>
      <w:pBdr>
        <w:top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3">
    <w:name w:val="xl113"/>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4">
    <w:name w:val="xl114"/>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15">
    <w:name w:val="xl115"/>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16">
    <w:name w:val="xl116"/>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i/>
      <w:iCs/>
      <w:szCs w:val="24"/>
      <w:lang w:eastAsia="cs-CZ"/>
    </w:rPr>
  </w:style>
  <w:style w:type="paragraph" w:customStyle="1" w:styleId="xl117">
    <w:name w:val="xl117"/>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i/>
      <w:iCs/>
      <w:szCs w:val="24"/>
      <w:lang w:eastAsia="cs-CZ"/>
    </w:rPr>
  </w:style>
  <w:style w:type="paragraph" w:customStyle="1" w:styleId="xl118">
    <w:name w:val="xl118"/>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9">
    <w:name w:val="xl119"/>
    <w:basedOn w:val="Normln"/>
    <w:rsid w:val="003C606D"/>
    <w:pPr>
      <w:pBdr>
        <w:top w:val="single" w:sz="8" w:space="0" w:color="auto"/>
        <w:left w:val="single" w:sz="4" w:space="0" w:color="auto"/>
        <w:bottom w:val="single" w:sz="8"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120">
    <w:name w:val="xl120"/>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21">
    <w:name w:val="xl121"/>
    <w:basedOn w:val="Normln"/>
    <w:rsid w:val="003C606D"/>
    <w:pPr>
      <w:pBdr>
        <w:top w:val="single" w:sz="8"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2">
    <w:name w:val="xl122"/>
    <w:basedOn w:val="Normln"/>
    <w:rsid w:val="003C606D"/>
    <w:pPr>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23">
    <w:name w:val="xl123"/>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4">
    <w:name w:val="xl124"/>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25">
    <w:name w:val="xl125"/>
    <w:basedOn w:val="Normln"/>
    <w:rsid w:val="003C606D"/>
    <w:pPr>
      <w:pBdr>
        <w:top w:val="single" w:sz="4"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6">
    <w:name w:val="xl126"/>
    <w:basedOn w:val="Normln"/>
    <w:rsid w:val="003C606D"/>
    <w:pPr>
      <w:pBdr>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7">
    <w:name w:val="xl127"/>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28">
    <w:name w:val="xl128"/>
    <w:basedOn w:val="Normln"/>
    <w:rsid w:val="003C606D"/>
    <w:pPr>
      <w:pBdr>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9">
    <w:name w:val="xl129"/>
    <w:basedOn w:val="Normln"/>
    <w:rsid w:val="003C606D"/>
    <w:pPr>
      <w:pBdr>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30">
    <w:name w:val="xl130"/>
    <w:basedOn w:val="Normln"/>
    <w:rsid w:val="003C606D"/>
    <w:pPr>
      <w:pBdr>
        <w:lef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1">
    <w:name w:val="xl131"/>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2">
    <w:name w:val="xl132"/>
    <w:basedOn w:val="Normln"/>
    <w:rsid w:val="003C606D"/>
    <w:pPr>
      <w:pBdr>
        <w:top w:val="single" w:sz="4" w:space="0" w:color="auto"/>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3">
    <w:name w:val="xl133"/>
    <w:basedOn w:val="Normln"/>
    <w:rsid w:val="003C606D"/>
    <w:pPr>
      <w:pBdr>
        <w:top w:val="single" w:sz="8"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34">
    <w:name w:val="xl134"/>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35">
    <w:name w:val="xl135"/>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36">
    <w:name w:val="xl136"/>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7">
    <w:name w:val="xl137"/>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8">
    <w:name w:val="xl138"/>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9">
    <w:name w:val="xl139"/>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0">
    <w:name w:val="xl140"/>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w:eastAsia="Arial Unicode MS" w:hAnsi="Arial" w:cs="Arial Unicode MS"/>
      <w:i/>
      <w:iCs/>
      <w:szCs w:val="24"/>
      <w:lang w:eastAsia="cs-CZ"/>
    </w:rPr>
  </w:style>
  <w:style w:type="paragraph" w:customStyle="1" w:styleId="xl141">
    <w:name w:val="xl141"/>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2">
    <w:name w:val="xl142"/>
    <w:basedOn w:val="Normln"/>
    <w:rsid w:val="003C606D"/>
    <w:pPr>
      <w:pBdr>
        <w:top w:val="single" w:sz="8" w:space="0" w:color="auto"/>
        <w:bottom w:val="single" w:sz="8" w:space="0" w:color="auto"/>
        <w:right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3">
    <w:name w:val="xl143"/>
    <w:basedOn w:val="Normln"/>
    <w:rsid w:val="003C606D"/>
    <w:pPr>
      <w:pBdr>
        <w:top w:val="single" w:sz="8" w:space="0" w:color="auto"/>
        <w:left w:val="single" w:sz="8" w:space="0" w:color="auto"/>
        <w:bottom w:val="single" w:sz="8" w:space="0" w:color="auto"/>
      </w:pBdr>
      <w:shd w:val="clear" w:color="auto" w:fill="808000"/>
      <w:spacing w:before="100" w:beforeAutospacing="1" w:after="100" w:afterAutospacing="1"/>
      <w:jc w:val="left"/>
    </w:pPr>
    <w:rPr>
      <w:rFonts w:ascii="Arial" w:eastAsia="Arial Unicode MS" w:hAnsi="Arial" w:cs="Arial Unicode MS"/>
      <w:b/>
      <w:bCs/>
      <w:color w:val="FFFFFF"/>
      <w:szCs w:val="24"/>
      <w:lang w:eastAsia="cs-CZ"/>
    </w:rPr>
  </w:style>
  <w:style w:type="paragraph" w:customStyle="1" w:styleId="xl144">
    <w:name w:val="xl144"/>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5">
    <w:name w:val="xl145"/>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6">
    <w:name w:val="xl146"/>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7">
    <w:name w:val="xl147"/>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34">
    <w:name w:val="xl34"/>
    <w:basedOn w:val="Normln"/>
    <w:rsid w:val="003C606D"/>
    <w:pPr>
      <w:pBdr>
        <w:top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8">
    <w:name w:val="xl148"/>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9">
    <w:name w:val="xl149"/>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character" w:customStyle="1" w:styleId="cun1">
    <w:name w:val="cun1"/>
    <w:basedOn w:val="Standardnpsmoodstavce"/>
    <w:rsid w:val="003C606D"/>
    <w:rPr>
      <w:sz w:val="16"/>
      <w:szCs w:val="16"/>
    </w:rPr>
  </w:style>
  <w:style w:type="character" w:customStyle="1" w:styleId="cu1">
    <w:name w:val="cu1"/>
    <w:basedOn w:val="Standardnpsmoodstavce"/>
    <w:rsid w:val="003C606D"/>
    <w:rPr>
      <w:i/>
      <w:iCs/>
      <w:sz w:val="16"/>
      <w:szCs w:val="16"/>
    </w:rPr>
  </w:style>
  <w:style w:type="paragraph" w:customStyle="1" w:styleId="source0">
    <w:name w:val="source"/>
    <w:basedOn w:val="Normln"/>
    <w:rsid w:val="003C606D"/>
    <w:pPr>
      <w:spacing w:before="0" w:after="0"/>
    </w:pPr>
    <w:rPr>
      <w:rFonts w:ascii="Times New Roman" w:eastAsia="Times New Roman" w:hAnsi="Times New Roman"/>
      <w:sz w:val="16"/>
      <w:szCs w:val="24"/>
      <w:lang w:val="en-US" w:eastAsia="cs-CZ"/>
    </w:rPr>
  </w:style>
  <w:style w:type="paragraph" w:customStyle="1" w:styleId="center">
    <w:name w:val="center"/>
    <w:basedOn w:val="Normln"/>
    <w:rsid w:val="003C606D"/>
    <w:pPr>
      <w:spacing w:before="100" w:beforeAutospacing="1" w:after="100" w:afterAutospacing="1"/>
      <w:jc w:val="center"/>
    </w:pPr>
    <w:rPr>
      <w:rFonts w:ascii="Arial Unicode MS" w:eastAsia="Arial Unicode MS" w:hAnsi="Arial Unicode MS" w:cs="Arial Unicode MS"/>
      <w:szCs w:val="24"/>
      <w:lang w:eastAsia="cs-CZ"/>
    </w:rPr>
  </w:style>
  <w:style w:type="character" w:customStyle="1" w:styleId="vtwelve1">
    <w:name w:val="vtwelve1"/>
    <w:basedOn w:val="Standardnpsmoodstavce"/>
    <w:rsid w:val="003C606D"/>
    <w:rPr>
      <w:rFonts w:ascii="Verdana" w:hAnsi="Verdana" w:hint="default"/>
      <w:sz w:val="18"/>
      <w:szCs w:val="18"/>
    </w:rPr>
  </w:style>
  <w:style w:type="character" w:customStyle="1" w:styleId="CittChar">
    <w:name w:val="Citát Char"/>
    <w:basedOn w:val="Standardnpsmoodstavce"/>
    <w:link w:val="Citt"/>
    <w:uiPriority w:val="29"/>
    <w:rsid w:val="00B80ACE"/>
    <w:rPr>
      <w:rFonts w:ascii="Garamond" w:eastAsia="Times New Roman" w:hAnsi="Garamond"/>
      <w:i/>
      <w:iCs/>
      <w:color w:val="000000"/>
      <w:sz w:val="22"/>
      <w:lang w:eastAsia="cs-CZ"/>
    </w:rPr>
  </w:style>
  <w:style w:type="numbering" w:customStyle="1" w:styleId="NoList3">
    <w:name w:val="No List3"/>
    <w:next w:val="Bezseznamu"/>
    <w:uiPriority w:val="99"/>
    <w:semiHidden/>
    <w:unhideWhenUsed/>
    <w:rsid w:val="00FA7752"/>
  </w:style>
  <w:style w:type="character" w:customStyle="1" w:styleId="CharChar19">
    <w:name w:val="Char Char19"/>
    <w:basedOn w:val="Standardnpsmoodstavce"/>
    <w:rsid w:val="00FA7752"/>
    <w:rPr>
      <w:rFonts w:ascii="Arial" w:hAnsi="Arial"/>
      <w:b/>
      <w:bCs/>
      <w:i/>
      <w:iCs/>
      <w:sz w:val="26"/>
      <w:szCs w:val="26"/>
    </w:rPr>
  </w:style>
  <w:style w:type="character" w:customStyle="1" w:styleId="CharChar18">
    <w:name w:val="Char Char18"/>
    <w:basedOn w:val="Standardnpsmoodstavce"/>
    <w:rsid w:val="00FA7752"/>
    <w:rPr>
      <w:b/>
      <w:bCs/>
      <w:szCs w:val="22"/>
    </w:rPr>
  </w:style>
  <w:style w:type="character" w:customStyle="1" w:styleId="CharChar17">
    <w:name w:val="Char Char17"/>
    <w:basedOn w:val="Standardnpsmoodstavce"/>
    <w:rsid w:val="00FA7752"/>
    <w:rPr>
      <w:sz w:val="24"/>
      <w:szCs w:val="24"/>
    </w:rPr>
  </w:style>
  <w:style w:type="character" w:customStyle="1" w:styleId="CharChar16">
    <w:name w:val="Char Char16"/>
    <w:basedOn w:val="Standardnpsmoodstavce"/>
    <w:rsid w:val="00FA7752"/>
    <w:rPr>
      <w:i/>
      <w:iCs/>
      <w:sz w:val="24"/>
      <w:szCs w:val="24"/>
    </w:rPr>
  </w:style>
  <w:style w:type="character" w:customStyle="1" w:styleId="CharChar15">
    <w:name w:val="Char Char15"/>
    <w:basedOn w:val="Standardnpsmoodstavce"/>
    <w:rsid w:val="00FA7752"/>
    <w:rPr>
      <w:rFonts w:ascii="Arial" w:hAnsi="Arial" w:cs="Arial"/>
      <w:szCs w:val="22"/>
    </w:rPr>
  </w:style>
  <w:style w:type="character" w:customStyle="1" w:styleId="CharChar14">
    <w:name w:val="Char Char14"/>
    <w:basedOn w:val="Standardnpsmoodstavce"/>
    <w:rsid w:val="00FA7752"/>
    <w:rPr>
      <w:rFonts w:ascii="Arial" w:hAnsi="Arial"/>
      <w:szCs w:val="24"/>
      <w:lang w:val="cs-CZ" w:eastAsia="cs-CZ" w:bidi="ar-SA"/>
    </w:rPr>
  </w:style>
  <w:style w:type="character" w:customStyle="1" w:styleId="CharChar13">
    <w:name w:val="Char Char13"/>
    <w:basedOn w:val="Standardnpsmoodstavce"/>
    <w:semiHidden/>
    <w:rsid w:val="00FA7752"/>
    <w:rPr>
      <w:rFonts w:ascii="Arial" w:hAnsi="Arial"/>
      <w:sz w:val="16"/>
      <w:lang w:val="cs-CZ" w:eastAsia="cs-CZ" w:bidi="ar-SA"/>
    </w:rPr>
  </w:style>
  <w:style w:type="paragraph" w:customStyle="1" w:styleId="footnote">
    <w:name w:val="footnote"/>
    <w:basedOn w:val="Textpoznpodarou"/>
    <w:rsid w:val="00FA7752"/>
    <w:pPr>
      <w:spacing w:after="120" w:line="288" w:lineRule="auto"/>
    </w:pPr>
    <w:rPr>
      <w:rFonts w:ascii="Arial" w:hAnsi="Arial"/>
      <w:sz w:val="16"/>
    </w:rPr>
  </w:style>
  <w:style w:type="character" w:customStyle="1" w:styleId="footnoteChar">
    <w:name w:val="footnote Char"/>
    <w:rsid w:val="00FA7752"/>
    <w:rPr>
      <w:rFonts w:ascii="Arial" w:hAnsi="Arial"/>
      <w:sz w:val="16"/>
      <w:lang w:val="cs-CZ" w:eastAsia="cs-CZ" w:bidi="ar-SA"/>
    </w:rPr>
  </w:style>
  <w:style w:type="paragraph" w:customStyle="1" w:styleId="StyleHeading2Italic">
    <w:name w:val="Style Heading 2 + Italic"/>
    <w:basedOn w:val="Nadpis2"/>
    <w:rsid w:val="00FA7752"/>
    <w:pPr>
      <w:tabs>
        <w:tab w:val="num" w:pos="576"/>
      </w:tabs>
      <w:spacing w:before="0" w:line="288" w:lineRule="auto"/>
    </w:pPr>
    <w:rPr>
      <w:rFonts w:ascii="Arial" w:hAnsi="Arial" w:cs="Arial"/>
      <w:iCs/>
      <w:color w:val="000080"/>
      <w:sz w:val="20"/>
      <w:szCs w:val="28"/>
      <w:lang w:eastAsia="cs-CZ"/>
    </w:rPr>
  </w:style>
  <w:style w:type="character" w:customStyle="1" w:styleId="CharChar11">
    <w:name w:val="Char Char11"/>
    <w:basedOn w:val="Standardnpsmoodstavce"/>
    <w:rsid w:val="00FA7752"/>
    <w:rPr>
      <w:rFonts w:ascii="Arial Narrow" w:hAnsi="Arial Narrow"/>
      <w:szCs w:val="24"/>
      <w:lang w:val="cs-CZ" w:eastAsia="cs-CZ" w:bidi="ar-SA"/>
    </w:rPr>
  </w:style>
  <w:style w:type="paragraph" w:customStyle="1" w:styleId="Zdroj">
    <w:name w:val="Zdroj"/>
    <w:basedOn w:val="Normln"/>
    <w:next w:val="Normln"/>
    <w:qFormat/>
    <w:rsid w:val="00FA7752"/>
    <w:pPr>
      <w:spacing w:before="0" w:line="288" w:lineRule="auto"/>
    </w:pPr>
    <w:rPr>
      <w:rFonts w:ascii="Arial" w:eastAsia="Times New Roman" w:hAnsi="Arial"/>
      <w:sz w:val="18"/>
      <w:szCs w:val="24"/>
      <w:lang w:eastAsia="cs-CZ"/>
    </w:rPr>
  </w:style>
  <w:style w:type="character" w:customStyle="1" w:styleId="ZdrojChar">
    <w:name w:val="Zdroj Char"/>
    <w:basedOn w:val="Standardnpsmoodstavce"/>
    <w:rsid w:val="00FA7752"/>
    <w:rPr>
      <w:rFonts w:ascii="Arial" w:hAnsi="Arial"/>
      <w:sz w:val="18"/>
      <w:szCs w:val="24"/>
      <w:lang w:val="cs-CZ" w:eastAsia="cs-CZ" w:bidi="ar-SA"/>
    </w:rPr>
  </w:style>
  <w:style w:type="table" w:customStyle="1" w:styleId="TableGrid2">
    <w:name w:val="Table Grid2"/>
    <w:basedOn w:val="Normlntabulka"/>
    <w:next w:val="Mkatabulky"/>
    <w:uiPriority w:val="59"/>
    <w:rsid w:val="00FA775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x">
    <w:name w:val="Box"/>
    <w:basedOn w:val="Normln"/>
    <w:rsid w:val="00FA7752"/>
    <w:pPr>
      <w:pBdr>
        <w:top w:val="single" w:sz="12" w:space="1" w:color="808080"/>
        <w:left w:val="single" w:sz="12" w:space="4" w:color="808080"/>
        <w:bottom w:val="single" w:sz="12" w:space="1" w:color="808080"/>
        <w:right w:val="single" w:sz="12" w:space="4" w:color="808080"/>
      </w:pBdr>
      <w:spacing w:before="0" w:line="288" w:lineRule="auto"/>
    </w:pPr>
    <w:rPr>
      <w:rFonts w:ascii="Arial" w:eastAsia="Times New Roman" w:hAnsi="Arial"/>
      <w:sz w:val="20"/>
      <w:szCs w:val="24"/>
      <w:lang w:eastAsia="cs-CZ"/>
    </w:rPr>
  </w:style>
  <w:style w:type="character" w:customStyle="1" w:styleId="google-src-text">
    <w:name w:val="google-src-text"/>
    <w:basedOn w:val="Standardnpsmoodstavce"/>
    <w:rsid w:val="00FA7752"/>
  </w:style>
  <w:style w:type="character" w:customStyle="1" w:styleId="CharChar10">
    <w:name w:val="Char Char10"/>
    <w:basedOn w:val="Standardnpsmoodstavce"/>
    <w:rsid w:val="00FA7752"/>
    <w:rPr>
      <w:rFonts w:ascii="Arial" w:hAnsi="Arial"/>
      <w:lang w:val="cs-CZ" w:eastAsia="cs-CZ" w:bidi="ar-SA"/>
    </w:rPr>
  </w:style>
  <w:style w:type="character" w:customStyle="1" w:styleId="CharChar9">
    <w:name w:val="Char Char9"/>
    <w:basedOn w:val="Standardnpsmoodstavce"/>
    <w:rsid w:val="00FA7752"/>
    <w:rPr>
      <w:rFonts w:ascii="Tahoma" w:hAnsi="Tahoma" w:cs="Tahoma"/>
      <w:sz w:val="16"/>
      <w:szCs w:val="16"/>
      <w:lang w:val="cs-CZ" w:eastAsia="cs-CZ" w:bidi="ar-SA"/>
    </w:rPr>
  </w:style>
  <w:style w:type="paragraph" w:customStyle="1" w:styleId="normln0">
    <w:name w:val="normální"/>
    <w:basedOn w:val="Normln"/>
    <w:rsid w:val="00FA7752"/>
    <w:pPr>
      <w:spacing w:before="60" w:after="60" w:line="300" w:lineRule="auto"/>
    </w:pPr>
    <w:rPr>
      <w:rFonts w:ascii="Arial" w:eastAsia="Times New Roman" w:hAnsi="Arial"/>
      <w:sz w:val="20"/>
      <w:szCs w:val="20"/>
      <w:lang w:eastAsia="cs-CZ"/>
    </w:rPr>
  </w:style>
  <w:style w:type="paragraph" w:customStyle="1" w:styleId="Normln1">
    <w:name w:val="Normální 1"/>
    <w:basedOn w:val="Normln"/>
    <w:next w:val="Normln"/>
    <w:rsid w:val="00FA7752"/>
    <w:pPr>
      <w:spacing w:before="0" w:line="288" w:lineRule="auto"/>
    </w:pPr>
    <w:rPr>
      <w:rFonts w:ascii="Times New Roman" w:eastAsia="Times New Roman" w:hAnsi="Times New Roman"/>
      <w:sz w:val="22"/>
      <w:szCs w:val="20"/>
    </w:rPr>
  </w:style>
  <w:style w:type="character" w:customStyle="1" w:styleId="CharChar8">
    <w:name w:val="Char Char8"/>
    <w:basedOn w:val="CharChar10"/>
    <w:rsid w:val="00FA7752"/>
    <w:rPr>
      <w:rFonts w:ascii="Arial" w:hAnsi="Arial"/>
      <w:b/>
      <w:bCs/>
      <w:lang w:val="cs-CZ" w:eastAsia="cs-CZ" w:bidi="ar-SA"/>
    </w:rPr>
  </w:style>
  <w:style w:type="paragraph" w:customStyle="1" w:styleId="orm">
    <w:name w:val="orm"/>
    <w:basedOn w:val="Titulek"/>
    <w:rsid w:val="00FA7752"/>
    <w:pPr>
      <w:spacing w:before="0" w:line="288" w:lineRule="auto"/>
    </w:pPr>
    <w:rPr>
      <w:i/>
    </w:rPr>
  </w:style>
  <w:style w:type="character" w:customStyle="1" w:styleId="CharChar12">
    <w:name w:val="Char Char12"/>
    <w:basedOn w:val="Standardnpsmoodstavce"/>
    <w:rsid w:val="00FA7752"/>
    <w:rPr>
      <w:rFonts w:ascii="Arial" w:eastAsia="Times New Roman" w:hAnsi="Arial"/>
      <w:sz w:val="16"/>
    </w:rPr>
  </w:style>
  <w:style w:type="paragraph" w:customStyle="1" w:styleId="CM4">
    <w:name w:val="CM4"/>
    <w:basedOn w:val="Default"/>
    <w:next w:val="Default"/>
    <w:uiPriority w:val="99"/>
    <w:rsid w:val="00FA7752"/>
  </w:style>
  <w:style w:type="character" w:customStyle="1" w:styleId="CharChar7">
    <w:name w:val="Char Char7"/>
    <w:basedOn w:val="Standardnpsmoodstavce"/>
    <w:rsid w:val="00FA7752"/>
    <w:rPr>
      <w:rFonts w:ascii="Arial" w:hAnsi="Arial"/>
      <w:i/>
      <w:iCs/>
      <w:sz w:val="22"/>
      <w:szCs w:val="24"/>
      <w:lang w:val="cs-CZ" w:eastAsia="cs-CZ" w:bidi="ar-SA"/>
    </w:rPr>
  </w:style>
  <w:style w:type="character" w:customStyle="1" w:styleId="CharChar6">
    <w:name w:val="Char Char6"/>
    <w:basedOn w:val="Standardnpsmoodstavce"/>
    <w:rsid w:val="00FA7752"/>
    <w:rPr>
      <w:rFonts w:ascii="Arial" w:hAnsi="Arial"/>
      <w:sz w:val="32"/>
      <w:lang w:val="cs-CZ" w:eastAsia="cs-CZ" w:bidi="ar-SA"/>
    </w:rPr>
  </w:style>
  <w:style w:type="paragraph" w:customStyle="1" w:styleId="Nadpisobsahuaseznamu">
    <w:name w:val="Nadpis obsahu a seznamu"/>
    <w:basedOn w:val="Obsah1"/>
    <w:rsid w:val="00FA7752"/>
    <w:pPr>
      <w:spacing w:before="240" w:after="240"/>
    </w:pPr>
    <w:rPr>
      <w:rFonts w:ascii="Arial" w:eastAsia="Times New Roman" w:hAnsi="Arial" w:cs="Arial"/>
      <w:noProof/>
      <w:sz w:val="28"/>
      <w:lang w:eastAsia="cs-CZ"/>
    </w:rPr>
  </w:style>
  <w:style w:type="paragraph" w:customStyle="1" w:styleId="Zkratky">
    <w:name w:val="Zkratky"/>
    <w:basedOn w:val="Normln"/>
    <w:rsid w:val="00FA7752"/>
    <w:pPr>
      <w:tabs>
        <w:tab w:val="left" w:leader="dot" w:pos="2835"/>
      </w:tabs>
      <w:jc w:val="left"/>
    </w:pPr>
    <w:rPr>
      <w:rFonts w:ascii="Arial" w:eastAsia="Times New Roman" w:hAnsi="Arial"/>
      <w:sz w:val="22"/>
      <w:szCs w:val="24"/>
      <w:lang w:eastAsia="cs-CZ"/>
    </w:rPr>
  </w:style>
  <w:style w:type="paragraph" w:customStyle="1" w:styleId="Zhlavtabulky">
    <w:name w:val="Záhlaví tabulky"/>
    <w:basedOn w:val="Normln"/>
    <w:rsid w:val="00FA7752"/>
    <w:pPr>
      <w:jc w:val="center"/>
    </w:pPr>
    <w:rPr>
      <w:rFonts w:ascii="Arial" w:eastAsia="Times New Roman" w:hAnsi="Arial"/>
      <w:b/>
      <w:sz w:val="22"/>
      <w:szCs w:val="24"/>
      <w:lang w:eastAsia="cs-CZ"/>
    </w:rPr>
  </w:style>
  <w:style w:type="paragraph" w:customStyle="1" w:styleId="Bullet1">
    <w:name w:val="Bullet 1"/>
    <w:basedOn w:val="Normln"/>
    <w:rsid w:val="00FA7752"/>
    <w:pPr>
      <w:numPr>
        <w:numId w:val="6"/>
      </w:numPr>
      <w:jc w:val="left"/>
    </w:pPr>
    <w:rPr>
      <w:rFonts w:ascii="Arial" w:eastAsia="Times New Roman" w:hAnsi="Arial"/>
      <w:sz w:val="22"/>
      <w:szCs w:val="24"/>
      <w:lang w:eastAsia="cs-CZ"/>
    </w:rPr>
  </w:style>
  <w:style w:type="paragraph" w:customStyle="1" w:styleId="Bullet2">
    <w:name w:val="Bullet 2"/>
    <w:basedOn w:val="Normln"/>
    <w:rsid w:val="00FA7752"/>
    <w:pPr>
      <w:numPr>
        <w:numId w:val="7"/>
      </w:numPr>
      <w:tabs>
        <w:tab w:val="clear" w:pos="720"/>
        <w:tab w:val="left" w:pos="851"/>
      </w:tabs>
      <w:ind w:left="851" w:hanging="284"/>
      <w:jc w:val="left"/>
    </w:pPr>
    <w:rPr>
      <w:rFonts w:ascii="Arial" w:eastAsia="Times New Roman" w:hAnsi="Arial"/>
      <w:sz w:val="22"/>
      <w:szCs w:val="24"/>
      <w:lang w:eastAsia="cs-CZ"/>
    </w:rPr>
  </w:style>
  <w:style w:type="character" w:customStyle="1" w:styleId="CharChar5">
    <w:name w:val="Char Char5"/>
    <w:basedOn w:val="Standardnpsmoodstavce"/>
    <w:rsid w:val="00FA7752"/>
    <w:rPr>
      <w:rFonts w:ascii="Arial" w:hAnsi="Arial"/>
      <w:b/>
      <w:bCs/>
      <w:sz w:val="22"/>
      <w:szCs w:val="24"/>
      <w:lang w:val="cs-CZ" w:eastAsia="cs-CZ" w:bidi="ar-SA"/>
    </w:rPr>
  </w:style>
  <w:style w:type="character" w:customStyle="1" w:styleId="CharChar4">
    <w:name w:val="Char Char4"/>
    <w:basedOn w:val="Standardnpsmoodstavce"/>
    <w:rsid w:val="00FA7752"/>
    <w:rPr>
      <w:rFonts w:ascii="Arial" w:hAnsi="Arial"/>
      <w:sz w:val="22"/>
      <w:szCs w:val="24"/>
      <w:lang w:val="cs-CZ" w:eastAsia="cs-CZ" w:bidi="ar-SA"/>
    </w:rPr>
  </w:style>
  <w:style w:type="character" w:customStyle="1" w:styleId="textemarge">
    <w:name w:val="textemarge"/>
    <w:basedOn w:val="Standardnpsmoodstavce"/>
    <w:rsid w:val="00FA7752"/>
  </w:style>
  <w:style w:type="character" w:customStyle="1" w:styleId="CharChar3">
    <w:name w:val="Char Char3"/>
    <w:basedOn w:val="Standardnpsmoodstavce"/>
    <w:rsid w:val="00FA7752"/>
    <w:rPr>
      <w:rFonts w:ascii="Arial" w:hAnsi="Arial"/>
      <w:color w:val="FF0000"/>
      <w:sz w:val="22"/>
      <w:szCs w:val="24"/>
      <w:lang w:val="cs-CZ" w:eastAsia="cs-CZ" w:bidi="ar-SA"/>
    </w:rPr>
  </w:style>
  <w:style w:type="paragraph" w:styleId="Zkladntextodsazen2">
    <w:name w:val="Body Text Indent 2"/>
    <w:basedOn w:val="Normln"/>
    <w:link w:val="Zkladntextodsazen2Char"/>
    <w:rsid w:val="00FA7752"/>
    <w:pPr>
      <w:tabs>
        <w:tab w:val="num" w:pos="720"/>
      </w:tabs>
      <w:ind w:left="720" w:hanging="360"/>
    </w:pPr>
    <w:rPr>
      <w:rFonts w:ascii="Arial" w:eastAsia="Times New Roman" w:hAnsi="Arial"/>
      <w:color w:val="0000FF"/>
      <w:szCs w:val="24"/>
      <w:lang w:eastAsia="cs-CZ"/>
    </w:rPr>
  </w:style>
  <w:style w:type="character" w:customStyle="1" w:styleId="Zkladntextodsazen2Char">
    <w:name w:val="Základní text odsazený 2 Char"/>
    <w:basedOn w:val="Standardnpsmoodstavce"/>
    <w:link w:val="Zkladntextodsazen2"/>
    <w:rsid w:val="00FA7752"/>
    <w:rPr>
      <w:rFonts w:ascii="Arial" w:eastAsia="Times New Roman" w:hAnsi="Arial"/>
      <w:color w:val="0000FF"/>
      <w:sz w:val="24"/>
      <w:szCs w:val="24"/>
      <w:lang w:val="cs-CZ" w:eastAsia="cs-CZ"/>
    </w:rPr>
  </w:style>
  <w:style w:type="character" w:customStyle="1" w:styleId="CharChar2">
    <w:name w:val="Char Char2"/>
    <w:basedOn w:val="Standardnpsmoodstavce"/>
    <w:rsid w:val="00FA7752"/>
    <w:rPr>
      <w:rFonts w:ascii="Arial" w:hAnsi="Arial"/>
      <w:color w:val="0000FF"/>
      <w:sz w:val="24"/>
      <w:szCs w:val="24"/>
      <w:lang w:val="cs-CZ" w:eastAsia="cs-CZ" w:bidi="ar-SA"/>
    </w:rPr>
  </w:style>
  <w:style w:type="character" w:customStyle="1" w:styleId="CharChar1">
    <w:name w:val="Char Char1"/>
    <w:basedOn w:val="Standardnpsmoodstavce"/>
    <w:rsid w:val="00FA7752"/>
    <w:rPr>
      <w:b/>
      <w:bCs/>
      <w:sz w:val="24"/>
      <w:lang w:val="cs-CZ" w:eastAsia="cs-CZ" w:bidi="ar-SA"/>
    </w:rPr>
  </w:style>
  <w:style w:type="paragraph" w:styleId="Prosttext">
    <w:name w:val="Plain Text"/>
    <w:basedOn w:val="Normln"/>
    <w:link w:val="ProsttextChar"/>
    <w:rsid w:val="00FA7752"/>
    <w:pPr>
      <w:spacing w:before="0" w:after="0"/>
      <w:jc w:val="left"/>
    </w:pPr>
    <w:rPr>
      <w:rFonts w:ascii="Consolas" w:eastAsia="Arial Unicode MS" w:hAnsi="Consolas" w:cs="Arial Unicode MS"/>
      <w:sz w:val="21"/>
      <w:szCs w:val="21"/>
      <w:lang w:eastAsia="cs-CZ"/>
    </w:rPr>
  </w:style>
  <w:style w:type="character" w:customStyle="1" w:styleId="ProsttextChar">
    <w:name w:val="Prostý text Char"/>
    <w:basedOn w:val="Standardnpsmoodstavce"/>
    <w:link w:val="Prosttext"/>
    <w:rsid w:val="00FA7752"/>
    <w:rPr>
      <w:rFonts w:ascii="Consolas" w:eastAsia="Arial Unicode MS" w:hAnsi="Consolas" w:cs="Arial Unicode MS"/>
      <w:sz w:val="21"/>
      <w:szCs w:val="21"/>
      <w:lang w:val="cs-CZ" w:eastAsia="cs-CZ"/>
    </w:rPr>
  </w:style>
  <w:style w:type="character" w:customStyle="1" w:styleId="CharChar">
    <w:name w:val="Char Char"/>
    <w:basedOn w:val="Standardnpsmoodstavce"/>
    <w:rsid w:val="00FA7752"/>
    <w:rPr>
      <w:rFonts w:ascii="Consolas" w:eastAsia="Arial Unicode MS" w:hAnsi="Consolas" w:cs="Arial Unicode MS"/>
      <w:sz w:val="21"/>
      <w:szCs w:val="21"/>
      <w:lang w:val="cs-CZ" w:eastAsia="cs-CZ" w:bidi="ar-SA"/>
    </w:rPr>
  </w:style>
  <w:style w:type="paragraph" w:customStyle="1" w:styleId="Nadpisobsahu2">
    <w:name w:val="Nadpis obsahu2"/>
    <w:basedOn w:val="Nadpis1"/>
    <w:next w:val="Normln"/>
    <w:rsid w:val="00FA7752"/>
    <w:pPr>
      <w:numPr>
        <w:numId w:val="0"/>
      </w:numPr>
      <w:spacing w:line="276" w:lineRule="auto"/>
      <w:jc w:val="left"/>
      <w:outlineLvl w:val="9"/>
    </w:pPr>
    <w:rPr>
      <w:color w:val="365F91"/>
    </w:rPr>
  </w:style>
  <w:style w:type="paragraph" w:customStyle="1" w:styleId="Odstavecseseznamem2">
    <w:name w:val="Odstavec se seznamem2"/>
    <w:basedOn w:val="Normln"/>
    <w:rsid w:val="00FA7752"/>
    <w:pPr>
      <w:spacing w:before="0" w:after="200" w:line="276" w:lineRule="auto"/>
      <w:ind w:left="720"/>
      <w:contextualSpacing/>
      <w:jc w:val="left"/>
    </w:pPr>
    <w:rPr>
      <w:rFonts w:ascii="Verdana" w:hAnsi="Verdana"/>
      <w:sz w:val="18"/>
      <w:szCs w:val="18"/>
    </w:rPr>
  </w:style>
  <w:style w:type="paragraph" w:customStyle="1" w:styleId="bodytext">
    <w:name w:val="bodytext"/>
    <w:basedOn w:val="Normln"/>
    <w:uiPriority w:val="99"/>
    <w:rsid w:val="00FA7752"/>
    <w:pP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OdrazkaIstav">
    <w:name w:val="Odrazka_I_stav"/>
    <w:basedOn w:val="Normln"/>
    <w:rsid w:val="00D91259"/>
    <w:pPr>
      <w:numPr>
        <w:numId w:val="8"/>
      </w:numPr>
      <w:tabs>
        <w:tab w:val="left" w:pos="284"/>
      </w:tabs>
      <w:spacing w:before="60" w:after="60"/>
    </w:pPr>
    <w:rPr>
      <w:rFonts w:ascii="Arial" w:eastAsia="Times New Roman" w:hAnsi="Arial" w:cs="Arial"/>
      <w:noProof/>
      <w:sz w:val="20"/>
      <w:szCs w:val="20"/>
      <w:lang w:eastAsia="cs-CZ"/>
    </w:rPr>
  </w:style>
  <w:style w:type="table" w:customStyle="1" w:styleId="TableGrid3">
    <w:name w:val="Table Grid3"/>
    <w:basedOn w:val="Normlntabulka"/>
    <w:next w:val="Mkatabulky"/>
    <w:uiPriority w:val="59"/>
    <w:rsid w:val="00D912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ision">
    <w:name w:val="Vision"/>
    <w:basedOn w:val="Normln"/>
    <w:rsid w:val="00465CC5"/>
    <w:rPr>
      <w:i/>
    </w:rPr>
  </w:style>
  <w:style w:type="numbering" w:customStyle="1" w:styleId="NoList4">
    <w:name w:val="No List4"/>
    <w:next w:val="Bezseznamu"/>
    <w:uiPriority w:val="99"/>
    <w:semiHidden/>
    <w:unhideWhenUsed/>
    <w:rsid w:val="008D11FE"/>
  </w:style>
  <w:style w:type="paragraph" w:styleId="Nzev">
    <w:name w:val="Title"/>
    <w:aliases w:val="Heading4"/>
    <w:basedOn w:val="Normln"/>
    <w:link w:val="NzevChar"/>
    <w:uiPriority w:val="10"/>
    <w:qFormat/>
    <w:rsid w:val="008D11FE"/>
    <w:pPr>
      <w:overflowPunct w:val="0"/>
      <w:autoSpaceDE w:val="0"/>
      <w:autoSpaceDN w:val="0"/>
      <w:adjustRightInd w:val="0"/>
      <w:spacing w:after="0"/>
      <w:jc w:val="center"/>
      <w:textAlignment w:val="baseline"/>
    </w:pPr>
    <w:rPr>
      <w:rFonts w:ascii="Times New Roman" w:eastAsia="Times New Roman" w:hAnsi="Times New Roman"/>
      <w:b/>
      <w:bCs/>
      <w:i/>
      <w:iCs/>
      <w:color w:val="993366"/>
      <w:szCs w:val="20"/>
      <w:lang w:eastAsia="cs-CZ"/>
    </w:rPr>
  </w:style>
  <w:style w:type="character" w:customStyle="1" w:styleId="NzevChar">
    <w:name w:val="Název Char"/>
    <w:aliases w:val="Heading4 Char"/>
    <w:basedOn w:val="Standardnpsmoodstavce"/>
    <w:link w:val="Nzev"/>
    <w:uiPriority w:val="10"/>
    <w:rsid w:val="008D11FE"/>
    <w:rPr>
      <w:rFonts w:ascii="Times New Roman" w:eastAsia="Times New Roman" w:hAnsi="Times New Roman"/>
      <w:b/>
      <w:bCs/>
      <w:i/>
      <w:iCs/>
      <w:color w:val="993366"/>
      <w:sz w:val="24"/>
      <w:lang w:val="cs-CZ" w:eastAsia="cs-CZ"/>
    </w:rPr>
  </w:style>
  <w:style w:type="paragraph" w:customStyle="1" w:styleId="documentannotation">
    <w:name w:val="documentannotation"/>
    <w:basedOn w:val="Normln"/>
    <w:rsid w:val="00EE117B"/>
    <w:pPr>
      <w:spacing w:before="100" w:beforeAutospacing="1" w:after="100" w:afterAutospacing="1"/>
      <w:jc w:val="left"/>
    </w:pPr>
    <w:rPr>
      <w:rFonts w:ascii="Times New Roman" w:eastAsia="Times New Roman" w:hAnsi="Times New Roman"/>
      <w:szCs w:val="24"/>
      <w:lang w:val="en-US"/>
    </w:rPr>
  </w:style>
  <w:style w:type="character" w:customStyle="1" w:styleId="platne">
    <w:name w:val="platne"/>
    <w:basedOn w:val="Standardnpsmoodstavce"/>
    <w:rsid w:val="00203AD2"/>
  </w:style>
  <w:style w:type="character" w:customStyle="1" w:styleId="ZpatChar1">
    <w:name w:val="Zápatí Char1"/>
    <w:aliases w:val=" Char10 Char1,Char10 Char1"/>
    <w:basedOn w:val="Standardnpsmoodstavce"/>
    <w:link w:val="Zpat"/>
    <w:uiPriority w:val="99"/>
    <w:rsid w:val="000773A4"/>
    <w:rPr>
      <w:rFonts w:ascii="Garamond" w:hAnsi="Garamond"/>
      <w:sz w:val="24"/>
      <w:szCs w:val="22"/>
      <w:lang w:val="en-GB"/>
    </w:rPr>
  </w:style>
  <w:style w:type="character" w:customStyle="1" w:styleId="apple-converted-space">
    <w:name w:val="apple-converted-space"/>
    <w:basedOn w:val="Standardnpsmoodstavce"/>
    <w:rsid w:val="007A541D"/>
  </w:style>
  <w:style w:type="paragraph" w:customStyle="1" w:styleId="ca">
    <w:name w:val="ca"/>
    <w:basedOn w:val="Normln"/>
    <w:rsid w:val="00F124AA"/>
    <w:pPr>
      <w:spacing w:before="100" w:beforeAutospacing="1" w:after="100" w:afterAutospacing="1"/>
      <w:jc w:val="left"/>
    </w:pPr>
    <w:rPr>
      <w:rFonts w:ascii="Times New Roman" w:eastAsia="Times New Roman" w:hAnsi="Times New Roman"/>
      <w:szCs w:val="24"/>
      <w:lang w:val="en-US"/>
    </w:rPr>
  </w:style>
  <w:style w:type="character" w:customStyle="1" w:styleId="Caption1">
    <w:name w:val="Caption1"/>
    <w:basedOn w:val="Standardnpsmoodstavce"/>
    <w:rsid w:val="004812B6"/>
  </w:style>
  <w:style w:type="paragraph" w:customStyle="1" w:styleId="introduction">
    <w:name w:val="introduction"/>
    <w:basedOn w:val="Normln"/>
    <w:rsid w:val="00CD20FD"/>
    <w:pPr>
      <w:spacing w:before="100" w:beforeAutospacing="1" w:after="100" w:afterAutospacing="1"/>
      <w:jc w:val="left"/>
    </w:pPr>
    <w:rPr>
      <w:rFonts w:ascii="Times New Roman" w:eastAsia="Times New Roman" w:hAnsi="Times New Roman"/>
      <w:szCs w:val="24"/>
      <w:lang w:val="en-US"/>
    </w:rPr>
  </w:style>
  <w:style w:type="paragraph" w:customStyle="1" w:styleId="first-child">
    <w:name w:val="first-child"/>
    <w:basedOn w:val="Normln"/>
    <w:rsid w:val="00CD20FD"/>
    <w:pPr>
      <w:spacing w:before="100" w:beforeAutospacing="1" w:after="100" w:afterAutospacing="1"/>
      <w:jc w:val="left"/>
    </w:pPr>
    <w:rPr>
      <w:rFonts w:ascii="Times New Roman" w:eastAsia="Times New Roman" w:hAnsi="Times New Roman"/>
      <w:szCs w:val="24"/>
      <w:lang w:val="en-US"/>
    </w:rPr>
  </w:style>
  <w:style w:type="character" w:customStyle="1" w:styleId="quote-credit">
    <w:name w:val="quote-credit"/>
    <w:basedOn w:val="Standardnpsmoodstavce"/>
    <w:rsid w:val="00CD20FD"/>
  </w:style>
  <w:style w:type="character" w:customStyle="1" w:styleId="quote-credit-title">
    <w:name w:val="quote-credit-title"/>
    <w:basedOn w:val="Standardnpsmoodstavce"/>
    <w:rsid w:val="00CD20FD"/>
  </w:style>
  <w:style w:type="character" w:customStyle="1" w:styleId="A5">
    <w:name w:val="A5"/>
    <w:uiPriority w:val="99"/>
    <w:rsid w:val="003340FF"/>
    <w:rPr>
      <w:rFonts w:cs="Frutiger Next Pro"/>
      <w:color w:val="000000"/>
      <w:sz w:val="17"/>
      <w:szCs w:val="17"/>
    </w:rPr>
  </w:style>
  <w:style w:type="paragraph" w:customStyle="1" w:styleId="Listarrow">
    <w:name w:val="List arrow"/>
    <w:basedOn w:val="Default"/>
    <w:next w:val="Default"/>
    <w:uiPriority w:val="99"/>
    <w:rsid w:val="00186FC6"/>
    <w:rPr>
      <w:rFonts w:ascii="Wingdings" w:eastAsia="Calibri" w:hAnsi="Wingdings" w:cs="Times New Roman"/>
      <w:color w:val="auto"/>
    </w:rPr>
  </w:style>
  <w:style w:type="paragraph" w:customStyle="1" w:styleId="Listeapuces">
    <w:name w:val="Liste a puces"/>
    <w:basedOn w:val="Default"/>
    <w:next w:val="Default"/>
    <w:uiPriority w:val="99"/>
    <w:rsid w:val="00F975CA"/>
    <w:rPr>
      <w:rFonts w:ascii="Arial" w:eastAsia="Calibri" w:hAnsi="Arial" w:cs="Arial"/>
      <w:color w:val="auto"/>
    </w:rPr>
  </w:style>
  <w:style w:type="paragraph" w:customStyle="1" w:styleId="Titre3">
    <w:name w:val="Titre 3"/>
    <w:basedOn w:val="Default"/>
    <w:next w:val="Default"/>
    <w:uiPriority w:val="99"/>
    <w:rsid w:val="00E94C41"/>
    <w:rPr>
      <w:rFonts w:ascii="Arial" w:eastAsia="Calibri" w:hAnsi="Arial" w:cs="Arial"/>
      <w:color w:val="auto"/>
    </w:rPr>
  </w:style>
  <w:style w:type="paragraph" w:customStyle="1" w:styleId="Example">
    <w:name w:val="Example"/>
    <w:basedOn w:val="Default"/>
    <w:next w:val="Default"/>
    <w:uiPriority w:val="99"/>
    <w:rsid w:val="00E94C41"/>
    <w:rPr>
      <w:rFonts w:ascii="Arial" w:eastAsia="Calibri" w:hAnsi="Arial" w:cs="Arial"/>
      <w:color w:val="auto"/>
    </w:rPr>
  </w:style>
  <w:style w:type="character" w:customStyle="1" w:styleId="Appelnotedebasdep">
    <w:name w:val="Appel note de bas de p."/>
    <w:uiPriority w:val="99"/>
    <w:rsid w:val="00E94C41"/>
    <w:rPr>
      <w:color w:val="000000"/>
    </w:rPr>
  </w:style>
  <w:style w:type="paragraph" w:customStyle="1" w:styleId="Titre2">
    <w:name w:val="Titre 2"/>
    <w:basedOn w:val="Default"/>
    <w:next w:val="Default"/>
    <w:uiPriority w:val="99"/>
    <w:rsid w:val="005C327C"/>
    <w:rPr>
      <w:rFonts w:ascii="Arial" w:eastAsia="Calibri" w:hAnsi="Arial" w:cs="Arial"/>
      <w:color w:val="auto"/>
    </w:rPr>
  </w:style>
  <w:style w:type="paragraph" w:customStyle="1" w:styleId="Titre4">
    <w:name w:val="Titre 4"/>
    <w:basedOn w:val="Default"/>
    <w:next w:val="Default"/>
    <w:uiPriority w:val="99"/>
    <w:rsid w:val="005C327C"/>
    <w:rPr>
      <w:rFonts w:ascii="Arial" w:eastAsia="Calibri" w:hAnsi="Arial" w:cs="Arial"/>
      <w:color w:val="auto"/>
    </w:rPr>
  </w:style>
  <w:style w:type="paragraph" w:customStyle="1" w:styleId="detail-odstavec">
    <w:name w:val="detail-odstavec"/>
    <w:basedOn w:val="Normln"/>
    <w:rsid w:val="006C37E3"/>
    <w:pPr>
      <w:spacing w:before="100" w:beforeAutospacing="1" w:after="100" w:afterAutospacing="1"/>
      <w:jc w:val="left"/>
    </w:pPr>
    <w:rPr>
      <w:rFonts w:ascii="Times New Roman" w:eastAsia="Times New Roman" w:hAnsi="Times New Roman"/>
      <w:szCs w:val="24"/>
      <w:lang w:val="en-US"/>
    </w:rPr>
  </w:style>
  <w:style w:type="character" w:customStyle="1" w:styleId="zde">
    <w:name w:val="zde"/>
    <w:basedOn w:val="Standardnpsmoodstavce"/>
    <w:rsid w:val="00F87098"/>
  </w:style>
  <w:style w:type="paragraph" w:customStyle="1" w:styleId="CM1">
    <w:name w:val="CM1"/>
    <w:basedOn w:val="Default"/>
    <w:next w:val="Default"/>
    <w:uiPriority w:val="99"/>
    <w:rsid w:val="00E4652C"/>
    <w:pPr>
      <w:widowControl w:val="0"/>
    </w:pPr>
    <w:rPr>
      <w:rFonts w:ascii="CMSSB X 10" w:eastAsia="Times New Roman" w:hAnsi="CMSSB X 10" w:cs="Times New Roman"/>
      <w:color w:val="auto"/>
    </w:rPr>
  </w:style>
  <w:style w:type="paragraph" w:customStyle="1" w:styleId="CM24">
    <w:name w:val="CM24"/>
    <w:basedOn w:val="Default"/>
    <w:next w:val="Default"/>
    <w:uiPriority w:val="99"/>
    <w:rsid w:val="00E4652C"/>
    <w:pPr>
      <w:widowControl w:val="0"/>
    </w:pPr>
    <w:rPr>
      <w:rFonts w:ascii="CMSSB X 10" w:eastAsia="Times New Roman" w:hAnsi="CMSSB X 10" w:cs="Times New Roman"/>
      <w:color w:val="auto"/>
    </w:rPr>
  </w:style>
  <w:style w:type="paragraph" w:customStyle="1" w:styleId="CM2">
    <w:name w:val="CM2"/>
    <w:basedOn w:val="Default"/>
    <w:next w:val="Default"/>
    <w:uiPriority w:val="99"/>
    <w:rsid w:val="00E4652C"/>
    <w:pPr>
      <w:widowControl w:val="0"/>
      <w:spacing w:line="360" w:lineRule="atLeast"/>
    </w:pPr>
    <w:rPr>
      <w:rFonts w:ascii="CMSSB X 10" w:eastAsia="Times New Roman" w:hAnsi="CMSSB X 10" w:cs="Times New Roman"/>
      <w:color w:val="auto"/>
    </w:rPr>
  </w:style>
  <w:style w:type="paragraph" w:customStyle="1" w:styleId="CM25">
    <w:name w:val="CM25"/>
    <w:basedOn w:val="Default"/>
    <w:next w:val="Default"/>
    <w:uiPriority w:val="99"/>
    <w:rsid w:val="00E4652C"/>
    <w:pPr>
      <w:widowControl w:val="0"/>
    </w:pPr>
    <w:rPr>
      <w:rFonts w:ascii="CMSSB X 10" w:eastAsia="Times New Roman" w:hAnsi="CMSSB X 10" w:cs="Times New Roman"/>
      <w:color w:val="auto"/>
    </w:rPr>
  </w:style>
  <w:style w:type="paragraph" w:customStyle="1" w:styleId="CM3">
    <w:name w:val="CM3"/>
    <w:basedOn w:val="Default"/>
    <w:next w:val="Default"/>
    <w:uiPriority w:val="99"/>
    <w:rsid w:val="00E4652C"/>
    <w:pPr>
      <w:widowControl w:val="0"/>
      <w:spacing w:line="451" w:lineRule="atLeast"/>
    </w:pPr>
    <w:rPr>
      <w:rFonts w:ascii="CMSSB X 10" w:eastAsia="Times New Roman" w:hAnsi="CMSSB X 10" w:cs="Times New Roman"/>
      <w:color w:val="auto"/>
    </w:rPr>
  </w:style>
  <w:style w:type="paragraph" w:customStyle="1" w:styleId="CM5">
    <w:name w:val="CM5"/>
    <w:basedOn w:val="Default"/>
    <w:next w:val="Default"/>
    <w:uiPriority w:val="99"/>
    <w:rsid w:val="00E4652C"/>
    <w:pPr>
      <w:widowControl w:val="0"/>
      <w:spacing w:line="360" w:lineRule="atLeast"/>
    </w:pPr>
    <w:rPr>
      <w:rFonts w:ascii="CMSSB X 10" w:eastAsia="Times New Roman" w:hAnsi="CMSSB X 10" w:cs="Times New Roman"/>
      <w:color w:val="auto"/>
    </w:rPr>
  </w:style>
  <w:style w:type="paragraph" w:customStyle="1" w:styleId="CM6">
    <w:name w:val="CM6"/>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6">
    <w:name w:val="CM26"/>
    <w:basedOn w:val="Default"/>
    <w:next w:val="Default"/>
    <w:uiPriority w:val="99"/>
    <w:rsid w:val="00E4652C"/>
    <w:pPr>
      <w:widowControl w:val="0"/>
    </w:pPr>
    <w:rPr>
      <w:rFonts w:ascii="CMSSB X 10" w:eastAsia="Times New Roman" w:hAnsi="CMSSB X 10" w:cs="Times New Roman"/>
      <w:color w:val="auto"/>
    </w:rPr>
  </w:style>
  <w:style w:type="paragraph" w:customStyle="1" w:styleId="CM27">
    <w:name w:val="CM27"/>
    <w:basedOn w:val="Default"/>
    <w:next w:val="Default"/>
    <w:uiPriority w:val="99"/>
    <w:rsid w:val="00E4652C"/>
    <w:pPr>
      <w:widowControl w:val="0"/>
    </w:pPr>
    <w:rPr>
      <w:rFonts w:ascii="CMSSB X 10" w:eastAsia="Times New Roman" w:hAnsi="CMSSB X 10" w:cs="Times New Roman"/>
      <w:color w:val="auto"/>
    </w:rPr>
  </w:style>
  <w:style w:type="paragraph" w:customStyle="1" w:styleId="CM28">
    <w:name w:val="CM28"/>
    <w:basedOn w:val="Default"/>
    <w:next w:val="Default"/>
    <w:uiPriority w:val="99"/>
    <w:rsid w:val="00E4652C"/>
    <w:pPr>
      <w:widowControl w:val="0"/>
    </w:pPr>
    <w:rPr>
      <w:rFonts w:ascii="CMSSB X 10" w:eastAsia="Times New Roman" w:hAnsi="CMSSB X 10" w:cs="Times New Roman"/>
      <w:color w:val="auto"/>
    </w:rPr>
  </w:style>
  <w:style w:type="paragraph" w:customStyle="1" w:styleId="CM29">
    <w:name w:val="CM29"/>
    <w:basedOn w:val="Default"/>
    <w:next w:val="Default"/>
    <w:uiPriority w:val="99"/>
    <w:rsid w:val="00E4652C"/>
    <w:pPr>
      <w:widowControl w:val="0"/>
    </w:pPr>
    <w:rPr>
      <w:rFonts w:ascii="CMSSB X 10" w:eastAsia="Times New Roman" w:hAnsi="CMSSB X 10" w:cs="Times New Roman"/>
      <w:color w:val="auto"/>
    </w:rPr>
  </w:style>
  <w:style w:type="paragraph" w:customStyle="1" w:styleId="CM7">
    <w:name w:val="CM7"/>
    <w:basedOn w:val="Default"/>
    <w:next w:val="Default"/>
    <w:uiPriority w:val="99"/>
    <w:rsid w:val="00E4652C"/>
    <w:pPr>
      <w:widowControl w:val="0"/>
    </w:pPr>
    <w:rPr>
      <w:rFonts w:ascii="CMSSB X 10" w:eastAsia="Times New Roman" w:hAnsi="CMSSB X 10" w:cs="Times New Roman"/>
      <w:color w:val="auto"/>
    </w:rPr>
  </w:style>
  <w:style w:type="paragraph" w:customStyle="1" w:styleId="CM8">
    <w:name w:val="CM8"/>
    <w:basedOn w:val="Default"/>
    <w:next w:val="Default"/>
    <w:uiPriority w:val="99"/>
    <w:rsid w:val="00E4652C"/>
    <w:pPr>
      <w:widowControl w:val="0"/>
    </w:pPr>
    <w:rPr>
      <w:rFonts w:ascii="CMSSB X 10" w:eastAsia="Times New Roman" w:hAnsi="CMSSB X 10" w:cs="Times New Roman"/>
      <w:color w:val="auto"/>
    </w:rPr>
  </w:style>
  <w:style w:type="paragraph" w:customStyle="1" w:styleId="CM9">
    <w:name w:val="CM9"/>
    <w:basedOn w:val="Default"/>
    <w:next w:val="Default"/>
    <w:uiPriority w:val="99"/>
    <w:rsid w:val="00E4652C"/>
    <w:pPr>
      <w:widowControl w:val="0"/>
    </w:pPr>
    <w:rPr>
      <w:rFonts w:ascii="CMSSB X 10" w:eastAsia="Times New Roman" w:hAnsi="CMSSB X 10" w:cs="Times New Roman"/>
      <w:color w:val="auto"/>
    </w:rPr>
  </w:style>
  <w:style w:type="paragraph" w:customStyle="1" w:styleId="CM30">
    <w:name w:val="CM30"/>
    <w:basedOn w:val="Default"/>
    <w:next w:val="Default"/>
    <w:uiPriority w:val="99"/>
    <w:rsid w:val="00E4652C"/>
    <w:pPr>
      <w:widowControl w:val="0"/>
    </w:pPr>
    <w:rPr>
      <w:rFonts w:ascii="CMSSB X 10" w:eastAsia="Times New Roman" w:hAnsi="CMSSB X 10" w:cs="Times New Roman"/>
      <w:color w:val="auto"/>
    </w:rPr>
  </w:style>
  <w:style w:type="paragraph" w:customStyle="1" w:styleId="CM31">
    <w:name w:val="CM31"/>
    <w:basedOn w:val="Default"/>
    <w:next w:val="Default"/>
    <w:uiPriority w:val="99"/>
    <w:rsid w:val="00E4652C"/>
    <w:pPr>
      <w:widowControl w:val="0"/>
    </w:pPr>
    <w:rPr>
      <w:rFonts w:ascii="CMSSB X 10" w:eastAsia="Times New Roman" w:hAnsi="CMSSB X 10" w:cs="Times New Roman"/>
      <w:color w:val="auto"/>
    </w:rPr>
  </w:style>
  <w:style w:type="paragraph" w:customStyle="1" w:styleId="CM32">
    <w:name w:val="CM32"/>
    <w:basedOn w:val="Default"/>
    <w:next w:val="Default"/>
    <w:uiPriority w:val="99"/>
    <w:rsid w:val="00E4652C"/>
    <w:pPr>
      <w:widowControl w:val="0"/>
    </w:pPr>
    <w:rPr>
      <w:rFonts w:ascii="CMSSB X 10" w:eastAsia="Times New Roman" w:hAnsi="CMSSB X 10" w:cs="Times New Roman"/>
      <w:color w:val="auto"/>
    </w:rPr>
  </w:style>
  <w:style w:type="paragraph" w:customStyle="1" w:styleId="CM33">
    <w:name w:val="CM33"/>
    <w:basedOn w:val="Default"/>
    <w:next w:val="Default"/>
    <w:uiPriority w:val="99"/>
    <w:rsid w:val="00E4652C"/>
    <w:pPr>
      <w:widowControl w:val="0"/>
    </w:pPr>
    <w:rPr>
      <w:rFonts w:ascii="CMSSB X 10" w:eastAsia="Times New Roman" w:hAnsi="CMSSB X 10" w:cs="Times New Roman"/>
      <w:color w:val="auto"/>
    </w:rPr>
  </w:style>
  <w:style w:type="paragraph" w:customStyle="1" w:styleId="CM12">
    <w:name w:val="CM12"/>
    <w:basedOn w:val="Default"/>
    <w:next w:val="Default"/>
    <w:uiPriority w:val="99"/>
    <w:rsid w:val="00E4652C"/>
    <w:pPr>
      <w:widowControl w:val="0"/>
    </w:pPr>
    <w:rPr>
      <w:rFonts w:ascii="CMSSB X 10" w:eastAsia="Times New Roman" w:hAnsi="CMSSB X 10" w:cs="Times New Roman"/>
      <w:color w:val="auto"/>
    </w:rPr>
  </w:style>
  <w:style w:type="paragraph" w:customStyle="1" w:styleId="CM34">
    <w:name w:val="CM34"/>
    <w:basedOn w:val="Default"/>
    <w:next w:val="Default"/>
    <w:uiPriority w:val="99"/>
    <w:rsid w:val="00E4652C"/>
    <w:pPr>
      <w:widowControl w:val="0"/>
    </w:pPr>
    <w:rPr>
      <w:rFonts w:ascii="CMSSB X 10" w:eastAsia="Times New Roman" w:hAnsi="CMSSB X 10" w:cs="Times New Roman"/>
      <w:color w:val="auto"/>
    </w:rPr>
  </w:style>
  <w:style w:type="paragraph" w:customStyle="1" w:styleId="CM35">
    <w:name w:val="CM35"/>
    <w:basedOn w:val="Default"/>
    <w:next w:val="Default"/>
    <w:uiPriority w:val="99"/>
    <w:rsid w:val="00E4652C"/>
    <w:pPr>
      <w:widowControl w:val="0"/>
    </w:pPr>
    <w:rPr>
      <w:rFonts w:ascii="CMSSB X 10" w:eastAsia="Times New Roman" w:hAnsi="CMSSB X 10" w:cs="Times New Roman"/>
      <w:color w:val="auto"/>
    </w:rPr>
  </w:style>
  <w:style w:type="paragraph" w:customStyle="1" w:styleId="CM14">
    <w:name w:val="CM14"/>
    <w:basedOn w:val="Default"/>
    <w:next w:val="Default"/>
    <w:uiPriority w:val="99"/>
    <w:rsid w:val="00E4652C"/>
    <w:pPr>
      <w:widowControl w:val="0"/>
    </w:pPr>
    <w:rPr>
      <w:rFonts w:ascii="CMSSB X 10" w:eastAsia="Times New Roman" w:hAnsi="CMSSB X 10" w:cs="Times New Roman"/>
      <w:color w:val="auto"/>
    </w:rPr>
  </w:style>
  <w:style w:type="paragraph" w:customStyle="1" w:styleId="CM36">
    <w:name w:val="CM36"/>
    <w:basedOn w:val="Default"/>
    <w:next w:val="Default"/>
    <w:uiPriority w:val="99"/>
    <w:rsid w:val="00E4652C"/>
    <w:pPr>
      <w:widowControl w:val="0"/>
    </w:pPr>
    <w:rPr>
      <w:rFonts w:ascii="CMSSB X 10" w:eastAsia="Times New Roman" w:hAnsi="CMSSB X 10" w:cs="Times New Roman"/>
      <w:color w:val="auto"/>
    </w:rPr>
  </w:style>
  <w:style w:type="paragraph" w:customStyle="1" w:styleId="CM17">
    <w:name w:val="CM17"/>
    <w:basedOn w:val="Default"/>
    <w:next w:val="Default"/>
    <w:uiPriority w:val="99"/>
    <w:rsid w:val="00E4652C"/>
    <w:pPr>
      <w:widowControl w:val="0"/>
    </w:pPr>
    <w:rPr>
      <w:rFonts w:ascii="CMSSB X 10" w:eastAsia="Times New Roman" w:hAnsi="CMSSB X 10" w:cs="Times New Roman"/>
      <w:color w:val="auto"/>
    </w:rPr>
  </w:style>
  <w:style w:type="paragraph" w:customStyle="1" w:styleId="CM19">
    <w:name w:val="CM19"/>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0">
    <w:name w:val="CM20"/>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1">
    <w:name w:val="CM21"/>
    <w:basedOn w:val="Default"/>
    <w:next w:val="Default"/>
    <w:uiPriority w:val="99"/>
    <w:rsid w:val="00E4652C"/>
    <w:pPr>
      <w:widowControl w:val="0"/>
      <w:spacing w:line="1140" w:lineRule="atLeast"/>
    </w:pPr>
    <w:rPr>
      <w:rFonts w:ascii="CMSSB X 10" w:eastAsia="Times New Roman" w:hAnsi="CMSSB X 10" w:cs="Times New Roman"/>
      <w:color w:val="auto"/>
    </w:rPr>
  </w:style>
  <w:style w:type="paragraph" w:customStyle="1" w:styleId="CM22">
    <w:name w:val="CM22"/>
    <w:basedOn w:val="Default"/>
    <w:next w:val="Default"/>
    <w:uiPriority w:val="99"/>
    <w:rsid w:val="00E4652C"/>
    <w:pPr>
      <w:widowControl w:val="0"/>
      <w:spacing w:line="358" w:lineRule="atLeast"/>
    </w:pPr>
    <w:rPr>
      <w:rFonts w:ascii="CMSSB X 10" w:eastAsia="Times New Roman" w:hAnsi="CMSSB X 10" w:cs="Times New Roman"/>
      <w:color w:val="auto"/>
    </w:rPr>
  </w:style>
  <w:style w:type="character" w:customStyle="1" w:styleId="ZhlavChar1">
    <w:name w:val="Záhlaví Char1"/>
    <w:aliases w:val="Záhlaví a zápatí Char1"/>
    <w:basedOn w:val="Standardnpsmoodstavce"/>
    <w:link w:val="Zhlav"/>
    <w:rsid w:val="00E4652C"/>
    <w:rPr>
      <w:rFonts w:ascii="Garamond" w:hAnsi="Garamond"/>
      <w:sz w:val="24"/>
      <w:szCs w:val="22"/>
      <w:lang w:val="en-GB"/>
    </w:rPr>
  </w:style>
  <w:style w:type="character" w:customStyle="1" w:styleId="Nadpis3Char1">
    <w:name w:val="Nadpis 3 Char1"/>
    <w:aliases w:val="nadpis 3 Char1,Nadpis 3 Z Char1,Dipl3 Char1"/>
    <w:basedOn w:val="Standardnpsmoodstavce"/>
    <w:link w:val="Nadpis3"/>
    <w:rsid w:val="00E97160"/>
    <w:rPr>
      <w:rFonts w:ascii="Cambria" w:eastAsia="Times New Roman" w:hAnsi="Cambria"/>
      <w:b/>
      <w:bCs/>
      <w:color w:val="B6B002"/>
      <w:sz w:val="24"/>
      <w:szCs w:val="22"/>
    </w:rPr>
  </w:style>
  <w:style w:type="character" w:customStyle="1" w:styleId="Nadpis4Char1">
    <w:name w:val="Nadpis 4 Char1"/>
    <w:aliases w:val="nadpis 4 Char1,Nadpis 4 Z Char1,1-1 Char"/>
    <w:basedOn w:val="Standardnpsmoodstavce"/>
    <w:link w:val="Nadpis4"/>
    <w:uiPriority w:val="9"/>
    <w:rsid w:val="00F41B64"/>
    <w:rPr>
      <w:rFonts w:ascii="Cambria" w:eastAsia="Times New Roman" w:hAnsi="Cambria"/>
      <w:b/>
      <w:bCs/>
      <w:i/>
      <w:iCs/>
      <w:color w:val="AC9B02"/>
      <w:sz w:val="22"/>
      <w:szCs w:val="22"/>
    </w:rPr>
  </w:style>
  <w:style w:type="paragraph" w:customStyle="1" w:styleId="Note">
    <w:name w:val="Note"/>
    <w:basedOn w:val="Titulek"/>
    <w:link w:val="NoteChar"/>
    <w:rsid w:val="00E4652C"/>
    <w:pPr>
      <w:spacing w:before="0" w:line="360" w:lineRule="auto"/>
      <w:ind w:left="1440"/>
    </w:pPr>
    <w:rPr>
      <w:rFonts w:ascii="Times New Roman" w:hAnsi="Times New Roman"/>
    </w:rPr>
  </w:style>
  <w:style w:type="paragraph" w:customStyle="1" w:styleId="Text0">
    <w:name w:val="Text"/>
    <w:basedOn w:val="Default"/>
    <w:link w:val="TextChar"/>
    <w:rsid w:val="00E4652C"/>
    <w:pPr>
      <w:widowControl w:val="0"/>
      <w:spacing w:line="538" w:lineRule="atLeast"/>
    </w:pPr>
    <w:rPr>
      <w:rFonts w:ascii="Times New Roman" w:eastAsia="Times New Roman" w:hAnsi="Times New Roman"/>
    </w:rPr>
  </w:style>
  <w:style w:type="character" w:customStyle="1" w:styleId="TitulekChar">
    <w:name w:val="Titulek Char"/>
    <w:aliases w:val="Titulek tabulky Char,Title for table Char,picture Char,graph Char,formula Char,Zdroj_moje Char,titulek tabulka Char,Tabulka-PK Char,Tabulka Char,Tabulka_nadpis Char"/>
    <w:basedOn w:val="Standardnpsmoodstavce"/>
    <w:link w:val="Titulek"/>
    <w:uiPriority w:val="35"/>
    <w:rsid w:val="00EC3868"/>
    <w:rPr>
      <w:rFonts w:ascii="Garamond" w:eastAsia="Times New Roman" w:hAnsi="Garamond"/>
      <w:b/>
      <w:bCs/>
      <w:color w:val="000000"/>
      <w:sz w:val="22"/>
      <w:lang w:eastAsia="cs-CZ"/>
    </w:rPr>
  </w:style>
  <w:style w:type="character" w:customStyle="1" w:styleId="NoteChar">
    <w:name w:val="Note Char"/>
    <w:basedOn w:val="TitulekChar"/>
    <w:link w:val="Note"/>
    <w:rsid w:val="00E4652C"/>
    <w:rPr>
      <w:rFonts w:ascii="Times New Roman" w:eastAsia="Times New Roman" w:hAnsi="Times New Roman"/>
      <w:b/>
      <w:bCs/>
      <w:i w:val="0"/>
      <w:color w:val="000000"/>
      <w:sz w:val="24"/>
      <w:szCs w:val="18"/>
      <w:lang w:val="en-GB" w:eastAsia="cs-CZ"/>
    </w:rPr>
  </w:style>
  <w:style w:type="character" w:customStyle="1" w:styleId="DefaultChar">
    <w:name w:val="Default Char"/>
    <w:basedOn w:val="Standardnpsmoodstavce"/>
    <w:link w:val="Default"/>
    <w:rsid w:val="00E4652C"/>
    <w:rPr>
      <w:rFonts w:eastAsia="MS Mincho" w:cs="Calibri"/>
      <w:color w:val="000000"/>
      <w:sz w:val="24"/>
      <w:szCs w:val="24"/>
    </w:rPr>
  </w:style>
  <w:style w:type="character" w:customStyle="1" w:styleId="TextChar">
    <w:name w:val="Text Char"/>
    <w:basedOn w:val="DefaultChar"/>
    <w:link w:val="Text0"/>
    <w:rsid w:val="00E4652C"/>
    <w:rPr>
      <w:rFonts w:ascii="Times New Roman" w:eastAsia="Times New Roman" w:hAnsi="Times New Roman" w:cs="Calibri"/>
      <w:color w:val="000000"/>
      <w:sz w:val="24"/>
      <w:szCs w:val="24"/>
    </w:rPr>
  </w:style>
  <w:style w:type="character" w:styleId="slodku">
    <w:name w:val="line number"/>
    <w:basedOn w:val="Standardnpsmoodstavce"/>
    <w:uiPriority w:val="99"/>
    <w:semiHidden/>
    <w:unhideWhenUsed/>
    <w:rsid w:val="00E4652C"/>
  </w:style>
  <w:style w:type="character" w:customStyle="1" w:styleId="Nadpis5Char1">
    <w:name w:val="Nadpis 5 Char1"/>
    <w:aliases w:val="nadpis 5 Char1"/>
    <w:basedOn w:val="Standardnpsmoodstavce"/>
    <w:link w:val="Nadpis5"/>
    <w:uiPriority w:val="9"/>
    <w:rsid w:val="00D4266B"/>
    <w:rPr>
      <w:rFonts w:eastAsia="Times New Roman"/>
      <w:b/>
      <w:bCs/>
      <w:i/>
      <w:iCs/>
      <w:sz w:val="22"/>
      <w:szCs w:val="26"/>
    </w:rPr>
  </w:style>
  <w:style w:type="character" w:customStyle="1" w:styleId="Nadpis6Char1">
    <w:name w:val="Nadpis 6 Char1"/>
    <w:basedOn w:val="Standardnpsmoodstavce"/>
    <w:link w:val="Nadpis6"/>
    <w:uiPriority w:val="9"/>
    <w:rsid w:val="00D4266B"/>
    <w:rPr>
      <w:rFonts w:eastAsia="Times New Roman"/>
      <w:bCs/>
      <w:sz w:val="22"/>
      <w:szCs w:val="22"/>
      <w:u w:val="single"/>
    </w:rPr>
  </w:style>
  <w:style w:type="character" w:customStyle="1" w:styleId="Nadpis7Char1">
    <w:name w:val="Nadpis 7 Char1"/>
    <w:basedOn w:val="Standardnpsmoodstavce"/>
    <w:link w:val="Nadpis7"/>
    <w:uiPriority w:val="9"/>
    <w:rsid w:val="00E4652C"/>
    <w:rPr>
      <w:rFonts w:eastAsia="Times New Roman"/>
      <w:sz w:val="24"/>
      <w:szCs w:val="24"/>
    </w:rPr>
  </w:style>
  <w:style w:type="character" w:customStyle="1" w:styleId="Nadpis8Char1">
    <w:name w:val="Nadpis 8 Char1"/>
    <w:basedOn w:val="Standardnpsmoodstavce"/>
    <w:link w:val="Nadpis8"/>
    <w:uiPriority w:val="9"/>
    <w:rsid w:val="00E4652C"/>
    <w:rPr>
      <w:rFonts w:eastAsia="Times New Roman"/>
      <w:i/>
      <w:iCs/>
      <w:sz w:val="24"/>
      <w:szCs w:val="24"/>
    </w:rPr>
  </w:style>
  <w:style w:type="character" w:customStyle="1" w:styleId="Nadpis9Char1">
    <w:name w:val="Nadpis 9 Char1"/>
    <w:basedOn w:val="Standardnpsmoodstavce"/>
    <w:link w:val="Nadpis9"/>
    <w:uiPriority w:val="9"/>
    <w:rsid w:val="00E4652C"/>
    <w:rPr>
      <w:rFonts w:ascii="Cambria" w:eastAsia="Times New Roman" w:hAnsi="Cambria"/>
      <w:sz w:val="24"/>
      <w:szCs w:val="22"/>
    </w:rPr>
  </w:style>
  <w:style w:type="character" w:customStyle="1" w:styleId="TextkomenteChar1">
    <w:name w:val="Text komentáře Char1"/>
    <w:aliases w:val="Text poznámky Char1"/>
    <w:basedOn w:val="Standardnpsmoodstavce"/>
    <w:link w:val="Textkomente"/>
    <w:rsid w:val="00E4652C"/>
    <w:rPr>
      <w:rFonts w:ascii="Garamond" w:hAnsi="Garamond"/>
      <w:lang w:val="en-GB"/>
    </w:rPr>
  </w:style>
  <w:style w:type="paragraph" w:styleId="Hlavikaobsahu">
    <w:name w:val="toa heading"/>
    <w:basedOn w:val="Normln"/>
    <w:next w:val="Normln"/>
    <w:uiPriority w:val="99"/>
    <w:semiHidden/>
    <w:unhideWhenUsed/>
    <w:rsid w:val="00E4652C"/>
    <w:pPr>
      <w:autoSpaceDE w:val="0"/>
      <w:autoSpaceDN w:val="0"/>
      <w:adjustRightInd w:val="0"/>
      <w:spacing w:after="200" w:line="360" w:lineRule="auto"/>
      <w:jc w:val="left"/>
    </w:pPr>
    <w:rPr>
      <w:rFonts w:asciiTheme="majorHAnsi" w:eastAsiaTheme="majorEastAsia" w:hAnsiTheme="majorHAnsi" w:cstheme="majorBidi"/>
      <w:b/>
      <w:bCs/>
      <w:szCs w:val="24"/>
      <w:lang w:val="en-US"/>
    </w:rPr>
  </w:style>
  <w:style w:type="paragraph" w:styleId="Seznamcitac">
    <w:name w:val="table of authorities"/>
    <w:basedOn w:val="Normln"/>
    <w:next w:val="Normln"/>
    <w:uiPriority w:val="99"/>
    <w:semiHidden/>
    <w:unhideWhenUsed/>
    <w:rsid w:val="00E4652C"/>
    <w:pPr>
      <w:autoSpaceDE w:val="0"/>
      <w:autoSpaceDN w:val="0"/>
      <w:adjustRightInd w:val="0"/>
      <w:spacing w:after="0" w:line="360" w:lineRule="auto"/>
      <w:ind w:left="240" w:hanging="240"/>
      <w:jc w:val="left"/>
    </w:pPr>
    <w:rPr>
      <w:rFonts w:ascii="Times New Roman" w:eastAsiaTheme="minorHAnsi" w:hAnsi="Times New Roman" w:cs="Times-Roman"/>
      <w:szCs w:val="20"/>
      <w:lang w:val="en-US"/>
    </w:rPr>
  </w:style>
  <w:style w:type="paragraph" w:customStyle="1" w:styleId="free">
    <w:name w:val="free"/>
    <w:basedOn w:val="Normln"/>
    <w:rsid w:val="00E4652C"/>
    <w:pPr>
      <w:spacing w:before="100" w:beforeAutospacing="1" w:after="100" w:afterAutospacing="1"/>
      <w:jc w:val="left"/>
    </w:pPr>
    <w:rPr>
      <w:rFonts w:ascii="Times New Roman" w:eastAsia="Times New Roman" w:hAnsi="Times New Roman"/>
      <w:szCs w:val="24"/>
      <w:lang w:eastAsia="cs-CZ"/>
    </w:rPr>
  </w:style>
  <w:style w:type="character" w:customStyle="1" w:styleId="PedmtkomenteChar1">
    <w:name w:val="Předmět komentáře Char1"/>
    <w:basedOn w:val="TextkomenteChar1"/>
    <w:link w:val="Pedmtkomente"/>
    <w:uiPriority w:val="99"/>
    <w:semiHidden/>
    <w:rsid w:val="00E4652C"/>
    <w:rPr>
      <w:rFonts w:ascii="Garamond" w:hAnsi="Garamond"/>
      <w:b/>
      <w:bCs/>
      <w:lang w:val="en-GB"/>
    </w:rPr>
  </w:style>
  <w:style w:type="paragraph" w:customStyle="1" w:styleId="definicetext">
    <w:name w:val="definice text"/>
    <w:basedOn w:val="Normln"/>
    <w:link w:val="definicetextChar"/>
    <w:rsid w:val="00E4652C"/>
    <w:pPr>
      <w:spacing w:after="0" w:line="360" w:lineRule="auto"/>
      <w:ind w:left="720" w:right="567"/>
    </w:pPr>
    <w:rPr>
      <w:rFonts w:ascii="Times New Roman" w:eastAsia="Times New Roman" w:hAnsi="Times New Roman"/>
      <w:i/>
      <w:color w:val="000000" w:themeColor="text1"/>
      <w:szCs w:val="24"/>
      <w:lang w:val="en-US"/>
    </w:rPr>
  </w:style>
  <w:style w:type="paragraph" w:customStyle="1" w:styleId="definicenadpis">
    <w:name w:val="definice nadpis"/>
    <w:basedOn w:val="Normln"/>
    <w:link w:val="definicenadpisChar"/>
    <w:rsid w:val="00E4652C"/>
    <w:pPr>
      <w:spacing w:after="0" w:line="360" w:lineRule="auto"/>
      <w:ind w:left="720"/>
    </w:pPr>
    <w:rPr>
      <w:rFonts w:ascii="Times New Roman" w:eastAsia="Times New Roman" w:hAnsi="Times New Roman"/>
      <w:b/>
      <w:i/>
      <w:lang w:val="en-US"/>
    </w:rPr>
  </w:style>
  <w:style w:type="character" w:customStyle="1" w:styleId="definicetextChar">
    <w:name w:val="definice text Char"/>
    <w:basedOn w:val="Standardnpsmoodstavce"/>
    <w:link w:val="definicetext"/>
    <w:rsid w:val="00E4652C"/>
    <w:rPr>
      <w:rFonts w:ascii="Times New Roman" w:eastAsia="Times New Roman" w:hAnsi="Times New Roman"/>
      <w:i/>
      <w:color w:val="000000" w:themeColor="text1"/>
      <w:sz w:val="24"/>
      <w:szCs w:val="24"/>
    </w:rPr>
  </w:style>
  <w:style w:type="paragraph" w:customStyle="1" w:styleId="vpis">
    <w:name w:val="výpis"/>
    <w:basedOn w:val="Odstavecseseznamem"/>
    <w:link w:val="vpisChar"/>
    <w:rsid w:val="00E4652C"/>
    <w:pPr>
      <w:numPr>
        <w:numId w:val="10"/>
      </w:numPr>
      <w:autoSpaceDE w:val="0"/>
      <w:autoSpaceDN w:val="0"/>
      <w:adjustRightInd w:val="0"/>
      <w:spacing w:after="0" w:line="360" w:lineRule="auto"/>
      <w:outlineLvl w:val="0"/>
    </w:pPr>
    <w:rPr>
      <w:rFonts w:ascii="Times New Roman" w:eastAsia="Times New Roman" w:hAnsi="Times New Roman"/>
      <w:b/>
      <w:i/>
      <w:szCs w:val="24"/>
    </w:rPr>
  </w:style>
  <w:style w:type="character" w:customStyle="1" w:styleId="definicenadpisChar">
    <w:name w:val="definice nadpis Char"/>
    <w:basedOn w:val="Standardnpsmoodstavce"/>
    <w:link w:val="definicenadpis"/>
    <w:rsid w:val="00E4652C"/>
    <w:rPr>
      <w:rFonts w:ascii="Times New Roman" w:eastAsia="Times New Roman" w:hAnsi="Times New Roman"/>
      <w:b/>
      <w:i/>
      <w:sz w:val="24"/>
      <w:szCs w:val="22"/>
    </w:rPr>
  </w:style>
  <w:style w:type="paragraph" w:customStyle="1" w:styleId="citace">
    <w:name w:val="citace"/>
    <w:basedOn w:val="Normlnweb"/>
    <w:link w:val="citaceChar0"/>
    <w:rsid w:val="00E4652C"/>
    <w:rPr>
      <w:noProof/>
    </w:rPr>
  </w:style>
  <w:style w:type="character" w:customStyle="1" w:styleId="OdstavecseseznamemChar">
    <w:name w:val="Odstavec se seznamem Char"/>
    <w:aliases w:val="_Odstavec se seznamem Char,Seznam - odrážky Char,Tučné Char,Odstavec cíl se seznamem Char,A-Odrážky1 Char,Odstavec_muj Char,Nad Char,Odstavec_muj1 Char,Odstavec_muj2 Char,Odstavec_muj3 Char,Nad1 Char,Odstavec_muj4 Char"/>
    <w:basedOn w:val="Standardnpsmoodstavce"/>
    <w:link w:val="Odstavecseseznamem"/>
    <w:uiPriority w:val="34"/>
    <w:qFormat/>
    <w:rsid w:val="00E4652C"/>
    <w:rPr>
      <w:rFonts w:ascii="Garamond" w:hAnsi="Garamond"/>
      <w:sz w:val="24"/>
      <w:szCs w:val="22"/>
      <w:lang w:val="en-GB"/>
    </w:rPr>
  </w:style>
  <w:style w:type="character" w:customStyle="1" w:styleId="vpisChar">
    <w:name w:val="výpis Char"/>
    <w:basedOn w:val="OdstavecseseznamemChar"/>
    <w:link w:val="vpis"/>
    <w:rsid w:val="00E4652C"/>
    <w:rPr>
      <w:rFonts w:ascii="Times New Roman" w:eastAsia="Times New Roman" w:hAnsi="Times New Roman"/>
      <w:b/>
      <w:i/>
      <w:sz w:val="24"/>
      <w:szCs w:val="24"/>
      <w:lang w:val="en-GB"/>
    </w:rPr>
  </w:style>
  <w:style w:type="character" w:customStyle="1" w:styleId="NormlnwebChar">
    <w:name w:val="Normální (web) Char"/>
    <w:basedOn w:val="Standardnpsmoodstavce"/>
    <w:link w:val="Normlnweb"/>
    <w:uiPriority w:val="99"/>
    <w:rsid w:val="00E4652C"/>
    <w:rPr>
      <w:rFonts w:ascii="Times New Roman" w:eastAsia="Times New Roman" w:hAnsi="Times New Roman"/>
      <w:sz w:val="24"/>
      <w:szCs w:val="24"/>
      <w:lang w:val="en-GB" w:eastAsia="cs-CZ"/>
    </w:rPr>
  </w:style>
  <w:style w:type="character" w:customStyle="1" w:styleId="citaceChar0">
    <w:name w:val="citace Char"/>
    <w:basedOn w:val="NormlnwebChar"/>
    <w:link w:val="citace"/>
    <w:rsid w:val="00E4652C"/>
    <w:rPr>
      <w:rFonts w:ascii="Times New Roman" w:eastAsia="Times New Roman" w:hAnsi="Times New Roman"/>
      <w:noProof/>
      <w:sz w:val="24"/>
      <w:szCs w:val="24"/>
      <w:lang w:val="en-GB" w:eastAsia="cs-CZ"/>
    </w:rPr>
  </w:style>
  <w:style w:type="paragraph" w:customStyle="1" w:styleId="poznpodarou">
    <w:name w:val="pozn. pod čarou"/>
    <w:basedOn w:val="Normln"/>
    <w:link w:val="poznpodarouChar"/>
    <w:rsid w:val="00E4652C"/>
    <w:pPr>
      <w:spacing w:line="276" w:lineRule="auto"/>
    </w:pPr>
    <w:rPr>
      <w:rFonts w:ascii="Times New Roman" w:eastAsia="Times New Roman" w:hAnsi="Times New Roman"/>
      <w:sz w:val="20"/>
      <w:lang w:val="en-US"/>
    </w:rPr>
  </w:style>
  <w:style w:type="character" w:customStyle="1" w:styleId="poznpodarouChar">
    <w:name w:val="pozn. pod čarou Char"/>
    <w:basedOn w:val="Standardnpsmoodstavce"/>
    <w:link w:val="poznpodarou"/>
    <w:rsid w:val="00E4652C"/>
    <w:rPr>
      <w:rFonts w:ascii="Times New Roman" w:eastAsia="Times New Roman" w:hAnsi="Times New Roman"/>
      <w:szCs w:val="22"/>
    </w:rPr>
  </w:style>
  <w:style w:type="character" w:customStyle="1" w:styleId="bold">
    <w:name w:val="bold"/>
    <w:basedOn w:val="Standardnpsmoodstavce"/>
    <w:rsid w:val="00E4652C"/>
  </w:style>
  <w:style w:type="character" w:customStyle="1" w:styleId="webname">
    <w:name w:val="webname"/>
    <w:basedOn w:val="Standardnpsmoodstavce"/>
    <w:rsid w:val="00E4652C"/>
  </w:style>
  <w:style w:type="paragraph" w:styleId="Textvysvtlivek">
    <w:name w:val="endnote text"/>
    <w:basedOn w:val="Normln"/>
    <w:link w:val="TextvysvtlivekChar"/>
    <w:uiPriority w:val="99"/>
    <w:semiHidden/>
    <w:unhideWhenUsed/>
    <w:rsid w:val="00E4652C"/>
    <w:pPr>
      <w:spacing w:before="0" w:after="0"/>
    </w:pPr>
    <w:rPr>
      <w:rFonts w:ascii="Times New Roman" w:eastAsia="Times New Roman" w:hAnsi="Times New Roman"/>
      <w:sz w:val="20"/>
      <w:szCs w:val="20"/>
      <w:lang w:val="en-US"/>
    </w:rPr>
  </w:style>
  <w:style w:type="character" w:customStyle="1" w:styleId="TextvysvtlivekChar">
    <w:name w:val="Text vysvětlivek Char"/>
    <w:basedOn w:val="Standardnpsmoodstavce"/>
    <w:link w:val="Textvysvtlivek"/>
    <w:uiPriority w:val="99"/>
    <w:semiHidden/>
    <w:rsid w:val="00E4652C"/>
    <w:rPr>
      <w:rFonts w:ascii="Times New Roman" w:eastAsia="Times New Roman" w:hAnsi="Times New Roman"/>
    </w:rPr>
  </w:style>
  <w:style w:type="character" w:styleId="Odkaznavysvtlivky">
    <w:name w:val="endnote reference"/>
    <w:basedOn w:val="Standardnpsmoodstavce"/>
    <w:uiPriority w:val="99"/>
    <w:semiHidden/>
    <w:unhideWhenUsed/>
    <w:rsid w:val="00E4652C"/>
    <w:rPr>
      <w:vertAlign w:val="superscript"/>
    </w:rPr>
  </w:style>
  <w:style w:type="character" w:customStyle="1" w:styleId="reference-accessdate">
    <w:name w:val="reference-accessdate"/>
    <w:basedOn w:val="Standardnpsmoodstavce"/>
    <w:rsid w:val="00E4652C"/>
  </w:style>
  <w:style w:type="character" w:customStyle="1" w:styleId="articledate">
    <w:name w:val="articledate"/>
    <w:basedOn w:val="Standardnpsmoodstavce"/>
    <w:rsid w:val="001F65F9"/>
  </w:style>
  <w:style w:type="character" w:customStyle="1" w:styleId="goog-trans-section">
    <w:name w:val="goog-trans-section"/>
    <w:basedOn w:val="Standardnpsmoodstavce"/>
    <w:rsid w:val="001F65F9"/>
  </w:style>
  <w:style w:type="character" w:customStyle="1" w:styleId="Datum1">
    <w:name w:val="Datum1"/>
    <w:basedOn w:val="Standardnpsmoodstavce"/>
    <w:rsid w:val="00A207C1"/>
  </w:style>
  <w:style w:type="character" w:customStyle="1" w:styleId="sep">
    <w:name w:val="sep"/>
    <w:basedOn w:val="Standardnpsmoodstavce"/>
    <w:rsid w:val="00A207C1"/>
  </w:style>
  <w:style w:type="numbering" w:customStyle="1" w:styleId="NoList5">
    <w:name w:val="No List5"/>
    <w:next w:val="Bezseznamu"/>
    <w:uiPriority w:val="99"/>
    <w:semiHidden/>
    <w:unhideWhenUsed/>
    <w:rsid w:val="00F1317B"/>
  </w:style>
  <w:style w:type="table" w:customStyle="1" w:styleId="TableGrid4">
    <w:name w:val="Table Grid4"/>
    <w:basedOn w:val="Normlntabulka"/>
    <w:next w:val="Mkatabulky"/>
    <w:uiPriority w:val="59"/>
    <w:rsid w:val="00F1317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A5B8D0E64CA4985BBFCEFDF165F36CC">
    <w:name w:val="3A5B8D0E64CA4985BBFCEFDF165F36CC"/>
    <w:rsid w:val="00F1317B"/>
    <w:pPr>
      <w:spacing w:after="200" w:line="276" w:lineRule="auto"/>
    </w:pPr>
    <w:rPr>
      <w:rFonts w:eastAsia="Times New Roman"/>
      <w:sz w:val="22"/>
      <w:szCs w:val="22"/>
    </w:rPr>
  </w:style>
  <w:style w:type="character" w:customStyle="1" w:styleId="BezmezerChar">
    <w:name w:val="Bez mezer Char"/>
    <w:aliases w:val="podtrženo Char"/>
    <w:basedOn w:val="Standardnpsmoodstavce"/>
    <w:link w:val="Bezmezer"/>
    <w:uiPriority w:val="1"/>
    <w:rsid w:val="00F1317B"/>
    <w:rPr>
      <w:rFonts w:ascii="Garamond" w:hAnsi="Garamond"/>
      <w:sz w:val="24"/>
      <w:szCs w:val="22"/>
      <w:lang w:val="cs-CZ"/>
    </w:rPr>
  </w:style>
  <w:style w:type="paragraph" w:customStyle="1" w:styleId="TITULNISTRANKA">
    <w:name w:val="TITULNI STRANKA"/>
    <w:basedOn w:val="Normln"/>
    <w:next w:val="Normln"/>
    <w:rsid w:val="00F1317B"/>
    <w:pPr>
      <w:spacing w:before="0" w:after="0" w:line="360" w:lineRule="auto"/>
      <w:jc w:val="center"/>
    </w:pPr>
    <w:rPr>
      <w:rFonts w:ascii="Arial" w:eastAsia="Times New Roman" w:hAnsi="Arial" w:cs="Arial"/>
      <w:b/>
      <w:smallCaps/>
      <w:sz w:val="36"/>
      <w:szCs w:val="36"/>
      <w:lang w:eastAsia="cs-CZ"/>
    </w:rPr>
  </w:style>
  <w:style w:type="paragraph" w:customStyle="1" w:styleId="Char4CharCharChar">
    <w:name w:val="Char4 Char Char Char"/>
    <w:basedOn w:val="Normln"/>
    <w:rsid w:val="00F1317B"/>
    <w:pPr>
      <w:spacing w:before="0" w:after="160" w:line="240" w:lineRule="exact"/>
      <w:jc w:val="left"/>
    </w:pPr>
    <w:rPr>
      <w:rFonts w:ascii="Times New Roman Bold" w:eastAsia="Times New Roman" w:hAnsi="Times New Roman Bold"/>
      <w:sz w:val="22"/>
      <w:szCs w:val="26"/>
      <w:lang w:val="sk-SK"/>
    </w:rPr>
  </w:style>
  <w:style w:type="paragraph" w:customStyle="1" w:styleId="Char4CharCharChar2">
    <w:name w:val="Char4 Char Char Char2"/>
    <w:basedOn w:val="Normln"/>
    <w:rsid w:val="000C17C0"/>
    <w:pPr>
      <w:spacing w:before="0" w:after="160" w:line="240" w:lineRule="exact"/>
      <w:jc w:val="left"/>
    </w:pPr>
    <w:rPr>
      <w:rFonts w:ascii="Times New Roman Bold" w:eastAsia="Times New Roman" w:hAnsi="Times New Roman Bold"/>
      <w:sz w:val="22"/>
      <w:szCs w:val="26"/>
      <w:lang w:val="sk-SK"/>
    </w:rPr>
  </w:style>
  <w:style w:type="character" w:styleId="Nzevknihy">
    <w:name w:val="Book Title"/>
    <w:basedOn w:val="Standardnpsmoodstavce"/>
    <w:uiPriority w:val="33"/>
    <w:rsid w:val="00C608DF"/>
    <w:rPr>
      <w:b/>
      <w:bCs/>
      <w:smallCaps/>
      <w:spacing w:val="5"/>
    </w:rPr>
  </w:style>
  <w:style w:type="character" w:styleId="Zdraznnintenzivn">
    <w:name w:val="Intense Emphasis"/>
    <w:basedOn w:val="Standardnpsmoodstavce"/>
    <w:uiPriority w:val="21"/>
    <w:qFormat/>
    <w:rsid w:val="00D90EF8"/>
    <w:rPr>
      <w:b/>
      <w:bCs/>
      <w:i/>
      <w:iCs/>
      <w:color w:val="B6B002" w:themeColor="accent1"/>
    </w:rPr>
  </w:style>
  <w:style w:type="numbering" w:customStyle="1" w:styleId="NoList6">
    <w:name w:val="No List6"/>
    <w:next w:val="Bezseznamu"/>
    <w:uiPriority w:val="99"/>
    <w:semiHidden/>
    <w:unhideWhenUsed/>
    <w:rsid w:val="006C6681"/>
  </w:style>
  <w:style w:type="paragraph" w:customStyle="1" w:styleId="Char4CharCharChar1">
    <w:name w:val="Char4 Char Char Char1"/>
    <w:basedOn w:val="Normln"/>
    <w:rsid w:val="00DA287E"/>
    <w:pPr>
      <w:spacing w:before="0" w:after="160" w:line="240" w:lineRule="exact"/>
      <w:jc w:val="left"/>
    </w:pPr>
    <w:rPr>
      <w:rFonts w:ascii="Times New Roman Bold" w:eastAsia="Times New Roman" w:hAnsi="Times New Roman Bold"/>
      <w:sz w:val="22"/>
      <w:szCs w:val="26"/>
      <w:lang w:val="sk-SK"/>
    </w:rPr>
  </w:style>
  <w:style w:type="paragraph" w:customStyle="1" w:styleId="Rfrenceinstitutionelle">
    <w:name w:val="Référence institutionelle"/>
    <w:basedOn w:val="Normln"/>
    <w:next w:val="Normln"/>
    <w:rsid w:val="00CF3D53"/>
    <w:pPr>
      <w:spacing w:before="0" w:after="240"/>
      <w:ind w:left="5103"/>
      <w:jc w:val="left"/>
    </w:pPr>
    <w:rPr>
      <w:rFonts w:ascii="Times New Roman" w:eastAsia="Times New Roman" w:hAnsi="Times New Roman"/>
      <w:szCs w:val="20"/>
      <w:lang w:eastAsia="en-GB"/>
    </w:rPr>
  </w:style>
  <w:style w:type="paragraph" w:customStyle="1" w:styleId="Typedudocument">
    <w:name w:val="Type du document"/>
    <w:basedOn w:val="Normln"/>
    <w:next w:val="Normln"/>
    <w:rsid w:val="00CF3D53"/>
    <w:pPr>
      <w:spacing w:before="360" w:after="0"/>
      <w:jc w:val="center"/>
    </w:pPr>
    <w:rPr>
      <w:rFonts w:ascii="Times New Roman" w:eastAsia="Times New Roman" w:hAnsi="Times New Roman"/>
      <w:b/>
      <w:szCs w:val="20"/>
      <w:lang w:eastAsia="en-GB"/>
    </w:rPr>
  </w:style>
  <w:style w:type="paragraph" w:customStyle="1" w:styleId="Confidentialit">
    <w:name w:val="Confidentialité"/>
    <w:basedOn w:val="Normln"/>
    <w:next w:val="Normln"/>
    <w:rsid w:val="00CF3D53"/>
    <w:pPr>
      <w:spacing w:before="240" w:after="240"/>
      <w:ind w:left="5103"/>
    </w:pPr>
    <w:rPr>
      <w:rFonts w:ascii="Times New Roman" w:eastAsia="Times New Roman" w:hAnsi="Times New Roman"/>
      <w:szCs w:val="20"/>
      <w:u w:val="single"/>
      <w:lang w:eastAsia="en-GB"/>
    </w:rPr>
  </w:style>
  <w:style w:type="character" w:customStyle="1" w:styleId="tw4winMark">
    <w:name w:val="tw4winMark"/>
    <w:rsid w:val="00FC2B27"/>
    <w:rPr>
      <w:vanish/>
      <w:color w:val="800080"/>
      <w:vertAlign w:val="subscript"/>
    </w:rPr>
  </w:style>
  <w:style w:type="paragraph" w:customStyle="1" w:styleId="odst">
    <w:name w:val="odst"/>
    <w:basedOn w:val="Normln"/>
    <w:rsid w:val="00163D9D"/>
    <w:pPr>
      <w:spacing w:before="100" w:beforeAutospacing="1" w:after="100" w:afterAutospacing="1"/>
      <w:jc w:val="left"/>
    </w:pPr>
    <w:rPr>
      <w:rFonts w:ascii="Times New Roman" w:eastAsia="Times New Roman" w:hAnsi="Times New Roman"/>
      <w:szCs w:val="24"/>
      <w:lang w:eastAsia="cs-CZ"/>
    </w:rPr>
  </w:style>
  <w:style w:type="character" w:customStyle="1" w:styleId="d-b">
    <w:name w:val="d-b"/>
    <w:basedOn w:val="Standardnpsmoodstavce"/>
    <w:rsid w:val="00846D63"/>
  </w:style>
  <w:style w:type="character" w:customStyle="1" w:styleId="fs-12">
    <w:name w:val="fs-12"/>
    <w:basedOn w:val="Standardnpsmoodstavce"/>
    <w:rsid w:val="00846D63"/>
  </w:style>
  <w:style w:type="character" w:customStyle="1" w:styleId="fs-11">
    <w:name w:val="fs-11"/>
    <w:basedOn w:val="Standardnpsmoodstavce"/>
    <w:rsid w:val="00846D63"/>
  </w:style>
  <w:style w:type="paragraph" w:customStyle="1" w:styleId="Barevnseznamzvraznn11">
    <w:name w:val="Barevný seznam – zvýraznění 11"/>
    <w:basedOn w:val="Normln"/>
    <w:link w:val="Barevnseznamzvraznn1Char"/>
    <w:uiPriority w:val="99"/>
    <w:rsid w:val="00745EFC"/>
    <w:pPr>
      <w:spacing w:before="0" w:after="0"/>
      <w:ind w:left="720"/>
      <w:contextualSpacing/>
      <w:jc w:val="left"/>
    </w:pPr>
    <w:rPr>
      <w:rFonts w:ascii="Times New Roman" w:eastAsia="Times New Roman" w:hAnsi="Times New Roman"/>
      <w:sz w:val="20"/>
      <w:szCs w:val="20"/>
      <w:lang w:eastAsia="cs-CZ"/>
    </w:rPr>
  </w:style>
  <w:style w:type="paragraph" w:customStyle="1" w:styleId="Normodsaz">
    <w:name w:val="Norm.odsaz."/>
    <w:basedOn w:val="Normln"/>
    <w:uiPriority w:val="99"/>
    <w:rsid w:val="00745EFC"/>
    <w:pPr>
      <w:autoSpaceDE w:val="0"/>
      <w:autoSpaceDN w:val="0"/>
    </w:pPr>
    <w:rPr>
      <w:rFonts w:ascii="Times New Roman" w:hAnsi="Times New Roman"/>
      <w:szCs w:val="24"/>
      <w:lang w:eastAsia="cs-CZ"/>
    </w:rPr>
  </w:style>
  <w:style w:type="character" w:customStyle="1" w:styleId="Barevnseznamzvraznn1Char">
    <w:name w:val="Barevný seznam – zvýraznění 1 Char"/>
    <w:link w:val="Barevnseznamzvraznn11"/>
    <w:uiPriority w:val="99"/>
    <w:rsid w:val="00745EFC"/>
    <w:rPr>
      <w:rFonts w:ascii="Times New Roman" w:eastAsia="Times New Roman" w:hAnsi="Times New Roman"/>
      <w:lang w:val="cs-CZ" w:eastAsia="cs-CZ"/>
    </w:rPr>
  </w:style>
  <w:style w:type="paragraph" w:customStyle="1" w:styleId="odrky1">
    <w:name w:val="odrážky1"/>
    <w:basedOn w:val="Normln"/>
    <w:uiPriority w:val="99"/>
    <w:rsid w:val="00D0793B"/>
    <w:pPr>
      <w:widowControl w:val="0"/>
      <w:numPr>
        <w:numId w:val="12"/>
      </w:numPr>
      <w:autoSpaceDE w:val="0"/>
      <w:autoSpaceDN w:val="0"/>
      <w:adjustRightInd w:val="0"/>
      <w:spacing w:before="0" w:line="288" w:lineRule="auto"/>
      <w:contextualSpacing/>
    </w:pPr>
    <w:rPr>
      <w:rFonts w:ascii="Arial" w:eastAsia="Times New Roman" w:hAnsi="Arial" w:cs="Arial"/>
      <w:szCs w:val="24"/>
      <w:lang w:eastAsia="cs-CZ"/>
    </w:rPr>
  </w:style>
  <w:style w:type="paragraph" w:customStyle="1" w:styleId="Nadpis10">
    <w:name w:val="Nadpis (1)"/>
    <w:basedOn w:val="Nadpis1"/>
    <w:link w:val="Nadpis1Char0"/>
    <w:qFormat/>
    <w:rsid w:val="009679AD"/>
  </w:style>
  <w:style w:type="paragraph" w:customStyle="1" w:styleId="Nadpis20">
    <w:name w:val="Nadpis (2)"/>
    <w:basedOn w:val="Nadpis2"/>
    <w:link w:val="Nadpis2Char0"/>
    <w:qFormat/>
    <w:rsid w:val="009679AD"/>
    <w:rPr>
      <w:rFonts w:eastAsia="Calibri"/>
    </w:rPr>
  </w:style>
  <w:style w:type="character" w:customStyle="1" w:styleId="Nadpis1Char0">
    <w:name w:val="Nadpis (1) Char"/>
    <w:basedOn w:val="Nadpis1Char1"/>
    <w:link w:val="Nadpis10"/>
    <w:rsid w:val="009679AD"/>
    <w:rPr>
      <w:rFonts w:ascii="Cambria" w:eastAsia="Times New Roman" w:hAnsi="Cambria"/>
      <w:b/>
      <w:bCs/>
      <w:color w:val="B6B002"/>
      <w:sz w:val="28"/>
      <w:szCs w:val="28"/>
    </w:rPr>
  </w:style>
  <w:style w:type="paragraph" w:customStyle="1" w:styleId="Nadpis30">
    <w:name w:val="Nadpis (3)"/>
    <w:basedOn w:val="Nadpis3"/>
    <w:link w:val="Nadpis3Char0"/>
    <w:qFormat/>
    <w:rsid w:val="00391E39"/>
    <w:pPr>
      <w:ind w:left="720"/>
    </w:pPr>
  </w:style>
  <w:style w:type="character" w:customStyle="1" w:styleId="Nadpis2Char0">
    <w:name w:val="Nadpis (2) Char"/>
    <w:basedOn w:val="Nadpis2Char1"/>
    <w:link w:val="Nadpis20"/>
    <w:rsid w:val="009679AD"/>
    <w:rPr>
      <w:rFonts w:ascii="Cambria" w:eastAsia="Times New Roman" w:hAnsi="Cambria"/>
      <w:b/>
      <w:bCs/>
      <w:color w:val="B6B002"/>
      <w:sz w:val="26"/>
      <w:szCs w:val="26"/>
    </w:rPr>
  </w:style>
  <w:style w:type="paragraph" w:customStyle="1" w:styleId="Text-Normaln">
    <w:name w:val="Text - Normalní"/>
    <w:basedOn w:val="Normln"/>
    <w:link w:val="Text-NormalnChar"/>
    <w:qFormat/>
    <w:rsid w:val="009679AD"/>
  </w:style>
  <w:style w:type="character" w:customStyle="1" w:styleId="Nadpis3Char0">
    <w:name w:val="Nadpis (3) Char"/>
    <w:basedOn w:val="Nadpis3Char1"/>
    <w:link w:val="Nadpis30"/>
    <w:rsid w:val="00391E39"/>
    <w:rPr>
      <w:rFonts w:ascii="Cambria" w:eastAsia="Times New Roman" w:hAnsi="Cambria"/>
      <w:b/>
      <w:bCs/>
      <w:color w:val="B6B002"/>
      <w:sz w:val="24"/>
      <w:szCs w:val="22"/>
    </w:rPr>
  </w:style>
  <w:style w:type="paragraph" w:customStyle="1" w:styleId="Odraky1">
    <w:name w:val="Odražky (1)"/>
    <w:basedOn w:val="Odstavecseseznamem"/>
    <w:link w:val="Odraky1Char"/>
    <w:qFormat/>
    <w:rsid w:val="009679AD"/>
    <w:pPr>
      <w:numPr>
        <w:numId w:val="13"/>
      </w:numPr>
    </w:pPr>
  </w:style>
  <w:style w:type="character" w:customStyle="1" w:styleId="Text-NormalnChar">
    <w:name w:val="Text - Normalní Char"/>
    <w:basedOn w:val="Standardnpsmoodstavce"/>
    <w:link w:val="Text-Normaln"/>
    <w:rsid w:val="009679AD"/>
    <w:rPr>
      <w:rFonts w:ascii="Garamond" w:hAnsi="Garamond"/>
      <w:sz w:val="24"/>
      <w:szCs w:val="22"/>
      <w:lang w:val="cs-CZ"/>
    </w:rPr>
  </w:style>
  <w:style w:type="paragraph" w:customStyle="1" w:styleId="Text-Tabulka">
    <w:name w:val="Text - Tabulka"/>
    <w:basedOn w:val="Normln"/>
    <w:link w:val="Text-TabulkaChar"/>
    <w:qFormat/>
    <w:rsid w:val="009679AD"/>
    <w:pPr>
      <w:jc w:val="left"/>
    </w:pPr>
    <w:rPr>
      <w:rFonts w:eastAsia="MS Mincho"/>
      <w:sz w:val="20"/>
      <w:szCs w:val="20"/>
    </w:rPr>
  </w:style>
  <w:style w:type="character" w:customStyle="1" w:styleId="Odraky1Char">
    <w:name w:val="Odražky (1) Char"/>
    <w:basedOn w:val="OdstavecseseznamemChar"/>
    <w:link w:val="Odraky1"/>
    <w:rsid w:val="009679AD"/>
    <w:rPr>
      <w:rFonts w:ascii="Garamond" w:hAnsi="Garamond"/>
      <w:sz w:val="24"/>
      <w:szCs w:val="22"/>
      <w:lang w:val="en-GB"/>
    </w:rPr>
  </w:style>
  <w:style w:type="paragraph" w:customStyle="1" w:styleId="Quote1">
    <w:name w:val="Quote1"/>
    <w:basedOn w:val="Normln"/>
    <w:next w:val="Normln"/>
    <w:link w:val="QuoteChar"/>
    <w:rsid w:val="006529AC"/>
    <w:pPr>
      <w:spacing w:before="0" w:after="0"/>
    </w:pPr>
    <w:rPr>
      <w:rFonts w:eastAsia="Times New Roman"/>
      <w:i/>
      <w:iCs/>
      <w:color w:val="000000"/>
      <w:sz w:val="20"/>
      <w:szCs w:val="20"/>
      <w:lang w:eastAsia="cs-CZ"/>
    </w:rPr>
  </w:style>
  <w:style w:type="character" w:customStyle="1" w:styleId="Text-TabulkaChar">
    <w:name w:val="Text - Tabulka Char"/>
    <w:basedOn w:val="Standardnpsmoodstavce"/>
    <w:link w:val="Text-Tabulka"/>
    <w:rsid w:val="009679AD"/>
    <w:rPr>
      <w:rFonts w:ascii="Garamond" w:eastAsia="MS Mincho" w:hAnsi="Garamond"/>
      <w:lang w:val="cs-CZ"/>
    </w:rPr>
  </w:style>
  <w:style w:type="character" w:customStyle="1" w:styleId="QuoteChar">
    <w:name w:val="Quote Char"/>
    <w:link w:val="Quote1"/>
    <w:locked/>
    <w:rsid w:val="006529AC"/>
    <w:rPr>
      <w:rFonts w:ascii="Garamond" w:eastAsia="Times New Roman" w:hAnsi="Garamond"/>
      <w:i/>
      <w:iCs/>
      <w:color w:val="000000"/>
      <w:lang w:val="cs-CZ" w:eastAsia="cs-CZ"/>
    </w:rPr>
  </w:style>
  <w:style w:type="paragraph" w:customStyle="1" w:styleId="Zdroj1">
    <w:name w:val="Zdroj (1)"/>
    <w:basedOn w:val="Normln"/>
    <w:link w:val="Zdroj1Char"/>
    <w:qFormat/>
    <w:rsid w:val="004864F4"/>
    <w:pPr>
      <w:widowControl w:val="0"/>
      <w:spacing w:after="0"/>
    </w:pPr>
    <w:rPr>
      <w:rFonts w:eastAsia="Times New Roman"/>
      <w:i/>
      <w:iCs/>
      <w:color w:val="000000"/>
      <w:sz w:val="20"/>
      <w:szCs w:val="20"/>
      <w:lang w:eastAsia="cs-CZ"/>
    </w:rPr>
  </w:style>
  <w:style w:type="paragraph" w:customStyle="1" w:styleId="Nadpis2a">
    <w:name w:val="Nadpis (2a)"/>
    <w:basedOn w:val="Nadpis2"/>
    <w:link w:val="Nadpis2aChar"/>
    <w:qFormat/>
    <w:rsid w:val="008F009D"/>
    <w:pPr>
      <w:keepNext w:val="0"/>
      <w:numPr>
        <w:numId w:val="14"/>
      </w:numPr>
    </w:pPr>
    <w:rPr>
      <w:rFonts w:eastAsia="Calibri"/>
      <w:color w:val="auto"/>
      <w:sz w:val="24"/>
      <w:szCs w:val="24"/>
      <w:u w:val="single"/>
    </w:rPr>
  </w:style>
  <w:style w:type="character" w:customStyle="1" w:styleId="Zdroj1Char">
    <w:name w:val="Zdroj (1) Char"/>
    <w:basedOn w:val="Standardnpsmoodstavce"/>
    <w:link w:val="Zdroj1"/>
    <w:rsid w:val="004864F4"/>
    <w:rPr>
      <w:rFonts w:ascii="Garamond" w:eastAsia="Times New Roman" w:hAnsi="Garamond"/>
      <w:i/>
      <w:iCs/>
      <w:color w:val="000000"/>
      <w:lang w:eastAsia="cs-CZ"/>
    </w:rPr>
  </w:style>
  <w:style w:type="character" w:customStyle="1" w:styleId="Nadpis2aChar">
    <w:name w:val="Nadpis (2a) Char"/>
    <w:basedOn w:val="Nadpis2Char1"/>
    <w:link w:val="Nadpis2a"/>
    <w:rsid w:val="008F009D"/>
    <w:rPr>
      <w:rFonts w:ascii="Cambria" w:eastAsia="Times New Roman" w:hAnsi="Cambria"/>
      <w:b/>
      <w:bCs/>
      <w:color w:val="B6B002"/>
      <w:sz w:val="24"/>
      <w:szCs w:val="24"/>
      <w:u w:val="single"/>
    </w:rPr>
  </w:style>
  <w:style w:type="paragraph" w:customStyle="1" w:styleId="Odraky2">
    <w:name w:val="Odražky (2)"/>
    <w:basedOn w:val="Odstavecseseznamem"/>
    <w:link w:val="Odraky2Char"/>
    <w:qFormat/>
    <w:rsid w:val="00A40982"/>
    <w:pPr>
      <w:numPr>
        <w:numId w:val="11"/>
      </w:numPr>
      <w:ind w:left="1134" w:hanging="425"/>
    </w:pPr>
  </w:style>
  <w:style w:type="character" w:customStyle="1" w:styleId="Odraky2Char">
    <w:name w:val="Odražky (2) Char"/>
    <w:basedOn w:val="OdstavecseseznamemChar"/>
    <w:link w:val="Odraky2"/>
    <w:rsid w:val="00A40982"/>
    <w:rPr>
      <w:rFonts w:ascii="Garamond" w:hAnsi="Garamond"/>
      <w:sz w:val="24"/>
      <w:szCs w:val="22"/>
      <w:lang w:val="en-GB"/>
    </w:rPr>
  </w:style>
  <w:style w:type="paragraph" w:styleId="Rejstk5">
    <w:name w:val="index 5"/>
    <w:basedOn w:val="Normln"/>
    <w:next w:val="Normln"/>
    <w:autoRedefine/>
    <w:uiPriority w:val="99"/>
    <w:semiHidden/>
    <w:unhideWhenUsed/>
    <w:rsid w:val="00A57C40"/>
    <w:pPr>
      <w:spacing w:before="0" w:after="0"/>
      <w:ind w:left="1200" w:hanging="240"/>
    </w:pPr>
  </w:style>
  <w:style w:type="paragraph" w:customStyle="1" w:styleId="Styl14bTunzarovnnnasted">
    <w:name w:val="Styl 14 b. Tučné zarovnání na střed"/>
    <w:basedOn w:val="Normln"/>
    <w:rsid w:val="00513D3A"/>
    <w:pPr>
      <w:spacing w:before="0" w:after="80"/>
      <w:jc w:val="left"/>
    </w:pPr>
    <w:rPr>
      <w:rFonts w:ascii="Calibri" w:eastAsia="MS Mincho" w:hAnsi="Calibri"/>
      <w:bCs/>
      <w:szCs w:val="20"/>
      <w:lang w:eastAsia="ja-JP"/>
    </w:rPr>
  </w:style>
  <w:style w:type="paragraph" w:customStyle="1" w:styleId="Nadpis3a">
    <w:name w:val="Nadpis (3a)"/>
    <w:basedOn w:val="Text-Normaln"/>
    <w:link w:val="Nadpis3aChar"/>
    <w:qFormat/>
    <w:rsid w:val="00F8483B"/>
    <w:pPr>
      <w:numPr>
        <w:ilvl w:val="2"/>
        <w:numId w:val="15"/>
      </w:numPr>
    </w:pPr>
    <w:rPr>
      <w:b/>
    </w:rPr>
  </w:style>
  <w:style w:type="character" w:customStyle="1" w:styleId="Nadpis3aChar">
    <w:name w:val="Nadpis (3a) Char"/>
    <w:basedOn w:val="Text-NormalnChar"/>
    <w:link w:val="Nadpis3a"/>
    <w:rsid w:val="00F8483B"/>
    <w:rPr>
      <w:rFonts w:ascii="Garamond" w:hAnsi="Garamond"/>
      <w:b/>
      <w:sz w:val="24"/>
      <w:szCs w:val="22"/>
      <w:lang w:val="cs-CZ"/>
    </w:rPr>
  </w:style>
  <w:style w:type="paragraph" w:customStyle="1" w:styleId="Normln-tun">
    <w:name w:val="Normální - tučné"/>
    <w:basedOn w:val="Normln"/>
    <w:uiPriority w:val="99"/>
    <w:qFormat/>
    <w:rsid w:val="00C618B7"/>
    <w:rPr>
      <w:rFonts w:eastAsia="MS Mincho"/>
    </w:rPr>
  </w:style>
  <w:style w:type="character" w:customStyle="1" w:styleId="Zdraznnjemn1">
    <w:name w:val="Zdůraznění – jemné1"/>
    <w:aliases w:val="Heading6"/>
    <w:basedOn w:val="Standardnpsmoodstavce"/>
    <w:uiPriority w:val="19"/>
    <w:qFormat/>
    <w:rsid w:val="00FB5427"/>
    <w:rPr>
      <w:rFonts w:ascii="Times New Roman" w:hAnsi="Times New Roman"/>
      <w:b/>
      <w:i/>
      <w:iCs/>
      <w:color w:val="auto"/>
      <w:sz w:val="24"/>
    </w:rPr>
  </w:style>
  <w:style w:type="paragraph" w:styleId="FormtovanvHTML">
    <w:name w:val="HTML Preformatted"/>
    <w:basedOn w:val="Normln"/>
    <w:link w:val="FormtovanvHTMLChar"/>
    <w:uiPriority w:val="99"/>
    <w:rsid w:val="00FB5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FB5427"/>
    <w:rPr>
      <w:rFonts w:ascii="Courier New" w:eastAsia="Times New Roman" w:hAnsi="Courier New" w:cs="Courier New"/>
      <w:lang w:eastAsia="cs-CZ"/>
    </w:rPr>
  </w:style>
  <w:style w:type="paragraph" w:customStyle="1" w:styleId="Point1">
    <w:name w:val="Point 1"/>
    <w:basedOn w:val="Normln"/>
    <w:rsid w:val="00FB5427"/>
    <w:pPr>
      <w:widowControl w:val="0"/>
      <w:ind w:left="1418" w:hanging="567"/>
    </w:pPr>
    <w:rPr>
      <w:rFonts w:ascii="Times New Roman" w:eastAsia="Times New Roman" w:hAnsi="Times New Roman"/>
      <w:szCs w:val="20"/>
      <w:lang w:eastAsia="cs-CZ"/>
    </w:rPr>
  </w:style>
  <w:style w:type="character" w:customStyle="1" w:styleId="apple-style-span">
    <w:name w:val="apple-style-span"/>
    <w:basedOn w:val="Standardnpsmoodstavce"/>
    <w:rsid w:val="00FB5427"/>
  </w:style>
  <w:style w:type="paragraph" w:customStyle="1" w:styleId="1">
    <w:name w:val="1"/>
    <w:basedOn w:val="Normln"/>
    <w:next w:val="Normln"/>
    <w:link w:val="CitaceChar1"/>
    <w:uiPriority w:val="29"/>
    <w:qFormat/>
    <w:rsid w:val="00FB5427"/>
    <w:pPr>
      <w:widowControl w:val="0"/>
    </w:pPr>
    <w:rPr>
      <w:rFonts w:ascii="Times New Roman" w:eastAsia="Times New Roman" w:hAnsi="Times New Roman"/>
      <w:i/>
      <w:iCs/>
      <w:color w:val="000000"/>
      <w:szCs w:val="20"/>
    </w:rPr>
  </w:style>
  <w:style w:type="character" w:customStyle="1" w:styleId="CitaceChar2">
    <w:name w:val="Citace Char2"/>
    <w:basedOn w:val="Standardnpsmoodstavce"/>
    <w:uiPriority w:val="29"/>
    <w:rsid w:val="00FB5427"/>
    <w:rPr>
      <w:i/>
      <w:iCs/>
      <w:color w:val="000000"/>
      <w:sz w:val="24"/>
    </w:rPr>
  </w:style>
  <w:style w:type="character" w:styleId="Odkazintenzivn">
    <w:name w:val="Intense Reference"/>
    <w:basedOn w:val="Standardnpsmoodstavce"/>
    <w:uiPriority w:val="32"/>
    <w:qFormat/>
    <w:rsid w:val="00FB5427"/>
    <w:rPr>
      <w:b/>
      <w:bCs/>
      <w:smallCaps/>
      <w:color w:val="C0504D"/>
      <w:spacing w:val="5"/>
      <w:u w:val="single"/>
    </w:rPr>
  </w:style>
  <w:style w:type="paragraph" w:customStyle="1" w:styleId="ManualConsidrant">
    <w:name w:val="Manual Considérant"/>
    <w:basedOn w:val="Normln"/>
    <w:rsid w:val="00FB5427"/>
    <w:pPr>
      <w:spacing w:line="360" w:lineRule="auto"/>
      <w:ind w:left="850" w:hanging="850"/>
      <w:jc w:val="left"/>
    </w:pPr>
    <w:rPr>
      <w:rFonts w:ascii="Times New Roman" w:eastAsia="Times New Roman" w:hAnsi="Times New Roman"/>
      <w:szCs w:val="20"/>
    </w:rPr>
  </w:style>
  <w:style w:type="paragraph" w:customStyle="1" w:styleId="Point2">
    <w:name w:val="Point 2"/>
    <w:basedOn w:val="Normln"/>
    <w:link w:val="Point2Char"/>
    <w:rsid w:val="00FB5427"/>
    <w:pPr>
      <w:spacing w:line="360" w:lineRule="auto"/>
      <w:ind w:left="1984" w:hanging="567"/>
      <w:jc w:val="left"/>
    </w:pPr>
    <w:rPr>
      <w:rFonts w:ascii="Times New Roman" w:eastAsia="Times New Roman" w:hAnsi="Times New Roman"/>
      <w:szCs w:val="20"/>
    </w:rPr>
  </w:style>
  <w:style w:type="character" w:customStyle="1" w:styleId="Point2Char">
    <w:name w:val="Point 2 Char"/>
    <w:basedOn w:val="Standardnpsmoodstavce"/>
    <w:link w:val="Point2"/>
    <w:rsid w:val="00FB5427"/>
    <w:rPr>
      <w:rFonts w:ascii="Times New Roman" w:eastAsia="Times New Roman" w:hAnsi="Times New Roman"/>
      <w:sz w:val="24"/>
    </w:rPr>
  </w:style>
  <w:style w:type="paragraph" w:customStyle="1" w:styleId="Point3">
    <w:name w:val="Point 3"/>
    <w:basedOn w:val="Normln"/>
    <w:rsid w:val="00FB5427"/>
    <w:pPr>
      <w:spacing w:line="360" w:lineRule="auto"/>
      <w:ind w:left="2551" w:hanging="567"/>
      <w:jc w:val="left"/>
    </w:pPr>
    <w:rPr>
      <w:rFonts w:ascii="Times New Roman" w:eastAsia="Times New Roman" w:hAnsi="Times New Roman"/>
      <w:szCs w:val="20"/>
    </w:rPr>
  </w:style>
  <w:style w:type="paragraph" w:customStyle="1" w:styleId="Nzavtabulky">
    <w:name w:val="Názav tabulky"/>
    <w:basedOn w:val="Normln"/>
    <w:next w:val="Normln"/>
    <w:qFormat/>
    <w:rsid w:val="009221E2"/>
    <w:pPr>
      <w:keepNext/>
      <w:tabs>
        <w:tab w:val="left" w:pos="1531"/>
      </w:tabs>
      <w:spacing w:before="140" w:after="60" w:line="276" w:lineRule="auto"/>
      <w:ind w:left="1531" w:hanging="1531"/>
      <w:jc w:val="left"/>
    </w:pPr>
    <w:rPr>
      <w:rFonts w:ascii="Arial" w:hAnsi="Arial"/>
      <w:b/>
      <w:color w:val="000000"/>
      <w:sz w:val="22"/>
    </w:rPr>
  </w:style>
  <w:style w:type="character" w:customStyle="1" w:styleId="FootnoteTextChar">
    <w:name w:val="Footnote Text Char"/>
    <w:basedOn w:val="Standardnpsmoodstavce"/>
    <w:uiPriority w:val="99"/>
    <w:semiHidden/>
    <w:rsid w:val="0054475B"/>
    <w:rPr>
      <w:sz w:val="20"/>
      <w:szCs w:val="20"/>
    </w:rPr>
  </w:style>
  <w:style w:type="paragraph" w:customStyle="1" w:styleId="st">
    <w:name w:val="část"/>
    <w:basedOn w:val="Normln"/>
    <w:next w:val="Normln"/>
    <w:rsid w:val="00C32F4B"/>
    <w:pPr>
      <w:keepNext/>
      <w:spacing w:before="360" w:after="0"/>
      <w:jc w:val="center"/>
      <w:outlineLvl w:val="0"/>
    </w:pPr>
    <w:rPr>
      <w:rFonts w:ascii="Times New Roman" w:eastAsia="Times New Roman" w:hAnsi="Times New Roman"/>
      <w:caps/>
      <w:szCs w:val="24"/>
      <w:lang w:eastAsia="cs-CZ"/>
    </w:rPr>
  </w:style>
  <w:style w:type="paragraph" w:customStyle="1" w:styleId="hlava">
    <w:name w:val="hlava"/>
    <w:basedOn w:val="Normln"/>
    <w:next w:val="Normln"/>
    <w:rsid w:val="00C32F4B"/>
    <w:pPr>
      <w:keepNext/>
      <w:spacing w:before="240" w:after="0"/>
      <w:jc w:val="center"/>
      <w:outlineLvl w:val="1"/>
    </w:pPr>
    <w:rPr>
      <w:rFonts w:ascii="Times New Roman" w:eastAsia="Times New Roman" w:hAnsi="Times New Roman"/>
      <w:szCs w:val="24"/>
      <w:lang w:eastAsia="cs-CZ"/>
    </w:rPr>
  </w:style>
  <w:style w:type="paragraph" w:customStyle="1" w:styleId="zkon-nadpis">
    <w:name w:val="zákon - nadpis"/>
    <w:basedOn w:val="Normln"/>
    <w:rsid w:val="00C32F4B"/>
    <w:pPr>
      <w:spacing w:before="0"/>
      <w:jc w:val="center"/>
    </w:pPr>
    <w:rPr>
      <w:rFonts w:ascii="Times New Roman" w:eastAsia="Times New Roman" w:hAnsi="Times New Roman"/>
      <w:b/>
      <w:szCs w:val="24"/>
      <w:lang w:val="en-US" w:eastAsia="cs-CZ"/>
    </w:rPr>
  </w:style>
  <w:style w:type="paragraph" w:customStyle="1" w:styleId="dl">
    <w:name w:val="díl"/>
    <w:basedOn w:val="Normln"/>
    <w:next w:val="Normln"/>
    <w:rsid w:val="00C32F4B"/>
    <w:pPr>
      <w:keepNext/>
      <w:spacing w:before="240" w:after="0"/>
      <w:jc w:val="center"/>
      <w:outlineLvl w:val="2"/>
    </w:pPr>
    <w:rPr>
      <w:rFonts w:ascii="Times New Roman" w:eastAsia="Times New Roman" w:hAnsi="Times New Roman"/>
      <w:szCs w:val="24"/>
      <w:lang w:eastAsia="cs-CZ"/>
    </w:rPr>
  </w:style>
  <w:style w:type="paragraph" w:customStyle="1" w:styleId="oddl">
    <w:name w:val="oddíl"/>
    <w:basedOn w:val="Normln"/>
    <w:next w:val="Normln"/>
    <w:rsid w:val="00C32F4B"/>
    <w:pPr>
      <w:keepNext/>
      <w:spacing w:before="240" w:after="0"/>
      <w:jc w:val="center"/>
      <w:outlineLvl w:val="3"/>
    </w:pPr>
    <w:rPr>
      <w:rFonts w:ascii="Times New Roman" w:eastAsia="Times New Roman" w:hAnsi="Times New Roman"/>
      <w:szCs w:val="24"/>
      <w:lang w:eastAsia="cs-CZ"/>
    </w:rPr>
  </w:style>
  <w:style w:type="paragraph" w:customStyle="1" w:styleId="pododdl">
    <w:name w:val="pododdíl"/>
    <w:basedOn w:val="Normln"/>
    <w:next w:val="Normln"/>
    <w:rsid w:val="00C32F4B"/>
    <w:pPr>
      <w:keepNext/>
      <w:spacing w:before="240" w:after="0"/>
      <w:jc w:val="center"/>
      <w:outlineLvl w:val="4"/>
    </w:pPr>
    <w:rPr>
      <w:rFonts w:ascii="Times New Roman" w:eastAsia="Times New Roman" w:hAnsi="Times New Roman"/>
      <w:szCs w:val="24"/>
      <w:lang w:eastAsia="cs-CZ"/>
    </w:rPr>
  </w:style>
  <w:style w:type="paragraph" w:customStyle="1" w:styleId="paragraf">
    <w:name w:val="paragraf"/>
    <w:basedOn w:val="Normln"/>
    <w:next w:val="odstavec"/>
    <w:rsid w:val="00C32F4B"/>
    <w:pPr>
      <w:keepNext/>
      <w:spacing w:before="240" w:after="0"/>
      <w:jc w:val="center"/>
    </w:pPr>
    <w:rPr>
      <w:rFonts w:ascii="Times New Roman" w:eastAsia="Times New Roman" w:hAnsi="Times New Roman"/>
      <w:szCs w:val="24"/>
      <w:lang w:eastAsia="cs-CZ"/>
    </w:rPr>
  </w:style>
  <w:style w:type="paragraph" w:customStyle="1" w:styleId="odstavec">
    <w:name w:val="odstavec"/>
    <w:basedOn w:val="Normln"/>
    <w:rsid w:val="00C32F4B"/>
    <w:pPr>
      <w:spacing w:after="0"/>
      <w:ind w:firstLine="482"/>
    </w:pPr>
    <w:rPr>
      <w:rFonts w:ascii="Times New Roman" w:eastAsia="Times New Roman" w:hAnsi="Times New Roman"/>
      <w:szCs w:val="24"/>
      <w:lang w:eastAsia="cs-CZ"/>
    </w:rPr>
  </w:style>
  <w:style w:type="paragraph" w:customStyle="1" w:styleId="parlament">
    <w:name w:val="parlament"/>
    <w:basedOn w:val="Normln"/>
    <w:rsid w:val="00C32F4B"/>
    <w:pPr>
      <w:spacing w:before="0" w:after="0"/>
      <w:jc w:val="left"/>
    </w:pPr>
    <w:rPr>
      <w:rFonts w:ascii="Times New Roman" w:eastAsia="Times New Roman" w:hAnsi="Times New Roman"/>
      <w:szCs w:val="24"/>
      <w:lang w:eastAsia="cs-CZ"/>
    </w:rPr>
  </w:style>
  <w:style w:type="paragraph" w:customStyle="1" w:styleId="bod">
    <w:name w:val="bod"/>
    <w:basedOn w:val="slovanseznam2"/>
    <w:rsid w:val="00C32F4B"/>
    <w:pPr>
      <w:numPr>
        <w:numId w:val="0"/>
      </w:numPr>
      <w:tabs>
        <w:tab w:val="left" w:pos="357"/>
      </w:tabs>
      <w:spacing w:before="0"/>
      <w:ind w:left="714" w:hanging="357"/>
    </w:pPr>
  </w:style>
  <w:style w:type="paragraph" w:styleId="slovanseznam2">
    <w:name w:val="List Number 2"/>
    <w:aliases w:val="číslovaný seznam 2"/>
    <w:basedOn w:val="odsazentext2"/>
    <w:rsid w:val="00C32F4B"/>
    <w:pPr>
      <w:numPr>
        <w:numId w:val="22"/>
      </w:numPr>
    </w:pPr>
  </w:style>
  <w:style w:type="paragraph" w:customStyle="1" w:styleId="odsazentext2">
    <w:name w:val="odsazený text 2"/>
    <w:basedOn w:val="Normln"/>
    <w:rsid w:val="00C32F4B"/>
    <w:pPr>
      <w:spacing w:after="0"/>
      <w:ind w:left="720"/>
    </w:pPr>
    <w:rPr>
      <w:rFonts w:ascii="Times New Roman" w:eastAsia="Times New Roman" w:hAnsi="Times New Roman"/>
      <w:szCs w:val="24"/>
      <w:lang w:eastAsia="cs-CZ"/>
    </w:rPr>
  </w:style>
  <w:style w:type="paragraph" w:customStyle="1" w:styleId="psmeno">
    <w:name w:val="písmeno"/>
    <w:basedOn w:val="slovanseznam"/>
    <w:rsid w:val="00C32F4B"/>
    <w:pPr>
      <w:numPr>
        <w:numId w:val="0"/>
      </w:numPr>
      <w:tabs>
        <w:tab w:val="left" w:pos="357"/>
      </w:tabs>
      <w:spacing w:before="0"/>
      <w:ind w:left="357" w:hanging="357"/>
    </w:pPr>
  </w:style>
  <w:style w:type="paragraph" w:styleId="slovanseznam">
    <w:name w:val="List Number"/>
    <w:aliases w:val="číslovaný seznam 1"/>
    <w:basedOn w:val="odsazentext1"/>
    <w:rsid w:val="00C32F4B"/>
    <w:pPr>
      <w:numPr>
        <w:numId w:val="21"/>
      </w:numPr>
      <w:ind w:left="360" w:hanging="360"/>
    </w:pPr>
    <w:rPr>
      <w:lang w:val="en-US"/>
    </w:rPr>
  </w:style>
  <w:style w:type="paragraph" w:customStyle="1" w:styleId="odsazentext1">
    <w:name w:val="odsazený text 1"/>
    <w:basedOn w:val="Normln"/>
    <w:rsid w:val="00C32F4B"/>
    <w:pPr>
      <w:spacing w:after="0"/>
      <w:ind w:left="360"/>
    </w:pPr>
    <w:rPr>
      <w:rFonts w:ascii="Times New Roman" w:eastAsia="Times New Roman" w:hAnsi="Times New Roman"/>
      <w:szCs w:val="24"/>
      <w:lang w:eastAsia="cs-CZ"/>
    </w:rPr>
  </w:style>
  <w:style w:type="paragraph" w:customStyle="1" w:styleId="skupinovnadpis">
    <w:name w:val="skupinový nadpis"/>
    <w:basedOn w:val="Normln"/>
    <w:rsid w:val="00C32F4B"/>
    <w:pPr>
      <w:keepNext/>
      <w:spacing w:before="240" w:after="0"/>
      <w:jc w:val="center"/>
    </w:pPr>
    <w:rPr>
      <w:rFonts w:ascii="Times New Roman" w:eastAsia="Times New Roman" w:hAnsi="Times New Roman"/>
      <w:b/>
      <w:szCs w:val="24"/>
      <w:lang w:eastAsia="cs-CZ"/>
    </w:rPr>
  </w:style>
  <w:style w:type="paragraph" w:customStyle="1" w:styleId="zkon">
    <w:name w:val="zákon"/>
    <w:basedOn w:val="Normln"/>
    <w:rsid w:val="00C32F4B"/>
    <w:pPr>
      <w:keepNext/>
      <w:spacing w:before="0" w:after="240"/>
      <w:jc w:val="center"/>
    </w:pPr>
    <w:rPr>
      <w:rFonts w:ascii="Times New Roman" w:eastAsia="Times New Roman" w:hAnsi="Times New Roman"/>
      <w:caps/>
      <w:szCs w:val="24"/>
      <w:lang w:eastAsia="cs-CZ"/>
    </w:rPr>
  </w:style>
  <w:style w:type="paragraph" w:customStyle="1" w:styleId="varianta">
    <w:name w:val="varianta"/>
    <w:basedOn w:val="Normln"/>
    <w:rsid w:val="00C32F4B"/>
    <w:pPr>
      <w:spacing w:before="240" w:after="0"/>
      <w:jc w:val="left"/>
    </w:pPr>
    <w:rPr>
      <w:rFonts w:ascii="Times New Roman" w:eastAsia="Times New Roman" w:hAnsi="Times New Roman"/>
      <w:caps/>
      <w:szCs w:val="24"/>
      <w:lang w:eastAsia="cs-CZ"/>
    </w:rPr>
  </w:style>
  <w:style w:type="paragraph" w:customStyle="1" w:styleId="zdvodnn">
    <w:name w:val="zdůvodnění"/>
    <w:basedOn w:val="Normln"/>
    <w:next w:val="text"/>
    <w:rsid w:val="00C32F4B"/>
    <w:pPr>
      <w:keepNext/>
      <w:spacing w:before="240"/>
      <w:jc w:val="left"/>
    </w:pPr>
    <w:rPr>
      <w:rFonts w:ascii="Times New Roman" w:eastAsia="Times New Roman" w:hAnsi="Times New Roman"/>
      <w:b/>
      <w:szCs w:val="24"/>
      <w:lang w:eastAsia="cs-CZ"/>
    </w:rPr>
  </w:style>
  <w:style w:type="paragraph" w:customStyle="1" w:styleId="slovanseznam30">
    <w:name w:val="číslovaný seznam 3"/>
    <w:basedOn w:val="odsazentext3"/>
    <w:rsid w:val="00C32F4B"/>
    <w:pPr>
      <w:numPr>
        <w:numId w:val="23"/>
      </w:numPr>
      <w:tabs>
        <w:tab w:val="clear" w:pos="1072"/>
        <w:tab w:val="num" w:pos="360"/>
        <w:tab w:val="num" w:pos="720"/>
      </w:tabs>
      <w:ind w:left="1071" w:hanging="357"/>
    </w:pPr>
  </w:style>
  <w:style w:type="paragraph" w:customStyle="1" w:styleId="odsazentext3">
    <w:name w:val="odsazený text 3"/>
    <w:basedOn w:val="Normln"/>
    <w:link w:val="odsazentext3Char"/>
    <w:rsid w:val="00C32F4B"/>
    <w:pPr>
      <w:spacing w:after="0"/>
      <w:ind w:left="1066"/>
    </w:pPr>
    <w:rPr>
      <w:rFonts w:ascii="Times New Roman" w:eastAsia="Times New Roman" w:hAnsi="Times New Roman"/>
      <w:szCs w:val="24"/>
      <w:lang w:eastAsia="cs-CZ"/>
    </w:rPr>
  </w:style>
  <w:style w:type="character" w:customStyle="1" w:styleId="odsazentext3Char">
    <w:name w:val="odsazený text 3 Char"/>
    <w:link w:val="odsazentext3"/>
    <w:rsid w:val="00C32F4B"/>
    <w:rPr>
      <w:rFonts w:ascii="Times New Roman" w:eastAsia="Times New Roman" w:hAnsi="Times New Roman"/>
      <w:sz w:val="24"/>
      <w:szCs w:val="24"/>
      <w:lang w:eastAsia="cs-CZ"/>
    </w:rPr>
  </w:style>
  <w:style w:type="paragraph" w:customStyle="1" w:styleId="slovanseznam4">
    <w:name w:val="číslovaný seznam 4"/>
    <w:basedOn w:val="odsazentext4"/>
    <w:rsid w:val="00C32F4B"/>
    <w:pPr>
      <w:numPr>
        <w:numId w:val="24"/>
      </w:numPr>
      <w:tabs>
        <w:tab w:val="clear" w:pos="1429"/>
        <w:tab w:val="num" w:pos="360"/>
        <w:tab w:val="num" w:pos="388"/>
      </w:tabs>
      <w:ind w:left="1426" w:firstLine="0"/>
    </w:pPr>
  </w:style>
  <w:style w:type="paragraph" w:customStyle="1" w:styleId="odsazentext4">
    <w:name w:val="odsazený text 4"/>
    <w:basedOn w:val="Normln"/>
    <w:link w:val="odsazentext4CharChar"/>
    <w:rsid w:val="00C32F4B"/>
    <w:pPr>
      <w:spacing w:after="0"/>
      <w:ind w:left="1426"/>
    </w:pPr>
    <w:rPr>
      <w:rFonts w:ascii="Times New Roman" w:eastAsia="Times New Roman" w:hAnsi="Times New Roman"/>
      <w:szCs w:val="24"/>
      <w:lang w:eastAsia="cs-CZ"/>
    </w:rPr>
  </w:style>
  <w:style w:type="character" w:customStyle="1" w:styleId="odsazentext4CharChar">
    <w:name w:val="odsazený text 4 Char Char"/>
    <w:link w:val="odsazentext4"/>
    <w:rsid w:val="00C32F4B"/>
    <w:rPr>
      <w:rFonts w:ascii="Times New Roman" w:eastAsia="Times New Roman" w:hAnsi="Times New Roman"/>
      <w:sz w:val="24"/>
      <w:szCs w:val="24"/>
      <w:lang w:eastAsia="cs-CZ"/>
    </w:rPr>
  </w:style>
  <w:style w:type="character" w:customStyle="1" w:styleId="tituleknadpisu">
    <w:name w:val="titulek nadpisu"/>
    <w:rsid w:val="00C32F4B"/>
    <w:rPr>
      <w:b/>
    </w:rPr>
  </w:style>
  <w:style w:type="paragraph" w:customStyle="1" w:styleId="neslovanseznam1">
    <w:name w:val="nečíslovaný seznam 1"/>
    <w:basedOn w:val="slovanseznam"/>
    <w:rsid w:val="00C32F4B"/>
    <w:pPr>
      <w:numPr>
        <w:numId w:val="17"/>
      </w:numPr>
    </w:pPr>
  </w:style>
  <w:style w:type="paragraph" w:customStyle="1" w:styleId="neslovanseznam2">
    <w:name w:val="nečíslovaný seznam 2"/>
    <w:basedOn w:val="slovanseznam2"/>
    <w:rsid w:val="00C32F4B"/>
    <w:pPr>
      <w:numPr>
        <w:numId w:val="18"/>
      </w:numPr>
    </w:pPr>
    <w:rPr>
      <w:lang w:val="en-US"/>
    </w:rPr>
  </w:style>
  <w:style w:type="paragraph" w:customStyle="1" w:styleId="neslovanseznam3">
    <w:name w:val="nečíslovaný seznam 3"/>
    <w:basedOn w:val="slovanseznam30"/>
    <w:rsid w:val="00C32F4B"/>
    <w:pPr>
      <w:numPr>
        <w:numId w:val="19"/>
      </w:numPr>
      <w:tabs>
        <w:tab w:val="clear" w:pos="1074"/>
        <w:tab w:val="num" w:pos="720"/>
        <w:tab w:val="num" w:pos="786"/>
      </w:tabs>
      <w:ind w:left="1" w:firstLine="425"/>
    </w:pPr>
    <w:rPr>
      <w:lang w:val="en-US"/>
    </w:rPr>
  </w:style>
  <w:style w:type="paragraph" w:customStyle="1" w:styleId="neslovanseznam4">
    <w:name w:val="nečíslovaný seznam 4"/>
    <w:basedOn w:val="slovanseznam4"/>
    <w:rsid w:val="00C32F4B"/>
    <w:pPr>
      <w:numPr>
        <w:numId w:val="20"/>
      </w:numPr>
      <w:tabs>
        <w:tab w:val="clear" w:pos="1432"/>
        <w:tab w:val="num" w:pos="360"/>
        <w:tab w:val="num" w:pos="388"/>
      </w:tabs>
      <w:ind w:left="360"/>
    </w:pPr>
    <w:rPr>
      <w:lang w:val="en-US"/>
    </w:rPr>
  </w:style>
  <w:style w:type="character" w:customStyle="1" w:styleId="poznmkapodarou">
    <w:name w:val="poznámka pod čarou"/>
    <w:rsid w:val="00C32F4B"/>
    <w:rPr>
      <w:vertAlign w:val="superscript"/>
    </w:rPr>
  </w:style>
  <w:style w:type="paragraph" w:customStyle="1" w:styleId="novelizanbod">
    <w:name w:val="novelizační bod"/>
    <w:basedOn w:val="Normln"/>
    <w:rsid w:val="00C32F4B"/>
    <w:pPr>
      <w:tabs>
        <w:tab w:val="left" w:pos="357"/>
      </w:tabs>
      <w:spacing w:after="0"/>
      <w:jc w:val="left"/>
    </w:pPr>
    <w:rPr>
      <w:rFonts w:ascii="Times New Roman" w:eastAsia="Times New Roman" w:hAnsi="Times New Roman"/>
      <w:szCs w:val="24"/>
      <w:lang w:eastAsia="cs-CZ"/>
    </w:rPr>
  </w:style>
  <w:style w:type="paragraph" w:customStyle="1" w:styleId="textnovelizanhobodu">
    <w:name w:val="text novelizačního bodu"/>
    <w:basedOn w:val="Normln"/>
    <w:next w:val="novelizanbod"/>
    <w:rsid w:val="00C32F4B"/>
    <w:pPr>
      <w:spacing w:after="0"/>
      <w:ind w:left="357"/>
      <w:jc w:val="left"/>
    </w:pPr>
    <w:rPr>
      <w:rFonts w:ascii="Times New Roman" w:eastAsia="Times New Roman" w:hAnsi="Times New Roman"/>
      <w:szCs w:val="24"/>
      <w:lang w:eastAsia="cs-CZ"/>
    </w:rPr>
  </w:style>
  <w:style w:type="paragraph" w:customStyle="1" w:styleId="odsazentext0">
    <w:name w:val="odsazený text 0"/>
    <w:basedOn w:val="Normln"/>
    <w:next w:val="oddl"/>
    <w:rsid w:val="00C32F4B"/>
    <w:pPr>
      <w:spacing w:after="0"/>
    </w:pPr>
    <w:rPr>
      <w:rFonts w:ascii="Times New Roman" w:eastAsia="Times New Roman" w:hAnsi="Times New Roman"/>
      <w:szCs w:val="24"/>
      <w:lang w:eastAsia="cs-CZ"/>
    </w:rPr>
  </w:style>
  <w:style w:type="paragraph" w:customStyle="1" w:styleId="citacepoznmky">
    <w:name w:val="citace poznámky"/>
    <w:basedOn w:val="Normln"/>
    <w:rsid w:val="00C32F4B"/>
    <w:pPr>
      <w:pBdr>
        <w:top w:val="single" w:sz="4" w:space="4" w:color="auto"/>
      </w:pBdr>
      <w:tabs>
        <w:tab w:val="left" w:pos="357"/>
      </w:tabs>
      <w:spacing w:after="0"/>
    </w:pPr>
    <w:rPr>
      <w:rFonts w:ascii="Times New Roman" w:eastAsia="Times New Roman" w:hAnsi="Times New Roman"/>
      <w:szCs w:val="24"/>
      <w:lang w:val="en-US" w:eastAsia="cs-CZ"/>
    </w:rPr>
  </w:style>
  <w:style w:type="paragraph" w:customStyle="1" w:styleId="celex">
    <w:name w:val="celex"/>
    <w:basedOn w:val="Normln"/>
    <w:qFormat/>
    <w:rsid w:val="00C32F4B"/>
    <w:pPr>
      <w:spacing w:after="0"/>
      <w:jc w:val="left"/>
    </w:pPr>
    <w:rPr>
      <w:rFonts w:ascii="Times New Roman" w:eastAsia="Times New Roman" w:hAnsi="Times New Roman"/>
      <w:i/>
      <w:sz w:val="20"/>
      <w:szCs w:val="24"/>
      <w:lang w:eastAsia="cs-CZ"/>
    </w:rPr>
  </w:style>
  <w:style w:type="character" w:customStyle="1" w:styleId="zvraznncelexu">
    <w:name w:val="zvýraznění celexu"/>
    <w:qFormat/>
    <w:rsid w:val="00C32F4B"/>
    <w:rPr>
      <w:u w:val="single"/>
    </w:rPr>
  </w:style>
  <w:style w:type="table" w:customStyle="1" w:styleId="tabulka">
    <w:name w:val="tabulka"/>
    <w:basedOn w:val="Mkatabulky"/>
    <w:rsid w:val="00C32F4B"/>
    <w:rPr>
      <w:rFonts w:eastAsia="Times New Roman"/>
      <w:lang w:eastAsia="cs-C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Mar>
        <w:top w:w="57" w:type="dxa"/>
        <w:bottom w:w="57" w:type="dxa"/>
      </w:tcMar>
    </w:tcPr>
  </w:style>
  <w:style w:type="paragraph" w:customStyle="1" w:styleId="bukatabulky">
    <w:name w:val="buňka tabulky"/>
    <w:basedOn w:val="Normln"/>
    <w:qFormat/>
    <w:rsid w:val="00C32F4B"/>
    <w:rPr>
      <w:rFonts w:ascii="Times New Roman" w:eastAsia="Times New Roman" w:hAnsi="Times New Roman"/>
      <w:szCs w:val="24"/>
      <w:lang w:eastAsia="cs-CZ"/>
    </w:rPr>
  </w:style>
  <w:style w:type="paragraph" w:customStyle="1" w:styleId="Normln-zdroj">
    <w:name w:val="Normální - zdroj"/>
    <w:basedOn w:val="Normln"/>
    <w:rsid w:val="00C32F4B"/>
    <w:rPr>
      <w:rFonts w:eastAsia="Times New Roman"/>
      <w:sz w:val="20"/>
      <w:szCs w:val="20"/>
      <w:lang w:eastAsia="cs-CZ"/>
    </w:rPr>
  </w:style>
  <w:style w:type="paragraph" w:customStyle="1" w:styleId="mojeodra">
    <w:name w:val="moje odra"/>
    <w:basedOn w:val="Normln"/>
    <w:rsid w:val="00C32F4B"/>
    <w:pPr>
      <w:tabs>
        <w:tab w:val="num" w:pos="709"/>
      </w:tabs>
      <w:ind w:left="709" w:hanging="425"/>
    </w:pPr>
    <w:rPr>
      <w:rFonts w:eastAsia="Times New Roman"/>
      <w:szCs w:val="20"/>
      <w:lang w:eastAsia="cs-CZ"/>
    </w:rPr>
  </w:style>
  <w:style w:type="paragraph" w:customStyle="1" w:styleId="Revision1">
    <w:name w:val="Revision1"/>
    <w:hidden/>
    <w:semiHidden/>
    <w:rsid w:val="00C32F4B"/>
    <w:rPr>
      <w:rFonts w:ascii="Times New Roman" w:eastAsia="Times New Roman" w:hAnsi="Times New Roman"/>
      <w:sz w:val="24"/>
      <w:lang w:eastAsia="cs-CZ"/>
    </w:rPr>
  </w:style>
  <w:style w:type="paragraph" w:customStyle="1" w:styleId="Nadpis3-erven">
    <w:name w:val="Nadpis 3- červený"/>
    <w:basedOn w:val="Normln"/>
    <w:rsid w:val="00C32F4B"/>
    <w:pPr>
      <w:tabs>
        <w:tab w:val="num" w:pos="720"/>
      </w:tabs>
    </w:pPr>
    <w:rPr>
      <w:rFonts w:eastAsia="Times New Roman"/>
      <w:szCs w:val="20"/>
      <w:lang w:eastAsia="cs-CZ"/>
    </w:rPr>
  </w:style>
  <w:style w:type="paragraph" w:customStyle="1" w:styleId="Pes1">
    <w:name w:val="Pes1"/>
    <w:basedOn w:val="Normln"/>
    <w:uiPriority w:val="99"/>
    <w:rsid w:val="00C32F4B"/>
    <w:rPr>
      <w:rFonts w:eastAsia="Times New Roman"/>
      <w:b/>
      <w:szCs w:val="20"/>
      <w:u w:val="single"/>
      <w:lang w:eastAsia="cs-CZ"/>
    </w:rPr>
  </w:style>
  <w:style w:type="paragraph" w:customStyle="1" w:styleId="Pes2">
    <w:name w:val="Pes2"/>
    <w:basedOn w:val="Normln"/>
    <w:rsid w:val="00C32F4B"/>
    <w:rPr>
      <w:rFonts w:eastAsia="Times New Roman"/>
      <w:b/>
      <w:i/>
      <w:szCs w:val="20"/>
      <w:lang w:eastAsia="cs-CZ"/>
    </w:rPr>
  </w:style>
  <w:style w:type="character" w:customStyle="1" w:styleId="Pes1Char">
    <w:name w:val="Pes1 Char"/>
    <w:rsid w:val="00C32F4B"/>
    <w:rPr>
      <w:rFonts w:cs="Times New Roman"/>
      <w:b/>
      <w:sz w:val="24"/>
      <w:u w:val="single"/>
      <w:lang w:val="cs-CZ" w:eastAsia="cs-CZ"/>
    </w:rPr>
  </w:style>
  <w:style w:type="paragraph" w:customStyle="1" w:styleId="TOCHeading1">
    <w:name w:val="TOC Heading1"/>
    <w:basedOn w:val="Nadpis1"/>
    <w:next w:val="Normln"/>
    <w:rsid w:val="00C32F4B"/>
    <w:pPr>
      <w:keepNext/>
      <w:keepLines/>
      <w:widowControl/>
      <w:numPr>
        <w:numId w:val="0"/>
      </w:numPr>
      <w:spacing w:before="480" w:after="0" w:line="276" w:lineRule="auto"/>
      <w:outlineLvl w:val="9"/>
    </w:pPr>
    <w:rPr>
      <w:color w:val="365F91"/>
      <w:lang w:val="en-US"/>
    </w:rPr>
  </w:style>
  <w:style w:type="character" w:customStyle="1" w:styleId="Pes2Char">
    <w:name w:val="Pes2 Char"/>
    <w:rsid w:val="00C32F4B"/>
    <w:rPr>
      <w:rFonts w:cs="Times New Roman"/>
      <w:b/>
      <w:i/>
      <w:sz w:val="24"/>
      <w:lang w:val="cs-CZ" w:eastAsia="cs-CZ"/>
    </w:rPr>
  </w:style>
  <w:style w:type="paragraph" w:customStyle="1" w:styleId="nzevsti">
    <w:name w:val="nzevsti"/>
    <w:basedOn w:val="Normln"/>
    <w:rsid w:val="00C32F4B"/>
    <w:pPr>
      <w:spacing w:before="40" w:after="40"/>
    </w:pPr>
    <w:rPr>
      <w:rFonts w:eastAsia="Times New Roman"/>
      <w:szCs w:val="24"/>
      <w:lang w:val="en-US"/>
    </w:rPr>
  </w:style>
  <w:style w:type="paragraph" w:customStyle="1" w:styleId="textparagrafu">
    <w:name w:val="textparagrafu"/>
    <w:basedOn w:val="Normln"/>
    <w:rsid w:val="00C32F4B"/>
    <w:pPr>
      <w:spacing w:before="40" w:after="40"/>
    </w:pPr>
    <w:rPr>
      <w:rFonts w:eastAsia="Times New Roman"/>
      <w:szCs w:val="24"/>
      <w:lang w:val="en-US"/>
    </w:rPr>
  </w:style>
  <w:style w:type="paragraph" w:customStyle="1" w:styleId="psmeno0">
    <w:name w:val="psmeno"/>
    <w:basedOn w:val="Normln"/>
    <w:rsid w:val="00C32F4B"/>
    <w:pPr>
      <w:spacing w:before="40" w:after="40"/>
    </w:pPr>
    <w:rPr>
      <w:rFonts w:eastAsia="Times New Roman"/>
      <w:szCs w:val="24"/>
      <w:lang w:val="en-US"/>
    </w:rPr>
  </w:style>
  <w:style w:type="paragraph" w:customStyle="1" w:styleId="ploha">
    <w:name w:val="ploha"/>
    <w:basedOn w:val="Normln"/>
    <w:rsid w:val="00C32F4B"/>
    <w:pPr>
      <w:spacing w:before="40" w:after="40"/>
    </w:pPr>
    <w:rPr>
      <w:rFonts w:eastAsia="Times New Roman"/>
      <w:szCs w:val="24"/>
      <w:lang w:val="en-US"/>
    </w:rPr>
  </w:style>
  <w:style w:type="character" w:customStyle="1" w:styleId="SubtleReference2">
    <w:name w:val="Subtle Reference2"/>
    <w:rsid w:val="00C32F4B"/>
    <w:rPr>
      <w:rFonts w:cs="Times New Roman"/>
      <w:smallCaps/>
      <w:color w:val="C0504D"/>
      <w:u w:val="single"/>
    </w:rPr>
  </w:style>
  <w:style w:type="paragraph" w:customStyle="1" w:styleId="ListParagraph1">
    <w:name w:val="List Paragraph1"/>
    <w:basedOn w:val="Normln"/>
    <w:rsid w:val="00C32F4B"/>
    <w:pPr>
      <w:ind w:left="720"/>
    </w:pPr>
    <w:rPr>
      <w:rFonts w:eastAsia="Times New Roman"/>
      <w:szCs w:val="20"/>
      <w:lang w:eastAsia="cs-CZ"/>
    </w:rPr>
  </w:style>
  <w:style w:type="paragraph" w:customStyle="1" w:styleId="Styl">
    <w:name w:val="Styl"/>
    <w:uiPriority w:val="99"/>
    <w:rsid w:val="00C32F4B"/>
    <w:pPr>
      <w:widowControl w:val="0"/>
      <w:autoSpaceDE w:val="0"/>
      <w:autoSpaceDN w:val="0"/>
      <w:adjustRightInd w:val="0"/>
    </w:pPr>
    <w:rPr>
      <w:rFonts w:ascii="Arial" w:eastAsia="Times New Roman" w:hAnsi="Arial" w:cs="Arial"/>
      <w:sz w:val="24"/>
      <w:szCs w:val="24"/>
      <w:lang w:eastAsia="cs-CZ"/>
    </w:rPr>
  </w:style>
  <w:style w:type="character" w:customStyle="1" w:styleId="SubtleEmphasis1">
    <w:name w:val="Subtle Emphasis1"/>
    <w:rsid w:val="00C32F4B"/>
    <w:rPr>
      <w:rFonts w:cs="Times New Roman"/>
      <w:i/>
      <w:iCs/>
      <w:color w:val="808080"/>
    </w:rPr>
  </w:style>
  <w:style w:type="paragraph" w:customStyle="1" w:styleId="BodyText31">
    <w:name w:val="Body Text 31"/>
    <w:basedOn w:val="Normln"/>
    <w:rsid w:val="00C32F4B"/>
    <w:pPr>
      <w:spacing w:before="0" w:after="0"/>
      <w:jc w:val="center"/>
    </w:pPr>
    <w:rPr>
      <w:rFonts w:eastAsia="Times New Roman"/>
      <w:b/>
      <w:szCs w:val="20"/>
      <w:lang w:eastAsia="cs-CZ"/>
    </w:rPr>
  </w:style>
  <w:style w:type="paragraph" w:customStyle="1" w:styleId="odsazeny">
    <w:name w:val="odsazeny"/>
    <w:basedOn w:val="Normln"/>
    <w:rsid w:val="00C32F4B"/>
    <w:pPr>
      <w:widowControl w:val="0"/>
      <w:spacing w:before="0" w:after="0"/>
      <w:ind w:firstLine="170"/>
      <w:jc w:val="left"/>
    </w:pPr>
    <w:rPr>
      <w:rFonts w:eastAsia="Times New Roman"/>
      <w:sz w:val="18"/>
      <w:szCs w:val="20"/>
      <w:lang w:eastAsia="cs-CZ"/>
    </w:rPr>
  </w:style>
  <w:style w:type="character" w:customStyle="1" w:styleId="SubtleReference1">
    <w:name w:val="Subtle Reference1"/>
    <w:rsid w:val="00C32F4B"/>
    <w:rPr>
      <w:rFonts w:cs="Times New Roman"/>
      <w:smallCaps/>
      <w:color w:val="C0504D"/>
      <w:u w:val="single"/>
    </w:rPr>
  </w:style>
  <w:style w:type="paragraph" w:customStyle="1" w:styleId="KUMS-text">
    <w:name w:val="KUMS-text"/>
    <w:basedOn w:val="Zkladntext"/>
    <w:rsid w:val="00C32F4B"/>
    <w:pPr>
      <w:spacing w:before="0" w:after="280" w:line="280" w:lineRule="exact"/>
    </w:pPr>
    <w:rPr>
      <w:rFonts w:ascii="Tahoma" w:eastAsia="Times New Roman" w:hAnsi="Tahoma" w:cs="Tahoma"/>
      <w:noProof/>
      <w:sz w:val="20"/>
      <w:szCs w:val="20"/>
      <w:lang w:eastAsia="cs-CZ"/>
    </w:rPr>
  </w:style>
  <w:style w:type="character" w:customStyle="1" w:styleId="platne1">
    <w:name w:val="platne1"/>
    <w:rsid w:val="00C32F4B"/>
    <w:rPr>
      <w:rFonts w:cs="Times New Roman"/>
    </w:rPr>
  </w:style>
  <w:style w:type="character" w:customStyle="1" w:styleId="prefixicons">
    <w:name w:val="prefix icons"/>
    <w:rsid w:val="00C32F4B"/>
    <w:rPr>
      <w:rFonts w:cs="Times New Roman"/>
    </w:rPr>
  </w:style>
  <w:style w:type="character" w:customStyle="1" w:styleId="firstname">
    <w:name w:val="first_name"/>
    <w:rsid w:val="00C32F4B"/>
    <w:rPr>
      <w:rFonts w:cs="Times New Roman"/>
    </w:rPr>
  </w:style>
  <w:style w:type="character" w:customStyle="1" w:styleId="lastname">
    <w:name w:val="last_name"/>
    <w:rsid w:val="00C32F4B"/>
    <w:rPr>
      <w:rFonts w:cs="Times New Roman"/>
    </w:rPr>
  </w:style>
  <w:style w:type="paragraph" w:customStyle="1" w:styleId="rok">
    <w:name w:val="rok"/>
    <w:basedOn w:val="Normln"/>
    <w:rsid w:val="00C32F4B"/>
    <w:pPr>
      <w:spacing w:before="100" w:beforeAutospacing="1" w:after="100" w:afterAutospacing="1"/>
      <w:jc w:val="left"/>
    </w:pPr>
    <w:rPr>
      <w:rFonts w:ascii="Times New Roman" w:eastAsia="Times New Roman" w:hAnsi="Times New Roman"/>
      <w:szCs w:val="24"/>
      <w:lang w:eastAsia="cs-CZ"/>
    </w:rPr>
  </w:style>
  <w:style w:type="paragraph" w:customStyle="1" w:styleId="StylD">
    <w:name w:val="StylD"/>
    <w:basedOn w:val="Normln"/>
    <w:rsid w:val="00C32F4B"/>
    <w:pPr>
      <w:spacing w:before="0" w:after="0" w:line="360" w:lineRule="auto"/>
    </w:pPr>
    <w:rPr>
      <w:rFonts w:ascii="Arial" w:eastAsia="Times New Roman" w:hAnsi="Arial"/>
      <w:szCs w:val="20"/>
      <w:lang w:eastAsia="cs-CZ"/>
    </w:rPr>
  </w:style>
  <w:style w:type="paragraph" w:customStyle="1" w:styleId="zelen">
    <w:name w:val="zelená"/>
    <w:basedOn w:val="Text-Normaln"/>
    <w:link w:val="zelenChar"/>
    <w:qFormat/>
    <w:rsid w:val="00CB7505"/>
    <w:pPr>
      <w:numPr>
        <w:numId w:val="27"/>
      </w:numPr>
    </w:pPr>
    <w:rPr>
      <w:b/>
    </w:rPr>
  </w:style>
  <w:style w:type="character" w:customStyle="1" w:styleId="zelenChar">
    <w:name w:val="zelená Char"/>
    <w:basedOn w:val="Nadpis1Char"/>
    <w:link w:val="zelen"/>
    <w:rsid w:val="00CB7505"/>
    <w:rPr>
      <w:rFonts w:ascii="Garamond" w:eastAsia="Times New Roman" w:hAnsi="Garamond"/>
      <w:b/>
      <w:bCs w:val="0"/>
      <w:color w:val="B6B002"/>
      <w:sz w:val="24"/>
      <w:szCs w:val="22"/>
      <w:lang w:eastAsia="en-US"/>
    </w:rPr>
  </w:style>
  <w:style w:type="table" w:customStyle="1" w:styleId="Svtltabulkasmkou11">
    <w:name w:val="Světlá tabulka s mřížkou 11"/>
    <w:basedOn w:val="Normlntabulka"/>
    <w:uiPriority w:val="46"/>
    <w:rsid w:val="00C32F4B"/>
    <w:rPr>
      <w:rFonts w:asciiTheme="minorHAnsi" w:eastAsiaTheme="minorHAnsi" w:hAnsiTheme="minorHAnsi" w:cstheme="minorBidi"/>
      <w:sz w:val="22"/>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nakypropoznmkupodarou">
    <w:name w:val="Znaky pro poznámku pod ?arou"/>
    <w:rsid w:val="00C32F4B"/>
  </w:style>
  <w:style w:type="character" w:customStyle="1" w:styleId="WW-Znakypropoznmkupodarou">
    <w:name w:val="WW-Znaky pro poznámku pod ?arou"/>
    <w:rsid w:val="00C32F4B"/>
    <w:rPr>
      <w:vertAlign w:val="superscript"/>
    </w:rPr>
  </w:style>
  <w:style w:type="character" w:customStyle="1" w:styleId="WW-Znakypropoznmkupodarou12345678910111213141516">
    <w:name w:val="WW-Znaky pro poznámku pod ?arou12345678910111213141516"/>
    <w:rsid w:val="00C32F4B"/>
    <w:rPr>
      <w:vertAlign w:val="superscript"/>
    </w:rPr>
  </w:style>
  <w:style w:type="character" w:customStyle="1" w:styleId="WW-Znakypropoznmkupodarou12345678910111213141516171819202122232425">
    <w:name w:val="WW-Znaky pro poznámku pod ?arou12345678910111213141516171819202122232425"/>
    <w:rsid w:val="00C32F4B"/>
    <w:rPr>
      <w:vertAlign w:val="superscript"/>
    </w:rPr>
  </w:style>
  <w:style w:type="character" w:customStyle="1" w:styleId="WW-Znakypropoznmkupodarou12345678910111213141516171819202122232425262728">
    <w:name w:val="WW-Znaky pro poznámku pod ?arou12345678910111213141516171819202122232425262728"/>
    <w:rsid w:val="00C32F4B"/>
    <w:rPr>
      <w:vertAlign w:val="superscript"/>
    </w:rPr>
  </w:style>
  <w:style w:type="character" w:customStyle="1" w:styleId="normaltextrun">
    <w:name w:val="normaltextrun"/>
    <w:rsid w:val="00EC6F2E"/>
  </w:style>
  <w:style w:type="paragraph" w:customStyle="1" w:styleId="sti-art">
    <w:name w:val="sti-art"/>
    <w:basedOn w:val="Normln"/>
    <w:rsid w:val="00713CE8"/>
    <w:pPr>
      <w:spacing w:before="100" w:beforeAutospacing="1" w:after="100" w:afterAutospacing="1"/>
      <w:jc w:val="left"/>
    </w:pPr>
    <w:rPr>
      <w:rFonts w:ascii="Times New Roman" w:eastAsia="Times New Roman" w:hAnsi="Times New Roman"/>
      <w:szCs w:val="24"/>
      <w:lang w:eastAsia="cs-CZ"/>
    </w:rPr>
  </w:style>
  <w:style w:type="paragraph" w:customStyle="1" w:styleId="Normln10">
    <w:name w:val="Normální1"/>
    <w:basedOn w:val="Normln"/>
    <w:rsid w:val="00713CE8"/>
    <w:pPr>
      <w:spacing w:before="100" w:beforeAutospacing="1" w:after="100" w:afterAutospacing="1"/>
      <w:jc w:val="left"/>
    </w:pPr>
    <w:rPr>
      <w:rFonts w:ascii="Times New Roman" w:eastAsia="Times New Roman" w:hAnsi="Times New Roman"/>
      <w:szCs w:val="24"/>
      <w:lang w:eastAsia="cs-CZ"/>
    </w:rPr>
  </w:style>
  <w:style w:type="paragraph" w:customStyle="1" w:styleId="ti-art">
    <w:name w:val="ti-art"/>
    <w:basedOn w:val="Normln"/>
    <w:rsid w:val="00713CE8"/>
    <w:pPr>
      <w:spacing w:before="100" w:beforeAutospacing="1" w:after="100" w:afterAutospacing="1"/>
      <w:jc w:val="left"/>
    </w:pPr>
    <w:rPr>
      <w:rFonts w:ascii="Times New Roman" w:eastAsia="Times New Roman" w:hAnsi="Times New Roman"/>
      <w:szCs w:val="24"/>
      <w:lang w:eastAsia="cs-CZ"/>
    </w:rPr>
  </w:style>
  <w:style w:type="character" w:customStyle="1" w:styleId="negrita">
    <w:name w:val="negrita"/>
    <w:basedOn w:val="Standardnpsmoodstavce"/>
    <w:rsid w:val="00805193"/>
  </w:style>
  <w:style w:type="paragraph" w:customStyle="1" w:styleId="go">
    <w:name w:val="go"/>
    <w:basedOn w:val="Normln"/>
    <w:rsid w:val="00E338DA"/>
    <w:pPr>
      <w:spacing w:before="100" w:beforeAutospacing="1" w:after="100" w:afterAutospacing="1"/>
      <w:jc w:val="left"/>
    </w:pPr>
    <w:rPr>
      <w:rFonts w:ascii="Times New Roman" w:eastAsia="Times New Roman" w:hAnsi="Times New Roman"/>
      <w:szCs w:val="24"/>
      <w:lang w:eastAsia="cs-CZ"/>
    </w:rPr>
  </w:style>
  <w:style w:type="character" w:styleId="PromnnHTML">
    <w:name w:val="HTML Variable"/>
    <w:basedOn w:val="Standardnpsmoodstavce"/>
    <w:uiPriority w:val="99"/>
    <w:semiHidden/>
    <w:unhideWhenUsed/>
    <w:rsid w:val="00E338DA"/>
    <w:rPr>
      <w:i/>
      <w:iCs/>
    </w:rPr>
  </w:style>
  <w:style w:type="table" w:customStyle="1" w:styleId="TableNormal">
    <w:name w:val="Table Normal"/>
    <w:uiPriority w:val="2"/>
    <w:semiHidden/>
    <w:unhideWhenUsed/>
    <w:qFormat/>
    <w:rsid w:val="00A340B4"/>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A340B4"/>
    <w:pPr>
      <w:widowControl w:val="0"/>
      <w:autoSpaceDE w:val="0"/>
      <w:autoSpaceDN w:val="0"/>
      <w:spacing w:before="0" w:after="0"/>
      <w:jc w:val="right"/>
    </w:pPr>
    <w:rPr>
      <w:rFonts w:ascii="Calibri" w:hAnsi="Calibri" w:cs="Calibri"/>
      <w:sz w:val="22"/>
      <w:lang w:eastAsia="cs-CZ" w:bidi="cs-CZ"/>
    </w:rPr>
  </w:style>
  <w:style w:type="paragraph" w:styleId="Seznamsodrkami">
    <w:name w:val="List Bullet"/>
    <w:basedOn w:val="Normln"/>
    <w:autoRedefine/>
    <w:qFormat/>
    <w:rsid w:val="00271B14"/>
    <w:pPr>
      <w:numPr>
        <w:numId w:val="30"/>
      </w:numPr>
      <w:spacing w:before="0" w:after="0"/>
    </w:pPr>
    <w:rPr>
      <w:rFonts w:ascii="Times New Roman" w:hAnsi="Times New Roman" w:cstheme="minorBidi"/>
      <w:szCs w:val="24"/>
    </w:rPr>
  </w:style>
  <w:style w:type="table" w:customStyle="1" w:styleId="Barevntabulkaseznamu6zvraznn51">
    <w:name w:val="Barevná tabulka seznamu 6 – zvýraznění 51"/>
    <w:basedOn w:val="Normlntabulka"/>
    <w:uiPriority w:val="51"/>
    <w:rsid w:val="00E63FF0"/>
    <w:rPr>
      <w:color w:val="1C1C1C" w:themeColor="accent5" w:themeShade="BF"/>
    </w:rPr>
    <w:tblPr>
      <w:tblStyleRowBandSize w:val="1"/>
      <w:tblStyleColBandSize w:val="1"/>
      <w:tblInd w:w="0" w:type="dxa"/>
      <w:tblBorders>
        <w:top w:val="single" w:sz="4" w:space="0" w:color="262626" w:themeColor="accent5"/>
        <w:bottom w:val="single" w:sz="4" w:space="0" w:color="262626" w:themeColor="accent5"/>
      </w:tblBorders>
      <w:tblCellMar>
        <w:top w:w="0" w:type="dxa"/>
        <w:left w:w="108" w:type="dxa"/>
        <w:bottom w:w="0" w:type="dxa"/>
        <w:right w:w="108" w:type="dxa"/>
      </w:tblCellMar>
    </w:tblPr>
    <w:tblStylePr w:type="firstRow">
      <w:rPr>
        <w:b/>
        <w:bCs/>
      </w:rPr>
      <w:tblPr/>
      <w:tcPr>
        <w:tcBorders>
          <w:bottom w:val="single" w:sz="4" w:space="0" w:color="262626" w:themeColor="accent5"/>
        </w:tcBorders>
      </w:tcPr>
    </w:tblStylePr>
    <w:tblStylePr w:type="lastRow">
      <w:rPr>
        <w:b/>
        <w:bCs/>
      </w:rPr>
      <w:tblPr/>
      <w:tcPr>
        <w:tcBorders>
          <w:top w:val="double" w:sz="4" w:space="0" w:color="262626" w:themeColor="accent5"/>
        </w:tcBorders>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table" w:customStyle="1" w:styleId="StylEEIP">
    <w:name w:val="StylEEIP"/>
    <w:basedOn w:val="Normlntabulka"/>
    <w:uiPriority w:val="99"/>
    <w:rsid w:val="00E63FF0"/>
    <w:tblPr>
      <w:tblInd w:w="0" w:type="dxa"/>
      <w:tblCellMar>
        <w:top w:w="0" w:type="dxa"/>
        <w:left w:w="108" w:type="dxa"/>
        <w:bottom w:w="0" w:type="dxa"/>
        <w:right w:w="108" w:type="dxa"/>
      </w:tblCellMar>
    </w:tblPr>
  </w:style>
  <w:style w:type="paragraph" w:customStyle="1" w:styleId="msonormal0">
    <w:name w:val="msonormal"/>
    <w:basedOn w:val="Normln"/>
    <w:rsid w:val="00AD28F1"/>
    <w:pPr>
      <w:spacing w:before="100" w:beforeAutospacing="1" w:after="100" w:afterAutospacing="1"/>
      <w:jc w:val="left"/>
    </w:pPr>
    <w:rPr>
      <w:rFonts w:ascii="Times New Roman" w:eastAsia="Times New Roman" w:hAnsi="Times New Roman"/>
      <w:szCs w:val="24"/>
      <w:lang w:eastAsia="cs-CZ"/>
    </w:rPr>
  </w:style>
  <w:style w:type="paragraph" w:customStyle="1" w:styleId="xl22824">
    <w:name w:val="xl22824"/>
    <w:basedOn w:val="Normln"/>
    <w:rsid w:val="00AD28F1"/>
    <w:pPr>
      <w:spacing w:before="100" w:beforeAutospacing="1" w:after="100" w:afterAutospacing="1"/>
      <w:jc w:val="left"/>
    </w:pPr>
    <w:rPr>
      <w:rFonts w:ascii="Times New Roman" w:eastAsia="Times New Roman" w:hAnsi="Times New Roman"/>
      <w:szCs w:val="24"/>
      <w:lang w:eastAsia="cs-CZ"/>
    </w:rPr>
  </w:style>
  <w:style w:type="table" w:styleId="Svtlseznamzvraznn2">
    <w:name w:val="Light List Accent 2"/>
    <w:basedOn w:val="Normlntabulka"/>
    <w:uiPriority w:val="61"/>
    <w:rsid w:val="0050396A"/>
    <w:rPr>
      <w:lang w:eastAsia="cs-CZ"/>
    </w:rPr>
    <w:tblPr>
      <w:tblStyleRowBandSize w:val="1"/>
      <w:tblStyleColBandSize w:val="1"/>
      <w:tblInd w:w="0" w:type="dxa"/>
      <w:tblBorders>
        <w:top w:val="single" w:sz="8" w:space="0" w:color="7F7F7F" w:themeColor="accent2"/>
        <w:left w:val="single" w:sz="8" w:space="0" w:color="7F7F7F" w:themeColor="accent2"/>
        <w:bottom w:val="single" w:sz="8" w:space="0" w:color="7F7F7F" w:themeColor="accent2"/>
        <w:right w:val="single" w:sz="8" w:space="0" w:color="7F7F7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F7F7F" w:themeFill="accent2"/>
      </w:tcPr>
    </w:tblStylePr>
    <w:tblStylePr w:type="lastRow">
      <w:pPr>
        <w:spacing w:before="0" w:after="0" w:line="240" w:lineRule="auto"/>
      </w:pPr>
      <w:rPr>
        <w:b/>
        <w:bCs/>
      </w:rPr>
      <w:tblPr/>
      <w:tcPr>
        <w:tcBorders>
          <w:top w:val="double" w:sz="6" w:space="0" w:color="7F7F7F" w:themeColor="accent2"/>
          <w:left w:val="single" w:sz="8" w:space="0" w:color="7F7F7F" w:themeColor="accent2"/>
          <w:bottom w:val="single" w:sz="8" w:space="0" w:color="7F7F7F" w:themeColor="accent2"/>
          <w:right w:val="single" w:sz="8" w:space="0" w:color="7F7F7F" w:themeColor="accent2"/>
        </w:tcBorders>
      </w:tcPr>
    </w:tblStylePr>
    <w:tblStylePr w:type="firstCol">
      <w:rPr>
        <w:b/>
        <w:bCs/>
      </w:rPr>
    </w:tblStylePr>
    <w:tblStylePr w:type="lastCol">
      <w:rPr>
        <w:b/>
        <w:bCs/>
      </w:rPr>
    </w:tblStylePr>
    <w:tblStylePr w:type="band1Vert">
      <w:tblPr/>
      <w:tcPr>
        <w:tcBorders>
          <w:top w:val="single" w:sz="8" w:space="0" w:color="7F7F7F" w:themeColor="accent2"/>
          <w:left w:val="single" w:sz="8" w:space="0" w:color="7F7F7F" w:themeColor="accent2"/>
          <w:bottom w:val="single" w:sz="8" w:space="0" w:color="7F7F7F" w:themeColor="accent2"/>
          <w:right w:val="single" w:sz="8" w:space="0" w:color="7F7F7F" w:themeColor="accent2"/>
        </w:tcBorders>
      </w:tcPr>
    </w:tblStylePr>
    <w:tblStylePr w:type="band1Horz">
      <w:tblPr/>
      <w:tcPr>
        <w:tcBorders>
          <w:top w:val="single" w:sz="8" w:space="0" w:color="7F7F7F" w:themeColor="accent2"/>
          <w:left w:val="single" w:sz="8" w:space="0" w:color="7F7F7F" w:themeColor="accent2"/>
          <w:bottom w:val="single" w:sz="8" w:space="0" w:color="7F7F7F" w:themeColor="accent2"/>
          <w:right w:val="single" w:sz="8" w:space="0" w:color="7F7F7F" w:themeColor="accent2"/>
        </w:tcBorders>
      </w:tcPr>
    </w:tblStylePr>
  </w:style>
  <w:style w:type="paragraph" w:customStyle="1" w:styleId="norm">
    <w:name w:val="norm"/>
    <w:basedOn w:val="Normln"/>
    <w:rsid w:val="0050396A"/>
    <w:pPr>
      <w:spacing w:before="240" w:after="240" w:line="276" w:lineRule="auto"/>
    </w:pPr>
    <w:rPr>
      <w:rFonts w:ascii="Times New Roman" w:eastAsia="MS Mincho" w:hAnsi="Times New Roman"/>
      <w:szCs w:val="24"/>
      <w:lang w:eastAsia="ja-JP"/>
    </w:rPr>
  </w:style>
  <w:style w:type="character" w:customStyle="1" w:styleId="N6normlnChar">
    <w:name w:val="N6_normální Char"/>
    <w:link w:val="N6normln"/>
    <w:locked/>
    <w:rsid w:val="0050396A"/>
    <w:rPr>
      <w:rFonts w:ascii="Times New Roman" w:eastAsia="Constantia" w:hAnsi="Times New Roman"/>
      <w:sz w:val="24"/>
    </w:rPr>
  </w:style>
  <w:style w:type="paragraph" w:customStyle="1" w:styleId="N6normln">
    <w:name w:val="N6_normální"/>
    <w:basedOn w:val="Normln"/>
    <w:link w:val="N6normlnChar"/>
    <w:rsid w:val="0050396A"/>
    <w:pPr>
      <w:spacing w:after="0"/>
      <w:ind w:firstLine="709"/>
    </w:pPr>
    <w:rPr>
      <w:rFonts w:ascii="Times New Roman" w:eastAsia="Constantia" w:hAnsi="Times New Roman"/>
      <w:szCs w:val="20"/>
    </w:rPr>
  </w:style>
  <w:style w:type="character" w:styleId="Zdraznnjemn">
    <w:name w:val="Subtle Emphasis"/>
    <w:basedOn w:val="Standardnpsmoodstavce"/>
    <w:uiPriority w:val="19"/>
    <w:qFormat/>
    <w:rsid w:val="0050396A"/>
    <w:rPr>
      <w:rFonts w:ascii="Segoe UI" w:hAnsi="Segoe UI"/>
      <w:b/>
      <w:i w:val="0"/>
      <w:iCs/>
      <w:color w:val="auto"/>
      <w:sz w:val="20"/>
    </w:rPr>
  </w:style>
  <w:style w:type="paragraph" w:customStyle="1" w:styleId="Tab">
    <w:name w:val="Tab"/>
    <w:basedOn w:val="Normln"/>
    <w:link w:val="TabChar"/>
    <w:qFormat/>
    <w:rsid w:val="0050396A"/>
    <w:pPr>
      <w:spacing w:after="0"/>
      <w:jc w:val="center"/>
    </w:pPr>
    <w:rPr>
      <w:rFonts w:ascii="Segoe UI" w:eastAsia="Times New Roman" w:hAnsi="Segoe UI"/>
      <w:color w:val="000000"/>
      <w:sz w:val="18"/>
      <w:lang w:eastAsia="cs-CZ"/>
    </w:rPr>
  </w:style>
  <w:style w:type="character" w:customStyle="1" w:styleId="TabChar">
    <w:name w:val="Tab Char"/>
    <w:basedOn w:val="Standardnpsmoodstavce"/>
    <w:link w:val="Tab"/>
    <w:rsid w:val="0050396A"/>
    <w:rPr>
      <w:rFonts w:ascii="Segoe UI" w:eastAsia="Times New Roman" w:hAnsi="Segoe UI"/>
      <w:color w:val="000000"/>
      <w:sz w:val="18"/>
      <w:szCs w:val="22"/>
      <w:lang w:eastAsia="cs-CZ"/>
    </w:rPr>
  </w:style>
  <w:style w:type="paragraph" w:customStyle="1" w:styleId="podnadpis2">
    <w:name w:val="podnadpis2"/>
    <w:basedOn w:val="N6normln"/>
    <w:link w:val="podnadpis2Char"/>
    <w:rsid w:val="0050396A"/>
    <w:pPr>
      <w:keepNext/>
      <w:ind w:firstLine="0"/>
    </w:pPr>
    <w:rPr>
      <w:rFonts w:ascii="Segoe UI" w:hAnsi="Segoe UI" w:cs="Segoe UI"/>
      <w:b/>
      <w:szCs w:val="24"/>
    </w:rPr>
  </w:style>
  <w:style w:type="character" w:customStyle="1" w:styleId="podnadpis2Char">
    <w:name w:val="podnadpis2 Char"/>
    <w:basedOn w:val="N6normlnChar"/>
    <w:link w:val="podnadpis2"/>
    <w:rsid w:val="0050396A"/>
    <w:rPr>
      <w:rFonts w:ascii="Segoe UI" w:eastAsia="Constantia" w:hAnsi="Segoe UI" w:cs="Segoe UI"/>
      <w:b/>
      <w:sz w:val="24"/>
      <w:szCs w:val="24"/>
    </w:rPr>
  </w:style>
  <w:style w:type="character" w:customStyle="1" w:styleId="mw-headline">
    <w:name w:val="mw-headline"/>
    <w:basedOn w:val="Standardnpsmoodstavce"/>
    <w:rsid w:val="0050396A"/>
  </w:style>
  <w:style w:type="paragraph" w:customStyle="1" w:styleId="GACRtext">
    <w:name w:val="GACR_text"/>
    <w:basedOn w:val="Normln"/>
    <w:link w:val="GACRtextChar"/>
    <w:rsid w:val="0050396A"/>
    <w:pPr>
      <w:spacing w:after="0"/>
      <w:ind w:firstLine="709"/>
    </w:pPr>
    <w:rPr>
      <w:rFonts w:ascii="Cambria" w:eastAsia="Times New Roman" w:hAnsi="Cambria"/>
      <w:szCs w:val="24"/>
      <w:lang w:eastAsia="cs-CZ"/>
    </w:rPr>
  </w:style>
  <w:style w:type="character" w:customStyle="1" w:styleId="GACRtextChar">
    <w:name w:val="GACR_text Char"/>
    <w:basedOn w:val="Standardnpsmoodstavce"/>
    <w:link w:val="GACRtext"/>
    <w:rsid w:val="0050396A"/>
    <w:rPr>
      <w:rFonts w:ascii="Cambria" w:eastAsia="Times New Roman" w:hAnsi="Cambria"/>
      <w:sz w:val="24"/>
      <w:szCs w:val="24"/>
      <w:lang w:eastAsia="cs-CZ"/>
    </w:rPr>
  </w:style>
  <w:style w:type="paragraph" w:customStyle="1" w:styleId="gacrobr">
    <w:name w:val="gacr_obr"/>
    <w:basedOn w:val="Normln"/>
    <w:rsid w:val="0050396A"/>
    <w:pPr>
      <w:keepNext/>
      <w:spacing w:line="360" w:lineRule="auto"/>
      <w:jc w:val="center"/>
    </w:pPr>
    <w:rPr>
      <w:rFonts w:ascii="Times New Roman" w:eastAsia="Times New Roman" w:hAnsi="Times New Roman"/>
      <w:szCs w:val="24"/>
      <w:lang w:eastAsia="cs-CZ"/>
    </w:rPr>
  </w:style>
  <w:style w:type="paragraph" w:customStyle="1" w:styleId="Popisky">
    <w:name w:val="Popisky"/>
    <w:basedOn w:val="Titulek"/>
    <w:link w:val="PopiskyChar"/>
    <w:qFormat/>
    <w:rsid w:val="0050396A"/>
    <w:pPr>
      <w:keepNext/>
      <w:widowControl/>
      <w:spacing w:after="60"/>
    </w:pPr>
    <w:rPr>
      <w:rFonts w:ascii="Segoe UI" w:eastAsiaTheme="minorHAnsi" w:hAnsi="Segoe UI" w:cs="Segoe UI"/>
      <w:color w:val="auto"/>
      <w:sz w:val="18"/>
      <w:szCs w:val="18"/>
      <w:lang w:eastAsia="en-US"/>
    </w:rPr>
  </w:style>
  <w:style w:type="character" w:customStyle="1" w:styleId="PopiskyChar">
    <w:name w:val="Popisky Char"/>
    <w:basedOn w:val="Standardnpsmoodstavce"/>
    <w:link w:val="Popisky"/>
    <w:rsid w:val="0050396A"/>
    <w:rPr>
      <w:rFonts w:ascii="Segoe UI" w:eastAsiaTheme="minorHAnsi" w:hAnsi="Segoe UI" w:cs="Segoe UI"/>
      <w:b/>
      <w:bCs/>
      <w:sz w:val="18"/>
      <w:szCs w:val="18"/>
    </w:rPr>
  </w:style>
  <w:style w:type="table" w:styleId="Svtlstnovnzvraznn2">
    <w:name w:val="Light Shading Accent 2"/>
    <w:basedOn w:val="Normlntabulka"/>
    <w:uiPriority w:val="60"/>
    <w:rsid w:val="0050396A"/>
    <w:rPr>
      <w:color w:val="5F5F5F" w:themeColor="accent2" w:themeShade="BF"/>
      <w:lang w:eastAsia="cs-CZ"/>
    </w:rPr>
    <w:tblPr>
      <w:tblStyleRowBandSize w:val="1"/>
      <w:tblStyleColBandSize w:val="1"/>
      <w:tblInd w:w="0" w:type="dxa"/>
      <w:tblBorders>
        <w:top w:val="single" w:sz="8" w:space="0" w:color="7F7F7F" w:themeColor="accent2"/>
        <w:bottom w:val="single" w:sz="8" w:space="0" w:color="7F7F7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7F7F" w:themeColor="accent2"/>
          <w:left w:val="nil"/>
          <w:bottom w:val="single" w:sz="8" w:space="0" w:color="7F7F7F" w:themeColor="accent2"/>
          <w:right w:val="nil"/>
          <w:insideH w:val="nil"/>
          <w:insideV w:val="nil"/>
        </w:tcBorders>
      </w:tcPr>
    </w:tblStylePr>
    <w:tblStylePr w:type="lastRow">
      <w:pPr>
        <w:spacing w:before="0" w:after="0" w:line="240" w:lineRule="auto"/>
      </w:pPr>
      <w:rPr>
        <w:b/>
        <w:bCs/>
      </w:rPr>
      <w:tblPr/>
      <w:tcPr>
        <w:tcBorders>
          <w:top w:val="single" w:sz="8" w:space="0" w:color="7F7F7F" w:themeColor="accent2"/>
          <w:left w:val="nil"/>
          <w:bottom w:val="single" w:sz="8" w:space="0" w:color="7F7F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2" w:themeFillTint="3F"/>
      </w:tcPr>
    </w:tblStylePr>
    <w:tblStylePr w:type="band1Horz">
      <w:tblPr/>
      <w:tcPr>
        <w:tcBorders>
          <w:left w:val="nil"/>
          <w:right w:val="nil"/>
          <w:insideH w:val="nil"/>
          <w:insideV w:val="nil"/>
        </w:tcBorders>
        <w:shd w:val="clear" w:color="auto" w:fill="DFDFDF" w:themeFill="accent2" w:themeFillTint="3F"/>
      </w:tcPr>
    </w:tblStylePr>
  </w:style>
  <w:style w:type="paragraph" w:customStyle="1" w:styleId="Popisek">
    <w:name w:val="Popisek"/>
    <w:basedOn w:val="Normln"/>
    <w:link w:val="PopisekChar"/>
    <w:qFormat/>
    <w:rsid w:val="0050396A"/>
    <w:pPr>
      <w:spacing w:line="360" w:lineRule="auto"/>
    </w:pPr>
    <w:rPr>
      <w:rFonts w:ascii="Segoe UI" w:eastAsiaTheme="minorHAnsi" w:hAnsi="Segoe UI" w:cstheme="minorBidi"/>
      <w:i/>
      <w:color w:val="B6B002" w:themeColor="text2"/>
      <w:sz w:val="18"/>
    </w:rPr>
  </w:style>
  <w:style w:type="character" w:customStyle="1" w:styleId="PopisekChar">
    <w:name w:val="Popisek Char"/>
    <w:basedOn w:val="Standardnpsmoodstavce"/>
    <w:link w:val="Popisek"/>
    <w:rsid w:val="0050396A"/>
    <w:rPr>
      <w:rFonts w:ascii="Segoe UI" w:eastAsiaTheme="minorHAnsi" w:hAnsi="Segoe UI" w:cstheme="minorBidi"/>
      <w:i/>
      <w:color w:val="B6B002" w:themeColor="text2"/>
      <w:sz w:val="18"/>
      <w:szCs w:val="22"/>
    </w:rPr>
  </w:style>
  <w:style w:type="paragraph" w:customStyle="1" w:styleId="podnapis1">
    <w:name w:val="podnapis1"/>
    <w:basedOn w:val="podnadpis2"/>
    <w:rsid w:val="0050396A"/>
    <w:rPr>
      <w:color w:val="C00000"/>
      <w:lang w:eastAsia="cs-CZ"/>
    </w:rPr>
  </w:style>
  <w:style w:type="paragraph" w:customStyle="1" w:styleId="podnadpis">
    <w:name w:val="podnadpis"/>
    <w:basedOn w:val="N6normln"/>
    <w:link w:val="podnadpisChar"/>
    <w:rsid w:val="0050396A"/>
    <w:pPr>
      <w:keepNext/>
      <w:ind w:firstLine="0"/>
    </w:pPr>
    <w:rPr>
      <w:rFonts w:ascii="Segoe UI" w:hAnsi="Segoe UI" w:cs="Segoe UI"/>
      <w:b/>
      <w:szCs w:val="24"/>
    </w:rPr>
  </w:style>
  <w:style w:type="character" w:customStyle="1" w:styleId="podnadpisChar">
    <w:name w:val="podnadpis Char"/>
    <w:basedOn w:val="N6normlnChar"/>
    <w:link w:val="podnadpis"/>
    <w:rsid w:val="0050396A"/>
    <w:rPr>
      <w:rFonts w:ascii="Segoe UI" w:eastAsia="Constantia" w:hAnsi="Segoe UI" w:cs="Segoe UI"/>
      <w:b/>
      <w:sz w:val="24"/>
      <w:szCs w:val="24"/>
    </w:rPr>
  </w:style>
  <w:style w:type="table" w:customStyle="1" w:styleId="Tabulkasmkou2zvraznn51">
    <w:name w:val="Tabulka s mřížkou 2 – zvýraznění 51"/>
    <w:basedOn w:val="Normlntabulka"/>
    <w:uiPriority w:val="47"/>
    <w:rsid w:val="0050396A"/>
    <w:rPr>
      <w:lang w:eastAsia="cs-CZ"/>
    </w:rPr>
    <w:tblPr>
      <w:tblStyleRowBandSize w:val="1"/>
      <w:tblStyleColBandSize w:val="1"/>
      <w:tblInd w:w="0" w:type="dxa"/>
      <w:tblBorders>
        <w:top w:val="single" w:sz="2" w:space="0" w:color="7C7C7C" w:themeColor="accent5" w:themeTint="99"/>
        <w:bottom w:val="single" w:sz="2" w:space="0" w:color="7C7C7C" w:themeColor="accent5" w:themeTint="99"/>
        <w:insideH w:val="single" w:sz="2" w:space="0" w:color="7C7C7C" w:themeColor="accent5" w:themeTint="99"/>
        <w:insideV w:val="single" w:sz="2" w:space="0" w:color="7C7C7C" w:themeColor="accent5" w:themeTint="99"/>
      </w:tblBorders>
      <w:tblCellMar>
        <w:top w:w="0" w:type="dxa"/>
        <w:left w:w="108" w:type="dxa"/>
        <w:bottom w:w="0" w:type="dxa"/>
        <w:right w:w="108" w:type="dxa"/>
      </w:tblCellMar>
    </w:tblPr>
    <w:tblStylePr w:type="firstRow">
      <w:rPr>
        <w:b/>
        <w:bCs/>
      </w:rPr>
      <w:tblPr/>
      <w:tcPr>
        <w:tcBorders>
          <w:top w:val="nil"/>
          <w:bottom w:val="single" w:sz="12" w:space="0" w:color="7C7C7C" w:themeColor="accent5" w:themeTint="99"/>
          <w:insideH w:val="nil"/>
          <w:insideV w:val="nil"/>
        </w:tcBorders>
        <w:shd w:val="clear" w:color="auto" w:fill="FFFFFF" w:themeFill="background1"/>
      </w:tcPr>
    </w:tblStylePr>
    <w:tblStylePr w:type="lastRow">
      <w:rPr>
        <w:b/>
        <w:bCs/>
      </w:rPr>
      <w:tblPr/>
      <w:tcPr>
        <w:tcBorders>
          <w:top w:val="double" w:sz="2" w:space="0" w:color="7C7C7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paragraph" w:customStyle="1" w:styleId="Odstavec0">
    <w:name w:val="Odstavec"/>
    <w:basedOn w:val="Normln"/>
    <w:link w:val="OdstavecChar"/>
    <w:qFormat/>
    <w:rsid w:val="0050396A"/>
    <w:pPr>
      <w:spacing w:line="312" w:lineRule="auto"/>
      <w:ind w:firstLine="397"/>
    </w:pPr>
    <w:rPr>
      <w:rFonts w:ascii="Times New Roman" w:eastAsia="Times New Roman" w:hAnsi="Times New Roman"/>
      <w:szCs w:val="20"/>
      <w:lang w:eastAsia="cs-CZ"/>
    </w:rPr>
  </w:style>
  <w:style w:type="character" w:customStyle="1" w:styleId="OdstavecChar">
    <w:name w:val="Odstavec Char"/>
    <w:link w:val="Odstavec0"/>
    <w:rsid w:val="0050396A"/>
    <w:rPr>
      <w:rFonts w:ascii="Times New Roman" w:eastAsia="Times New Roman" w:hAnsi="Times New Roman"/>
      <w:sz w:val="24"/>
      <w:lang w:eastAsia="cs-CZ"/>
    </w:rPr>
  </w:style>
  <w:style w:type="character" w:customStyle="1" w:styleId="ZdrojeChar">
    <w:name w:val="Zdroje Char"/>
    <w:basedOn w:val="Standardnpsmoodstavce"/>
    <w:link w:val="Zdroje"/>
    <w:locked/>
    <w:rsid w:val="0050396A"/>
    <w:rPr>
      <w:rFonts w:ascii="Cambria" w:eastAsia="Times New Roman" w:hAnsi="Cambria"/>
      <w:bCs/>
      <w:i/>
      <w:iCs/>
      <w:sz w:val="18"/>
      <w:szCs w:val="24"/>
    </w:rPr>
  </w:style>
  <w:style w:type="paragraph" w:customStyle="1" w:styleId="Zdroje">
    <w:name w:val="Zdroje"/>
    <w:basedOn w:val="Normln"/>
    <w:link w:val="ZdrojeChar"/>
    <w:rsid w:val="0050396A"/>
    <w:rPr>
      <w:rFonts w:ascii="Cambria" w:eastAsia="Times New Roman" w:hAnsi="Cambria"/>
      <w:bCs/>
      <w:i/>
      <w:iCs/>
      <w:sz w:val="18"/>
      <w:szCs w:val="24"/>
    </w:rPr>
  </w:style>
  <w:style w:type="character" w:customStyle="1" w:styleId="ico-article-date">
    <w:name w:val="ico-article-date"/>
    <w:basedOn w:val="Standardnpsmoodstavce"/>
    <w:rsid w:val="0050396A"/>
  </w:style>
  <w:style w:type="character" w:customStyle="1" w:styleId="st0">
    <w:name w:val="st"/>
    <w:basedOn w:val="Standardnpsmoodstavce"/>
    <w:rsid w:val="0050396A"/>
  </w:style>
  <w:style w:type="paragraph" w:styleId="slovanseznam3">
    <w:name w:val="List Number 3"/>
    <w:basedOn w:val="Normln"/>
    <w:rsid w:val="0050396A"/>
    <w:pPr>
      <w:numPr>
        <w:numId w:val="41"/>
      </w:numPr>
      <w:autoSpaceDE w:val="0"/>
      <w:autoSpaceDN w:val="0"/>
    </w:pPr>
    <w:rPr>
      <w:rFonts w:ascii="Times New Roman" w:eastAsia="Times New Roman" w:hAnsi="Times New Roman"/>
      <w:szCs w:val="24"/>
      <w:lang w:eastAsia="cs-CZ"/>
    </w:rPr>
  </w:style>
  <w:style w:type="numbering" w:customStyle="1" w:styleId="Bezseznamu1">
    <w:name w:val="Bez seznamu1"/>
    <w:next w:val="Bezseznamu"/>
    <w:uiPriority w:val="99"/>
    <w:semiHidden/>
    <w:unhideWhenUsed/>
    <w:rsid w:val="0050396A"/>
  </w:style>
  <w:style w:type="paragraph" w:customStyle="1" w:styleId="Zhlav-akce">
    <w:name w:val="Záhlaví-akce"/>
    <w:basedOn w:val="Normln"/>
    <w:rsid w:val="0050396A"/>
    <w:pPr>
      <w:widowControl w:val="0"/>
      <w:spacing w:after="0"/>
    </w:pPr>
    <w:rPr>
      <w:rFonts w:ascii="Times New Roman" w:eastAsia="Times New Roman" w:hAnsi="Times New Roman"/>
      <w:i/>
      <w:szCs w:val="20"/>
      <w:lang w:eastAsia="cs-CZ"/>
    </w:rPr>
  </w:style>
  <w:style w:type="character" w:customStyle="1" w:styleId="zklstylpsma">
    <w:name w:val="zákl. styl písma"/>
    <w:rsid w:val="0050396A"/>
    <w:rPr>
      <w:rFonts w:ascii="Switzerland" w:hAnsi="Switzerland"/>
      <w:kern w:val="16"/>
      <w:sz w:val="20"/>
    </w:rPr>
  </w:style>
  <w:style w:type="paragraph" w:customStyle="1" w:styleId="Zhlav-kap">
    <w:name w:val="Záhlaví - kap."/>
    <w:basedOn w:val="Normln"/>
    <w:rsid w:val="0050396A"/>
    <w:pPr>
      <w:widowControl w:val="0"/>
      <w:spacing w:after="0"/>
      <w:jc w:val="right"/>
    </w:pPr>
    <w:rPr>
      <w:rFonts w:ascii="Times New Roman" w:eastAsia="Times New Roman" w:hAnsi="Times New Roman"/>
      <w:i/>
      <w:szCs w:val="20"/>
      <w:lang w:eastAsia="cs-CZ"/>
    </w:rPr>
  </w:style>
  <w:style w:type="paragraph" w:styleId="slovanseznam40">
    <w:name w:val="List Number 4"/>
    <w:basedOn w:val="Normln"/>
    <w:rsid w:val="0050396A"/>
    <w:pPr>
      <w:widowControl w:val="0"/>
      <w:spacing w:after="0"/>
      <w:ind w:left="1132" w:hanging="283"/>
    </w:pPr>
    <w:rPr>
      <w:rFonts w:ascii="Times New Roman" w:eastAsia="Times New Roman" w:hAnsi="Times New Roman"/>
      <w:szCs w:val="20"/>
      <w:lang w:eastAsia="cs-CZ"/>
    </w:rPr>
  </w:style>
  <w:style w:type="paragraph" w:styleId="slovanseznam5">
    <w:name w:val="List Number 5"/>
    <w:basedOn w:val="Normln"/>
    <w:rsid w:val="0050396A"/>
    <w:pPr>
      <w:widowControl w:val="0"/>
      <w:spacing w:after="0"/>
      <w:ind w:left="1415" w:hanging="283"/>
    </w:pPr>
    <w:rPr>
      <w:rFonts w:ascii="Times New Roman" w:eastAsia="Times New Roman" w:hAnsi="Times New Roman"/>
      <w:szCs w:val="20"/>
      <w:lang w:eastAsia="cs-CZ"/>
    </w:rPr>
  </w:style>
  <w:style w:type="paragraph" w:styleId="Normlnodsazen">
    <w:name w:val="Normal Indent"/>
    <w:aliases w:val="záhlaví"/>
    <w:basedOn w:val="Normln"/>
    <w:next w:val="Normln"/>
    <w:rsid w:val="0050396A"/>
    <w:pPr>
      <w:widowControl w:val="0"/>
      <w:spacing w:after="0"/>
      <w:ind w:left="709"/>
    </w:pPr>
    <w:rPr>
      <w:rFonts w:ascii="Times New Roman" w:eastAsia="Times New Roman" w:hAnsi="Times New Roman"/>
      <w:szCs w:val="20"/>
      <w:lang w:eastAsia="cs-CZ"/>
    </w:rPr>
  </w:style>
  <w:style w:type="paragraph" w:customStyle="1" w:styleId="Bntext">
    <w:name w:val="Běžný text"/>
    <w:basedOn w:val="Normln"/>
    <w:rsid w:val="0050396A"/>
    <w:pPr>
      <w:widowControl w:val="0"/>
      <w:spacing w:after="0"/>
      <w:ind w:firstLine="567"/>
    </w:pPr>
    <w:rPr>
      <w:rFonts w:ascii="Tahoma" w:eastAsia="Times New Roman" w:hAnsi="Tahoma"/>
      <w:szCs w:val="20"/>
      <w:lang w:eastAsia="cs-CZ"/>
    </w:rPr>
  </w:style>
  <w:style w:type="paragraph" w:customStyle="1" w:styleId="Bntextodsazen">
    <w:name w:val="Běžný text odsazený"/>
    <w:basedOn w:val="Normln"/>
    <w:rsid w:val="0050396A"/>
    <w:pPr>
      <w:widowControl w:val="0"/>
      <w:spacing w:before="60" w:after="60"/>
      <w:ind w:left="567"/>
    </w:pPr>
    <w:rPr>
      <w:rFonts w:ascii="Times New Roman" w:eastAsia="Times New Roman" w:hAnsi="Times New Roman"/>
      <w:szCs w:val="20"/>
      <w:lang w:eastAsia="cs-CZ"/>
    </w:rPr>
  </w:style>
  <w:style w:type="paragraph" w:styleId="Seznamsodrkami2">
    <w:name w:val="List Bullet 2"/>
    <w:basedOn w:val="Normln"/>
    <w:rsid w:val="0050396A"/>
    <w:pPr>
      <w:widowControl w:val="0"/>
      <w:spacing w:after="0"/>
      <w:ind w:left="850" w:hanging="283"/>
    </w:pPr>
    <w:rPr>
      <w:rFonts w:ascii="Times New Roman" w:eastAsia="Times New Roman" w:hAnsi="Times New Roman"/>
      <w:szCs w:val="20"/>
      <w:lang w:eastAsia="cs-CZ"/>
    </w:rPr>
  </w:style>
  <w:style w:type="paragraph" w:styleId="Zptenadresanaoblku">
    <w:name w:val="envelope return"/>
    <w:basedOn w:val="Normln"/>
    <w:rsid w:val="0050396A"/>
    <w:pPr>
      <w:widowControl w:val="0"/>
      <w:spacing w:after="0"/>
    </w:pPr>
    <w:rPr>
      <w:rFonts w:ascii="Times New Roman" w:eastAsia="Times New Roman" w:hAnsi="Times New Roman"/>
      <w:szCs w:val="20"/>
      <w:lang w:eastAsia="cs-CZ"/>
    </w:rPr>
  </w:style>
  <w:style w:type="paragraph" w:styleId="Seznam">
    <w:name w:val="List"/>
    <w:basedOn w:val="Normln"/>
    <w:rsid w:val="0050396A"/>
    <w:pPr>
      <w:widowControl w:val="0"/>
      <w:spacing w:after="0"/>
      <w:ind w:left="283" w:hanging="283"/>
    </w:pPr>
    <w:rPr>
      <w:rFonts w:ascii="Times New Roman" w:eastAsia="Times New Roman" w:hAnsi="Times New Roman"/>
      <w:szCs w:val="20"/>
      <w:lang w:eastAsia="cs-CZ"/>
    </w:rPr>
  </w:style>
  <w:style w:type="paragraph" w:styleId="Seznam2">
    <w:name w:val="List 2"/>
    <w:basedOn w:val="Normln"/>
    <w:rsid w:val="0050396A"/>
    <w:pPr>
      <w:widowControl w:val="0"/>
      <w:spacing w:after="0"/>
      <w:ind w:left="566" w:hanging="283"/>
    </w:pPr>
    <w:rPr>
      <w:rFonts w:ascii="Times New Roman" w:eastAsia="Times New Roman" w:hAnsi="Times New Roman"/>
      <w:szCs w:val="20"/>
      <w:lang w:eastAsia="cs-CZ"/>
    </w:rPr>
  </w:style>
  <w:style w:type="paragraph" w:styleId="Seznam3">
    <w:name w:val="List 3"/>
    <w:basedOn w:val="Normln"/>
    <w:rsid w:val="0050396A"/>
    <w:pPr>
      <w:widowControl w:val="0"/>
      <w:spacing w:after="0"/>
      <w:ind w:left="849" w:hanging="283"/>
    </w:pPr>
    <w:rPr>
      <w:rFonts w:ascii="Times New Roman" w:eastAsia="Times New Roman" w:hAnsi="Times New Roman"/>
      <w:szCs w:val="20"/>
      <w:lang w:eastAsia="cs-CZ"/>
    </w:rPr>
  </w:style>
  <w:style w:type="paragraph" w:customStyle="1" w:styleId="uvodnitext">
    <w:name w:val="uvodni text"/>
    <w:rsid w:val="0050396A"/>
    <w:pPr>
      <w:widowControl w:val="0"/>
    </w:pPr>
    <w:rPr>
      <w:rFonts w:ascii="Times New Roman" w:eastAsia="Times New Roman" w:hAnsi="Times New Roman"/>
      <w:sz w:val="24"/>
      <w:lang w:eastAsia="cs-CZ"/>
    </w:rPr>
  </w:style>
  <w:style w:type="paragraph" w:customStyle="1" w:styleId="Popisobjektu">
    <w:name w:val="Popis objektu"/>
    <w:rsid w:val="0050396A"/>
    <w:pPr>
      <w:widowControl w:val="0"/>
    </w:pPr>
    <w:rPr>
      <w:rFonts w:ascii="Times New Roman" w:eastAsia="Times New Roman" w:hAnsi="Times New Roman"/>
      <w:sz w:val="24"/>
      <w:lang w:eastAsia="cs-CZ"/>
    </w:rPr>
  </w:style>
  <w:style w:type="paragraph" w:customStyle="1" w:styleId="Zkladntext21">
    <w:name w:val="Základní text 21"/>
    <w:basedOn w:val="Normln"/>
    <w:rsid w:val="0050396A"/>
    <w:pPr>
      <w:widowControl w:val="0"/>
      <w:spacing w:after="0"/>
    </w:pPr>
    <w:rPr>
      <w:rFonts w:ascii="Times New Roman" w:eastAsia="Times New Roman" w:hAnsi="Times New Roman"/>
      <w:szCs w:val="20"/>
      <w:lang w:eastAsia="cs-CZ"/>
    </w:rPr>
  </w:style>
  <w:style w:type="paragraph" w:customStyle="1" w:styleId="Zkladntext31">
    <w:name w:val="Základní text 31"/>
    <w:basedOn w:val="Normln"/>
    <w:rsid w:val="0050396A"/>
    <w:pPr>
      <w:widowControl w:val="0"/>
      <w:spacing w:after="0"/>
    </w:pPr>
    <w:rPr>
      <w:rFonts w:ascii="Times New Roman" w:eastAsia="Times New Roman" w:hAnsi="Times New Roman"/>
      <w:i/>
      <w:szCs w:val="20"/>
      <w:lang w:eastAsia="cs-CZ"/>
    </w:rPr>
  </w:style>
  <w:style w:type="paragraph" w:customStyle="1" w:styleId="Bintext">
    <w:name w:val="Bižný text"/>
    <w:basedOn w:val="Normln"/>
    <w:rsid w:val="0050396A"/>
    <w:pPr>
      <w:widowControl w:val="0"/>
      <w:spacing w:before="60" w:after="60"/>
      <w:ind w:firstLine="567"/>
    </w:pPr>
    <w:rPr>
      <w:rFonts w:ascii="Times New Roman" w:eastAsia="Times New Roman" w:hAnsi="Times New Roman"/>
      <w:szCs w:val="20"/>
      <w:lang w:eastAsia="cs-CZ"/>
    </w:rPr>
  </w:style>
  <w:style w:type="paragraph" w:customStyle="1" w:styleId="Zkladntextodsazen31">
    <w:name w:val="Základní text odsazený 31"/>
    <w:basedOn w:val="Normln"/>
    <w:rsid w:val="0050396A"/>
    <w:pPr>
      <w:widowControl w:val="0"/>
      <w:spacing w:after="0"/>
      <w:ind w:firstLine="708"/>
    </w:pPr>
    <w:rPr>
      <w:rFonts w:ascii="Times New Roman" w:eastAsia="Times New Roman" w:hAnsi="Times New Roman"/>
      <w:szCs w:val="20"/>
      <w:lang w:eastAsia="cs-CZ"/>
    </w:rPr>
  </w:style>
  <w:style w:type="paragraph" w:customStyle="1" w:styleId="font7">
    <w:name w:val="font7"/>
    <w:basedOn w:val="Normln"/>
    <w:rsid w:val="0050396A"/>
    <w:pPr>
      <w:spacing w:before="100" w:beforeAutospacing="1" w:after="100" w:afterAutospacing="1"/>
    </w:pPr>
    <w:rPr>
      <w:rFonts w:ascii="Tahoma" w:eastAsia="Times New Roman" w:hAnsi="Tahoma" w:cs="Tahoma"/>
      <w:color w:val="000000"/>
      <w:sz w:val="16"/>
      <w:szCs w:val="16"/>
      <w:lang w:eastAsia="cs-CZ"/>
    </w:rPr>
  </w:style>
  <w:style w:type="paragraph" w:customStyle="1" w:styleId="font8">
    <w:name w:val="font8"/>
    <w:basedOn w:val="Normln"/>
    <w:rsid w:val="0050396A"/>
    <w:pPr>
      <w:spacing w:before="100" w:beforeAutospacing="1" w:after="100" w:afterAutospacing="1"/>
    </w:pPr>
    <w:rPr>
      <w:rFonts w:ascii="Tahoma" w:eastAsia="Times New Roman" w:hAnsi="Tahoma" w:cs="Tahoma"/>
      <w:color w:val="000000"/>
      <w:sz w:val="16"/>
      <w:szCs w:val="16"/>
      <w:lang w:eastAsia="cs-CZ"/>
    </w:rPr>
  </w:style>
  <w:style w:type="paragraph" w:customStyle="1" w:styleId="font9">
    <w:name w:val="font9"/>
    <w:basedOn w:val="Normln"/>
    <w:rsid w:val="0050396A"/>
    <w:pPr>
      <w:spacing w:before="100" w:beforeAutospacing="1" w:after="100" w:afterAutospacing="1"/>
    </w:pPr>
    <w:rPr>
      <w:rFonts w:ascii="Times New Roman" w:eastAsia="Times New Roman" w:hAnsi="Times New Roman"/>
      <w:sz w:val="16"/>
      <w:szCs w:val="16"/>
      <w:lang w:eastAsia="cs-CZ"/>
    </w:rPr>
  </w:style>
  <w:style w:type="paragraph" w:customStyle="1" w:styleId="xl150">
    <w:name w:val="xl150"/>
    <w:basedOn w:val="Normln"/>
    <w:rsid w:val="0050396A"/>
    <w:pPr>
      <w:pBdr>
        <w:top w:val="single" w:sz="8" w:space="0" w:color="auto"/>
        <w:left w:val="single" w:sz="8" w:space="0" w:color="auto"/>
        <w:bottom w:val="single" w:sz="8" w:space="0" w:color="auto"/>
      </w:pBdr>
      <w:shd w:val="clear" w:color="auto" w:fill="00FFFF"/>
      <w:spacing w:before="100" w:beforeAutospacing="1" w:after="100" w:afterAutospacing="1"/>
    </w:pPr>
    <w:rPr>
      <w:rFonts w:ascii="Times New Roman" w:eastAsia="Times New Roman" w:hAnsi="Times New Roman"/>
      <w:b/>
      <w:bCs/>
      <w:sz w:val="14"/>
      <w:szCs w:val="14"/>
      <w:lang w:eastAsia="cs-CZ"/>
    </w:rPr>
  </w:style>
  <w:style w:type="paragraph" w:customStyle="1" w:styleId="xl151">
    <w:name w:val="xl151"/>
    <w:basedOn w:val="Normln"/>
    <w:rsid w:val="0050396A"/>
    <w:pPr>
      <w:pBdr>
        <w:top w:val="single" w:sz="8" w:space="0" w:color="auto"/>
        <w:left w:val="single" w:sz="8" w:space="0" w:color="auto"/>
        <w:bottom w:val="single" w:sz="8" w:space="0" w:color="auto"/>
        <w:right w:val="single" w:sz="4"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paragraph" w:customStyle="1" w:styleId="xl152">
    <w:name w:val="xl152"/>
    <w:basedOn w:val="Normln"/>
    <w:rsid w:val="0050396A"/>
    <w:pPr>
      <w:pBdr>
        <w:top w:val="single" w:sz="8" w:space="0" w:color="auto"/>
        <w:left w:val="single" w:sz="4" w:space="0" w:color="auto"/>
        <w:bottom w:val="single" w:sz="8"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paragraph" w:customStyle="1" w:styleId="xl153">
    <w:name w:val="xl153"/>
    <w:basedOn w:val="Normln"/>
    <w:rsid w:val="0050396A"/>
    <w:pPr>
      <w:pBdr>
        <w:top w:val="single" w:sz="8" w:space="0" w:color="auto"/>
        <w:left w:val="single" w:sz="4" w:space="0" w:color="auto"/>
        <w:bottom w:val="single" w:sz="8" w:space="0" w:color="auto"/>
        <w:right w:val="single" w:sz="8"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character" w:customStyle="1" w:styleId="titulninadpis">
    <w:name w:val="titulni nadpis"/>
    <w:rsid w:val="0050396A"/>
    <w:rPr>
      <w:b/>
      <w:sz w:val="20"/>
    </w:rPr>
  </w:style>
  <w:style w:type="paragraph" w:customStyle="1" w:styleId="zaveradresa">
    <w:name w:val="zaver adresa"/>
    <w:rsid w:val="0050396A"/>
    <w:pPr>
      <w:widowControl w:val="0"/>
    </w:pPr>
    <w:rPr>
      <w:rFonts w:ascii="Times New Roman" w:eastAsia="Times New Roman" w:hAnsi="Times New Roman"/>
      <w:sz w:val="24"/>
      <w:lang w:eastAsia="cs-CZ"/>
    </w:rPr>
  </w:style>
  <w:style w:type="paragraph" w:customStyle="1" w:styleId="font10">
    <w:name w:val="font10"/>
    <w:basedOn w:val="Normln"/>
    <w:rsid w:val="0050396A"/>
    <w:pPr>
      <w:spacing w:before="100" w:beforeAutospacing="1" w:after="100" w:afterAutospacing="1"/>
    </w:pPr>
    <w:rPr>
      <w:rFonts w:ascii="Tahoma" w:eastAsia="Arial Unicode MS" w:hAnsi="Tahoma" w:cs="Tahoma"/>
      <w:color w:val="000000"/>
      <w:sz w:val="16"/>
      <w:szCs w:val="16"/>
      <w:lang w:eastAsia="cs-CZ"/>
    </w:rPr>
  </w:style>
  <w:style w:type="paragraph" w:customStyle="1" w:styleId="Aconstext">
    <w:name w:val="Acons text"/>
    <w:basedOn w:val="Normln"/>
    <w:rsid w:val="0050396A"/>
    <w:pPr>
      <w:spacing w:after="0"/>
    </w:pPr>
    <w:rPr>
      <w:rFonts w:ascii="Times New Roman" w:eastAsia="Times New Roman" w:hAnsi="Times New Roman"/>
      <w:szCs w:val="20"/>
      <w:lang w:eastAsia="cs-CZ"/>
    </w:rPr>
  </w:style>
  <w:style w:type="table" w:customStyle="1" w:styleId="Mkatabulky1">
    <w:name w:val="Mřížka tabulky1"/>
    <w:basedOn w:val="Normlntabulka"/>
    <w:next w:val="Mkatabulky"/>
    <w:rsid w:val="0050396A"/>
    <w:pPr>
      <w:overflowPunct w:val="0"/>
      <w:autoSpaceDE w:val="0"/>
      <w:autoSpaceDN w:val="0"/>
      <w:adjustRightInd w:val="0"/>
      <w:textAlignment w:val="baseline"/>
    </w:pPr>
    <w:rPr>
      <w:rFonts w:ascii="Times New Roman" w:eastAsia="Times New Roman" w:hAnsi="Times New Roman"/>
      <w:lang w:eastAsia="cs-CZ"/>
    </w:rPr>
    <w:tblPr>
      <w:tblInd w:w="0" w:type="dxa"/>
      <w:tblBorders>
        <w:top w:val="single" w:sz="4" w:space="0" w:color="FCEECC"/>
        <w:left w:val="single" w:sz="4" w:space="0" w:color="FCEECC"/>
        <w:bottom w:val="single" w:sz="4" w:space="0" w:color="FCEECC"/>
        <w:right w:val="single" w:sz="4" w:space="0" w:color="FCEECC"/>
        <w:insideH w:val="single" w:sz="4" w:space="0" w:color="FCEECC"/>
        <w:insideV w:val="single" w:sz="4" w:space="0" w:color="FCEECC"/>
      </w:tblBorders>
      <w:tblCellMar>
        <w:top w:w="0" w:type="dxa"/>
        <w:left w:w="108" w:type="dxa"/>
        <w:bottom w:w="0" w:type="dxa"/>
        <w:right w:w="108" w:type="dxa"/>
      </w:tblCellMar>
    </w:tblPr>
  </w:style>
  <w:style w:type="paragraph" w:customStyle="1" w:styleId="Bntext-posudek">
    <w:name w:val="Běžný text - posudek"/>
    <w:basedOn w:val="Zkladntext"/>
    <w:autoRedefine/>
    <w:rsid w:val="0050396A"/>
    <w:pPr>
      <w:overflowPunct w:val="0"/>
      <w:autoSpaceDE w:val="0"/>
      <w:autoSpaceDN w:val="0"/>
      <w:adjustRightInd w:val="0"/>
      <w:spacing w:after="0"/>
      <w:textAlignment w:val="baseline"/>
    </w:pPr>
    <w:rPr>
      <w:rFonts w:ascii="Tahoma" w:eastAsia="Times New Roman" w:hAnsi="Tahoma"/>
      <w:sz w:val="20"/>
      <w:szCs w:val="20"/>
      <w:lang w:eastAsia="cs-CZ"/>
    </w:rPr>
  </w:style>
  <w:style w:type="paragraph" w:customStyle="1" w:styleId="Bintext-posudek">
    <w:name w:val="Bižný text - posudek"/>
    <w:basedOn w:val="Zkladntext"/>
    <w:rsid w:val="0050396A"/>
    <w:pPr>
      <w:overflowPunct w:val="0"/>
      <w:autoSpaceDE w:val="0"/>
      <w:autoSpaceDN w:val="0"/>
      <w:adjustRightInd w:val="0"/>
      <w:spacing w:after="0"/>
      <w:textAlignment w:val="baseline"/>
    </w:pPr>
    <w:rPr>
      <w:rFonts w:ascii="Tahoma" w:eastAsia="Times New Roman" w:hAnsi="Tahoma"/>
      <w:sz w:val="20"/>
      <w:szCs w:val="20"/>
      <w:lang w:eastAsia="cs-CZ"/>
    </w:rPr>
  </w:style>
  <w:style w:type="paragraph" w:customStyle="1" w:styleId="inz-info">
    <w:name w:val="inz-info"/>
    <w:basedOn w:val="Normln"/>
    <w:rsid w:val="0050396A"/>
    <w:pPr>
      <w:spacing w:before="100" w:beforeAutospacing="1" w:after="100" w:afterAutospacing="1"/>
    </w:pPr>
    <w:rPr>
      <w:rFonts w:ascii="Times New Roman" w:eastAsia="Times New Roman" w:hAnsi="Times New Roman"/>
      <w:szCs w:val="24"/>
      <w:lang w:eastAsia="cs-CZ"/>
    </w:rPr>
  </w:style>
  <w:style w:type="character" w:customStyle="1" w:styleId="price">
    <w:name w:val="price"/>
    <w:rsid w:val="0050396A"/>
  </w:style>
  <w:style w:type="paragraph" w:customStyle="1" w:styleId="inz-text">
    <w:name w:val="inz-text"/>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StylZkladntextTahomazarovnnnasted">
    <w:name w:val="Styl Základní text + Tahoma zarovnání na střed"/>
    <w:basedOn w:val="Zkladntext"/>
    <w:autoRedefine/>
    <w:rsid w:val="0050396A"/>
    <w:pPr>
      <w:widowControl w:val="0"/>
      <w:tabs>
        <w:tab w:val="left" w:pos="6804"/>
      </w:tabs>
      <w:ind w:right="-28"/>
    </w:pPr>
    <w:rPr>
      <w:rFonts w:ascii="Times New Roman" w:eastAsia="Times New Roman" w:hAnsi="Times New Roman"/>
      <w:color w:val="000000"/>
      <w:sz w:val="20"/>
      <w:szCs w:val="20"/>
      <w:lang w:eastAsia="cs-CZ"/>
    </w:rPr>
  </w:style>
  <w:style w:type="character" w:customStyle="1" w:styleId="new-vykrik">
    <w:name w:val="new-vykrik"/>
    <w:rsid w:val="0050396A"/>
  </w:style>
  <w:style w:type="character" w:customStyle="1" w:styleId="t9pt">
    <w:name w:val="t9pt"/>
    <w:rsid w:val="0050396A"/>
  </w:style>
  <w:style w:type="character" w:customStyle="1" w:styleId="12pt">
    <w:name w:val="12pt"/>
    <w:rsid w:val="0050396A"/>
  </w:style>
  <w:style w:type="character" w:customStyle="1" w:styleId="8pt">
    <w:name w:val="8pt"/>
    <w:rsid w:val="0050396A"/>
  </w:style>
  <w:style w:type="paragraph" w:styleId="z-Zatekformule">
    <w:name w:val="HTML Top of Form"/>
    <w:basedOn w:val="Normln"/>
    <w:next w:val="Normln"/>
    <w:link w:val="z-ZatekformuleChar"/>
    <w:hidden/>
    <w:uiPriority w:val="99"/>
    <w:unhideWhenUsed/>
    <w:rsid w:val="0050396A"/>
    <w:pPr>
      <w:pBdr>
        <w:bottom w:val="single" w:sz="6" w:space="1" w:color="auto"/>
      </w:pBdr>
      <w:spacing w:after="0"/>
      <w:jc w:val="center"/>
    </w:pPr>
    <w:rPr>
      <w:rFonts w:ascii="Arial" w:eastAsia="Times New Roman" w:hAnsi="Arial"/>
      <w:vanish/>
      <w:sz w:val="16"/>
      <w:szCs w:val="16"/>
    </w:rPr>
  </w:style>
  <w:style w:type="character" w:customStyle="1" w:styleId="z-ZatekformuleChar">
    <w:name w:val="z-Začátek formuláře Char"/>
    <w:basedOn w:val="Standardnpsmoodstavce"/>
    <w:link w:val="z-Zatekformule"/>
    <w:uiPriority w:val="99"/>
    <w:rsid w:val="0050396A"/>
    <w:rPr>
      <w:rFonts w:ascii="Arial" w:eastAsia="Times New Roman" w:hAnsi="Arial"/>
      <w:vanish/>
      <w:sz w:val="16"/>
      <w:szCs w:val="16"/>
    </w:rPr>
  </w:style>
  <w:style w:type="character" w:customStyle="1" w:styleId="text12pt">
    <w:name w:val="text12pt"/>
    <w:rsid w:val="0050396A"/>
  </w:style>
  <w:style w:type="character" w:customStyle="1" w:styleId="skypepnhprintcontainer">
    <w:name w:val="skype_pnh_print_container"/>
    <w:rsid w:val="0050396A"/>
  </w:style>
  <w:style w:type="character" w:customStyle="1" w:styleId="skypepnhcontainer">
    <w:name w:val="skype_pnh_container"/>
    <w:rsid w:val="0050396A"/>
  </w:style>
  <w:style w:type="character" w:customStyle="1" w:styleId="skypepnhmark">
    <w:name w:val="skype_pnh_mark"/>
    <w:rsid w:val="0050396A"/>
  </w:style>
  <w:style w:type="character" w:customStyle="1" w:styleId="skypepnhleftspan">
    <w:name w:val="skype_pnh_left_span"/>
    <w:rsid w:val="0050396A"/>
  </w:style>
  <w:style w:type="character" w:customStyle="1" w:styleId="skypepnhdropartspan">
    <w:name w:val="skype_pnh_dropart_span"/>
    <w:rsid w:val="0050396A"/>
  </w:style>
  <w:style w:type="character" w:customStyle="1" w:styleId="skypepnhdropartflagspan">
    <w:name w:val="skype_pnh_dropart_flag_span"/>
    <w:rsid w:val="0050396A"/>
  </w:style>
  <w:style w:type="character" w:customStyle="1" w:styleId="skypepnhtextspan">
    <w:name w:val="skype_pnh_text_span"/>
    <w:rsid w:val="0050396A"/>
  </w:style>
  <w:style w:type="character" w:customStyle="1" w:styleId="skypepnhrightspan">
    <w:name w:val="skype_pnh_right_span"/>
    <w:rsid w:val="0050396A"/>
  </w:style>
  <w:style w:type="character" w:customStyle="1" w:styleId="7pt">
    <w:name w:val="7pt"/>
    <w:rsid w:val="0050396A"/>
  </w:style>
  <w:style w:type="paragraph" w:customStyle="1" w:styleId="Eerveninormln">
    <w:name w:val="Eerveni normální"/>
    <w:basedOn w:val="Normln"/>
    <w:rsid w:val="0050396A"/>
    <w:pPr>
      <w:overflowPunct w:val="0"/>
      <w:autoSpaceDE w:val="0"/>
      <w:autoSpaceDN w:val="0"/>
      <w:adjustRightInd w:val="0"/>
      <w:spacing w:after="0"/>
      <w:textAlignment w:val="baseline"/>
    </w:pPr>
    <w:rPr>
      <w:rFonts w:ascii="Times New Roman" w:eastAsia="Times New Roman" w:hAnsi="Times New Roman"/>
      <w:color w:val="FF0000"/>
      <w:szCs w:val="20"/>
      <w:lang w:eastAsia="cs-CZ"/>
    </w:rPr>
  </w:style>
  <w:style w:type="paragraph" w:customStyle="1" w:styleId="Zeleninormln">
    <w:name w:val="Zeleni normální"/>
    <w:basedOn w:val="Normln"/>
    <w:rsid w:val="0050396A"/>
    <w:pPr>
      <w:overflowPunct w:val="0"/>
      <w:autoSpaceDE w:val="0"/>
      <w:autoSpaceDN w:val="0"/>
      <w:adjustRightInd w:val="0"/>
      <w:spacing w:after="0"/>
      <w:textAlignment w:val="baseline"/>
    </w:pPr>
    <w:rPr>
      <w:rFonts w:ascii="Times New Roman" w:eastAsia="Times New Roman" w:hAnsi="Times New Roman"/>
      <w:color w:val="00FF00"/>
      <w:szCs w:val="20"/>
      <w:lang w:eastAsia="cs-CZ"/>
    </w:rPr>
  </w:style>
  <w:style w:type="paragraph" w:customStyle="1" w:styleId="Modoenormln">
    <w:name w:val="Modoe normální"/>
    <w:basedOn w:val="Zeleninormln"/>
    <w:rsid w:val="0050396A"/>
    <w:rPr>
      <w:color w:val="0000FF"/>
    </w:rPr>
  </w:style>
  <w:style w:type="paragraph" w:customStyle="1" w:styleId="Hlavnnadpis">
    <w:name w:val="Hlavní nadpis"/>
    <w:basedOn w:val="Normln"/>
    <w:rsid w:val="0050396A"/>
    <w:pPr>
      <w:overflowPunct w:val="0"/>
      <w:autoSpaceDE w:val="0"/>
      <w:autoSpaceDN w:val="0"/>
      <w:adjustRightInd w:val="0"/>
      <w:spacing w:after="0"/>
      <w:jc w:val="center"/>
      <w:textAlignment w:val="baseline"/>
    </w:pPr>
    <w:rPr>
      <w:rFonts w:ascii="Arial" w:eastAsia="Times New Roman" w:hAnsi="Arial"/>
      <w:b/>
      <w:smallCaps/>
      <w:sz w:val="48"/>
      <w:szCs w:val="20"/>
      <w:lang w:eastAsia="cs-CZ"/>
    </w:rPr>
  </w:style>
  <w:style w:type="paragraph" w:customStyle="1" w:styleId="BodyText21">
    <w:name w:val="Body Text 21"/>
    <w:basedOn w:val="Normln"/>
    <w:rsid w:val="0050396A"/>
    <w:pPr>
      <w:overflowPunct w:val="0"/>
      <w:autoSpaceDE w:val="0"/>
      <w:autoSpaceDN w:val="0"/>
      <w:adjustRightInd w:val="0"/>
      <w:ind w:left="283"/>
      <w:textAlignment w:val="baseline"/>
    </w:pPr>
    <w:rPr>
      <w:rFonts w:ascii="Times New Roman" w:eastAsia="Times New Roman" w:hAnsi="Times New Roman"/>
      <w:szCs w:val="20"/>
      <w:lang w:eastAsia="cs-CZ"/>
    </w:rPr>
  </w:style>
  <w:style w:type="paragraph" w:customStyle="1" w:styleId="StylNadpis1Ped6b">
    <w:name w:val="Styl Nadpis 1 + Před:  6 b."/>
    <w:basedOn w:val="Nadpis1"/>
    <w:autoRedefine/>
    <w:rsid w:val="0050396A"/>
    <w:pPr>
      <w:keepNext/>
      <w:widowControl/>
      <w:tabs>
        <w:tab w:val="num" w:pos="432"/>
      </w:tabs>
      <w:overflowPunct w:val="0"/>
      <w:autoSpaceDE w:val="0"/>
      <w:autoSpaceDN w:val="0"/>
      <w:adjustRightInd w:val="0"/>
      <w:spacing w:after="0"/>
      <w:textAlignment w:val="baseline"/>
    </w:pPr>
    <w:rPr>
      <w:rFonts w:ascii="Times New Roman" w:hAnsi="Times New Roman"/>
      <w:color w:val="0070C0"/>
      <w:kern w:val="28"/>
      <w:szCs w:val="20"/>
    </w:rPr>
  </w:style>
  <w:style w:type="paragraph" w:customStyle="1" w:styleId="import18">
    <w:name w:val="import18"/>
    <w:basedOn w:val="Normln"/>
    <w:rsid w:val="0050396A"/>
    <w:pPr>
      <w:spacing w:before="100" w:beforeAutospacing="1" w:after="100" w:afterAutospacing="1"/>
    </w:pPr>
    <w:rPr>
      <w:rFonts w:ascii="Times New Roman" w:eastAsia="Times New Roman" w:hAnsi="Times New Roman"/>
      <w:szCs w:val="24"/>
      <w:lang w:eastAsia="cs-CZ"/>
    </w:rPr>
  </w:style>
  <w:style w:type="character" w:customStyle="1" w:styleId="address">
    <w:name w:val="address"/>
    <w:rsid w:val="0050396A"/>
  </w:style>
  <w:style w:type="character" w:customStyle="1" w:styleId="street-address">
    <w:name w:val="street-address"/>
    <w:rsid w:val="0050396A"/>
  </w:style>
  <w:style w:type="character" w:customStyle="1" w:styleId="id">
    <w:name w:val="id"/>
    <w:rsid w:val="0050396A"/>
  </w:style>
  <w:style w:type="paragraph" w:customStyle="1" w:styleId="BodyText22">
    <w:name w:val="Body Text 22"/>
    <w:basedOn w:val="Normln"/>
    <w:rsid w:val="0050396A"/>
    <w:pPr>
      <w:overflowPunct w:val="0"/>
      <w:autoSpaceDE w:val="0"/>
      <w:autoSpaceDN w:val="0"/>
      <w:adjustRightInd w:val="0"/>
      <w:ind w:left="283"/>
      <w:textAlignment w:val="baseline"/>
    </w:pPr>
    <w:rPr>
      <w:rFonts w:ascii="Times New Roman" w:eastAsia="Times New Roman" w:hAnsi="Times New Roman"/>
      <w:szCs w:val="20"/>
      <w:lang w:eastAsia="cs-CZ"/>
    </w:rPr>
  </w:style>
  <w:style w:type="paragraph" w:customStyle="1" w:styleId="xl154">
    <w:name w:val="xl154"/>
    <w:basedOn w:val="Normln"/>
    <w:rsid w:val="0050396A"/>
    <w:pPr>
      <w:pBdr>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5">
    <w:name w:val="xl155"/>
    <w:basedOn w:val="Normln"/>
    <w:rsid w:val="0050396A"/>
    <w:pPr>
      <w:pBdr>
        <w:bottom w:val="single" w:sz="4" w:space="0" w:color="auto"/>
      </w:pBdr>
      <w:shd w:val="clear" w:color="000000" w:fill="CCCC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56">
    <w:name w:val="xl156"/>
    <w:basedOn w:val="Normln"/>
    <w:rsid w:val="0050396A"/>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7">
    <w:name w:val="xl157"/>
    <w:basedOn w:val="Normln"/>
    <w:rsid w:val="0050396A"/>
    <w:pPr>
      <w:pBdr>
        <w:left w:val="single" w:sz="4"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8">
    <w:name w:val="xl158"/>
    <w:basedOn w:val="Normln"/>
    <w:rsid w:val="0050396A"/>
    <w:pPr>
      <w:pBdr>
        <w:bottom w:val="single" w:sz="4" w:space="0" w:color="auto"/>
      </w:pBdr>
      <w:shd w:val="clear" w:color="000000" w:fill="33CCCC"/>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59">
    <w:name w:val="xl159"/>
    <w:basedOn w:val="Normln"/>
    <w:rsid w:val="0050396A"/>
    <w:pPr>
      <w:pBdr>
        <w:left w:val="single" w:sz="4" w:space="0" w:color="auto"/>
        <w:bottom w:val="single" w:sz="4" w:space="0" w:color="auto"/>
        <w:right w:val="single" w:sz="4" w:space="0" w:color="auto"/>
      </w:pBdr>
      <w:shd w:val="clear" w:color="000000" w:fill="33CCCC"/>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0">
    <w:name w:val="xl160"/>
    <w:basedOn w:val="Normln"/>
    <w:rsid w:val="0050396A"/>
    <w:pPr>
      <w:pBdr>
        <w:left w:val="single" w:sz="4" w:space="0" w:color="auto"/>
        <w:bottom w:val="single" w:sz="4" w:space="0" w:color="auto"/>
        <w:right w:val="single" w:sz="8" w:space="0" w:color="auto"/>
      </w:pBdr>
      <w:shd w:val="clear" w:color="000000" w:fill="33CCCC"/>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1">
    <w:name w:val="xl161"/>
    <w:basedOn w:val="Normln"/>
    <w:rsid w:val="0050396A"/>
    <w:pPr>
      <w:pBdr>
        <w:bottom w:val="single" w:sz="4"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2">
    <w:name w:val="xl162"/>
    <w:basedOn w:val="Normln"/>
    <w:rsid w:val="0050396A"/>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3">
    <w:name w:val="xl163"/>
    <w:basedOn w:val="Normln"/>
    <w:rsid w:val="0050396A"/>
    <w:pPr>
      <w:pBdr>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4">
    <w:name w:val="xl164"/>
    <w:basedOn w:val="Normln"/>
    <w:rsid w:val="0050396A"/>
    <w:pPr>
      <w:pBdr>
        <w:top w:val="single" w:sz="4" w:space="0" w:color="auto"/>
        <w:bottom w:val="single" w:sz="8"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5">
    <w:name w:val="xl165"/>
    <w:basedOn w:val="Normln"/>
    <w:rsid w:val="0050396A"/>
    <w:pPr>
      <w:pBdr>
        <w:top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6">
    <w:name w:val="xl166"/>
    <w:basedOn w:val="Normln"/>
    <w:rsid w:val="0050396A"/>
    <w:pPr>
      <w:pBdr>
        <w:top w:val="single" w:sz="8" w:space="0" w:color="auto"/>
        <w:left w:val="single" w:sz="4" w:space="0" w:color="auto"/>
        <w:bottom w:val="single" w:sz="8"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67">
    <w:name w:val="xl167"/>
    <w:basedOn w:val="Normln"/>
    <w:rsid w:val="0050396A"/>
    <w:pPr>
      <w:pBdr>
        <w:top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168">
    <w:name w:val="xl168"/>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9">
    <w:name w:val="xl169"/>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70">
    <w:name w:val="xl170"/>
    <w:basedOn w:val="Normln"/>
    <w:rsid w:val="0050396A"/>
    <w:pPr>
      <w:pBdr>
        <w:top w:val="single" w:sz="8" w:space="0" w:color="auto"/>
        <w:left w:val="single" w:sz="4" w:space="0" w:color="auto"/>
        <w:bottom w:val="single" w:sz="8" w:space="0" w:color="auto"/>
        <w:right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71">
    <w:name w:val="xl171"/>
    <w:basedOn w:val="Normln"/>
    <w:rsid w:val="0050396A"/>
    <w:pPr>
      <w:pBdr>
        <w:top w:val="single" w:sz="8" w:space="0" w:color="auto"/>
        <w:left w:val="single" w:sz="4" w:space="0" w:color="auto"/>
        <w:bottom w:val="single" w:sz="8" w:space="0" w:color="auto"/>
        <w:right w:val="single" w:sz="8" w:space="0" w:color="auto"/>
      </w:pBdr>
      <w:shd w:val="clear" w:color="000000" w:fill="FF8080"/>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72">
    <w:name w:val="xl172"/>
    <w:basedOn w:val="Normln"/>
    <w:rsid w:val="0050396A"/>
    <w:pPr>
      <w:pBdr>
        <w:top w:val="single" w:sz="8" w:space="0" w:color="auto"/>
        <w:left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3">
    <w:name w:val="xl173"/>
    <w:basedOn w:val="Normln"/>
    <w:rsid w:val="0050396A"/>
    <w:pPr>
      <w:pBdr>
        <w:top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74">
    <w:name w:val="xl174"/>
    <w:basedOn w:val="Normln"/>
    <w:rsid w:val="0050396A"/>
    <w:pPr>
      <w:pBdr>
        <w:top w:val="single" w:sz="8" w:space="0" w:color="auto"/>
        <w:bottom w:val="single" w:sz="4" w:space="0" w:color="auto"/>
        <w:right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75">
    <w:name w:val="xl175"/>
    <w:basedOn w:val="Normln"/>
    <w:rsid w:val="0050396A"/>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76">
    <w:name w:val="xl176"/>
    <w:basedOn w:val="Normln"/>
    <w:rsid w:val="0050396A"/>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77">
    <w:name w:val="xl177"/>
    <w:basedOn w:val="Normln"/>
    <w:rsid w:val="0050396A"/>
    <w:pPr>
      <w:pBdr>
        <w:left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8">
    <w:name w:val="xl178"/>
    <w:basedOn w:val="Normln"/>
    <w:rsid w:val="0050396A"/>
    <w:pPr>
      <w:pBdr>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9">
    <w:name w:val="xl179"/>
    <w:basedOn w:val="Normln"/>
    <w:rsid w:val="0050396A"/>
    <w:pPr>
      <w:pBdr>
        <w:bottom w:val="single" w:sz="4"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80">
    <w:name w:val="xl180"/>
    <w:basedOn w:val="Normln"/>
    <w:rsid w:val="0050396A"/>
    <w:pPr>
      <w:pBdr>
        <w:top w:val="single" w:sz="8" w:space="0" w:color="auto"/>
        <w:left w:val="single" w:sz="4" w:space="0" w:color="auto"/>
        <w:bottom w:val="double" w:sz="6"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1">
    <w:name w:val="xl181"/>
    <w:basedOn w:val="Normln"/>
    <w:rsid w:val="0050396A"/>
    <w:pPr>
      <w:pBdr>
        <w:top w:val="single" w:sz="8" w:space="0" w:color="auto"/>
        <w:bottom w:val="double" w:sz="6"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2">
    <w:name w:val="xl182"/>
    <w:basedOn w:val="Normln"/>
    <w:rsid w:val="0050396A"/>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3">
    <w:name w:val="xl183"/>
    <w:basedOn w:val="Normln"/>
    <w:rsid w:val="0050396A"/>
    <w:pPr>
      <w:pBdr>
        <w:top w:val="single" w:sz="4" w:space="0" w:color="auto"/>
        <w:bottom w:val="single" w:sz="4"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4">
    <w:name w:val="xl184"/>
    <w:basedOn w:val="Normln"/>
    <w:rsid w:val="0050396A"/>
    <w:pPr>
      <w:pBdr>
        <w:top w:val="single" w:sz="4" w:space="0" w:color="auto"/>
        <w:left w:val="single" w:sz="4" w:space="0" w:color="auto"/>
        <w:bottom w:val="double" w:sz="6" w:space="0" w:color="auto"/>
      </w:pBdr>
      <w:shd w:val="clear" w:color="000000" w:fill="FFFF0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5">
    <w:name w:val="xl185"/>
    <w:basedOn w:val="Normln"/>
    <w:rsid w:val="0050396A"/>
    <w:pPr>
      <w:pBdr>
        <w:top w:val="single" w:sz="4" w:space="0" w:color="auto"/>
        <w:bottom w:val="double" w:sz="6"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6">
    <w:name w:val="xl186"/>
    <w:basedOn w:val="Normln"/>
    <w:rsid w:val="0050396A"/>
    <w:pPr>
      <w:pBdr>
        <w:top w:val="single" w:sz="8" w:space="0" w:color="auto"/>
        <w:bottom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87">
    <w:name w:val="xl187"/>
    <w:basedOn w:val="Normln"/>
    <w:rsid w:val="0050396A"/>
    <w:pPr>
      <w:pBdr>
        <w:top w:val="single" w:sz="8" w:space="0" w:color="auto"/>
        <w:bottom w:val="single" w:sz="8" w:space="0" w:color="auto"/>
        <w:right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88">
    <w:name w:val="xl188"/>
    <w:basedOn w:val="Normln"/>
    <w:rsid w:val="0050396A"/>
    <w:pPr>
      <w:pBdr>
        <w:top w:val="single" w:sz="4" w:space="0" w:color="auto"/>
        <w:bottom w:val="single" w:sz="4" w:space="0" w:color="auto"/>
      </w:pBdr>
      <w:shd w:val="clear" w:color="000000" w:fill="FFFFCC"/>
      <w:spacing w:before="100" w:beforeAutospacing="1" w:after="100" w:afterAutospacing="1"/>
    </w:pPr>
    <w:rPr>
      <w:rFonts w:ascii="Times New Roman" w:eastAsia="Times New Roman" w:hAnsi="Times New Roman"/>
      <w:szCs w:val="24"/>
      <w:lang w:eastAsia="cs-CZ"/>
    </w:rPr>
  </w:style>
  <w:style w:type="paragraph" w:customStyle="1" w:styleId="xl189">
    <w:name w:val="xl189"/>
    <w:basedOn w:val="Normln"/>
    <w:rsid w:val="0050396A"/>
    <w:pPr>
      <w:pBdr>
        <w:bottom w:val="single" w:sz="4" w:space="0" w:color="auto"/>
        <w:right w:val="single" w:sz="8" w:space="0" w:color="auto"/>
      </w:pBdr>
      <w:shd w:val="clear" w:color="000000" w:fill="FFFFCC"/>
      <w:spacing w:before="100" w:beforeAutospacing="1" w:after="100" w:afterAutospacing="1"/>
    </w:pPr>
    <w:rPr>
      <w:rFonts w:ascii="Times New Roman" w:eastAsia="Times New Roman" w:hAnsi="Times New Roman"/>
      <w:szCs w:val="24"/>
      <w:lang w:eastAsia="cs-CZ"/>
    </w:rPr>
  </w:style>
  <w:style w:type="paragraph" w:customStyle="1" w:styleId="xl190">
    <w:name w:val="xl190"/>
    <w:basedOn w:val="Normln"/>
    <w:rsid w:val="0050396A"/>
    <w:pPr>
      <w:pBdr>
        <w:left w:val="single" w:sz="8" w:space="0" w:color="auto"/>
        <w:right w:val="single" w:sz="4" w:space="0" w:color="auto"/>
      </w:pBdr>
      <w:shd w:val="clear" w:color="000000" w:fill="00FFFF"/>
      <w:spacing w:before="100" w:beforeAutospacing="1" w:after="100" w:afterAutospacing="1"/>
      <w:jc w:val="center"/>
    </w:pPr>
    <w:rPr>
      <w:rFonts w:ascii="Times New Roman" w:eastAsia="Times New Roman" w:hAnsi="Times New Roman"/>
      <w:i/>
      <w:iCs/>
      <w:sz w:val="18"/>
      <w:szCs w:val="18"/>
      <w:lang w:eastAsia="cs-CZ"/>
    </w:rPr>
  </w:style>
  <w:style w:type="paragraph" w:customStyle="1" w:styleId="xl191">
    <w:name w:val="xl191"/>
    <w:basedOn w:val="Normln"/>
    <w:rsid w:val="0050396A"/>
    <w:pPr>
      <w:pBdr>
        <w:left w:val="single" w:sz="8" w:space="0" w:color="auto"/>
        <w:bottom w:val="single" w:sz="8" w:space="0" w:color="auto"/>
        <w:right w:val="single" w:sz="4" w:space="0" w:color="auto"/>
      </w:pBdr>
      <w:shd w:val="clear" w:color="000000" w:fill="00FFFF"/>
      <w:spacing w:before="100" w:beforeAutospacing="1" w:after="100" w:afterAutospacing="1"/>
    </w:pPr>
    <w:rPr>
      <w:rFonts w:ascii="Times New Roman" w:eastAsia="Times New Roman" w:hAnsi="Times New Roman"/>
      <w:i/>
      <w:iCs/>
      <w:sz w:val="18"/>
      <w:szCs w:val="18"/>
      <w:lang w:eastAsia="cs-CZ"/>
    </w:rPr>
  </w:style>
  <w:style w:type="paragraph" w:customStyle="1" w:styleId="xl192">
    <w:name w:val="xl192"/>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jc w:val="center"/>
      <w:textAlignment w:val="top"/>
    </w:pPr>
    <w:rPr>
      <w:rFonts w:ascii="Times New Roman" w:eastAsia="Times New Roman" w:hAnsi="Times New Roman"/>
      <w:sz w:val="18"/>
      <w:szCs w:val="18"/>
      <w:lang w:eastAsia="cs-CZ"/>
    </w:rPr>
  </w:style>
  <w:style w:type="paragraph" w:customStyle="1" w:styleId="xl193">
    <w:name w:val="xl193"/>
    <w:basedOn w:val="Normln"/>
    <w:rsid w:val="0050396A"/>
    <w:pPr>
      <w:pBdr>
        <w:top w:val="single" w:sz="8" w:space="0" w:color="auto"/>
        <w:bottom w:val="single" w:sz="8" w:space="0" w:color="auto"/>
      </w:pBdr>
      <w:shd w:val="clear" w:color="000000" w:fill="00FFFF"/>
      <w:spacing w:before="100" w:beforeAutospacing="1" w:after="100" w:afterAutospacing="1"/>
      <w:textAlignment w:val="top"/>
    </w:pPr>
    <w:rPr>
      <w:rFonts w:ascii="Times New Roman" w:eastAsia="Times New Roman" w:hAnsi="Times New Roman"/>
      <w:sz w:val="18"/>
      <w:szCs w:val="18"/>
      <w:lang w:eastAsia="cs-CZ"/>
    </w:rPr>
  </w:style>
  <w:style w:type="paragraph" w:customStyle="1" w:styleId="xl194">
    <w:name w:val="xl194"/>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top"/>
    </w:pPr>
    <w:rPr>
      <w:rFonts w:ascii="Times New Roman" w:eastAsia="Times New Roman" w:hAnsi="Times New Roman"/>
      <w:sz w:val="18"/>
      <w:szCs w:val="18"/>
      <w:lang w:eastAsia="cs-CZ"/>
    </w:rPr>
  </w:style>
  <w:style w:type="paragraph" w:customStyle="1" w:styleId="xl195">
    <w:name w:val="xl195"/>
    <w:basedOn w:val="Normln"/>
    <w:rsid w:val="0050396A"/>
    <w:pPr>
      <w:pBdr>
        <w:top w:val="single" w:sz="8" w:space="0" w:color="auto"/>
        <w:left w:val="single" w:sz="4" w:space="0" w:color="auto"/>
        <w:bottom w:val="single" w:sz="8"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96">
    <w:name w:val="xl196"/>
    <w:basedOn w:val="Normln"/>
    <w:rsid w:val="0050396A"/>
    <w:pPr>
      <w:pBdr>
        <w:top w:val="single" w:sz="8" w:space="0" w:color="auto"/>
        <w:left w:val="single" w:sz="8" w:space="0" w:color="auto"/>
        <w:bottom w:val="single" w:sz="4" w:space="0" w:color="auto"/>
      </w:pBdr>
      <w:shd w:val="clear" w:color="000000" w:fill="00FFFF"/>
      <w:spacing w:before="100" w:beforeAutospacing="1" w:after="100" w:afterAutospacing="1"/>
      <w:jc w:val="center"/>
      <w:textAlignment w:val="top"/>
    </w:pPr>
    <w:rPr>
      <w:rFonts w:ascii="Times New Roman" w:eastAsia="Times New Roman" w:hAnsi="Times New Roman"/>
      <w:b/>
      <w:bCs/>
      <w:sz w:val="18"/>
      <w:szCs w:val="18"/>
      <w:lang w:eastAsia="cs-CZ"/>
    </w:rPr>
  </w:style>
  <w:style w:type="paragraph" w:customStyle="1" w:styleId="xl197">
    <w:name w:val="xl197"/>
    <w:basedOn w:val="Normln"/>
    <w:rsid w:val="0050396A"/>
    <w:pPr>
      <w:pBdr>
        <w:top w:val="single" w:sz="8" w:space="0" w:color="auto"/>
        <w:bottom w:val="single" w:sz="4" w:space="0" w:color="auto"/>
      </w:pBdr>
      <w:shd w:val="clear" w:color="000000" w:fill="00FFFF"/>
      <w:spacing w:before="100" w:beforeAutospacing="1" w:after="100" w:afterAutospacing="1"/>
      <w:textAlignment w:val="top"/>
    </w:pPr>
    <w:rPr>
      <w:rFonts w:ascii="Times New Roman" w:eastAsia="Times New Roman" w:hAnsi="Times New Roman"/>
      <w:b/>
      <w:bCs/>
      <w:sz w:val="18"/>
      <w:szCs w:val="18"/>
      <w:lang w:eastAsia="cs-CZ"/>
    </w:rPr>
  </w:style>
  <w:style w:type="paragraph" w:customStyle="1" w:styleId="xl198">
    <w:name w:val="xl198"/>
    <w:basedOn w:val="Normln"/>
    <w:rsid w:val="0050396A"/>
    <w:pPr>
      <w:pBdr>
        <w:top w:val="single" w:sz="8" w:space="0" w:color="auto"/>
        <w:bottom w:val="single" w:sz="4" w:space="0" w:color="auto"/>
      </w:pBdr>
      <w:shd w:val="clear" w:color="000000" w:fill="00FFFF"/>
      <w:spacing w:before="100" w:beforeAutospacing="1" w:after="100" w:afterAutospacing="1"/>
      <w:textAlignment w:val="top"/>
    </w:pPr>
    <w:rPr>
      <w:rFonts w:ascii="Times New Roman" w:eastAsia="Times New Roman" w:hAnsi="Times New Roman"/>
      <w:sz w:val="18"/>
      <w:szCs w:val="18"/>
      <w:lang w:eastAsia="cs-CZ"/>
    </w:rPr>
  </w:style>
  <w:style w:type="paragraph" w:customStyle="1" w:styleId="xl199">
    <w:name w:val="xl199"/>
    <w:basedOn w:val="Normln"/>
    <w:rsid w:val="0050396A"/>
    <w:pPr>
      <w:pBdr>
        <w:top w:val="single" w:sz="8" w:space="0" w:color="auto"/>
        <w:bottom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0">
    <w:name w:val="xl200"/>
    <w:basedOn w:val="Normln"/>
    <w:rsid w:val="0050396A"/>
    <w:pPr>
      <w:pBdr>
        <w:top w:val="single" w:sz="8" w:space="0" w:color="auto"/>
        <w:bottom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1">
    <w:name w:val="xl201"/>
    <w:basedOn w:val="Normln"/>
    <w:rsid w:val="0050396A"/>
    <w:pPr>
      <w:pBdr>
        <w:top w:val="single" w:sz="8" w:space="0" w:color="auto"/>
        <w:bottom w:val="single" w:sz="4"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2">
    <w:name w:val="xl202"/>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3">
    <w:name w:val="xl203"/>
    <w:basedOn w:val="Normln"/>
    <w:rsid w:val="0050396A"/>
    <w:pPr>
      <w:pBdr>
        <w:top w:val="single" w:sz="8" w:space="0" w:color="auto"/>
        <w:bottom w:val="single" w:sz="8" w:space="0" w:color="auto"/>
      </w:pBdr>
      <w:shd w:val="clear" w:color="000000" w:fill="00FFFF"/>
      <w:spacing w:before="100" w:beforeAutospacing="1" w:after="100" w:afterAutospacing="1"/>
      <w:jc w:val="right"/>
      <w:textAlignment w:val="center"/>
    </w:pPr>
    <w:rPr>
      <w:rFonts w:ascii="Times New Roman" w:eastAsia="Times New Roman" w:hAnsi="Times New Roman"/>
      <w:sz w:val="18"/>
      <w:szCs w:val="18"/>
      <w:lang w:eastAsia="cs-CZ"/>
    </w:rPr>
  </w:style>
  <w:style w:type="paragraph" w:customStyle="1" w:styleId="xl204">
    <w:name w:val="xl204"/>
    <w:basedOn w:val="Normln"/>
    <w:rsid w:val="0050396A"/>
    <w:pPr>
      <w:pBdr>
        <w:top w:val="single" w:sz="8" w:space="0" w:color="auto"/>
        <w:left w:val="single" w:sz="8" w:space="0" w:color="auto"/>
        <w:bottom w:val="double" w:sz="6"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5">
    <w:name w:val="xl205"/>
    <w:basedOn w:val="Normln"/>
    <w:rsid w:val="0050396A"/>
    <w:pPr>
      <w:pBdr>
        <w:top w:val="single" w:sz="8" w:space="0" w:color="auto"/>
        <w:bottom w:val="double" w:sz="6"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206">
    <w:name w:val="xl206"/>
    <w:basedOn w:val="Normln"/>
    <w:rsid w:val="0050396A"/>
    <w:pPr>
      <w:pBdr>
        <w:top w:val="single" w:sz="8" w:space="0" w:color="auto"/>
        <w:left w:val="single" w:sz="4" w:space="0" w:color="auto"/>
        <w:bottom w:val="double" w:sz="6" w:space="0" w:color="auto"/>
        <w:right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7">
    <w:name w:val="xl207"/>
    <w:basedOn w:val="Normln"/>
    <w:rsid w:val="0050396A"/>
    <w:pPr>
      <w:pBdr>
        <w:top w:val="single" w:sz="8" w:space="0" w:color="auto"/>
        <w:left w:val="single" w:sz="4" w:space="0" w:color="auto"/>
        <w:bottom w:val="double" w:sz="6"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8">
    <w:name w:val="xl208"/>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9">
    <w:name w:val="xl209"/>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210">
    <w:name w:val="xl210"/>
    <w:basedOn w:val="Normln"/>
    <w:rsid w:val="0050396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11">
    <w:name w:val="xl211"/>
    <w:basedOn w:val="Normln"/>
    <w:rsid w:val="0050396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12">
    <w:name w:val="xl212"/>
    <w:basedOn w:val="Normln"/>
    <w:rsid w:val="0050396A"/>
    <w:pPr>
      <w:pBdr>
        <w:top w:val="single" w:sz="4"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213">
    <w:name w:val="xl213"/>
    <w:basedOn w:val="Normln"/>
    <w:rsid w:val="0050396A"/>
    <w:pPr>
      <w:pBdr>
        <w:top w:val="single" w:sz="4" w:space="0" w:color="auto"/>
        <w:bottom w:val="single" w:sz="4" w:space="0" w:color="auto"/>
        <w:right w:val="single" w:sz="8"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214">
    <w:name w:val="xl214"/>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215">
    <w:name w:val="xl215"/>
    <w:basedOn w:val="Normln"/>
    <w:rsid w:val="0050396A"/>
    <w:pPr>
      <w:pBdr>
        <w:top w:val="single" w:sz="4" w:space="0" w:color="auto"/>
        <w:bottom w:val="single" w:sz="4" w:space="0" w:color="auto"/>
      </w:pBdr>
      <w:shd w:val="clear" w:color="000000" w:fill="99CCFF"/>
      <w:spacing w:before="100" w:beforeAutospacing="1" w:after="100" w:afterAutospacing="1"/>
      <w:jc w:val="right"/>
    </w:pPr>
    <w:rPr>
      <w:rFonts w:ascii="Times New Roman" w:eastAsia="Times New Roman" w:hAnsi="Times New Roman"/>
      <w:szCs w:val="24"/>
      <w:lang w:eastAsia="cs-CZ"/>
    </w:rPr>
  </w:style>
  <w:style w:type="paragraph" w:customStyle="1" w:styleId="xl216">
    <w:name w:val="xl216"/>
    <w:basedOn w:val="Normln"/>
    <w:rsid w:val="0050396A"/>
    <w:pPr>
      <w:pBdr>
        <w:top w:val="single" w:sz="4" w:space="0" w:color="auto"/>
        <w:bottom w:val="single" w:sz="4" w:space="0" w:color="auto"/>
      </w:pBdr>
      <w:shd w:val="clear" w:color="000000" w:fill="99CCFF"/>
      <w:spacing w:before="100" w:beforeAutospacing="1" w:after="100" w:afterAutospacing="1"/>
      <w:jc w:val="center"/>
    </w:pPr>
    <w:rPr>
      <w:rFonts w:ascii="Times New Roman" w:eastAsia="Times New Roman" w:hAnsi="Times New Roman"/>
      <w:szCs w:val="24"/>
      <w:lang w:eastAsia="cs-CZ"/>
    </w:rPr>
  </w:style>
  <w:style w:type="paragraph" w:customStyle="1" w:styleId="HBText">
    <w:name w:val="HB Text"/>
    <w:uiPriority w:val="99"/>
    <w:rsid w:val="0050396A"/>
    <w:pPr>
      <w:widowControl w:val="0"/>
      <w:autoSpaceDE w:val="0"/>
      <w:autoSpaceDN w:val="0"/>
      <w:adjustRightInd w:val="0"/>
      <w:spacing w:before="30" w:after="30"/>
    </w:pPr>
    <w:rPr>
      <w:rFonts w:ascii="Arial" w:eastAsia="Times New Roman" w:hAnsi="Arial" w:cs="Arial"/>
      <w:color w:val="000000"/>
      <w:sz w:val="18"/>
      <w:szCs w:val="18"/>
      <w:lang w:eastAsia="cs-CZ"/>
    </w:rPr>
  </w:style>
  <w:style w:type="character" w:customStyle="1" w:styleId="RozvrendokumentuChar">
    <w:name w:val="Rozvržení dokumentu Char"/>
    <w:rsid w:val="0050396A"/>
    <w:rPr>
      <w:rFonts w:ascii="Tahoma" w:hAnsi="Tahoma" w:cs="Tahoma"/>
      <w:shd w:val="clear" w:color="auto" w:fill="000080"/>
      <w:lang w:val="cs-CZ" w:eastAsia="cs-CZ" w:bidi="ar-SA"/>
    </w:rPr>
  </w:style>
  <w:style w:type="paragraph" w:customStyle="1" w:styleId="odrky">
    <w:name w:val="odrážky"/>
    <w:basedOn w:val="Normln"/>
    <w:rsid w:val="0050396A"/>
    <w:pPr>
      <w:numPr>
        <w:numId w:val="42"/>
      </w:numPr>
      <w:spacing w:after="0" w:line="360" w:lineRule="auto"/>
    </w:pPr>
    <w:rPr>
      <w:rFonts w:ascii="Times New Roman" w:eastAsia="Times New Roman" w:hAnsi="Times New Roman"/>
      <w:szCs w:val="24"/>
      <w:lang w:eastAsia="cs-CZ"/>
    </w:rPr>
  </w:style>
  <w:style w:type="paragraph" w:customStyle="1" w:styleId="StylZkladntextTun">
    <w:name w:val="Styl Základní text + Tučné"/>
    <w:basedOn w:val="Zkladntext"/>
    <w:link w:val="StylZkladntextTunChar"/>
    <w:autoRedefine/>
    <w:rsid w:val="0050396A"/>
    <w:pPr>
      <w:overflowPunct w:val="0"/>
      <w:autoSpaceDE w:val="0"/>
      <w:autoSpaceDN w:val="0"/>
      <w:adjustRightInd w:val="0"/>
      <w:spacing w:after="0"/>
      <w:textAlignment w:val="baseline"/>
    </w:pPr>
    <w:rPr>
      <w:rFonts w:ascii="Times New Roman" w:eastAsia="Times New Roman" w:hAnsi="Times New Roman"/>
      <w:b/>
      <w:bCs/>
      <w:color w:val="000000"/>
      <w:sz w:val="20"/>
      <w:szCs w:val="20"/>
    </w:rPr>
  </w:style>
  <w:style w:type="character" w:customStyle="1" w:styleId="StylZkladntextTunChar">
    <w:name w:val="Styl Základní text + Tučné Char"/>
    <w:link w:val="StylZkladntextTun"/>
    <w:rsid w:val="0050396A"/>
    <w:rPr>
      <w:rFonts w:ascii="Times New Roman" w:eastAsia="Times New Roman" w:hAnsi="Times New Roman"/>
      <w:b/>
      <w:bCs/>
      <w:color w:val="000000"/>
    </w:rPr>
  </w:style>
  <w:style w:type="character" w:customStyle="1" w:styleId="locality">
    <w:name w:val="locality"/>
    <w:rsid w:val="0050396A"/>
  </w:style>
  <w:style w:type="paragraph" w:styleId="Seznamsodrkami3">
    <w:name w:val="List Bullet 3"/>
    <w:basedOn w:val="Normln"/>
    <w:uiPriority w:val="99"/>
    <w:unhideWhenUsed/>
    <w:rsid w:val="0050396A"/>
    <w:pPr>
      <w:numPr>
        <w:numId w:val="43"/>
      </w:numPr>
      <w:overflowPunct w:val="0"/>
      <w:autoSpaceDE w:val="0"/>
      <w:autoSpaceDN w:val="0"/>
      <w:adjustRightInd w:val="0"/>
      <w:spacing w:after="0"/>
      <w:contextualSpacing/>
      <w:textAlignment w:val="baseline"/>
    </w:pPr>
    <w:rPr>
      <w:rFonts w:ascii="Times New Roman" w:eastAsia="Times New Roman" w:hAnsi="Times New Roman"/>
      <w:szCs w:val="20"/>
      <w:lang w:eastAsia="cs-CZ"/>
    </w:rPr>
  </w:style>
  <w:style w:type="paragraph" w:customStyle="1" w:styleId="row">
    <w:name w:val="row"/>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description">
    <w:name w:val="description"/>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BodyText32">
    <w:name w:val="Body Text 32"/>
    <w:basedOn w:val="Normln"/>
    <w:rsid w:val="0050396A"/>
    <w:pPr>
      <w:overflowPunct w:val="0"/>
      <w:autoSpaceDE w:val="0"/>
      <w:autoSpaceDN w:val="0"/>
      <w:adjustRightInd w:val="0"/>
      <w:textAlignment w:val="baseline"/>
    </w:pPr>
    <w:rPr>
      <w:rFonts w:ascii="Times New Roman" w:eastAsia="Times New Roman" w:hAnsi="Times New Roman"/>
      <w:szCs w:val="20"/>
      <w:lang w:eastAsia="cs-CZ"/>
    </w:rPr>
  </w:style>
  <w:style w:type="numbering" w:customStyle="1" w:styleId="seznamliteratury">
    <w:name w:val="seznam literatury"/>
    <w:basedOn w:val="Bezseznamu"/>
    <w:rsid w:val="0050396A"/>
    <w:pPr>
      <w:numPr>
        <w:numId w:val="44"/>
      </w:numPr>
    </w:pPr>
  </w:style>
  <w:style w:type="paragraph" w:customStyle="1" w:styleId="Literatura">
    <w:name w:val="Literatura"/>
    <w:basedOn w:val="Normln"/>
    <w:rsid w:val="0050396A"/>
    <w:pPr>
      <w:numPr>
        <w:numId w:val="45"/>
      </w:numPr>
      <w:spacing w:after="0"/>
      <w:ind w:right="198"/>
      <w:contextualSpacing/>
      <w:jc w:val="left"/>
    </w:pPr>
    <w:rPr>
      <w:rFonts w:ascii="Times New Roman" w:eastAsia="Times New Roman" w:hAnsi="Times New Roman" w:cs="Arial"/>
      <w:spacing w:val="-4"/>
      <w:lang w:eastAsia="cs-CZ"/>
    </w:rPr>
  </w:style>
  <w:style w:type="paragraph" w:customStyle="1" w:styleId="zdroj0">
    <w:name w:val="zdroj"/>
    <w:basedOn w:val="Normln"/>
    <w:link w:val="zdrojChar0"/>
    <w:rsid w:val="0050396A"/>
    <w:pPr>
      <w:contextualSpacing/>
    </w:pPr>
    <w:rPr>
      <w:rFonts w:ascii="Times New Roman" w:eastAsia="Times New Roman" w:hAnsi="Times New Roman"/>
      <w:i/>
      <w:szCs w:val="24"/>
      <w:lang w:eastAsia="cs-CZ"/>
    </w:rPr>
  </w:style>
  <w:style w:type="character" w:customStyle="1" w:styleId="zdrojChar0">
    <w:name w:val="zdroj Char"/>
    <w:link w:val="zdroj0"/>
    <w:rsid w:val="0050396A"/>
    <w:rPr>
      <w:rFonts w:ascii="Times New Roman" w:eastAsia="Times New Roman" w:hAnsi="Times New Roman"/>
      <w:i/>
      <w:sz w:val="24"/>
      <w:szCs w:val="24"/>
      <w:lang w:eastAsia="cs-CZ"/>
    </w:rPr>
  </w:style>
  <w:style w:type="paragraph" w:customStyle="1" w:styleId="H5">
    <w:name w:val="H5"/>
    <w:basedOn w:val="Normln"/>
    <w:next w:val="Normln"/>
    <w:rsid w:val="0050396A"/>
    <w:pPr>
      <w:keepNext/>
      <w:spacing w:before="100" w:after="100"/>
      <w:jc w:val="left"/>
      <w:outlineLvl w:val="5"/>
    </w:pPr>
    <w:rPr>
      <w:rFonts w:ascii="Arial" w:eastAsia="Times New Roman" w:hAnsi="Arial"/>
      <w:b/>
      <w:szCs w:val="20"/>
      <w:lang w:eastAsia="cs-CZ"/>
    </w:rPr>
  </w:style>
  <w:style w:type="paragraph" w:styleId="Textvbloku">
    <w:name w:val="Block Text"/>
    <w:basedOn w:val="Normln"/>
    <w:rsid w:val="0050396A"/>
    <w:pPr>
      <w:spacing w:after="0"/>
      <w:ind w:left="540" w:right="332"/>
    </w:pPr>
    <w:rPr>
      <w:rFonts w:ascii="Times New Roman" w:eastAsia="Times New Roman" w:hAnsi="Times New Roman"/>
      <w:szCs w:val="24"/>
      <w:lang w:eastAsia="cs-CZ"/>
    </w:rPr>
  </w:style>
  <w:style w:type="paragraph" w:customStyle="1" w:styleId="Zdroj-tabulky">
    <w:name w:val="Zdroj - tabulky"/>
    <w:aliases w:val="grafy atd."/>
    <w:basedOn w:val="Normln"/>
    <w:rsid w:val="0050396A"/>
    <w:pPr>
      <w:spacing w:line="360" w:lineRule="auto"/>
    </w:pPr>
    <w:rPr>
      <w:rFonts w:ascii="Segoe UI" w:hAnsi="Segoe UI" w:cs="Segoe UI"/>
      <w:sz w:val="18"/>
    </w:rPr>
  </w:style>
  <w:style w:type="table" w:styleId="Svtlstnovnzvraznn4">
    <w:name w:val="Light Shading Accent 4"/>
    <w:basedOn w:val="Normlntabulka"/>
    <w:uiPriority w:val="60"/>
    <w:rsid w:val="0050396A"/>
    <w:rPr>
      <w:rFonts w:asciiTheme="minorHAnsi" w:eastAsiaTheme="minorHAnsi" w:hAnsiTheme="minorHAnsi" w:cstheme="minorBidi"/>
      <w:color w:val="5F0000" w:themeColor="accent4" w:themeShade="BF"/>
      <w:sz w:val="22"/>
      <w:szCs w:val="22"/>
    </w:rPr>
    <w:tblPr>
      <w:tblStyleRowBandSize w:val="1"/>
      <w:tblStyleColBandSize w:val="1"/>
      <w:tblInd w:w="0" w:type="dxa"/>
      <w:tblBorders>
        <w:top w:val="single" w:sz="8" w:space="0" w:color="800000" w:themeColor="accent4"/>
        <w:bottom w:val="single" w:sz="8" w:space="0" w:color="8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0000" w:themeColor="accent4"/>
          <w:left w:val="nil"/>
          <w:bottom w:val="single" w:sz="8" w:space="0" w:color="800000" w:themeColor="accent4"/>
          <w:right w:val="nil"/>
          <w:insideH w:val="nil"/>
          <w:insideV w:val="nil"/>
        </w:tcBorders>
      </w:tcPr>
    </w:tblStylePr>
    <w:tblStylePr w:type="lastRow">
      <w:pPr>
        <w:spacing w:before="0" w:after="0" w:line="240" w:lineRule="auto"/>
      </w:pPr>
      <w:rPr>
        <w:b/>
        <w:bCs/>
      </w:rPr>
      <w:tblPr/>
      <w:tcPr>
        <w:tcBorders>
          <w:top w:val="single" w:sz="8" w:space="0" w:color="800000" w:themeColor="accent4"/>
          <w:left w:val="nil"/>
          <w:bottom w:val="single" w:sz="8" w:space="0" w:color="8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0A0" w:themeFill="accent4" w:themeFillTint="3F"/>
      </w:tcPr>
    </w:tblStylePr>
    <w:tblStylePr w:type="band1Horz">
      <w:tblPr/>
      <w:tcPr>
        <w:tcBorders>
          <w:left w:val="nil"/>
          <w:right w:val="nil"/>
          <w:insideH w:val="nil"/>
          <w:insideV w:val="nil"/>
        </w:tcBorders>
        <w:shd w:val="clear" w:color="auto" w:fill="FFA0A0" w:themeFill="accent4" w:themeFillTint="3F"/>
      </w:tcPr>
    </w:tblStylePr>
  </w:style>
  <w:style w:type="table" w:styleId="Stednseznam1zvraznn6">
    <w:name w:val="Medium List 1 Accent 6"/>
    <w:basedOn w:val="Normlntabulka"/>
    <w:uiPriority w:val="65"/>
    <w:rsid w:val="0050396A"/>
    <w:rPr>
      <w:rFonts w:asciiTheme="minorHAnsi" w:eastAsiaTheme="minorHAnsi" w:hAnsiTheme="minorHAnsi" w:cstheme="minorBidi"/>
      <w:color w:val="000000" w:themeColor="text1"/>
      <w:sz w:val="22"/>
      <w:szCs w:val="22"/>
    </w:rPr>
    <w:tblPr>
      <w:tblStyleRowBandSize w:val="1"/>
      <w:tblStyleColBandSize w:val="1"/>
      <w:tblInd w:w="0" w:type="dxa"/>
      <w:tblBorders>
        <w:top w:val="single" w:sz="8" w:space="0" w:color="CC7B38" w:themeColor="accent6"/>
        <w:bottom w:val="single" w:sz="8" w:space="0" w:color="CC7B38"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7B38" w:themeColor="accent6"/>
        </w:tcBorders>
      </w:tcPr>
    </w:tblStylePr>
    <w:tblStylePr w:type="lastRow">
      <w:rPr>
        <w:b/>
        <w:bCs/>
        <w:color w:val="B6B002" w:themeColor="text2"/>
      </w:rPr>
      <w:tblPr/>
      <w:tcPr>
        <w:tcBorders>
          <w:top w:val="single" w:sz="8" w:space="0" w:color="CC7B38" w:themeColor="accent6"/>
          <w:bottom w:val="single" w:sz="8" w:space="0" w:color="CC7B38" w:themeColor="accent6"/>
        </w:tcBorders>
      </w:tcPr>
    </w:tblStylePr>
    <w:tblStylePr w:type="firstCol">
      <w:rPr>
        <w:b/>
        <w:bCs/>
      </w:rPr>
    </w:tblStylePr>
    <w:tblStylePr w:type="lastCol">
      <w:rPr>
        <w:b/>
        <w:bCs/>
      </w:rPr>
      <w:tblPr/>
      <w:tcPr>
        <w:tcBorders>
          <w:top w:val="single" w:sz="8" w:space="0" w:color="CC7B38" w:themeColor="accent6"/>
          <w:bottom w:val="single" w:sz="8" w:space="0" w:color="CC7B38" w:themeColor="accent6"/>
        </w:tcBorders>
      </w:tcPr>
    </w:tblStylePr>
    <w:tblStylePr w:type="band1Vert">
      <w:tblPr/>
      <w:tcPr>
        <w:shd w:val="clear" w:color="auto" w:fill="F2DECD" w:themeFill="accent6" w:themeFillTint="3F"/>
      </w:tcPr>
    </w:tblStylePr>
    <w:tblStylePr w:type="band1Horz">
      <w:tblPr/>
      <w:tcPr>
        <w:shd w:val="clear" w:color="auto" w:fill="F2DECD" w:themeFill="accent6" w:themeFillTint="3F"/>
      </w:tcPr>
    </w:tblStylePr>
  </w:style>
  <w:style w:type="table" w:styleId="Svtlstnovnzvraznn6">
    <w:name w:val="Light Shading Accent 6"/>
    <w:basedOn w:val="Normlntabulka"/>
    <w:uiPriority w:val="60"/>
    <w:rsid w:val="0050396A"/>
    <w:rPr>
      <w:rFonts w:asciiTheme="minorHAnsi" w:eastAsiaTheme="minorHAnsi" w:hAnsiTheme="minorHAnsi" w:cstheme="minorBidi"/>
      <w:color w:val="9A5B27" w:themeColor="accent6" w:themeShade="BF"/>
      <w:sz w:val="22"/>
      <w:szCs w:val="22"/>
    </w:rPr>
    <w:tblPr>
      <w:tblStyleRowBandSize w:val="1"/>
      <w:tblStyleColBandSize w:val="1"/>
      <w:tblInd w:w="0" w:type="dxa"/>
      <w:tblBorders>
        <w:top w:val="single" w:sz="4" w:space="0" w:color="FCEECC"/>
        <w:bottom w:val="single" w:sz="4" w:space="0" w:color="FCEECC"/>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7B38" w:themeColor="accent6"/>
          <w:left w:val="nil"/>
          <w:bottom w:val="single" w:sz="8" w:space="0" w:color="CC7B38" w:themeColor="accent6"/>
          <w:right w:val="nil"/>
          <w:insideH w:val="nil"/>
          <w:insideV w:val="nil"/>
        </w:tcBorders>
      </w:tcPr>
    </w:tblStylePr>
    <w:tblStylePr w:type="lastRow">
      <w:pPr>
        <w:spacing w:before="0" w:after="0" w:line="240" w:lineRule="auto"/>
      </w:pPr>
      <w:rPr>
        <w:b/>
        <w:bCs/>
      </w:rPr>
      <w:tblPr/>
      <w:tcPr>
        <w:tcBorders>
          <w:top w:val="single" w:sz="8" w:space="0" w:color="CC7B38" w:themeColor="accent6"/>
          <w:left w:val="nil"/>
          <w:bottom w:val="single" w:sz="8" w:space="0" w:color="CC7B3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ECD" w:themeFill="accent6" w:themeFillTint="3F"/>
      </w:tcPr>
    </w:tblStylePr>
    <w:tblStylePr w:type="band1Horz">
      <w:tblPr/>
      <w:tcPr>
        <w:tcBorders>
          <w:left w:val="nil"/>
          <w:right w:val="nil"/>
          <w:insideH w:val="nil"/>
          <w:insideV w:val="nil"/>
        </w:tcBorders>
        <w:shd w:val="clear" w:color="auto" w:fill="F2DECD" w:themeFill="accent6" w:themeFillTint="3F"/>
      </w:tcPr>
    </w:tblStylePr>
  </w:style>
  <w:style w:type="table" w:customStyle="1" w:styleId="Mkatabulky2">
    <w:name w:val="Mřížka tabulky2"/>
    <w:basedOn w:val="Normlntabulka"/>
    <w:next w:val="Mkatabulky"/>
    <w:uiPriority w:val="39"/>
    <w:rsid w:val="0050396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tlstnovnzvraznn21">
    <w:name w:val="Světlé stínování – zvýraznění 21"/>
    <w:basedOn w:val="Normlntabulka"/>
    <w:next w:val="Svtlstnovnzvraznn2"/>
    <w:uiPriority w:val="60"/>
    <w:rsid w:val="0050396A"/>
    <w:rPr>
      <w:rFonts w:ascii="Arial" w:eastAsiaTheme="minorHAnsi" w:hAnsi="Arial" w:cs="Arial"/>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vtlstnovnzvraznn11">
    <w:name w:val="Světlé stínování – zvýraznění 11"/>
    <w:basedOn w:val="Normlntabulka"/>
    <w:uiPriority w:val="60"/>
    <w:rsid w:val="0050396A"/>
    <w:rPr>
      <w:rFonts w:asciiTheme="minorHAnsi" w:eastAsiaTheme="minorHAnsi" w:hAnsiTheme="minorHAnsi" w:cstheme="minorBidi"/>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citation">
    <w:name w:val="citation"/>
    <w:basedOn w:val="Standardnpsmoodstavce"/>
    <w:rsid w:val="0050396A"/>
  </w:style>
  <w:style w:type="paragraph" w:customStyle="1" w:styleId="l4">
    <w:name w:val="l4"/>
    <w:basedOn w:val="Normln"/>
    <w:rsid w:val="0050396A"/>
    <w:pPr>
      <w:spacing w:before="100" w:beforeAutospacing="1" w:after="100" w:afterAutospacing="1"/>
      <w:jc w:val="left"/>
    </w:pPr>
    <w:rPr>
      <w:rFonts w:ascii="Times New Roman" w:eastAsia="Times New Roman" w:hAnsi="Times New Roman"/>
      <w:bCs/>
      <w:szCs w:val="24"/>
      <w:lang w:eastAsia="cs-CZ"/>
    </w:rPr>
  </w:style>
  <w:style w:type="paragraph" w:customStyle="1" w:styleId="odst2">
    <w:name w:val="odst2"/>
    <w:basedOn w:val="Normln"/>
    <w:rsid w:val="0050396A"/>
    <w:pPr>
      <w:spacing w:before="72" w:after="72" w:line="360" w:lineRule="atLeast"/>
      <w:ind w:firstLine="480"/>
    </w:pPr>
    <w:rPr>
      <w:rFonts w:ascii="Times New Roman" w:eastAsia="Times New Roman" w:hAnsi="Times New Roman"/>
      <w:szCs w:val="24"/>
      <w:lang w:eastAsia="cs-CZ"/>
    </w:rPr>
  </w:style>
  <w:style w:type="table" w:customStyle="1" w:styleId="Svtlmkazvraznn11">
    <w:name w:val="Světlá mřížka – zvýraznění 11"/>
    <w:basedOn w:val="Normlntabulka"/>
    <w:uiPriority w:val="62"/>
    <w:rsid w:val="0050396A"/>
    <w:rPr>
      <w:rFonts w:asciiTheme="minorHAnsi" w:eastAsiaTheme="minorHAnsi" w:hAnsiTheme="minorHAnsi" w:cstheme="minorBidi"/>
      <w:sz w:val="22"/>
      <w:szCs w:val="22"/>
    </w:rPr>
    <w:tblPr>
      <w:tblStyleRowBandSize w:val="1"/>
      <w:tblStyleColBandSize w:val="1"/>
      <w:tblInd w:w="0" w:type="dxa"/>
      <w:tblBorders>
        <w:top w:val="single" w:sz="8" w:space="0" w:color="B6B002" w:themeColor="accent1"/>
        <w:left w:val="single" w:sz="8" w:space="0" w:color="B6B002" w:themeColor="accent1"/>
        <w:bottom w:val="single" w:sz="8" w:space="0" w:color="B6B002" w:themeColor="accent1"/>
        <w:right w:val="single" w:sz="8" w:space="0" w:color="B6B002" w:themeColor="accent1"/>
        <w:insideH w:val="single" w:sz="8" w:space="0" w:color="B6B002" w:themeColor="accent1"/>
        <w:insideV w:val="single" w:sz="8" w:space="0" w:color="B6B00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6B002" w:themeColor="accent1"/>
          <w:left w:val="single" w:sz="8" w:space="0" w:color="B6B002" w:themeColor="accent1"/>
          <w:bottom w:val="single" w:sz="18" w:space="0" w:color="B6B002" w:themeColor="accent1"/>
          <w:right w:val="single" w:sz="8" w:space="0" w:color="B6B002" w:themeColor="accent1"/>
          <w:insideH w:val="nil"/>
          <w:insideV w:val="single" w:sz="8" w:space="0" w:color="B6B00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B002" w:themeColor="accent1"/>
          <w:left w:val="single" w:sz="8" w:space="0" w:color="B6B002" w:themeColor="accent1"/>
          <w:bottom w:val="single" w:sz="8" w:space="0" w:color="B6B002" w:themeColor="accent1"/>
          <w:right w:val="single" w:sz="8" w:space="0" w:color="B6B002" w:themeColor="accent1"/>
          <w:insideH w:val="nil"/>
          <w:insideV w:val="single" w:sz="8" w:space="0" w:color="B6B00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tblStylePr w:type="band1Vert">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shd w:val="clear" w:color="auto" w:fill="FEFBAF" w:themeFill="accent1" w:themeFillTint="3F"/>
      </w:tcPr>
    </w:tblStylePr>
    <w:tblStylePr w:type="band1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insideV w:val="single" w:sz="8" w:space="0" w:color="B6B002" w:themeColor="accent1"/>
        </w:tcBorders>
        <w:shd w:val="clear" w:color="auto" w:fill="FEFBAF" w:themeFill="accent1" w:themeFillTint="3F"/>
      </w:tcPr>
    </w:tblStylePr>
    <w:tblStylePr w:type="band2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insideV w:val="single" w:sz="8" w:space="0" w:color="B6B002" w:themeColor="accent1"/>
        </w:tcBorders>
      </w:tcPr>
    </w:tblStylePr>
  </w:style>
  <w:style w:type="character" w:customStyle="1" w:styleId="notranslate">
    <w:name w:val="notranslate"/>
    <w:basedOn w:val="Standardnpsmoodstavce"/>
    <w:rsid w:val="0050396A"/>
  </w:style>
  <w:style w:type="character" w:customStyle="1" w:styleId="reference-text">
    <w:name w:val="reference-text"/>
    <w:basedOn w:val="Standardnpsmoodstavce"/>
    <w:rsid w:val="0050396A"/>
  </w:style>
  <w:style w:type="character" w:customStyle="1" w:styleId="plainlinks">
    <w:name w:val="plainlinks"/>
    <w:basedOn w:val="Standardnpsmoodstavce"/>
    <w:rsid w:val="0050396A"/>
  </w:style>
  <w:style w:type="table" w:customStyle="1" w:styleId="Stednstnovn2zvraznn11">
    <w:name w:val="Střední stínování 2 – zvýraznění 11"/>
    <w:basedOn w:val="Normlntabulka"/>
    <w:uiPriority w:val="64"/>
    <w:rsid w:val="0050396A"/>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B00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B002" w:themeFill="accent1"/>
      </w:tcPr>
    </w:tblStylePr>
    <w:tblStylePr w:type="lastCol">
      <w:rPr>
        <w:b/>
        <w:bCs/>
        <w:color w:val="FFFFFF" w:themeColor="background1"/>
      </w:rPr>
      <w:tblPr/>
      <w:tcPr>
        <w:tcBorders>
          <w:left w:val="nil"/>
          <w:right w:val="nil"/>
          <w:insideH w:val="nil"/>
          <w:insideV w:val="nil"/>
        </w:tcBorders>
        <w:shd w:val="clear" w:color="auto" w:fill="B6B00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1zvraznn11">
    <w:name w:val="Střední stínování 1 – zvýraznění 11"/>
    <w:basedOn w:val="Normlntabulka"/>
    <w:uiPriority w:val="63"/>
    <w:rsid w:val="0050396A"/>
    <w:rPr>
      <w:rFonts w:asciiTheme="minorHAnsi" w:eastAsiaTheme="minorHAnsi" w:hAnsiTheme="minorHAnsi" w:cstheme="minorBidi"/>
      <w:sz w:val="22"/>
      <w:szCs w:val="22"/>
    </w:rPr>
    <w:tblPr>
      <w:tblStyleRowBandSize w:val="1"/>
      <w:tblStyleColBandSize w:val="1"/>
      <w:tblInd w:w="0" w:type="dxa"/>
      <w:tblBorders>
        <w:top w:val="single" w:sz="8"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single" w:sz="8" w:space="0" w:color="FCF30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nil"/>
          <w:insideV w:val="nil"/>
        </w:tcBorders>
        <w:shd w:val="clear" w:color="auto" w:fill="B6B002" w:themeFill="accent1"/>
      </w:tcPr>
    </w:tblStylePr>
    <w:tblStylePr w:type="lastRow">
      <w:pPr>
        <w:spacing w:before="0" w:after="0" w:line="240" w:lineRule="auto"/>
      </w:pPr>
      <w:rPr>
        <w:b/>
        <w:bCs/>
      </w:rPr>
      <w:tblPr/>
      <w:tcPr>
        <w:tcBorders>
          <w:top w:val="double" w:sz="6"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FBAF" w:themeFill="accent1" w:themeFillTint="3F"/>
      </w:tcPr>
    </w:tblStylePr>
    <w:tblStylePr w:type="band1Horz">
      <w:tblPr/>
      <w:tcPr>
        <w:tcBorders>
          <w:insideH w:val="nil"/>
          <w:insideV w:val="nil"/>
        </w:tcBorders>
        <w:shd w:val="clear" w:color="auto" w:fill="FEFBAF" w:themeFill="accent1" w:themeFillTint="3F"/>
      </w:tcPr>
    </w:tblStylePr>
    <w:tblStylePr w:type="band2Horz">
      <w:tblPr/>
      <w:tcPr>
        <w:tcBorders>
          <w:insideH w:val="nil"/>
          <w:insideV w:val="nil"/>
        </w:tcBorders>
      </w:tcPr>
    </w:tblStylePr>
  </w:style>
  <w:style w:type="paragraph" w:customStyle="1" w:styleId="font0">
    <w:name w:val="font0"/>
    <w:basedOn w:val="Normln"/>
    <w:rsid w:val="0050396A"/>
    <w:pPr>
      <w:spacing w:before="100" w:beforeAutospacing="1" w:after="100" w:afterAutospacing="1"/>
      <w:jc w:val="left"/>
    </w:pPr>
    <w:rPr>
      <w:rFonts w:ascii="Calibri" w:eastAsia="Times New Roman" w:hAnsi="Calibri"/>
      <w:color w:val="000000"/>
      <w:lang w:eastAsia="cs-CZ"/>
    </w:rPr>
  </w:style>
  <w:style w:type="character" w:customStyle="1" w:styleId="alt-edited">
    <w:name w:val="alt-edited"/>
    <w:basedOn w:val="Standardnpsmoodstavce"/>
    <w:rsid w:val="0050396A"/>
  </w:style>
  <w:style w:type="character" w:customStyle="1" w:styleId="GACRzdrojeChar">
    <w:name w:val="GACR_zdroje Char"/>
    <w:basedOn w:val="Standardnpsmoodstavce"/>
    <w:link w:val="GACRzdroje"/>
    <w:locked/>
    <w:rsid w:val="0050396A"/>
    <w:rPr>
      <w:rFonts w:ascii="Cambria" w:eastAsia="Times New Roman" w:hAnsi="Cambria"/>
      <w:bCs/>
      <w:i/>
      <w:iCs/>
      <w:sz w:val="18"/>
      <w:szCs w:val="24"/>
    </w:rPr>
  </w:style>
  <w:style w:type="paragraph" w:customStyle="1" w:styleId="GACRzdroje">
    <w:name w:val="GACR_zdroje"/>
    <w:basedOn w:val="Normln"/>
    <w:link w:val="GACRzdrojeChar"/>
    <w:rsid w:val="0050396A"/>
    <w:rPr>
      <w:rFonts w:ascii="Cambria" w:eastAsia="Times New Roman" w:hAnsi="Cambria"/>
      <w:bCs/>
      <w:i/>
      <w:iCs/>
      <w:sz w:val="18"/>
      <w:szCs w:val="24"/>
    </w:rPr>
  </w:style>
  <w:style w:type="character" w:customStyle="1" w:styleId="FootnoteTextChar1">
    <w:name w:val="Footnote Text Char1"/>
    <w:basedOn w:val="Standardnpsmoodstavce"/>
    <w:uiPriority w:val="99"/>
    <w:semiHidden/>
    <w:rsid w:val="0050396A"/>
    <w:rPr>
      <w:sz w:val="20"/>
      <w:szCs w:val="20"/>
    </w:rPr>
  </w:style>
  <w:style w:type="character" w:customStyle="1" w:styleId="Nevyeenzmnka1">
    <w:name w:val="Nevyřešená zmínka1"/>
    <w:basedOn w:val="Standardnpsmoodstavce"/>
    <w:uiPriority w:val="99"/>
    <w:semiHidden/>
    <w:unhideWhenUsed/>
    <w:rsid w:val="0050396A"/>
    <w:rPr>
      <w:color w:val="605E5C"/>
      <w:shd w:val="clear" w:color="auto" w:fill="E1DFDD"/>
    </w:rPr>
  </w:style>
  <w:style w:type="character" w:customStyle="1" w:styleId="Nevyeenzmnka2">
    <w:name w:val="Nevyřešená zmínka2"/>
    <w:basedOn w:val="Standardnpsmoodstavce"/>
    <w:uiPriority w:val="99"/>
    <w:semiHidden/>
    <w:unhideWhenUsed/>
    <w:rsid w:val="0050396A"/>
    <w:rPr>
      <w:color w:val="605E5C"/>
      <w:shd w:val="clear" w:color="auto" w:fill="E1DFDD"/>
    </w:rPr>
  </w:style>
  <w:style w:type="table" w:customStyle="1" w:styleId="Svtlseznamzvraznn11">
    <w:name w:val="Světlý seznam – zvýraznění 11"/>
    <w:basedOn w:val="Normlntabulka"/>
    <w:uiPriority w:val="61"/>
    <w:rsid w:val="0050396A"/>
    <w:pPr>
      <w:jc w:val="both"/>
    </w:pPr>
    <w:rPr>
      <w:rFonts w:asciiTheme="minorHAnsi" w:eastAsiaTheme="minorHAnsi" w:hAnsiTheme="minorHAnsi" w:cstheme="minorBidi"/>
      <w:sz w:val="24"/>
    </w:rPr>
    <w:tblPr>
      <w:tblStyleRowBandSize w:val="1"/>
      <w:tblStyleColBandSize w:val="1"/>
      <w:tblInd w:w="0" w:type="dxa"/>
      <w:tblBorders>
        <w:top w:val="single" w:sz="8" w:space="0" w:color="B6B002" w:themeColor="accent1"/>
        <w:left w:val="single" w:sz="8" w:space="0" w:color="B6B002" w:themeColor="accent1"/>
        <w:bottom w:val="single" w:sz="8" w:space="0" w:color="B6B002" w:themeColor="accent1"/>
        <w:right w:val="single" w:sz="8" w:space="0" w:color="B6B00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6B002" w:themeFill="accent1"/>
      </w:tcPr>
    </w:tblStylePr>
    <w:tblStylePr w:type="lastRow">
      <w:pPr>
        <w:spacing w:before="0" w:after="0" w:line="240" w:lineRule="auto"/>
      </w:pPr>
      <w:rPr>
        <w:b/>
        <w:bCs/>
      </w:rPr>
      <w:tblPr/>
      <w:tcPr>
        <w:tcBorders>
          <w:top w:val="double" w:sz="6" w:space="0" w:color="B6B002" w:themeColor="accent1"/>
          <w:left w:val="single" w:sz="8" w:space="0" w:color="B6B002" w:themeColor="accent1"/>
          <w:bottom w:val="single" w:sz="8" w:space="0" w:color="B6B002" w:themeColor="accent1"/>
          <w:right w:val="single" w:sz="8" w:space="0" w:color="B6B002" w:themeColor="accent1"/>
        </w:tcBorders>
      </w:tcPr>
    </w:tblStylePr>
    <w:tblStylePr w:type="firstCol">
      <w:rPr>
        <w:b/>
        <w:bCs/>
      </w:rPr>
    </w:tblStylePr>
    <w:tblStylePr w:type="lastCol">
      <w:rPr>
        <w:b/>
        <w:bCs/>
      </w:rPr>
    </w:tblStylePr>
    <w:tblStylePr w:type="band1Vert">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tblStylePr w:type="band1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style>
  <w:style w:type="paragraph" w:customStyle="1" w:styleId="Normln2">
    <w:name w:val="Normální2"/>
    <w:basedOn w:val="Normln"/>
    <w:rsid w:val="0050396A"/>
    <w:rPr>
      <w:rFonts w:eastAsia="Times New Roman"/>
      <w:noProof/>
      <w:lang w:bidi="en-US"/>
    </w:rPr>
  </w:style>
  <w:style w:type="character" w:customStyle="1" w:styleId="Nevyeenzmnka3">
    <w:name w:val="Nevyřešená zmínka3"/>
    <w:basedOn w:val="Standardnpsmoodstavce"/>
    <w:uiPriority w:val="99"/>
    <w:semiHidden/>
    <w:unhideWhenUsed/>
    <w:rsid w:val="0050396A"/>
    <w:rPr>
      <w:color w:val="605E5C"/>
      <w:shd w:val="clear" w:color="auto" w:fill="E1DFDD"/>
    </w:rPr>
  </w:style>
  <w:style w:type="paragraph" w:customStyle="1" w:styleId="l5">
    <w:name w:val="l5"/>
    <w:basedOn w:val="Normln"/>
    <w:rsid w:val="0050396A"/>
    <w:pPr>
      <w:spacing w:before="100" w:beforeAutospacing="1" w:after="100" w:afterAutospacing="1"/>
      <w:jc w:val="left"/>
    </w:pPr>
    <w:rPr>
      <w:rFonts w:ascii="Times New Roman" w:eastAsia="Times New Roman" w:hAnsi="Times New Roman"/>
      <w:szCs w:val="24"/>
      <w:lang w:eastAsia="cs-CZ"/>
    </w:rPr>
  </w:style>
  <w:style w:type="paragraph" w:customStyle="1" w:styleId="l6">
    <w:name w:val="l6"/>
    <w:basedOn w:val="Normln"/>
    <w:rsid w:val="0050396A"/>
    <w:pPr>
      <w:spacing w:before="100" w:beforeAutospacing="1" w:after="100" w:afterAutospacing="1"/>
      <w:jc w:val="left"/>
    </w:pPr>
    <w:rPr>
      <w:rFonts w:ascii="Times New Roman" w:eastAsia="Times New Roman" w:hAnsi="Times New Roman"/>
      <w:szCs w:val="24"/>
      <w:lang w:eastAsia="cs-CZ"/>
    </w:rPr>
  </w:style>
  <w:style w:type="character" w:customStyle="1" w:styleId="highlight">
    <w:name w:val="highlight"/>
    <w:basedOn w:val="Standardnpsmoodstavce"/>
    <w:rsid w:val="0050396A"/>
  </w:style>
  <w:style w:type="character" w:customStyle="1" w:styleId="highlight-disabled">
    <w:name w:val="highlight-disabled"/>
    <w:basedOn w:val="Standardnpsmoodstavce"/>
    <w:rsid w:val="0050396A"/>
  </w:style>
  <w:style w:type="character" w:customStyle="1" w:styleId="h1a">
    <w:name w:val="h1a"/>
    <w:basedOn w:val="Standardnpsmoodstavce"/>
    <w:rsid w:val="0050396A"/>
  </w:style>
  <w:style w:type="table" w:customStyle="1" w:styleId="Tabulkasmkou4zvraznn61">
    <w:name w:val="Tabulka s mřížkou 4 – zvýraznění 61"/>
    <w:basedOn w:val="Normlntabulka"/>
    <w:uiPriority w:val="49"/>
    <w:rsid w:val="0050396A"/>
    <w:rPr>
      <w:rFonts w:asciiTheme="minorHAnsi" w:eastAsiaTheme="minorHAnsi" w:hAnsiTheme="minorHAnsi" w:cstheme="minorBidi"/>
      <w:sz w:val="22"/>
      <w:szCs w:val="22"/>
    </w:rPr>
    <w:tblPr>
      <w:tblStyleRowBandSize w:val="1"/>
      <w:tblStyleColBandSize w:val="1"/>
      <w:tblInd w:w="0" w:type="dxa"/>
      <w:tblBorders>
        <w:top w:val="single" w:sz="4" w:space="0" w:color="E0AF87" w:themeColor="accent6" w:themeTint="99"/>
        <w:left w:val="single" w:sz="4" w:space="0" w:color="E0AF87" w:themeColor="accent6" w:themeTint="99"/>
        <w:bottom w:val="single" w:sz="4" w:space="0" w:color="E0AF87" w:themeColor="accent6" w:themeTint="99"/>
        <w:right w:val="single" w:sz="4" w:space="0" w:color="E0AF87" w:themeColor="accent6" w:themeTint="99"/>
        <w:insideH w:val="single" w:sz="4" w:space="0" w:color="E0AF87" w:themeColor="accent6" w:themeTint="99"/>
        <w:insideV w:val="single" w:sz="4" w:space="0" w:color="E0AF87"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C7B38" w:themeColor="accent6"/>
          <w:left w:val="single" w:sz="4" w:space="0" w:color="CC7B38" w:themeColor="accent6"/>
          <w:bottom w:val="single" w:sz="4" w:space="0" w:color="CC7B38" w:themeColor="accent6"/>
          <w:right w:val="single" w:sz="4" w:space="0" w:color="CC7B38" w:themeColor="accent6"/>
          <w:insideH w:val="nil"/>
          <w:insideV w:val="nil"/>
        </w:tcBorders>
        <w:shd w:val="clear" w:color="auto" w:fill="CC7B38" w:themeFill="accent6"/>
      </w:tcPr>
    </w:tblStylePr>
    <w:tblStylePr w:type="lastRow">
      <w:rPr>
        <w:b/>
        <w:bCs/>
      </w:rPr>
      <w:tblPr/>
      <w:tcPr>
        <w:tcBorders>
          <w:top w:val="double" w:sz="4" w:space="0" w:color="CC7B38" w:themeColor="accent6"/>
        </w:tcBorders>
      </w:tcPr>
    </w:tblStylePr>
    <w:tblStylePr w:type="firstCol">
      <w:rPr>
        <w:b/>
        <w:bCs/>
      </w:rPr>
    </w:tblStylePr>
    <w:tblStylePr w:type="lastCol">
      <w:rPr>
        <w:b/>
        <w:bCs/>
      </w:rPr>
    </w:tblStylePr>
    <w:tblStylePr w:type="band1Vert">
      <w:tblPr/>
      <w:tcPr>
        <w:shd w:val="clear" w:color="auto" w:fill="F4E4D7" w:themeFill="accent6" w:themeFillTint="33"/>
      </w:tcPr>
    </w:tblStylePr>
    <w:tblStylePr w:type="band1Horz">
      <w:tblPr/>
      <w:tcPr>
        <w:shd w:val="clear" w:color="auto" w:fill="F4E4D7" w:themeFill="accent6" w:themeFillTint="33"/>
      </w:tcPr>
    </w:tblStylePr>
  </w:style>
  <w:style w:type="character" w:customStyle="1" w:styleId="5yl5">
    <w:name w:val="_5yl5"/>
    <w:basedOn w:val="Standardnpsmoodstavce"/>
    <w:rsid w:val="0050396A"/>
  </w:style>
  <w:style w:type="character" w:customStyle="1" w:styleId="normal-text">
    <w:name w:val="normal-text"/>
    <w:basedOn w:val="Standardnpsmoodstavce"/>
    <w:rsid w:val="0050396A"/>
  </w:style>
  <w:style w:type="paragraph" w:customStyle="1" w:styleId="l7">
    <w:name w:val="l7"/>
    <w:basedOn w:val="Normln"/>
    <w:rsid w:val="0050396A"/>
    <w:pPr>
      <w:spacing w:before="100" w:beforeAutospacing="1" w:after="100" w:afterAutospacing="1"/>
      <w:jc w:val="left"/>
    </w:pPr>
    <w:rPr>
      <w:rFonts w:ascii="Times New Roman" w:eastAsia="Times New Roman" w:hAnsi="Times New Roman"/>
      <w:szCs w:val="24"/>
      <w:lang w:eastAsia="cs-CZ"/>
    </w:rPr>
  </w:style>
  <w:style w:type="numbering" w:customStyle="1" w:styleId="WWOutlineListStyle">
    <w:name w:val="WW_OutlineListStyle"/>
    <w:basedOn w:val="Bezseznamu"/>
    <w:rsid w:val="0050396A"/>
    <w:pPr>
      <w:numPr>
        <w:numId w:val="46"/>
      </w:numPr>
    </w:pPr>
  </w:style>
  <w:style w:type="paragraph" w:customStyle="1" w:styleId="Titulek-mapy">
    <w:name w:val="Titulek - mapy"/>
    <w:basedOn w:val="Titulek"/>
    <w:qFormat/>
    <w:rsid w:val="0050396A"/>
    <w:pPr>
      <w:widowControl/>
      <w:spacing w:after="240"/>
    </w:pPr>
    <w:rPr>
      <w:rFonts w:ascii="Calibri" w:eastAsia="Calibri" w:hAnsi="Calibri"/>
      <w:color w:val="auto"/>
      <w:sz w:val="18"/>
      <w:szCs w:val="18"/>
    </w:rPr>
  </w:style>
  <w:style w:type="paragraph" w:customStyle="1" w:styleId="Odstavecdal">
    <w:name w:val="Odstavec další"/>
    <w:basedOn w:val="Normln"/>
    <w:rsid w:val="0050396A"/>
    <w:pPr>
      <w:autoSpaceDE w:val="0"/>
      <w:autoSpaceDN w:val="0"/>
      <w:adjustRightInd w:val="0"/>
      <w:spacing w:after="0" w:line="360" w:lineRule="auto"/>
      <w:ind w:firstLine="567"/>
    </w:pPr>
    <w:rPr>
      <w:rFonts w:ascii="Times-Roman" w:eastAsia="Times New Roman" w:hAnsi="Times-Roman" w:cs="Times-Roman"/>
      <w:sz w:val="23"/>
      <w:szCs w:val="23"/>
      <w:lang w:eastAsia="cs-CZ"/>
    </w:rPr>
  </w:style>
  <w:style w:type="paragraph" w:customStyle="1" w:styleId="odrazka">
    <w:name w:val="odrazka"/>
    <w:basedOn w:val="Odstavecseseznamem"/>
    <w:link w:val="odrazkaChar"/>
    <w:qFormat/>
    <w:rsid w:val="0050396A"/>
    <w:pPr>
      <w:numPr>
        <w:numId w:val="47"/>
      </w:numPr>
      <w:autoSpaceDE w:val="0"/>
      <w:autoSpaceDN w:val="0"/>
      <w:adjustRightInd w:val="0"/>
      <w:spacing w:after="0" w:line="360" w:lineRule="auto"/>
      <w:ind w:left="1701" w:hanging="425"/>
    </w:pPr>
    <w:rPr>
      <w:rFonts w:ascii="Times New Roman" w:eastAsia="Times New Roman" w:hAnsi="Times New Roman"/>
      <w:szCs w:val="24"/>
      <w:lang w:val="en-GB" w:eastAsia="cs-CZ"/>
    </w:rPr>
  </w:style>
  <w:style w:type="table" w:customStyle="1" w:styleId="Prosttabulka11">
    <w:name w:val="Prostá tabulka 11"/>
    <w:basedOn w:val="Normlntabulka"/>
    <w:uiPriority w:val="41"/>
    <w:rsid w:val="0050396A"/>
    <w:rPr>
      <w:rFonts w:ascii="Times New Roman" w:eastAsia="Times New Roman" w:hAnsi="Times New Roman"/>
      <w:lang w:eastAsia="cs-CZ"/>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drazkaChar">
    <w:name w:val="odrazka Char"/>
    <w:basedOn w:val="OdstavecseseznamemChar"/>
    <w:link w:val="odrazka"/>
    <w:rsid w:val="0050396A"/>
    <w:rPr>
      <w:rFonts w:ascii="Times New Roman" w:eastAsia="Times New Roman" w:hAnsi="Times New Roman"/>
      <w:sz w:val="24"/>
      <w:szCs w:val="24"/>
      <w:lang w:val="en-GB" w:eastAsia="cs-CZ"/>
    </w:rPr>
  </w:style>
  <w:style w:type="paragraph" w:customStyle="1" w:styleId="obazek">
    <w:name w:val="obazek"/>
    <w:basedOn w:val="Normln"/>
    <w:link w:val="obazekChar"/>
    <w:qFormat/>
    <w:rsid w:val="0050396A"/>
    <w:pPr>
      <w:autoSpaceDE w:val="0"/>
      <w:autoSpaceDN w:val="0"/>
      <w:adjustRightInd w:val="0"/>
      <w:spacing w:before="240" w:after="60"/>
      <w:jc w:val="center"/>
    </w:pPr>
    <w:rPr>
      <w:rFonts w:ascii="Times New Roman" w:eastAsia="Times New Roman" w:hAnsi="Times New Roman"/>
      <w:noProof/>
      <w:szCs w:val="24"/>
      <w:lang w:eastAsia="cs-CZ"/>
    </w:rPr>
  </w:style>
  <w:style w:type="character" w:customStyle="1" w:styleId="obazekChar">
    <w:name w:val="obazek Char"/>
    <w:basedOn w:val="Standardnpsmoodstavce"/>
    <w:link w:val="obazek"/>
    <w:rsid w:val="0050396A"/>
    <w:rPr>
      <w:rFonts w:ascii="Times New Roman" w:eastAsia="Times New Roman" w:hAnsi="Times New Roman"/>
      <w:noProof/>
      <w:sz w:val="24"/>
      <w:szCs w:val="24"/>
      <w:lang w:eastAsia="cs-CZ"/>
    </w:rPr>
  </w:style>
  <w:style w:type="paragraph" w:customStyle="1" w:styleId="kola">
    <w:name w:val="Škola"/>
    <w:basedOn w:val="Normln"/>
    <w:rsid w:val="0050396A"/>
    <w:pPr>
      <w:autoSpaceDE w:val="0"/>
      <w:autoSpaceDN w:val="0"/>
      <w:adjustRightInd w:val="0"/>
      <w:spacing w:after="0" w:line="360" w:lineRule="auto"/>
      <w:ind w:firstLine="851"/>
      <w:jc w:val="center"/>
    </w:pPr>
    <w:rPr>
      <w:rFonts w:ascii="Times New Roman" w:eastAsia="Times New Roman" w:hAnsi="Times New Roman"/>
      <w:b/>
      <w:bCs/>
      <w:sz w:val="36"/>
      <w:szCs w:val="24"/>
      <w:lang w:eastAsia="cs-CZ"/>
    </w:rPr>
  </w:style>
  <w:style w:type="table" w:customStyle="1" w:styleId="Svtlseznam1">
    <w:name w:val="Světlý seznam1"/>
    <w:basedOn w:val="Normlntabulka"/>
    <w:uiPriority w:val="61"/>
    <w:rsid w:val="0050396A"/>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Jmnoapjmen">
    <w:name w:val="Jméno a příjmení"/>
    <w:basedOn w:val="Normln"/>
    <w:rsid w:val="0050396A"/>
    <w:pPr>
      <w:autoSpaceDE w:val="0"/>
      <w:autoSpaceDN w:val="0"/>
      <w:adjustRightInd w:val="0"/>
      <w:spacing w:after="0" w:line="360" w:lineRule="auto"/>
      <w:ind w:firstLine="851"/>
      <w:jc w:val="center"/>
    </w:pPr>
    <w:rPr>
      <w:rFonts w:ascii="Times New Roman" w:eastAsia="Times New Roman" w:hAnsi="Times New Roman"/>
      <w:b/>
      <w:bCs/>
      <w:sz w:val="40"/>
      <w:szCs w:val="24"/>
      <w:lang w:eastAsia="cs-CZ"/>
    </w:rPr>
  </w:style>
  <w:style w:type="paragraph" w:customStyle="1" w:styleId="stitle-article-norm">
    <w:name w:val="stitle-article-norm"/>
    <w:basedOn w:val="Normln"/>
    <w:rsid w:val="0050396A"/>
    <w:pPr>
      <w:spacing w:before="240"/>
      <w:jc w:val="center"/>
    </w:pPr>
    <w:rPr>
      <w:rFonts w:ascii="Times New Roman" w:eastAsia="Times New Roman" w:hAnsi="Times New Roman"/>
      <w:b/>
      <w:bCs/>
      <w:szCs w:val="24"/>
      <w:lang w:eastAsia="cs-CZ"/>
    </w:rPr>
  </w:style>
  <w:style w:type="paragraph" w:customStyle="1" w:styleId="title-article-norm">
    <w:name w:val="title-article-norm"/>
    <w:basedOn w:val="Normln"/>
    <w:rsid w:val="0050396A"/>
    <w:pPr>
      <w:spacing w:before="240"/>
      <w:jc w:val="center"/>
    </w:pPr>
    <w:rPr>
      <w:rFonts w:ascii="Times New Roman" w:eastAsia="Times New Roman" w:hAnsi="Times New Roman"/>
      <w:i/>
      <w:iCs/>
      <w:szCs w:val="24"/>
      <w:lang w:eastAsia="cs-CZ"/>
    </w:rPr>
  </w:style>
  <w:style w:type="paragraph" w:customStyle="1" w:styleId="title-division-1">
    <w:name w:val="title-division-1"/>
    <w:basedOn w:val="Normln"/>
    <w:rsid w:val="0050396A"/>
    <w:pPr>
      <w:jc w:val="center"/>
    </w:pPr>
    <w:rPr>
      <w:rFonts w:ascii="Times New Roman" w:eastAsia="Times New Roman" w:hAnsi="Times New Roman"/>
      <w:szCs w:val="24"/>
      <w:lang w:eastAsia="cs-CZ"/>
    </w:rPr>
  </w:style>
  <w:style w:type="paragraph" w:customStyle="1" w:styleId="title-division-2">
    <w:name w:val="title-division-2"/>
    <w:basedOn w:val="Normln"/>
    <w:rsid w:val="0050396A"/>
    <w:pPr>
      <w:jc w:val="center"/>
    </w:pPr>
    <w:rPr>
      <w:rFonts w:ascii="Times New Roman" w:eastAsia="Times New Roman" w:hAnsi="Times New Roman"/>
      <w:b/>
      <w:bCs/>
      <w:szCs w:val="24"/>
      <w:lang w:eastAsia="cs-CZ"/>
    </w:rPr>
  </w:style>
  <w:style w:type="character" w:customStyle="1" w:styleId="boldface">
    <w:name w:val="boldface"/>
    <w:basedOn w:val="Standardnpsmoodstavce"/>
    <w:rsid w:val="0050396A"/>
    <w:rPr>
      <w:b/>
      <w:bCs/>
    </w:rPr>
  </w:style>
  <w:style w:type="character" w:customStyle="1" w:styleId="italics">
    <w:name w:val="italics"/>
    <w:basedOn w:val="Standardnpsmoodstavce"/>
    <w:rsid w:val="0050396A"/>
    <w:rPr>
      <w:i/>
      <w:iCs/>
    </w:rPr>
  </w:style>
  <w:style w:type="character" w:customStyle="1" w:styleId="h1a5">
    <w:name w:val="h1a5"/>
    <w:basedOn w:val="Standardnpsmoodstavce"/>
    <w:rsid w:val="0050396A"/>
    <w:rPr>
      <w:rFonts w:ascii="Arial" w:hAnsi="Arial" w:cs="Arial" w:hint="default"/>
      <w:i/>
      <w:iCs/>
      <w:vanish w:val="0"/>
      <w:webHidden w:val="0"/>
      <w:sz w:val="26"/>
      <w:szCs w:val="26"/>
      <w:specVanish w:val="0"/>
    </w:rPr>
  </w:style>
  <w:style w:type="table" w:customStyle="1" w:styleId="Svtlstnovnzvraznn12">
    <w:name w:val="Světlé stínování – zvýraznění 12"/>
    <w:basedOn w:val="Normlntabulka"/>
    <w:uiPriority w:val="60"/>
    <w:rsid w:val="0050396A"/>
    <w:rPr>
      <w:rFonts w:asciiTheme="minorHAnsi" w:eastAsiaTheme="minorHAnsi" w:hAnsiTheme="minorHAnsi" w:cstheme="minorBidi"/>
      <w:color w:val="888301" w:themeColor="accent1" w:themeShade="BF"/>
      <w:sz w:val="22"/>
      <w:szCs w:val="22"/>
    </w:rPr>
    <w:tblPr>
      <w:tblStyleRowBandSize w:val="1"/>
      <w:tblStyleColBandSize w:val="1"/>
      <w:tblInd w:w="0" w:type="dxa"/>
      <w:tblBorders>
        <w:top w:val="single" w:sz="8" w:space="0" w:color="B6B002" w:themeColor="accent1"/>
        <w:bottom w:val="single" w:sz="8" w:space="0" w:color="B6B00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6B002" w:themeColor="accent1"/>
          <w:left w:val="nil"/>
          <w:bottom w:val="single" w:sz="8" w:space="0" w:color="B6B002" w:themeColor="accent1"/>
          <w:right w:val="nil"/>
          <w:insideH w:val="nil"/>
          <w:insideV w:val="nil"/>
        </w:tcBorders>
      </w:tcPr>
    </w:tblStylePr>
    <w:tblStylePr w:type="lastRow">
      <w:pPr>
        <w:spacing w:before="0" w:after="0" w:line="240" w:lineRule="auto"/>
      </w:pPr>
      <w:rPr>
        <w:b/>
        <w:bCs/>
      </w:rPr>
      <w:tblPr/>
      <w:tcPr>
        <w:tcBorders>
          <w:top w:val="single" w:sz="8" w:space="0" w:color="B6B002" w:themeColor="accent1"/>
          <w:left w:val="nil"/>
          <w:bottom w:val="single" w:sz="8" w:space="0" w:color="B6B00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BAF" w:themeFill="accent1" w:themeFillTint="3F"/>
      </w:tcPr>
    </w:tblStylePr>
    <w:tblStylePr w:type="band1Horz">
      <w:tblPr/>
      <w:tcPr>
        <w:tcBorders>
          <w:left w:val="nil"/>
          <w:right w:val="nil"/>
          <w:insideH w:val="nil"/>
          <w:insideV w:val="nil"/>
        </w:tcBorders>
        <w:shd w:val="clear" w:color="auto" w:fill="FEFBAF" w:themeFill="accent1" w:themeFillTint="3F"/>
      </w:tcPr>
    </w:tblStylePr>
  </w:style>
  <w:style w:type="paragraph" w:customStyle="1" w:styleId="textMPSV">
    <w:name w:val="text_MPSV"/>
    <w:basedOn w:val="Normln"/>
    <w:link w:val="textMPSVChar"/>
    <w:rsid w:val="0050396A"/>
    <w:pPr>
      <w:spacing w:after="200" w:line="360" w:lineRule="auto"/>
      <w:ind w:firstLine="709"/>
    </w:pPr>
    <w:rPr>
      <w:rFonts w:asciiTheme="majorHAnsi" w:eastAsiaTheme="minorHAnsi" w:hAnsiTheme="majorHAnsi"/>
      <w:noProof/>
      <w:lang w:val="en-GB"/>
    </w:rPr>
  </w:style>
  <w:style w:type="character" w:customStyle="1" w:styleId="textMPSVChar">
    <w:name w:val="text_MPSV Char"/>
    <w:basedOn w:val="Standardnpsmoodstavce"/>
    <w:link w:val="textMPSV"/>
    <w:rsid w:val="0050396A"/>
    <w:rPr>
      <w:rFonts w:asciiTheme="majorHAnsi" w:eastAsiaTheme="minorHAnsi" w:hAnsiTheme="majorHAnsi"/>
      <w:noProof/>
      <w:sz w:val="24"/>
      <w:szCs w:val="22"/>
      <w:lang w:val="en-GB"/>
    </w:rPr>
  </w:style>
  <w:style w:type="paragraph" w:customStyle="1" w:styleId="BIBLIO2">
    <w:name w:val="BIBLIO2"/>
    <w:basedOn w:val="Normln"/>
    <w:rsid w:val="0050396A"/>
    <w:pPr>
      <w:autoSpaceDE w:val="0"/>
      <w:autoSpaceDN w:val="0"/>
      <w:spacing w:after="20"/>
      <w:ind w:left="709" w:hanging="709"/>
    </w:pPr>
    <w:rPr>
      <w:rFonts w:ascii="Times New Roman" w:eastAsia="Times New Roman" w:hAnsi="Times New Roman"/>
      <w:sz w:val="22"/>
      <w:lang w:eastAsia="cs-CZ"/>
    </w:rPr>
  </w:style>
  <w:style w:type="table" w:customStyle="1" w:styleId="Prosttabulka41">
    <w:name w:val="Prostá tabulka 41"/>
    <w:basedOn w:val="Normlntabulka"/>
    <w:uiPriority w:val="44"/>
    <w:rsid w:val="0050396A"/>
    <w:rPr>
      <w:rFonts w:asciiTheme="minorHAnsi" w:eastAsiaTheme="minorHAnsi"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pcrhlvpravouhpozn">
    <w:name w:val="upcrhlvpravouhpozn"/>
    <w:basedOn w:val="Standardnpsmoodstavce"/>
    <w:rsid w:val="0050396A"/>
  </w:style>
  <w:style w:type="character" w:customStyle="1" w:styleId="odkaz-style-wrapper">
    <w:name w:val="odkaz-style-wrapper"/>
    <w:basedOn w:val="Standardnpsmoodstavce"/>
    <w:rsid w:val="0050396A"/>
  </w:style>
  <w:style w:type="paragraph" w:customStyle="1" w:styleId="CE-StandardText">
    <w:name w:val="CE-StandardText"/>
    <w:basedOn w:val="Normln"/>
    <w:link w:val="CE-StandardTextZchn"/>
    <w:rsid w:val="0050396A"/>
    <w:pPr>
      <w:spacing w:after="0" w:line="276" w:lineRule="auto"/>
    </w:pPr>
    <w:rPr>
      <w:rFonts w:ascii="Trebuchet MS" w:eastAsia="Times New Roman" w:hAnsi="Trebuchet MS"/>
      <w:color w:val="B6B002" w:themeColor="text2"/>
      <w:sz w:val="20"/>
      <w:szCs w:val="18"/>
      <w:lang w:val="en-GB"/>
    </w:rPr>
  </w:style>
  <w:style w:type="character" w:customStyle="1" w:styleId="CE-StandardTextZchn">
    <w:name w:val="CE-StandardText Zchn"/>
    <w:basedOn w:val="Standardnpsmoodstavce"/>
    <w:link w:val="CE-StandardText"/>
    <w:rsid w:val="0050396A"/>
    <w:rPr>
      <w:rFonts w:ascii="Trebuchet MS" w:eastAsia="Times New Roman" w:hAnsi="Trebuchet MS"/>
      <w:color w:val="B6B002" w:themeColor="text2"/>
      <w:szCs w:val="18"/>
      <w:lang w:val="en-GB"/>
    </w:rPr>
  </w:style>
  <w:style w:type="table" w:customStyle="1" w:styleId="TableGrid">
    <w:name w:val="TableGrid"/>
    <w:rsid w:val="0050396A"/>
    <w:rPr>
      <w:rFonts w:asciiTheme="minorHAnsi" w:eastAsiaTheme="minorEastAsia" w:hAnsiTheme="minorHAnsi" w:cstheme="minorBidi"/>
      <w:sz w:val="22"/>
      <w:szCs w:val="22"/>
      <w:lang w:eastAsia="cs-CZ"/>
    </w:rPr>
    <w:tblPr>
      <w:tblCellMar>
        <w:top w:w="0" w:type="dxa"/>
        <w:left w:w="0" w:type="dxa"/>
        <w:bottom w:w="0" w:type="dxa"/>
        <w:right w:w="0" w:type="dxa"/>
      </w:tblCellMar>
    </w:tblPr>
  </w:style>
  <w:style w:type="character" w:styleId="Odkazjemn">
    <w:name w:val="Subtle Reference"/>
    <w:basedOn w:val="Standardnpsmoodstavce"/>
    <w:uiPriority w:val="31"/>
    <w:qFormat/>
    <w:rsid w:val="0050396A"/>
    <w:rPr>
      <w:smallCaps/>
      <w:color w:val="5A5A5A" w:themeColor="text1" w:themeTint="A5"/>
    </w:rPr>
  </w:style>
  <w:style w:type="character" w:customStyle="1" w:styleId="Nevyeenzmnka4">
    <w:name w:val="Nevyřešená zmínka4"/>
    <w:basedOn w:val="Standardnpsmoodstavce"/>
    <w:uiPriority w:val="99"/>
    <w:semiHidden/>
    <w:unhideWhenUsed/>
    <w:rsid w:val="0050396A"/>
    <w:rPr>
      <w:color w:val="605E5C"/>
      <w:shd w:val="clear" w:color="auto" w:fill="E1DFDD"/>
    </w:rPr>
  </w:style>
  <w:style w:type="paragraph" w:customStyle="1" w:styleId="Pa16">
    <w:name w:val="Pa16"/>
    <w:basedOn w:val="Default"/>
    <w:next w:val="Default"/>
    <w:uiPriority w:val="99"/>
    <w:rsid w:val="0050396A"/>
    <w:pPr>
      <w:spacing w:line="255" w:lineRule="atLeast"/>
    </w:pPr>
    <w:rPr>
      <w:rFonts w:ascii="Source Sans Pro" w:eastAsia="Calibri" w:hAnsi="Source Sans Pro" w:cs="Times New Roman"/>
      <w:color w:val="auto"/>
    </w:rPr>
  </w:style>
  <w:style w:type="character" w:customStyle="1" w:styleId="tooltip">
    <w:name w:val="tooltip"/>
    <w:basedOn w:val="Standardnpsmoodstavce"/>
    <w:rsid w:val="0050396A"/>
  </w:style>
  <w:style w:type="character" w:customStyle="1" w:styleId="Nevyeenzmnka5">
    <w:name w:val="Nevyřešená zmínka5"/>
    <w:basedOn w:val="Standardnpsmoodstavce"/>
    <w:uiPriority w:val="99"/>
    <w:semiHidden/>
    <w:unhideWhenUsed/>
    <w:rsid w:val="0050396A"/>
    <w:rPr>
      <w:color w:val="605E5C"/>
      <w:shd w:val="clear" w:color="auto" w:fill="E1DFDD"/>
    </w:rPr>
  </w:style>
  <w:style w:type="table" w:customStyle="1" w:styleId="Tabulkaseznamu21">
    <w:name w:val="Tabulka seznamu 21"/>
    <w:basedOn w:val="Normlntabulka"/>
    <w:uiPriority w:val="47"/>
    <w:rsid w:val="00BF2B5E"/>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tltabulkaseznamu11">
    <w:name w:val="Světlá tabulka seznamu 11"/>
    <w:basedOn w:val="Normlntabulka"/>
    <w:uiPriority w:val="46"/>
    <w:rsid w:val="00BF2B5E"/>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adpis2A0">
    <w:name w:val="Nadpis 2 (A.)"/>
    <w:basedOn w:val="Nadpis2"/>
    <w:next w:val="Normln"/>
    <w:autoRedefine/>
    <w:qFormat/>
    <w:rsid w:val="007076C8"/>
    <w:pPr>
      <w:numPr>
        <w:ilvl w:val="0"/>
        <w:numId w:val="0"/>
      </w:numPr>
      <w:tabs>
        <w:tab w:val="num" w:pos="851"/>
        <w:tab w:val="left" w:pos="1134"/>
      </w:tabs>
      <w:ind w:left="851" w:hanging="567"/>
    </w:pPr>
    <w:rPr>
      <w:rFonts w:ascii="Times New Roman" w:hAnsi="Times New Roman" w:cs="Arial"/>
      <w:iCs/>
      <w:smallCaps/>
      <w:color w:val="auto"/>
      <w:sz w:val="24"/>
      <w:szCs w:val="28"/>
    </w:rPr>
  </w:style>
  <w:style w:type="paragraph" w:customStyle="1" w:styleId="Nadpis31">
    <w:name w:val="Nadpis 3 (1.)"/>
    <w:basedOn w:val="Nadpis3"/>
    <w:next w:val="Text1-11-111"/>
    <w:autoRedefine/>
    <w:qFormat/>
    <w:rsid w:val="007076C8"/>
    <w:pPr>
      <w:numPr>
        <w:ilvl w:val="0"/>
        <w:numId w:val="0"/>
      </w:numPr>
      <w:tabs>
        <w:tab w:val="num" w:pos="1276"/>
        <w:tab w:val="left" w:pos="1843"/>
      </w:tabs>
      <w:ind w:left="1276" w:hanging="425"/>
    </w:pPr>
    <w:rPr>
      <w:rFonts w:ascii="Times New Roman" w:hAnsi="Times New Roman" w:cs="Arial"/>
      <w:color w:val="auto"/>
      <w:szCs w:val="26"/>
    </w:rPr>
  </w:style>
  <w:style w:type="paragraph" w:customStyle="1" w:styleId="Text1-11-111">
    <w:name w:val="Text 1.-1.1-1.1.1"/>
    <w:basedOn w:val="Normln"/>
    <w:link w:val="Text1-11-111Char"/>
    <w:qFormat/>
    <w:rsid w:val="007076C8"/>
    <w:pPr>
      <w:ind w:left="1276"/>
    </w:pPr>
    <w:rPr>
      <w:rFonts w:ascii="Times New Roman" w:eastAsia="Times New Roman" w:hAnsi="Times New Roman"/>
      <w:szCs w:val="20"/>
    </w:rPr>
  </w:style>
  <w:style w:type="character" w:customStyle="1" w:styleId="Text1-11-111Char">
    <w:name w:val="Text 1.-1.1-1.1.1 Char"/>
    <w:basedOn w:val="Standardnpsmoodstavce"/>
    <w:link w:val="Text1-11-111"/>
    <w:rsid w:val="007076C8"/>
    <w:rPr>
      <w:rFonts w:ascii="Times New Roman" w:eastAsia="Times New Roman" w:hAnsi="Times New Roman"/>
      <w:sz w:val="24"/>
    </w:rPr>
  </w:style>
  <w:style w:type="paragraph" w:customStyle="1" w:styleId="Nadpis411">
    <w:name w:val="Nadpis 4 (1.1)"/>
    <w:basedOn w:val="Nadpis4"/>
    <w:link w:val="Nadpis411Char"/>
    <w:autoRedefine/>
    <w:qFormat/>
    <w:rsid w:val="007076C8"/>
    <w:pPr>
      <w:keepLines w:val="0"/>
      <w:numPr>
        <w:ilvl w:val="0"/>
        <w:numId w:val="0"/>
      </w:numPr>
      <w:tabs>
        <w:tab w:val="num" w:pos="1843"/>
      </w:tabs>
      <w:spacing w:before="120" w:after="120"/>
      <w:ind w:left="1843" w:hanging="567"/>
    </w:pPr>
    <w:rPr>
      <w:rFonts w:ascii="Times New Roman" w:hAnsi="Times New Roman"/>
      <w:i w:val="0"/>
      <w:iCs w:val="0"/>
      <w:color w:val="auto"/>
      <w:sz w:val="24"/>
      <w:szCs w:val="28"/>
    </w:rPr>
  </w:style>
  <w:style w:type="character" w:customStyle="1" w:styleId="Nadpis411Char">
    <w:name w:val="Nadpis 4 (1.1) Char"/>
    <w:basedOn w:val="Standardnpsmoodstavce"/>
    <w:link w:val="Nadpis411"/>
    <w:rsid w:val="007076C8"/>
    <w:rPr>
      <w:rFonts w:ascii="Times New Roman" w:eastAsia="Times New Roman" w:hAnsi="Times New Roman"/>
      <w:b/>
      <w:bCs/>
      <w:sz w:val="24"/>
      <w:szCs w:val="28"/>
    </w:rPr>
  </w:style>
  <w:style w:type="paragraph" w:customStyle="1" w:styleId="Nadpis5111">
    <w:name w:val="Nadpis 5 (1.1.1)"/>
    <w:basedOn w:val="Nadpis5"/>
    <w:autoRedefine/>
    <w:qFormat/>
    <w:rsid w:val="007076C8"/>
    <w:pPr>
      <w:keepNext/>
      <w:numPr>
        <w:ilvl w:val="0"/>
        <w:numId w:val="0"/>
      </w:numPr>
      <w:tabs>
        <w:tab w:val="num" w:pos="1843"/>
      </w:tabs>
      <w:spacing w:before="120" w:after="120"/>
      <w:ind w:left="1843" w:hanging="567"/>
    </w:pPr>
    <w:rPr>
      <w:rFonts w:ascii="Times New Roman" w:hAnsi="Times New Roman"/>
      <w:i w:val="0"/>
      <w:sz w:val="24"/>
    </w:rPr>
  </w:style>
  <w:style w:type="paragraph" w:customStyle="1" w:styleId="Nadpis61111">
    <w:name w:val="Nadpis 6 (1.1.1.1)"/>
    <w:basedOn w:val="Nadpis6"/>
    <w:qFormat/>
    <w:rsid w:val="007076C8"/>
    <w:pPr>
      <w:keepNext/>
      <w:numPr>
        <w:ilvl w:val="0"/>
        <w:numId w:val="0"/>
      </w:numPr>
      <w:tabs>
        <w:tab w:val="num" w:pos="2126"/>
      </w:tabs>
      <w:spacing w:before="120" w:after="120"/>
      <w:ind w:left="2126" w:hanging="850"/>
    </w:pPr>
    <w:rPr>
      <w:rFonts w:ascii="Times New Roman" w:hAnsi="Times New Roman"/>
      <w:b/>
      <w:i/>
      <w:color w:val="000000" w:themeColor="text1"/>
      <w:szCs w:val="24"/>
    </w:rPr>
  </w:style>
  <w:style w:type="paragraph" w:customStyle="1" w:styleId="Odrazka11">
    <w:name w:val="Odrazka 1.1"/>
    <w:basedOn w:val="Normln"/>
    <w:link w:val="Odrazka11Char"/>
    <w:qFormat/>
    <w:rsid w:val="00A06010"/>
    <w:pPr>
      <w:numPr>
        <w:numId w:val="61"/>
      </w:numPr>
      <w:spacing w:line="276" w:lineRule="auto"/>
      <w:ind w:left="1701" w:hanging="425"/>
    </w:pPr>
    <w:rPr>
      <w:rFonts w:ascii="Times New Roman" w:eastAsia="Times New Roman" w:hAnsi="Times New Roman"/>
      <w:color w:val="000000" w:themeColor="text1"/>
      <w:szCs w:val="24"/>
    </w:rPr>
  </w:style>
  <w:style w:type="character" w:customStyle="1" w:styleId="Odrazka11Char">
    <w:name w:val="Odrazka 1.1 Char"/>
    <w:basedOn w:val="Standardnpsmoodstavce"/>
    <w:link w:val="Odrazka11"/>
    <w:rsid w:val="00A06010"/>
    <w:rPr>
      <w:rFonts w:ascii="Times New Roman" w:eastAsia="Times New Roman" w:hAnsi="Times New Roman"/>
      <w:color w:val="000000" w:themeColor="text1"/>
      <w:sz w:val="24"/>
      <w:szCs w:val="24"/>
    </w:rPr>
  </w:style>
  <w:style w:type="paragraph" w:customStyle="1" w:styleId="Text1">
    <w:name w:val="Text 1"/>
    <w:basedOn w:val="Normln"/>
    <w:link w:val="Text1Char"/>
    <w:qFormat/>
    <w:rsid w:val="00A3474F"/>
    <w:pPr>
      <w:ind w:left="567"/>
    </w:pPr>
    <w:rPr>
      <w:rFonts w:ascii="Times New Roman" w:eastAsia="Times New Roman" w:hAnsi="Times New Roman"/>
      <w:szCs w:val="20"/>
    </w:rPr>
  </w:style>
  <w:style w:type="character" w:customStyle="1" w:styleId="Text1Char">
    <w:name w:val="Text 1 Char"/>
    <w:basedOn w:val="Standardnpsmoodstavce"/>
    <w:link w:val="Text1"/>
    <w:rsid w:val="00A3474F"/>
    <w:rPr>
      <w:rFonts w:ascii="Times New Roman" w:eastAsia="Times New Roman" w:hAnsi="Times New Roman"/>
      <w:sz w:val="24"/>
    </w:rPr>
  </w:style>
  <w:style w:type="character" w:customStyle="1" w:styleId="preformatted">
    <w:name w:val="preformatted"/>
    <w:basedOn w:val="Standardnpsmoodstavce"/>
    <w:rsid w:val="00A311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caption" w:semiHidden="0" w:uiPriority="35" w:unhideWhenUsed="0" w:qFormat="1"/>
    <w:lsdException w:name="envelope return" w:uiPriority="0"/>
    <w:lsdException w:name="footnote reference" w:uiPriority="0"/>
    <w:lsdException w:name="annotation reference" w:uiPriority="0"/>
    <w:lsdException w:name="page number" w:uiPriority="0"/>
    <w:lsdException w:name="List" w:uiPriority="0"/>
    <w:lsdException w:name="List Bullet" w:uiPriority="0" w:qFormat="1"/>
    <w:lsdException w:name="List Number" w:uiPriority="0"/>
    <w:lsdException w:name="List 2" w:uiPriority="0"/>
    <w:lsdException w:name="List 3" w:uiPriority="0"/>
    <w:lsdException w:name="List Bullet 2"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semiHidden="0" w:uiPriority="39" w:unhideWhenUsed="0" w:qFormat="1"/>
  </w:latentStyles>
  <w:style w:type="paragraph" w:default="1" w:styleId="Normln">
    <w:name w:val="Normal"/>
    <w:rsid w:val="009679AD"/>
    <w:pPr>
      <w:spacing w:before="120" w:after="120"/>
      <w:jc w:val="both"/>
    </w:pPr>
    <w:rPr>
      <w:rFonts w:ascii="Garamond" w:hAnsi="Garamond"/>
      <w:sz w:val="24"/>
      <w:szCs w:val="22"/>
    </w:rPr>
  </w:style>
  <w:style w:type="paragraph" w:styleId="Nadpis1">
    <w:name w:val="heading 1"/>
    <w:aliases w:val="nadpis 1,N 1,Dipl 1,título 1,H1,h1,h11,h12,h13,h14,h15,h16,h17,h111,h121,h131,h141,h151,h161,h18,h112,h122,h132,h142,h152,h162,h19,h113,h123,h133,h143,h153,h163,l1,II+,I,Section Head,Chapter Heading,h:1,h:1app,app heading 1,Titre§,adpis 1"/>
    <w:basedOn w:val="Normln"/>
    <w:next w:val="Normln"/>
    <w:link w:val="Nadpis1Char1"/>
    <w:qFormat/>
    <w:rsid w:val="009679AD"/>
    <w:pPr>
      <w:widowControl w:val="0"/>
      <w:numPr>
        <w:numId w:val="1"/>
      </w:numPr>
      <w:outlineLvl w:val="0"/>
    </w:pPr>
    <w:rPr>
      <w:rFonts w:ascii="Cambria" w:eastAsia="Times New Roman" w:hAnsi="Cambria"/>
      <w:b/>
      <w:bCs/>
      <w:color w:val="B6B002"/>
      <w:sz w:val="28"/>
      <w:szCs w:val="28"/>
    </w:rPr>
  </w:style>
  <w:style w:type="paragraph" w:styleId="Nadpis2">
    <w:name w:val="heading 2"/>
    <w:aliases w:val="Heading 2 Firm,Heading 2 Firm1,nadpis 2,Nadpis 2 Z,Dipl2,Heading 2 Firm11"/>
    <w:basedOn w:val="Normln"/>
    <w:next w:val="Normln"/>
    <w:link w:val="Nadpis2Char1"/>
    <w:qFormat/>
    <w:rsid w:val="0015726B"/>
    <w:pPr>
      <w:keepNext/>
      <w:numPr>
        <w:ilvl w:val="1"/>
        <w:numId w:val="1"/>
      </w:numPr>
      <w:outlineLvl w:val="1"/>
    </w:pPr>
    <w:rPr>
      <w:rFonts w:ascii="Cambria" w:eastAsia="Times New Roman" w:hAnsi="Cambria"/>
      <w:b/>
      <w:bCs/>
      <w:color w:val="B6B002"/>
      <w:sz w:val="26"/>
      <w:szCs w:val="26"/>
    </w:rPr>
  </w:style>
  <w:style w:type="paragraph" w:styleId="Nadpis3">
    <w:name w:val="heading 3"/>
    <w:aliases w:val="nadpis 3,Nadpis 3 Z,Dipl3"/>
    <w:basedOn w:val="Normln"/>
    <w:next w:val="Normln"/>
    <w:link w:val="Nadpis3Char1"/>
    <w:qFormat/>
    <w:rsid w:val="00E97160"/>
    <w:pPr>
      <w:keepNext/>
      <w:numPr>
        <w:ilvl w:val="2"/>
        <w:numId w:val="1"/>
      </w:numPr>
      <w:outlineLvl w:val="2"/>
    </w:pPr>
    <w:rPr>
      <w:rFonts w:ascii="Cambria" w:eastAsia="Times New Roman" w:hAnsi="Cambria"/>
      <w:b/>
      <w:bCs/>
      <w:color w:val="B6B002"/>
    </w:rPr>
  </w:style>
  <w:style w:type="paragraph" w:styleId="Nadpis4">
    <w:name w:val="heading 4"/>
    <w:aliases w:val="nadpis 4,Nadpis 4 Z,1-1"/>
    <w:basedOn w:val="Normln"/>
    <w:next w:val="Normln"/>
    <w:link w:val="Nadpis4Char1"/>
    <w:uiPriority w:val="9"/>
    <w:qFormat/>
    <w:rsid w:val="00F41B64"/>
    <w:pPr>
      <w:keepNext/>
      <w:keepLines/>
      <w:numPr>
        <w:ilvl w:val="3"/>
        <w:numId w:val="1"/>
      </w:numPr>
      <w:spacing w:before="200" w:after="0"/>
      <w:outlineLvl w:val="3"/>
    </w:pPr>
    <w:rPr>
      <w:rFonts w:ascii="Cambria" w:eastAsia="Times New Roman" w:hAnsi="Cambria"/>
      <w:b/>
      <w:bCs/>
      <w:i/>
      <w:iCs/>
      <w:color w:val="AC9B02"/>
      <w:sz w:val="22"/>
    </w:rPr>
  </w:style>
  <w:style w:type="paragraph" w:styleId="Nadpis5">
    <w:name w:val="heading 5"/>
    <w:aliases w:val="nadpis 5"/>
    <w:basedOn w:val="Normln"/>
    <w:next w:val="Normln"/>
    <w:link w:val="Nadpis5Char1"/>
    <w:uiPriority w:val="9"/>
    <w:qFormat/>
    <w:rsid w:val="00D4266B"/>
    <w:pPr>
      <w:numPr>
        <w:ilvl w:val="4"/>
        <w:numId w:val="1"/>
      </w:numPr>
      <w:spacing w:before="240" w:after="60"/>
      <w:outlineLvl w:val="4"/>
    </w:pPr>
    <w:rPr>
      <w:rFonts w:ascii="Calibri" w:eastAsia="Times New Roman" w:hAnsi="Calibri"/>
      <w:b/>
      <w:bCs/>
      <w:i/>
      <w:iCs/>
      <w:sz w:val="22"/>
      <w:szCs w:val="26"/>
    </w:rPr>
  </w:style>
  <w:style w:type="paragraph" w:styleId="Nadpis6">
    <w:name w:val="heading 6"/>
    <w:basedOn w:val="Normln"/>
    <w:next w:val="Normln"/>
    <w:link w:val="Nadpis6Char1"/>
    <w:uiPriority w:val="9"/>
    <w:qFormat/>
    <w:rsid w:val="00D4266B"/>
    <w:pPr>
      <w:numPr>
        <w:ilvl w:val="5"/>
        <w:numId w:val="1"/>
      </w:numPr>
      <w:spacing w:before="240" w:after="60"/>
      <w:outlineLvl w:val="5"/>
    </w:pPr>
    <w:rPr>
      <w:rFonts w:ascii="Calibri" w:eastAsia="Times New Roman" w:hAnsi="Calibri"/>
      <w:bCs/>
      <w:sz w:val="22"/>
      <w:u w:val="single"/>
    </w:rPr>
  </w:style>
  <w:style w:type="paragraph" w:styleId="Nadpis7">
    <w:name w:val="heading 7"/>
    <w:basedOn w:val="Normln"/>
    <w:next w:val="Normln"/>
    <w:link w:val="Nadpis7Char1"/>
    <w:uiPriority w:val="9"/>
    <w:qFormat/>
    <w:rsid w:val="00243636"/>
    <w:pPr>
      <w:numPr>
        <w:ilvl w:val="6"/>
        <w:numId w:val="1"/>
      </w:numPr>
      <w:spacing w:before="240" w:after="60"/>
      <w:outlineLvl w:val="6"/>
    </w:pPr>
    <w:rPr>
      <w:rFonts w:ascii="Calibri" w:eastAsia="Times New Roman" w:hAnsi="Calibri"/>
      <w:szCs w:val="24"/>
    </w:rPr>
  </w:style>
  <w:style w:type="paragraph" w:styleId="Nadpis8">
    <w:name w:val="heading 8"/>
    <w:basedOn w:val="Normln"/>
    <w:next w:val="Normln"/>
    <w:link w:val="Nadpis8Char1"/>
    <w:uiPriority w:val="9"/>
    <w:qFormat/>
    <w:rsid w:val="00243636"/>
    <w:pPr>
      <w:numPr>
        <w:ilvl w:val="7"/>
        <w:numId w:val="1"/>
      </w:numPr>
      <w:spacing w:before="240" w:after="60"/>
      <w:outlineLvl w:val="7"/>
    </w:pPr>
    <w:rPr>
      <w:rFonts w:ascii="Calibri" w:eastAsia="Times New Roman" w:hAnsi="Calibri"/>
      <w:i/>
      <w:iCs/>
      <w:szCs w:val="24"/>
    </w:rPr>
  </w:style>
  <w:style w:type="paragraph" w:styleId="Nadpis9">
    <w:name w:val="heading 9"/>
    <w:basedOn w:val="Normln"/>
    <w:next w:val="Normln"/>
    <w:link w:val="Nadpis9Char1"/>
    <w:uiPriority w:val="9"/>
    <w:qFormat/>
    <w:rsid w:val="00243636"/>
    <w:pPr>
      <w:numPr>
        <w:ilvl w:val="8"/>
        <w:numId w:val="1"/>
      </w:num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_Odstavec se seznamem,Seznam - odrážky,Tučné,Odstavec cíl se seznamem,A-Odrážky1,Odstavec_muj,Nad,Odstavec_muj1,Odstavec_muj2,Odstavec_muj3,Nad1,Odstavec_muj4,Nad2,List Paragraph2,Odstavec_muj5,Odstavec_muj6,Odstavec_muj7,Odstavec1"/>
    <w:basedOn w:val="Normln"/>
    <w:link w:val="OdstavecseseznamemChar"/>
    <w:uiPriority w:val="34"/>
    <w:qFormat/>
    <w:rsid w:val="00243636"/>
    <w:pPr>
      <w:ind w:left="720"/>
      <w:contextualSpacing/>
    </w:pPr>
  </w:style>
  <w:style w:type="paragraph" w:styleId="Textbubliny">
    <w:name w:val="Balloon Text"/>
    <w:basedOn w:val="Normln"/>
    <w:link w:val="TextbublinyChar1"/>
    <w:uiPriority w:val="99"/>
    <w:unhideWhenUsed/>
    <w:rsid w:val="00243636"/>
    <w:pPr>
      <w:spacing w:after="0"/>
    </w:pPr>
    <w:rPr>
      <w:rFonts w:ascii="Tahoma" w:hAnsi="Tahoma" w:cs="Tahoma"/>
      <w:sz w:val="16"/>
      <w:szCs w:val="16"/>
    </w:rPr>
  </w:style>
  <w:style w:type="character" w:customStyle="1" w:styleId="TextbublinyChar">
    <w:name w:val="Text bubliny Char"/>
    <w:basedOn w:val="Standardnpsmoodstavce"/>
    <w:uiPriority w:val="99"/>
    <w:rsid w:val="00243636"/>
    <w:rPr>
      <w:rFonts w:ascii="Tahoma" w:hAnsi="Tahoma" w:cs="Tahoma"/>
      <w:sz w:val="16"/>
      <w:szCs w:val="16"/>
    </w:rPr>
  </w:style>
  <w:style w:type="paragraph" w:styleId="Titulek">
    <w:name w:val="caption"/>
    <w:aliases w:val="Titulek tabulky,Title for table,picture,graph,formula,Zdroj_moje,titulek tabulka,Tabulka-PK,Tabulka,Tabulka_nadpis"/>
    <w:basedOn w:val="Normln"/>
    <w:next w:val="Normln"/>
    <w:link w:val="TitulekChar"/>
    <w:uiPriority w:val="35"/>
    <w:qFormat/>
    <w:rsid w:val="00EC3868"/>
    <w:pPr>
      <w:widowControl w:val="0"/>
      <w:spacing w:after="0"/>
    </w:pPr>
    <w:rPr>
      <w:rFonts w:eastAsia="Times New Roman"/>
      <w:b/>
      <w:bCs/>
      <w:color w:val="000000"/>
      <w:sz w:val="22"/>
      <w:szCs w:val="20"/>
      <w:lang w:eastAsia="cs-CZ"/>
    </w:rPr>
  </w:style>
  <w:style w:type="character" w:styleId="Zstupntext">
    <w:name w:val="Placeholder Text"/>
    <w:basedOn w:val="Standardnpsmoodstavce"/>
    <w:uiPriority w:val="99"/>
    <w:semiHidden/>
    <w:rsid w:val="00243636"/>
    <w:rPr>
      <w:color w:val="808080"/>
    </w:rPr>
  </w:style>
  <w:style w:type="character" w:styleId="Odkaznakoment">
    <w:name w:val="annotation reference"/>
    <w:basedOn w:val="Standardnpsmoodstavce"/>
    <w:unhideWhenUsed/>
    <w:rsid w:val="00243636"/>
    <w:rPr>
      <w:sz w:val="16"/>
      <w:szCs w:val="16"/>
    </w:rPr>
  </w:style>
  <w:style w:type="paragraph" w:styleId="Textkomente">
    <w:name w:val="annotation text"/>
    <w:aliases w:val="Text poznámky"/>
    <w:basedOn w:val="Normln"/>
    <w:link w:val="TextkomenteChar1"/>
    <w:unhideWhenUsed/>
    <w:rsid w:val="00243636"/>
    <w:rPr>
      <w:sz w:val="20"/>
      <w:szCs w:val="20"/>
    </w:rPr>
  </w:style>
  <w:style w:type="character" w:customStyle="1" w:styleId="TextkomenteChar">
    <w:name w:val="Text komentáře Char"/>
    <w:aliases w:val="Text poznámky Char"/>
    <w:basedOn w:val="Standardnpsmoodstavce"/>
    <w:rsid w:val="00243636"/>
    <w:rPr>
      <w:sz w:val="20"/>
      <w:szCs w:val="20"/>
    </w:rPr>
  </w:style>
  <w:style w:type="paragraph" w:styleId="Pedmtkomente">
    <w:name w:val="annotation subject"/>
    <w:basedOn w:val="Textkomente"/>
    <w:next w:val="Textkomente"/>
    <w:link w:val="PedmtkomenteChar1"/>
    <w:uiPriority w:val="99"/>
    <w:unhideWhenUsed/>
    <w:rsid w:val="00243636"/>
    <w:rPr>
      <w:b/>
      <w:bCs/>
    </w:rPr>
  </w:style>
  <w:style w:type="character" w:customStyle="1" w:styleId="PedmtkomenteChar">
    <w:name w:val="Předmět komentáře Char"/>
    <w:basedOn w:val="TextkomenteChar"/>
    <w:uiPriority w:val="99"/>
    <w:rsid w:val="00243636"/>
    <w:rPr>
      <w:b/>
      <w:bCs/>
      <w:sz w:val="20"/>
      <w:szCs w:val="20"/>
    </w:rPr>
  </w:style>
  <w:style w:type="character" w:styleId="Hypertextovodkaz">
    <w:name w:val="Hyperlink"/>
    <w:basedOn w:val="Standardnpsmoodstavce"/>
    <w:uiPriority w:val="99"/>
    <w:unhideWhenUsed/>
    <w:rsid w:val="00243636"/>
    <w:rPr>
      <w:color w:val="0000FF"/>
      <w:u w:val="single"/>
    </w:rPr>
  </w:style>
  <w:style w:type="character" w:styleId="CittHTML">
    <w:name w:val="HTML Cite"/>
    <w:basedOn w:val="Standardnpsmoodstavce"/>
    <w:uiPriority w:val="99"/>
    <w:semiHidden/>
    <w:unhideWhenUsed/>
    <w:rsid w:val="00243636"/>
    <w:rPr>
      <w:i/>
      <w:iCs/>
    </w:rPr>
  </w:style>
  <w:style w:type="character" w:customStyle="1" w:styleId="Nadpis2Char">
    <w:name w:val="Nadpis 2 Char"/>
    <w:aliases w:val="nadpis 2 Char,Nadpis 2 Z Char,Dipl2 Char"/>
    <w:basedOn w:val="Standardnpsmoodstavce"/>
    <w:uiPriority w:val="9"/>
    <w:rsid w:val="00243636"/>
    <w:rPr>
      <w:rFonts w:ascii="Cambria" w:eastAsia="Times New Roman" w:hAnsi="Cambria"/>
      <w:b/>
      <w:bCs/>
      <w:color w:val="B6B002"/>
      <w:sz w:val="26"/>
      <w:szCs w:val="26"/>
      <w:lang w:eastAsia="en-US"/>
    </w:rPr>
  </w:style>
  <w:style w:type="character" w:customStyle="1" w:styleId="Nadpis1Char">
    <w:name w:val="Nadpis 1 Char"/>
    <w:aliases w:val="nadpis 1 Char,N 1 Char,Dipl 1 Char"/>
    <w:basedOn w:val="Standardnpsmoodstavce"/>
    <w:uiPriority w:val="9"/>
    <w:rsid w:val="00243636"/>
    <w:rPr>
      <w:rFonts w:ascii="Cambria" w:eastAsia="Times New Roman" w:hAnsi="Cambria"/>
      <w:b/>
      <w:bCs/>
      <w:color w:val="B6B002"/>
      <w:sz w:val="28"/>
      <w:szCs w:val="28"/>
      <w:lang w:eastAsia="en-US"/>
    </w:rPr>
  </w:style>
  <w:style w:type="character" w:customStyle="1" w:styleId="Nadpis3Char">
    <w:name w:val="Nadpis 3 Char"/>
    <w:aliases w:val="nadpis 3 Char,Nadpis 3 Z Char,Dipl3 Char"/>
    <w:basedOn w:val="Standardnpsmoodstavce"/>
    <w:uiPriority w:val="9"/>
    <w:rsid w:val="00243636"/>
    <w:rPr>
      <w:rFonts w:ascii="Cambria" w:eastAsia="Times New Roman" w:hAnsi="Cambria"/>
      <w:b/>
      <w:bCs/>
      <w:color w:val="B6B002"/>
      <w:sz w:val="24"/>
      <w:szCs w:val="22"/>
      <w:lang w:eastAsia="en-US"/>
    </w:rPr>
  </w:style>
  <w:style w:type="character" w:customStyle="1" w:styleId="Nadpis4Char">
    <w:name w:val="Nadpis 4 Char"/>
    <w:aliases w:val="nadpis 4 Char,Nadpis 4 Z Char"/>
    <w:basedOn w:val="Standardnpsmoodstavce"/>
    <w:uiPriority w:val="9"/>
    <w:rsid w:val="00243636"/>
    <w:rPr>
      <w:rFonts w:ascii="Cambria" w:eastAsia="Times New Roman" w:hAnsi="Cambria"/>
      <w:b/>
      <w:bCs/>
      <w:i/>
      <w:iCs/>
      <w:color w:val="4F81BD"/>
      <w:sz w:val="24"/>
      <w:szCs w:val="22"/>
      <w:lang w:eastAsia="en-US"/>
    </w:rPr>
  </w:style>
  <w:style w:type="character" w:styleId="Sledovanodkaz">
    <w:name w:val="FollowedHyperlink"/>
    <w:basedOn w:val="Standardnpsmoodstavce"/>
    <w:uiPriority w:val="99"/>
    <w:unhideWhenUsed/>
    <w:rsid w:val="00243636"/>
    <w:rPr>
      <w:color w:val="800080"/>
      <w:u w:val="single"/>
    </w:rPr>
  </w:style>
  <w:style w:type="paragraph" w:styleId="Textpoznpodarou">
    <w:name w:val="footnote text"/>
    <w:aliases w:val="Text poznámky pod čiarou 007,_Poznámka pod čiarou,Poznámka,Footnote text,Fußnotentextf,Char1,Schriftart: 9 pt,Schriftart: 10 pt,Schriftart: 8 pt,Geneva 9,Font: Geneva 9,Boston 10,f,Text pozn. pod čarou1,o,Char,Char3,fn"/>
    <w:basedOn w:val="Normln"/>
    <w:link w:val="TextpoznpodarouChar1"/>
    <w:qFormat/>
    <w:rsid w:val="00140ED7"/>
    <w:pPr>
      <w:spacing w:before="0" w:after="0"/>
    </w:pPr>
    <w:rPr>
      <w:rFonts w:eastAsia="Times New Roman"/>
      <w:sz w:val="18"/>
      <w:szCs w:val="20"/>
      <w:lang w:eastAsia="cs-CZ"/>
    </w:rPr>
  </w:style>
  <w:style w:type="character" w:customStyle="1" w:styleId="TextpoznpodarouChar">
    <w:name w:val="Text pozn. pod čarou Char"/>
    <w:aliases w:val="Text poznámky pod čiarou 007 Char,_Poznámka pod čiarou Char,Poznámka Char,Footnote text Char,Fußnotentextf Char,Char1 Char,Schriftart: 9 pt Char,Schriftart: 10 pt Char,Schriftart: 8 pt Char,Geneva 9 Char,Footnote Text Char Char"/>
    <w:basedOn w:val="Standardnpsmoodstavce"/>
    <w:uiPriority w:val="99"/>
    <w:rsid w:val="00243636"/>
    <w:rPr>
      <w:rFonts w:ascii="Times New Roman" w:eastAsia="Times New Roman" w:hAnsi="Times New Roman" w:cs="Times New Roman"/>
      <w:sz w:val="20"/>
      <w:szCs w:val="20"/>
      <w:lang w:eastAsia="cs-CZ"/>
    </w:rPr>
  </w:style>
  <w:style w:type="character" w:styleId="Znakapoznpodarou">
    <w:name w:val="footnote reference"/>
    <w:aliases w:val="Footnote Reference Number,Footnote symbol,Footnote,PGI Fußnote Ziffer,BVI fnr,Footnote Reference Superscript,Appel note de bas de p,Appel note de bas de page,Légende,Char Car Car Car Car,Voetnootverwijzing,text pozn. pod čarou,fr"/>
    <w:basedOn w:val="Standardnpsmoodstavce"/>
    <w:rsid w:val="00243636"/>
    <w:rPr>
      <w:vertAlign w:val="superscript"/>
    </w:rPr>
  </w:style>
  <w:style w:type="paragraph" w:styleId="Zhlav">
    <w:name w:val="header"/>
    <w:aliases w:val="Záhlaví a zápatí"/>
    <w:basedOn w:val="Normln"/>
    <w:link w:val="ZhlavChar1"/>
    <w:uiPriority w:val="99"/>
    <w:unhideWhenUsed/>
    <w:rsid w:val="00243636"/>
    <w:pPr>
      <w:tabs>
        <w:tab w:val="center" w:pos="4536"/>
        <w:tab w:val="right" w:pos="9072"/>
      </w:tabs>
      <w:spacing w:after="0"/>
    </w:pPr>
  </w:style>
  <w:style w:type="character" w:customStyle="1" w:styleId="ZhlavChar">
    <w:name w:val="Záhlaví Char"/>
    <w:aliases w:val="Záhlaví a zápatí Char"/>
    <w:basedOn w:val="Standardnpsmoodstavce"/>
    <w:uiPriority w:val="99"/>
    <w:rsid w:val="00243636"/>
  </w:style>
  <w:style w:type="paragraph" w:styleId="Zpat">
    <w:name w:val="footer"/>
    <w:aliases w:val=" Char10,Char10"/>
    <w:basedOn w:val="Normln"/>
    <w:link w:val="ZpatChar1"/>
    <w:uiPriority w:val="99"/>
    <w:unhideWhenUsed/>
    <w:rsid w:val="00243636"/>
    <w:pPr>
      <w:tabs>
        <w:tab w:val="center" w:pos="4536"/>
        <w:tab w:val="right" w:pos="9072"/>
      </w:tabs>
      <w:spacing w:after="0"/>
    </w:pPr>
  </w:style>
  <w:style w:type="character" w:customStyle="1" w:styleId="ZpatChar">
    <w:name w:val="Zápatí Char"/>
    <w:aliases w:val=" Char10 Char,Char10 Char"/>
    <w:basedOn w:val="Standardnpsmoodstavce"/>
    <w:uiPriority w:val="99"/>
    <w:rsid w:val="00243636"/>
  </w:style>
  <w:style w:type="paragraph" w:styleId="Rejstk1">
    <w:name w:val="index 1"/>
    <w:basedOn w:val="Normln"/>
    <w:next w:val="Normln"/>
    <w:autoRedefine/>
    <w:unhideWhenUsed/>
    <w:rsid w:val="00243636"/>
    <w:pPr>
      <w:spacing w:after="0"/>
      <w:ind w:left="220" w:hanging="220"/>
    </w:pPr>
  </w:style>
  <w:style w:type="paragraph" w:styleId="Nadpisobsahu">
    <w:name w:val="TOC Heading"/>
    <w:basedOn w:val="Nadpis1"/>
    <w:next w:val="Normln"/>
    <w:uiPriority w:val="39"/>
    <w:qFormat/>
    <w:rsid w:val="00243636"/>
    <w:pPr>
      <w:outlineLvl w:val="9"/>
    </w:pPr>
  </w:style>
  <w:style w:type="paragraph" w:styleId="Obsah1">
    <w:name w:val="toc 1"/>
    <w:basedOn w:val="Normln"/>
    <w:next w:val="Normln"/>
    <w:autoRedefine/>
    <w:uiPriority w:val="39"/>
    <w:unhideWhenUsed/>
    <w:rsid w:val="00F56499"/>
    <w:pPr>
      <w:tabs>
        <w:tab w:val="left" w:pos="480"/>
        <w:tab w:val="right" w:leader="dot" w:pos="9062"/>
      </w:tabs>
    </w:pPr>
    <w:rPr>
      <w:rFonts w:asciiTheme="minorHAnsi" w:hAnsiTheme="minorHAnsi"/>
      <w:b/>
      <w:bCs/>
      <w:caps/>
      <w:sz w:val="20"/>
      <w:szCs w:val="20"/>
    </w:rPr>
  </w:style>
  <w:style w:type="paragraph" w:styleId="Obsah2">
    <w:name w:val="toc 2"/>
    <w:basedOn w:val="Normln"/>
    <w:next w:val="Normln"/>
    <w:autoRedefine/>
    <w:uiPriority w:val="39"/>
    <w:unhideWhenUsed/>
    <w:rsid w:val="009B273B"/>
    <w:pPr>
      <w:spacing w:before="0" w:after="0"/>
      <w:ind w:left="240"/>
    </w:pPr>
    <w:rPr>
      <w:rFonts w:asciiTheme="minorHAnsi" w:hAnsiTheme="minorHAnsi"/>
      <w:smallCaps/>
      <w:sz w:val="20"/>
      <w:szCs w:val="20"/>
    </w:rPr>
  </w:style>
  <w:style w:type="paragraph" w:styleId="Obsah3">
    <w:name w:val="toc 3"/>
    <w:basedOn w:val="Normln"/>
    <w:next w:val="Normln"/>
    <w:autoRedefine/>
    <w:uiPriority w:val="39"/>
    <w:unhideWhenUsed/>
    <w:rsid w:val="009B273B"/>
    <w:pPr>
      <w:spacing w:before="0" w:after="0"/>
      <w:ind w:left="480"/>
    </w:pPr>
    <w:rPr>
      <w:rFonts w:asciiTheme="minorHAnsi" w:hAnsiTheme="minorHAnsi"/>
      <w:i/>
      <w:iCs/>
      <w:sz w:val="18"/>
      <w:szCs w:val="20"/>
    </w:rPr>
  </w:style>
  <w:style w:type="paragraph" w:styleId="Seznamobrzk">
    <w:name w:val="table of figures"/>
    <w:basedOn w:val="Normln"/>
    <w:next w:val="Normln"/>
    <w:uiPriority w:val="99"/>
    <w:unhideWhenUsed/>
    <w:rsid w:val="00243636"/>
    <w:pPr>
      <w:spacing w:after="0"/>
    </w:pPr>
  </w:style>
  <w:style w:type="paragraph" w:styleId="Zkladntext3">
    <w:name w:val="Body Text 3"/>
    <w:basedOn w:val="Normln"/>
    <w:uiPriority w:val="99"/>
    <w:rsid w:val="00243636"/>
    <w:rPr>
      <w:rFonts w:ascii="Times New Roman" w:eastAsia="Times New Roman" w:hAnsi="Times New Roman"/>
      <w:sz w:val="16"/>
      <w:szCs w:val="16"/>
      <w:lang w:eastAsia="cs-CZ"/>
    </w:rPr>
  </w:style>
  <w:style w:type="character" w:customStyle="1" w:styleId="Zkladntext3Char">
    <w:name w:val="Základní text 3 Char"/>
    <w:basedOn w:val="Standardnpsmoodstavce"/>
    <w:uiPriority w:val="99"/>
    <w:rsid w:val="00243636"/>
    <w:rPr>
      <w:rFonts w:ascii="Times New Roman" w:eastAsia="Times New Roman" w:hAnsi="Times New Roman"/>
      <w:sz w:val="16"/>
      <w:szCs w:val="16"/>
    </w:rPr>
  </w:style>
  <w:style w:type="paragraph" w:customStyle="1" w:styleId="bn">
    <w:name w:val="běžný"/>
    <w:basedOn w:val="Normln"/>
    <w:rsid w:val="00243636"/>
    <w:pPr>
      <w:autoSpaceDE w:val="0"/>
      <w:autoSpaceDN w:val="0"/>
      <w:adjustRightInd w:val="0"/>
    </w:pPr>
    <w:rPr>
      <w:rFonts w:ascii="Times New Roman" w:eastAsia="Times New Roman" w:hAnsi="Times New Roman"/>
      <w:szCs w:val="24"/>
      <w:lang w:eastAsia="cs-CZ"/>
    </w:rPr>
  </w:style>
  <w:style w:type="paragraph" w:customStyle="1" w:styleId="MDSR">
    <w:name w:val="MDS ČR"/>
    <w:rsid w:val="00243636"/>
    <w:pPr>
      <w:suppressAutoHyphens/>
      <w:overflowPunct w:val="0"/>
      <w:autoSpaceDE w:val="0"/>
      <w:autoSpaceDN w:val="0"/>
      <w:adjustRightInd w:val="0"/>
      <w:spacing w:before="120"/>
      <w:ind w:firstLine="567"/>
      <w:jc w:val="both"/>
      <w:textAlignment w:val="baseline"/>
    </w:pPr>
    <w:rPr>
      <w:rFonts w:ascii="Times New Roman" w:eastAsia="Times New Roman" w:hAnsi="Times New Roman"/>
      <w:sz w:val="24"/>
      <w:lang w:eastAsia="cs-CZ"/>
    </w:rPr>
  </w:style>
  <w:style w:type="paragraph" w:styleId="Citt">
    <w:name w:val="Quote"/>
    <w:basedOn w:val="Normln"/>
    <w:next w:val="Normln"/>
    <w:link w:val="CittChar"/>
    <w:uiPriority w:val="29"/>
    <w:qFormat/>
    <w:rsid w:val="00B80ACE"/>
    <w:pPr>
      <w:widowControl w:val="0"/>
      <w:spacing w:before="0" w:after="0"/>
    </w:pPr>
    <w:rPr>
      <w:rFonts w:eastAsia="Times New Roman"/>
      <w:i/>
      <w:iCs/>
      <w:color w:val="000000"/>
      <w:sz w:val="22"/>
      <w:szCs w:val="20"/>
      <w:lang w:eastAsia="cs-CZ"/>
    </w:rPr>
  </w:style>
  <w:style w:type="character" w:customStyle="1" w:styleId="CitaceChar">
    <w:name w:val="Citace Char"/>
    <w:basedOn w:val="Standardnpsmoodstavce"/>
    <w:rsid w:val="00243636"/>
    <w:rPr>
      <w:i/>
      <w:iCs/>
      <w:color w:val="000000"/>
      <w:sz w:val="22"/>
      <w:szCs w:val="22"/>
      <w:lang w:eastAsia="en-US"/>
    </w:rPr>
  </w:style>
  <w:style w:type="character" w:customStyle="1" w:styleId="CitaceChar1">
    <w:name w:val="Citace Char1"/>
    <w:basedOn w:val="Standardnpsmoodstavce"/>
    <w:link w:val="1"/>
    <w:uiPriority w:val="29"/>
    <w:rsid w:val="00243636"/>
    <w:rPr>
      <w:rFonts w:ascii="Times New Roman" w:eastAsia="Times New Roman" w:hAnsi="Times New Roman"/>
      <w:i/>
      <w:iCs/>
      <w:color w:val="000000"/>
      <w:sz w:val="24"/>
    </w:rPr>
  </w:style>
  <w:style w:type="character" w:styleId="Zvraznn">
    <w:name w:val="Emphasis"/>
    <w:aliases w:val="Zdroj - tabulky;grafy atd."/>
    <w:basedOn w:val="Standardnpsmoodstavce"/>
    <w:uiPriority w:val="20"/>
    <w:qFormat/>
    <w:rsid w:val="00243636"/>
    <w:rPr>
      <w:i/>
      <w:iCs/>
    </w:rPr>
  </w:style>
  <w:style w:type="character" w:customStyle="1" w:styleId="Nadpis5Char">
    <w:name w:val="Nadpis 5 Char"/>
    <w:aliases w:val="nadpis 5 Char"/>
    <w:basedOn w:val="Standardnpsmoodstavce"/>
    <w:uiPriority w:val="9"/>
    <w:rsid w:val="00243636"/>
    <w:rPr>
      <w:rFonts w:eastAsia="Times New Roman"/>
      <w:b/>
      <w:bCs/>
      <w:i/>
      <w:iCs/>
      <w:sz w:val="26"/>
      <w:szCs w:val="26"/>
      <w:lang w:eastAsia="en-US"/>
    </w:rPr>
  </w:style>
  <w:style w:type="character" w:customStyle="1" w:styleId="Nadpis6Char">
    <w:name w:val="Nadpis 6 Char"/>
    <w:basedOn w:val="Standardnpsmoodstavce"/>
    <w:uiPriority w:val="9"/>
    <w:rsid w:val="00243636"/>
    <w:rPr>
      <w:rFonts w:eastAsia="Times New Roman"/>
      <w:b/>
      <w:bCs/>
      <w:sz w:val="24"/>
      <w:szCs w:val="22"/>
      <w:lang w:eastAsia="en-US"/>
    </w:rPr>
  </w:style>
  <w:style w:type="character" w:customStyle="1" w:styleId="Nadpis7Char">
    <w:name w:val="Nadpis 7 Char"/>
    <w:basedOn w:val="Standardnpsmoodstavce"/>
    <w:uiPriority w:val="9"/>
    <w:rsid w:val="00243636"/>
    <w:rPr>
      <w:rFonts w:eastAsia="Times New Roman"/>
      <w:sz w:val="24"/>
      <w:szCs w:val="24"/>
      <w:lang w:eastAsia="en-US"/>
    </w:rPr>
  </w:style>
  <w:style w:type="character" w:customStyle="1" w:styleId="Nadpis8Char">
    <w:name w:val="Nadpis 8 Char"/>
    <w:basedOn w:val="Standardnpsmoodstavce"/>
    <w:uiPriority w:val="9"/>
    <w:rsid w:val="00243636"/>
    <w:rPr>
      <w:rFonts w:eastAsia="Times New Roman"/>
      <w:i/>
      <w:iCs/>
      <w:sz w:val="24"/>
      <w:szCs w:val="24"/>
      <w:lang w:eastAsia="en-US"/>
    </w:rPr>
  </w:style>
  <w:style w:type="character" w:customStyle="1" w:styleId="Nadpis9Char">
    <w:name w:val="Nadpis 9 Char"/>
    <w:basedOn w:val="Standardnpsmoodstavce"/>
    <w:uiPriority w:val="9"/>
    <w:rsid w:val="00243636"/>
    <w:rPr>
      <w:rFonts w:ascii="Cambria" w:eastAsia="Times New Roman" w:hAnsi="Cambria"/>
      <w:sz w:val="24"/>
      <w:szCs w:val="22"/>
      <w:lang w:eastAsia="en-US"/>
    </w:rPr>
  </w:style>
  <w:style w:type="paragraph" w:styleId="Normlnweb">
    <w:name w:val="Normal (Web)"/>
    <w:basedOn w:val="Normln"/>
    <w:link w:val="NormlnwebChar"/>
    <w:uiPriority w:val="99"/>
    <w:qFormat/>
    <w:rsid w:val="00243636"/>
    <w:pPr>
      <w:spacing w:before="100" w:beforeAutospacing="1" w:after="100" w:afterAutospacing="1"/>
      <w:jc w:val="left"/>
    </w:pPr>
    <w:rPr>
      <w:rFonts w:ascii="Times New Roman" w:eastAsia="Times New Roman" w:hAnsi="Times New Roman"/>
      <w:szCs w:val="24"/>
      <w:lang w:eastAsia="cs-CZ"/>
    </w:rPr>
  </w:style>
  <w:style w:type="table" w:customStyle="1" w:styleId="Svtlstnovn1">
    <w:name w:val="Světlé stínování1"/>
    <w:basedOn w:val="Normlntabulka"/>
    <w:uiPriority w:val="60"/>
    <w:rsid w:val="007D72A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ze">
    <w:name w:val="Revision"/>
    <w:hidden/>
    <w:uiPriority w:val="99"/>
    <w:semiHidden/>
    <w:rsid w:val="0099667A"/>
    <w:rPr>
      <w:rFonts w:ascii="Garamond" w:hAnsi="Garamond"/>
      <w:sz w:val="24"/>
      <w:szCs w:val="22"/>
    </w:rPr>
  </w:style>
  <w:style w:type="paragraph" w:styleId="Rozloendokumentu">
    <w:name w:val="Document Map"/>
    <w:basedOn w:val="Normln"/>
    <w:link w:val="RozloendokumentuChar"/>
    <w:rsid w:val="00F662E3"/>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rsid w:val="00FF4BC7"/>
    <w:rPr>
      <w:rFonts w:ascii="Tahoma" w:hAnsi="Tahoma" w:cs="Tahoma"/>
      <w:shd w:val="clear" w:color="auto" w:fill="000080"/>
      <w:lang w:eastAsia="en-US"/>
    </w:rPr>
  </w:style>
  <w:style w:type="paragraph" w:styleId="Zkladntext">
    <w:name w:val="Body Text"/>
    <w:basedOn w:val="Normln"/>
    <w:link w:val="ZkladntextChar"/>
    <w:unhideWhenUsed/>
    <w:rsid w:val="00A34BC8"/>
  </w:style>
  <w:style w:type="character" w:customStyle="1" w:styleId="ZkladntextChar">
    <w:name w:val="Základní text Char"/>
    <w:basedOn w:val="Standardnpsmoodstavce"/>
    <w:link w:val="Zkladntext"/>
    <w:rsid w:val="00A34BC8"/>
    <w:rPr>
      <w:rFonts w:ascii="Garamond" w:hAnsi="Garamond"/>
      <w:sz w:val="24"/>
      <w:szCs w:val="22"/>
      <w:lang w:eastAsia="en-US"/>
    </w:rPr>
  </w:style>
  <w:style w:type="paragraph" w:customStyle="1" w:styleId="Citace1">
    <w:name w:val="Citace1"/>
    <w:aliases w:val="Quote,Quote2"/>
    <w:basedOn w:val="Titulek"/>
    <w:next w:val="Normln"/>
    <w:qFormat/>
    <w:rsid w:val="00AD2EB2"/>
    <w:rPr>
      <w:b w:val="0"/>
      <w:bCs w:val="0"/>
      <w:sz w:val="20"/>
    </w:rPr>
  </w:style>
  <w:style w:type="character" w:customStyle="1" w:styleId="longtext">
    <w:name w:val="long_text"/>
    <w:basedOn w:val="Standardnpsmoodstavce"/>
    <w:rsid w:val="00D8660D"/>
  </w:style>
  <w:style w:type="character" w:customStyle="1" w:styleId="TextpoznpodarouChar1">
    <w:name w:val="Text pozn. pod čarou Char1"/>
    <w:aliases w:val="Text poznámky pod čiarou 007 Char1,_Poznámka pod čiarou Char1,Poznámka Char1,Footnote text Char1,Fußnotentextf Char1,Char1 Char1,Schriftart: 9 pt Char1,Schriftart: 10 pt Char1,Schriftart: 8 pt Char1,Geneva 9 Char1,f Char"/>
    <w:basedOn w:val="Standardnpsmoodstavce"/>
    <w:link w:val="Textpoznpodarou"/>
    <w:uiPriority w:val="99"/>
    <w:rsid w:val="00140ED7"/>
    <w:rPr>
      <w:rFonts w:ascii="Garamond" w:eastAsia="Times New Roman" w:hAnsi="Garamond"/>
      <w:sz w:val="18"/>
      <w:lang w:val="en-GB" w:eastAsia="cs-CZ"/>
    </w:rPr>
  </w:style>
  <w:style w:type="paragraph" w:customStyle="1" w:styleId="Odstavecseseznamem1">
    <w:name w:val="Odstavec se seznamem1"/>
    <w:basedOn w:val="Normln"/>
    <w:uiPriority w:val="34"/>
    <w:qFormat/>
    <w:rsid w:val="001F1631"/>
    <w:pPr>
      <w:numPr>
        <w:numId w:val="9"/>
      </w:numPr>
      <w:ind w:left="567" w:hanging="567"/>
      <w:contextualSpacing/>
    </w:pPr>
  </w:style>
  <w:style w:type="character" w:customStyle="1" w:styleId="Zstupntext1">
    <w:name w:val="Zástupný text1"/>
    <w:basedOn w:val="Standardnpsmoodstavce"/>
    <w:uiPriority w:val="99"/>
    <w:semiHidden/>
    <w:rsid w:val="00D8660D"/>
    <w:rPr>
      <w:color w:val="808080"/>
    </w:rPr>
  </w:style>
  <w:style w:type="paragraph" w:customStyle="1" w:styleId="Nadpisobsahu1">
    <w:name w:val="Nadpis obsahu1"/>
    <w:basedOn w:val="Nadpis1"/>
    <w:next w:val="Normln"/>
    <w:uiPriority w:val="39"/>
    <w:rsid w:val="00D8660D"/>
    <w:pPr>
      <w:outlineLvl w:val="9"/>
    </w:pPr>
  </w:style>
  <w:style w:type="paragraph" w:customStyle="1" w:styleId="Revize1">
    <w:name w:val="Revize1"/>
    <w:hidden/>
    <w:uiPriority w:val="99"/>
    <w:semiHidden/>
    <w:rsid w:val="00D8660D"/>
    <w:rPr>
      <w:rFonts w:ascii="Garamond" w:hAnsi="Garamond"/>
      <w:sz w:val="24"/>
      <w:szCs w:val="22"/>
    </w:rPr>
  </w:style>
  <w:style w:type="numbering" w:customStyle="1" w:styleId="NoList1">
    <w:name w:val="No List1"/>
    <w:next w:val="Bezseznamu"/>
    <w:semiHidden/>
    <w:rsid w:val="00D8660D"/>
  </w:style>
  <w:style w:type="paragraph" w:customStyle="1" w:styleId="beznytext">
    <w:name w:val="bezny_text"/>
    <w:basedOn w:val="Normln"/>
    <w:rsid w:val="00D8660D"/>
    <w:pPr>
      <w:spacing w:before="100" w:beforeAutospacing="1" w:after="100" w:afterAutospacing="1"/>
    </w:pPr>
    <w:rPr>
      <w:rFonts w:ascii="Times New Roman" w:eastAsia="MS Mincho" w:hAnsi="Times New Roman"/>
      <w:szCs w:val="24"/>
      <w:shd w:val="clear" w:color="auto" w:fill="FFFFFF"/>
      <w:lang w:eastAsia="ja-JP"/>
    </w:rPr>
  </w:style>
  <w:style w:type="character" w:styleId="Siln">
    <w:name w:val="Strong"/>
    <w:basedOn w:val="Standardnpsmoodstavce"/>
    <w:uiPriority w:val="22"/>
    <w:qFormat/>
    <w:rsid w:val="00D90EF8"/>
    <w:rPr>
      <w:i/>
      <w:color w:val="auto"/>
      <w:sz w:val="24"/>
      <w:szCs w:val="24"/>
    </w:rPr>
  </w:style>
  <w:style w:type="paragraph" w:styleId="z-Konecformule">
    <w:name w:val="HTML Bottom of Form"/>
    <w:basedOn w:val="Normln"/>
    <w:next w:val="Normln"/>
    <w:link w:val="z-KonecformuleChar"/>
    <w:hidden/>
    <w:uiPriority w:val="99"/>
    <w:unhideWhenUsed/>
    <w:rsid w:val="00D8660D"/>
    <w:pPr>
      <w:pBdr>
        <w:top w:val="single" w:sz="6" w:space="1" w:color="auto"/>
      </w:pBdr>
      <w:jc w:val="center"/>
    </w:pPr>
    <w:rPr>
      <w:rFonts w:ascii="Arial" w:eastAsia="Times New Roman" w:hAnsi="Arial" w:cs="Arial"/>
      <w:vanish/>
      <w:sz w:val="16"/>
      <w:szCs w:val="16"/>
      <w:shd w:val="clear" w:color="auto" w:fill="FFFFFF"/>
      <w:lang w:val="en-US"/>
    </w:rPr>
  </w:style>
  <w:style w:type="character" w:customStyle="1" w:styleId="z-KonecformuleChar">
    <w:name w:val="z-Konec formuláře Char"/>
    <w:basedOn w:val="Standardnpsmoodstavce"/>
    <w:link w:val="z-Konecformule"/>
    <w:uiPriority w:val="99"/>
    <w:rsid w:val="00D8660D"/>
    <w:rPr>
      <w:rFonts w:ascii="Arial" w:eastAsia="Times New Roman" w:hAnsi="Arial" w:cs="Arial"/>
      <w:vanish/>
      <w:sz w:val="16"/>
      <w:szCs w:val="16"/>
      <w:lang w:val="en-US" w:eastAsia="en-US"/>
    </w:rPr>
  </w:style>
  <w:style w:type="paragraph" w:styleId="Podtitul">
    <w:name w:val="Subtitle"/>
    <w:aliases w:val="Heading5,NADPES00"/>
    <w:basedOn w:val="Normln"/>
    <w:link w:val="PodtitulChar"/>
    <w:qFormat/>
    <w:rsid w:val="00D8660D"/>
    <w:pPr>
      <w:numPr>
        <w:numId w:val="2"/>
      </w:numPr>
      <w:spacing w:line="480" w:lineRule="auto"/>
    </w:pPr>
    <w:rPr>
      <w:rFonts w:ascii="AT*Switzerland" w:eastAsia="Times New Roman" w:hAnsi="AT*Switzerland"/>
      <w:b/>
      <w:szCs w:val="20"/>
      <w:shd w:val="clear" w:color="auto" w:fill="FFFFFF"/>
      <w:lang w:val="sk-SK"/>
    </w:rPr>
  </w:style>
  <w:style w:type="character" w:customStyle="1" w:styleId="PodtitulChar">
    <w:name w:val="Podtitul Char"/>
    <w:aliases w:val="Heading5 Char,NADPES00 Char"/>
    <w:basedOn w:val="Standardnpsmoodstavce"/>
    <w:link w:val="Podtitul"/>
    <w:rsid w:val="00D8660D"/>
    <w:rPr>
      <w:rFonts w:ascii="AT*Switzerland" w:eastAsia="Times New Roman" w:hAnsi="AT*Switzerland"/>
      <w:b/>
      <w:sz w:val="24"/>
      <w:lang w:val="sk-SK"/>
    </w:rPr>
  </w:style>
  <w:style w:type="table" w:styleId="Mkatabulky">
    <w:name w:val="Table Grid"/>
    <w:basedOn w:val="Normlntabulka"/>
    <w:uiPriority w:val="59"/>
    <w:rsid w:val="00D8660D"/>
    <w:rPr>
      <w:rFonts w:ascii="Times New Roman" w:eastAsia="MS Mincho"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yl1">
    <w:name w:val="styl1"/>
    <w:basedOn w:val="Standardnpsmoodstavce"/>
    <w:rsid w:val="00D8660D"/>
    <w:rPr>
      <w:sz w:val="14"/>
      <w:szCs w:val="14"/>
    </w:rPr>
  </w:style>
  <w:style w:type="character" w:customStyle="1" w:styleId="longtext1">
    <w:name w:val="long_text1"/>
    <w:basedOn w:val="Standardnpsmoodstavce"/>
    <w:rsid w:val="00D8660D"/>
    <w:rPr>
      <w:sz w:val="20"/>
      <w:szCs w:val="20"/>
    </w:rPr>
  </w:style>
  <w:style w:type="paragraph" w:customStyle="1" w:styleId="poduct020301blit">
    <w:name w:val="poduct_020301_blit"/>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mt30">
    <w:name w:val="mt3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mt20">
    <w:name w:val="mt2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itle41">
    <w:name w:val="title4_1"/>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centermt10">
    <w:name w:val="tcenter mt1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itle41mt10">
    <w:name w:val="title4_1mt10"/>
    <w:basedOn w:val="Normln"/>
    <w:rsid w:val="00D8660D"/>
    <w:pPr>
      <w:spacing w:before="100" w:beforeAutospacing="1" w:after="100" w:afterAutospacing="1"/>
      <w:jc w:val="left"/>
    </w:pPr>
    <w:rPr>
      <w:rFonts w:ascii="Times New Roman" w:eastAsia="MS Mincho" w:hAnsi="Times New Roman"/>
      <w:szCs w:val="24"/>
      <w:lang w:eastAsia="ja-JP"/>
    </w:rPr>
  </w:style>
  <w:style w:type="character" w:customStyle="1" w:styleId="TextbublinyChar1">
    <w:name w:val="Text bubliny Char1"/>
    <w:basedOn w:val="Standardnpsmoodstavce"/>
    <w:link w:val="Textbubliny"/>
    <w:uiPriority w:val="99"/>
    <w:rsid w:val="00D8660D"/>
    <w:rPr>
      <w:rFonts w:ascii="Tahoma" w:hAnsi="Tahoma" w:cs="Tahoma"/>
      <w:sz w:val="16"/>
      <w:szCs w:val="16"/>
      <w:lang w:eastAsia="en-US"/>
    </w:rPr>
  </w:style>
  <w:style w:type="character" w:customStyle="1" w:styleId="A4">
    <w:name w:val="A4"/>
    <w:uiPriority w:val="99"/>
    <w:rsid w:val="00D8660D"/>
    <w:rPr>
      <w:rFonts w:cs="H-Helvetica"/>
      <w:color w:val="000000"/>
      <w:sz w:val="18"/>
      <w:szCs w:val="18"/>
    </w:rPr>
  </w:style>
  <w:style w:type="character" w:customStyle="1" w:styleId="Nadpis2Char1">
    <w:name w:val="Nadpis 2 Char1"/>
    <w:aliases w:val="Heading 2 Firm Char,Heading 2 Firm1 Char,nadpis 2 Char1,Nadpis 2 Z Char1,Dipl2 Char1,Heading 2 Firm11 Char"/>
    <w:basedOn w:val="Standardnpsmoodstavce"/>
    <w:link w:val="Nadpis2"/>
    <w:rsid w:val="0015726B"/>
    <w:rPr>
      <w:rFonts w:ascii="Cambria" w:eastAsia="Times New Roman" w:hAnsi="Cambria"/>
      <w:b/>
      <w:bCs/>
      <w:color w:val="B6B002"/>
      <w:sz w:val="26"/>
      <w:szCs w:val="26"/>
    </w:rPr>
  </w:style>
  <w:style w:type="character" w:customStyle="1" w:styleId="Nadpis1Char1">
    <w:name w:val="Nadpis 1 Char1"/>
    <w:aliases w:val="nadpis 1 Char1,N 1 Char1,Dipl 1 Char1,título 1 Char,H1 Char,h1 Char,h11 Char,h12 Char,h13 Char,h14 Char,h15 Char,h16 Char,h17 Char,h111 Char,h121 Char,h131 Char,h141 Char,h151 Char,h161 Char,h18 Char,h112 Char,h122 Char,h132 Char,h19 Char"/>
    <w:basedOn w:val="Standardnpsmoodstavce"/>
    <w:link w:val="Nadpis1"/>
    <w:rsid w:val="009679AD"/>
    <w:rPr>
      <w:rFonts w:ascii="Cambria" w:eastAsia="Times New Roman" w:hAnsi="Cambria"/>
      <w:b/>
      <w:bCs/>
      <w:color w:val="B6B002"/>
      <w:sz w:val="28"/>
      <w:szCs w:val="28"/>
    </w:rPr>
  </w:style>
  <w:style w:type="paragraph" w:customStyle="1" w:styleId="Default">
    <w:name w:val="Default"/>
    <w:link w:val="DefaultChar"/>
    <w:rsid w:val="00D8660D"/>
    <w:pPr>
      <w:autoSpaceDE w:val="0"/>
      <w:autoSpaceDN w:val="0"/>
      <w:adjustRightInd w:val="0"/>
    </w:pPr>
    <w:rPr>
      <w:rFonts w:eastAsia="MS Mincho" w:cs="Calibri"/>
      <w:color w:val="000000"/>
      <w:sz w:val="24"/>
      <w:szCs w:val="24"/>
    </w:rPr>
  </w:style>
  <w:style w:type="paragraph" w:customStyle="1" w:styleId="pagehdr">
    <w:name w:val="pagehdr"/>
    <w:basedOn w:val="Normln"/>
    <w:rsid w:val="00D8660D"/>
    <w:pPr>
      <w:spacing w:before="100" w:beforeAutospacing="1" w:after="100" w:afterAutospacing="1"/>
      <w:jc w:val="left"/>
    </w:pPr>
    <w:rPr>
      <w:rFonts w:ascii="Arial" w:eastAsia="Times New Roman" w:hAnsi="Arial" w:cs="Arial"/>
      <w:b/>
      <w:bCs/>
      <w:color w:val="456994"/>
      <w:sz w:val="20"/>
      <w:szCs w:val="20"/>
      <w:lang w:val="en-US"/>
    </w:rPr>
  </w:style>
  <w:style w:type="character" w:customStyle="1" w:styleId="titles21">
    <w:name w:val="titles21"/>
    <w:basedOn w:val="Standardnpsmoodstavce"/>
    <w:rsid w:val="00D8660D"/>
    <w:rPr>
      <w:rFonts w:ascii="Verdana" w:hAnsi="Verdana" w:hint="default"/>
      <w:b/>
      <w:bCs/>
      <w:color w:val="073770"/>
      <w:sz w:val="15"/>
      <w:szCs w:val="15"/>
    </w:rPr>
  </w:style>
  <w:style w:type="character" w:customStyle="1" w:styleId="style341">
    <w:name w:val="style341"/>
    <w:basedOn w:val="Standardnpsmoodstavce"/>
    <w:rsid w:val="00D8660D"/>
    <w:rPr>
      <w:color w:val="006600"/>
    </w:rPr>
  </w:style>
  <w:style w:type="character" w:customStyle="1" w:styleId="style251">
    <w:name w:val="style251"/>
    <w:basedOn w:val="Standardnpsmoodstavce"/>
    <w:rsid w:val="00D8660D"/>
    <w:rPr>
      <w:b/>
      <w:bCs/>
      <w:color w:val="993300"/>
      <w:sz w:val="15"/>
      <w:szCs w:val="15"/>
    </w:rPr>
  </w:style>
  <w:style w:type="character" w:customStyle="1" w:styleId="style231">
    <w:name w:val="style231"/>
    <w:basedOn w:val="Standardnpsmoodstavce"/>
    <w:rsid w:val="00D8660D"/>
    <w:rPr>
      <w:color w:val="000000"/>
      <w:sz w:val="15"/>
      <w:szCs w:val="15"/>
    </w:rPr>
  </w:style>
  <w:style w:type="character" w:customStyle="1" w:styleId="style27">
    <w:name w:val="style27"/>
    <w:basedOn w:val="Standardnpsmoodstavce"/>
    <w:rsid w:val="00D8660D"/>
  </w:style>
  <w:style w:type="table" w:customStyle="1" w:styleId="TableGrid1">
    <w:name w:val="Table Grid1"/>
    <w:basedOn w:val="Normlntabulka"/>
    <w:next w:val="Mkatabulky"/>
    <w:rsid w:val="00D8660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arCharCharChar">
    <w:name w:val="Default Paragraph Font Para Char Car Char Char Char"/>
    <w:aliases w:val="Default Paragraph Font Para Char Para Char Car Car Char Char Char Char"/>
    <w:basedOn w:val="Normln"/>
    <w:rsid w:val="00D8660D"/>
    <w:pPr>
      <w:spacing w:before="0" w:after="0"/>
      <w:jc w:val="left"/>
    </w:pPr>
    <w:rPr>
      <w:rFonts w:ascii="Times New Roman" w:eastAsia="Times New Roman" w:hAnsi="Times New Roman"/>
      <w:sz w:val="20"/>
      <w:szCs w:val="20"/>
      <w:lang w:val="en-US"/>
    </w:rPr>
  </w:style>
  <w:style w:type="paragraph" w:styleId="Bezmezer">
    <w:name w:val="No Spacing"/>
    <w:aliases w:val="podtrženo"/>
    <w:link w:val="BezmezerChar"/>
    <w:uiPriority w:val="1"/>
    <w:qFormat/>
    <w:rsid w:val="00AB189A"/>
    <w:pPr>
      <w:jc w:val="both"/>
    </w:pPr>
    <w:rPr>
      <w:rFonts w:ascii="Garamond" w:hAnsi="Garamond"/>
      <w:sz w:val="24"/>
      <w:szCs w:val="22"/>
    </w:rPr>
  </w:style>
  <w:style w:type="numbering" w:customStyle="1" w:styleId="NoList2">
    <w:name w:val="No List2"/>
    <w:next w:val="Bezseznamu"/>
    <w:uiPriority w:val="99"/>
    <w:semiHidden/>
    <w:unhideWhenUsed/>
    <w:rsid w:val="003C606D"/>
  </w:style>
  <w:style w:type="character" w:styleId="slostrnky">
    <w:name w:val="page number"/>
    <w:basedOn w:val="Standardnpsmoodstavce"/>
    <w:rsid w:val="003C606D"/>
  </w:style>
  <w:style w:type="paragraph" w:customStyle="1" w:styleId="nadp">
    <w:name w:val="nadp"/>
    <w:basedOn w:val="Zkladntext"/>
    <w:rsid w:val="003C606D"/>
  </w:style>
  <w:style w:type="paragraph" w:customStyle="1" w:styleId="text">
    <w:name w:val="text"/>
    <w:basedOn w:val="Normln"/>
    <w:rsid w:val="003C606D"/>
    <w:pPr>
      <w:spacing w:before="100" w:beforeAutospacing="1" w:after="100" w:afterAutospacing="1"/>
    </w:pPr>
    <w:rPr>
      <w:rFonts w:ascii="Verdana" w:eastAsia="Arial Unicode MS" w:hAnsi="Verdana" w:cs="Arial Unicode MS"/>
      <w:color w:val="000000"/>
      <w:sz w:val="22"/>
      <w:lang w:eastAsia="cs-CZ"/>
    </w:rPr>
  </w:style>
  <w:style w:type="paragraph" w:customStyle="1" w:styleId="textleft">
    <w:name w:val="text_left"/>
    <w:basedOn w:val="Normln"/>
    <w:rsid w:val="003C606D"/>
    <w:pPr>
      <w:spacing w:before="100" w:beforeAutospacing="1" w:after="100" w:afterAutospacing="1"/>
      <w:textAlignment w:val="top"/>
    </w:pPr>
    <w:rPr>
      <w:rFonts w:ascii="Verdana" w:eastAsia="Arial Unicode MS" w:hAnsi="Verdana" w:cs="Arial Unicode MS"/>
      <w:color w:val="000000"/>
      <w:sz w:val="20"/>
      <w:szCs w:val="20"/>
      <w:lang w:eastAsia="cs-CZ"/>
    </w:rPr>
  </w:style>
  <w:style w:type="paragraph" w:styleId="Zkladntext2">
    <w:name w:val="Body Text 2"/>
    <w:basedOn w:val="Normln"/>
    <w:link w:val="Zkladntext2Char"/>
    <w:uiPriority w:val="99"/>
    <w:rsid w:val="003C606D"/>
    <w:rPr>
      <w:rFonts w:ascii="Arial" w:eastAsia="Times New Roman" w:hAnsi="Arial" w:cs="Arial"/>
      <w:sz w:val="20"/>
      <w:szCs w:val="24"/>
      <w:lang w:val="en-US" w:eastAsia="cs-CZ"/>
    </w:rPr>
  </w:style>
  <w:style w:type="character" w:customStyle="1" w:styleId="Zkladntext2Char">
    <w:name w:val="Základní text 2 Char"/>
    <w:basedOn w:val="Standardnpsmoodstavce"/>
    <w:link w:val="Zkladntext2"/>
    <w:uiPriority w:val="99"/>
    <w:rsid w:val="003C606D"/>
    <w:rPr>
      <w:rFonts w:ascii="Arial" w:eastAsia="Times New Roman" w:hAnsi="Arial" w:cs="Arial"/>
      <w:szCs w:val="24"/>
      <w:lang w:eastAsia="cs-CZ"/>
    </w:rPr>
  </w:style>
  <w:style w:type="paragraph" w:customStyle="1" w:styleId="04dot">
    <w:name w:val="04 dot"/>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
    <w:name w:val="Nadpis 2;Heading 2 Firm;Heading 2 Firm1"/>
    <w:basedOn w:val="Normln"/>
    <w:rsid w:val="003C606D"/>
    <w:pPr>
      <w:spacing w:before="0"/>
    </w:pPr>
    <w:rPr>
      <w:rFonts w:ascii="Times New Roman" w:eastAsia="Times New Roman" w:hAnsi="Times New Roman"/>
      <w:sz w:val="20"/>
      <w:szCs w:val="20"/>
      <w:lang w:eastAsia="cs-CZ"/>
    </w:rPr>
  </w:style>
  <w:style w:type="paragraph" w:customStyle="1" w:styleId="normalodsazene">
    <w:name w:val="normalodsazene"/>
    <w:basedOn w:val="Normln"/>
    <w:rsid w:val="003C606D"/>
    <w:pPr>
      <w:spacing w:before="100" w:beforeAutospacing="1" w:after="100" w:afterAutospacing="1"/>
      <w:ind w:firstLine="480"/>
    </w:pPr>
    <w:rPr>
      <w:rFonts w:ascii="MS Sans Serif" w:eastAsia="Times New Roman" w:hAnsi="MS Sans Serif"/>
      <w:snapToGrid w:val="0"/>
      <w:color w:val="343434"/>
      <w:sz w:val="15"/>
      <w:szCs w:val="15"/>
      <w:lang w:eastAsia="cs-CZ"/>
    </w:rPr>
  </w:style>
  <w:style w:type="paragraph" w:customStyle="1" w:styleId="pskom">
    <w:name w:val="pskom"/>
    <w:basedOn w:val="Normln"/>
    <w:rsid w:val="003C606D"/>
    <w:pPr>
      <w:spacing w:before="100" w:beforeAutospacing="1" w:after="100" w:afterAutospacing="1"/>
    </w:pPr>
    <w:rPr>
      <w:rFonts w:ascii="Verdana" w:eastAsia="Times New Roman" w:hAnsi="Verdana"/>
      <w:i/>
      <w:iCs/>
      <w:snapToGrid w:val="0"/>
      <w:color w:val="343434"/>
      <w:szCs w:val="24"/>
      <w:lang w:eastAsia="cs-CZ"/>
    </w:rPr>
  </w:style>
  <w:style w:type="paragraph" w:customStyle="1" w:styleId="Textbodu">
    <w:name w:val="Text bodu"/>
    <w:basedOn w:val="Normln"/>
    <w:uiPriority w:val="99"/>
    <w:rsid w:val="003C606D"/>
    <w:pPr>
      <w:numPr>
        <w:ilvl w:val="2"/>
        <w:numId w:val="3"/>
      </w:numPr>
      <w:spacing w:before="0"/>
      <w:outlineLvl w:val="8"/>
    </w:pPr>
    <w:rPr>
      <w:rFonts w:ascii="Times New Roman" w:eastAsia="Times New Roman" w:hAnsi="Times New Roman"/>
      <w:szCs w:val="20"/>
      <w:lang w:eastAsia="cs-CZ"/>
    </w:rPr>
  </w:style>
  <w:style w:type="paragraph" w:customStyle="1" w:styleId="Textpsmene">
    <w:name w:val="Text písmene"/>
    <w:basedOn w:val="Normln"/>
    <w:uiPriority w:val="99"/>
    <w:rsid w:val="003C606D"/>
    <w:pPr>
      <w:numPr>
        <w:ilvl w:val="1"/>
        <w:numId w:val="3"/>
      </w:numPr>
      <w:spacing w:before="0"/>
      <w:outlineLvl w:val="7"/>
    </w:pPr>
    <w:rPr>
      <w:rFonts w:ascii="Times New Roman" w:eastAsia="Times New Roman" w:hAnsi="Times New Roman"/>
      <w:szCs w:val="20"/>
      <w:lang w:eastAsia="cs-CZ"/>
    </w:rPr>
  </w:style>
  <w:style w:type="paragraph" w:customStyle="1" w:styleId="Textodstavce">
    <w:name w:val="Text odstavce"/>
    <w:basedOn w:val="Normln"/>
    <w:uiPriority w:val="99"/>
    <w:rsid w:val="003C606D"/>
    <w:pPr>
      <w:numPr>
        <w:numId w:val="3"/>
      </w:numPr>
      <w:tabs>
        <w:tab w:val="left" w:pos="851"/>
      </w:tabs>
      <w:outlineLvl w:val="6"/>
    </w:pPr>
    <w:rPr>
      <w:rFonts w:ascii="Times New Roman" w:eastAsia="Times New Roman" w:hAnsi="Times New Roman"/>
      <w:szCs w:val="20"/>
      <w:lang w:eastAsia="cs-CZ"/>
    </w:rPr>
  </w:style>
  <w:style w:type="paragraph" w:customStyle="1" w:styleId="Nadpis-11">
    <w:name w:val="Nadpis-1.1"/>
    <w:basedOn w:val="Normln"/>
    <w:rsid w:val="003C606D"/>
    <w:pPr>
      <w:keepNext/>
      <w:numPr>
        <w:ilvl w:val="1"/>
        <w:numId w:val="4"/>
      </w:numPr>
      <w:spacing w:before="360"/>
    </w:pPr>
    <w:rPr>
      <w:rFonts w:ascii="Times New Roman" w:eastAsia="Times New Roman" w:hAnsi="Times New Roman"/>
      <w:b/>
      <w:szCs w:val="24"/>
      <w:lang w:eastAsia="cs-CZ"/>
    </w:rPr>
  </w:style>
  <w:style w:type="paragraph" w:customStyle="1" w:styleId="StylTunZarovnatdoblokuPed6b">
    <w:name w:val="Styl Tučné Zarovnat do bloku Před:  6 b."/>
    <w:basedOn w:val="Normln"/>
    <w:rsid w:val="003C606D"/>
    <w:rPr>
      <w:rFonts w:ascii="Times New Roman" w:eastAsia="Times New Roman" w:hAnsi="Times New Roman"/>
      <w:b/>
      <w:bCs/>
      <w:szCs w:val="20"/>
      <w:u w:val="single"/>
      <w:lang w:eastAsia="cs-CZ"/>
    </w:rPr>
  </w:style>
  <w:style w:type="paragraph" w:customStyle="1" w:styleId="StylTunKurzvaZarovnatdoblokuPed6b">
    <w:name w:val="Styl Tučné Kurzíva Zarovnat do bloku Před:  6 b."/>
    <w:basedOn w:val="Normln"/>
    <w:rsid w:val="003C606D"/>
    <w:rPr>
      <w:rFonts w:ascii="Times New Roman" w:eastAsia="Times New Roman" w:hAnsi="Times New Roman"/>
      <w:bCs/>
      <w:i/>
      <w:iCs/>
      <w:szCs w:val="20"/>
      <w:u w:val="single"/>
      <w:lang w:eastAsia="cs-CZ"/>
    </w:rPr>
  </w:style>
  <w:style w:type="paragraph" w:customStyle="1" w:styleId="poznamkadole">
    <w:name w:val="poznamkadole"/>
    <w:basedOn w:val="Normln"/>
    <w:rsid w:val="003C606D"/>
    <w:pPr>
      <w:spacing w:before="100" w:beforeAutospacing="1" w:after="100" w:afterAutospacing="1"/>
    </w:pPr>
    <w:rPr>
      <w:rFonts w:ascii="Arial Unicode MS" w:eastAsia="Arial Unicode MS" w:hAnsi="Arial Unicode MS" w:cs="Arial Unicode MS"/>
      <w:sz w:val="17"/>
      <w:szCs w:val="17"/>
      <w:lang w:eastAsia="cs-CZ"/>
    </w:rPr>
  </w:style>
  <w:style w:type="paragraph" w:styleId="Datum">
    <w:name w:val="Date"/>
    <w:basedOn w:val="Normln"/>
    <w:link w:val="DatumChar"/>
    <w:semiHidden/>
    <w:rsid w:val="003C606D"/>
    <w:pPr>
      <w:spacing w:before="100" w:beforeAutospacing="1" w:after="100" w:afterAutospacing="1"/>
    </w:pPr>
    <w:rPr>
      <w:rFonts w:ascii="Arial Unicode MS" w:eastAsia="Arial Unicode MS" w:hAnsi="Arial Unicode MS" w:cs="Arial Unicode MS"/>
      <w:szCs w:val="24"/>
      <w:lang w:eastAsia="cs-CZ"/>
    </w:rPr>
  </w:style>
  <w:style w:type="character" w:customStyle="1" w:styleId="DatumChar">
    <w:name w:val="Datum Char"/>
    <w:basedOn w:val="Standardnpsmoodstavce"/>
    <w:link w:val="Datum"/>
    <w:semiHidden/>
    <w:rsid w:val="003C606D"/>
    <w:rPr>
      <w:rFonts w:ascii="Arial Unicode MS" w:eastAsia="Arial Unicode MS" w:hAnsi="Arial Unicode MS" w:cs="Arial Unicode MS"/>
      <w:sz w:val="24"/>
      <w:szCs w:val="24"/>
      <w:lang w:val="en-GB" w:eastAsia="cs-CZ"/>
    </w:rPr>
  </w:style>
  <w:style w:type="paragraph" w:customStyle="1" w:styleId="perex">
    <w:name w:val="perex"/>
    <w:basedOn w:val="Normln"/>
    <w:rsid w:val="003C606D"/>
    <w:pPr>
      <w:spacing w:before="100" w:beforeAutospacing="1" w:after="100" w:afterAutospacing="1"/>
    </w:pPr>
    <w:rPr>
      <w:rFonts w:ascii="Arial Unicode MS" w:eastAsia="Arial Unicode MS" w:hAnsi="Arial Unicode MS" w:cs="Arial Unicode MS"/>
      <w:szCs w:val="24"/>
      <w:lang w:eastAsia="cs-CZ"/>
    </w:rPr>
  </w:style>
  <w:style w:type="paragraph" w:customStyle="1" w:styleId="tdhlavickal">
    <w:name w:val="tdhlavickal"/>
    <w:basedOn w:val="Normln"/>
    <w:rsid w:val="003C606D"/>
    <w:pPr>
      <w:spacing w:before="100" w:beforeAutospacing="1" w:after="100" w:afterAutospacing="1"/>
    </w:pPr>
    <w:rPr>
      <w:rFonts w:ascii="Arial Unicode MS" w:eastAsia="Arial Unicode MS" w:hAnsi="Arial Unicode MS" w:cs="Arial Unicode MS"/>
      <w:b/>
      <w:bCs/>
      <w:sz w:val="18"/>
      <w:szCs w:val="18"/>
      <w:lang w:eastAsia="cs-CZ"/>
    </w:rPr>
  </w:style>
  <w:style w:type="paragraph" w:customStyle="1" w:styleId="tdhlavickat">
    <w:name w:val="tdhlavickat"/>
    <w:basedOn w:val="Normln"/>
    <w:rsid w:val="003C606D"/>
    <w:pPr>
      <w:shd w:val="clear" w:color="auto" w:fill="999999"/>
      <w:spacing w:before="100" w:beforeAutospacing="1" w:after="100" w:afterAutospacing="1"/>
      <w:jc w:val="center"/>
    </w:pPr>
    <w:rPr>
      <w:rFonts w:ascii="Arial Unicode MS" w:eastAsia="Arial Unicode MS" w:hAnsi="Arial Unicode MS" w:cs="Arial Unicode MS"/>
      <w:b/>
      <w:bCs/>
      <w:sz w:val="18"/>
      <w:szCs w:val="18"/>
      <w:lang w:eastAsia="cs-CZ"/>
    </w:rPr>
  </w:style>
  <w:style w:type="paragraph" w:customStyle="1" w:styleId="textnorm">
    <w:name w:val="textnorm"/>
    <w:basedOn w:val="Normln"/>
    <w:rsid w:val="003C606D"/>
    <w:pPr>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radektmava">
    <w:name w:val="radektmava"/>
    <w:basedOn w:val="Normln"/>
    <w:rsid w:val="003C606D"/>
    <w:pPr>
      <w:shd w:val="clear" w:color="auto" w:fill="CCCCCC"/>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tdzluta">
    <w:name w:val="tdzluta"/>
    <w:basedOn w:val="Normln"/>
    <w:rsid w:val="003C606D"/>
    <w:pPr>
      <w:shd w:val="clear" w:color="auto" w:fill="FFFF00"/>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textcervena">
    <w:name w:val="textcervena"/>
    <w:basedOn w:val="Normln"/>
    <w:rsid w:val="003C606D"/>
    <w:pPr>
      <w:spacing w:before="100" w:beforeAutospacing="1" w:after="100" w:afterAutospacing="1"/>
    </w:pPr>
    <w:rPr>
      <w:rFonts w:ascii="Arial Unicode MS" w:eastAsia="Arial Unicode MS" w:hAnsi="Arial Unicode MS" w:cs="Arial Unicode MS"/>
      <w:color w:val="FF0000"/>
      <w:sz w:val="18"/>
      <w:szCs w:val="18"/>
      <w:lang w:eastAsia="cs-CZ"/>
    </w:rPr>
  </w:style>
  <w:style w:type="paragraph" w:customStyle="1" w:styleId="poznamkanahore">
    <w:name w:val="poznamkanahore"/>
    <w:basedOn w:val="Normln"/>
    <w:rsid w:val="003C606D"/>
    <w:pPr>
      <w:spacing w:before="100" w:beforeAutospacing="1" w:after="100" w:afterAutospacing="1"/>
    </w:pPr>
    <w:rPr>
      <w:rFonts w:ascii="Arial Unicode MS" w:eastAsia="Arial Unicode MS" w:hAnsi="Arial Unicode MS" w:cs="Arial Unicode MS"/>
      <w:i/>
      <w:iCs/>
      <w:sz w:val="18"/>
      <w:szCs w:val="18"/>
      <w:lang w:eastAsia="cs-CZ"/>
    </w:rPr>
  </w:style>
  <w:style w:type="paragraph" w:customStyle="1" w:styleId="index">
    <w:name w:val="index"/>
    <w:basedOn w:val="Normln"/>
    <w:rsid w:val="003C606D"/>
    <w:pPr>
      <w:spacing w:before="100" w:beforeAutospacing="1" w:after="100" w:afterAutospacing="1"/>
    </w:pPr>
    <w:rPr>
      <w:rFonts w:ascii="Arial Unicode MS" w:eastAsia="Arial Unicode MS" w:hAnsi="Arial Unicode MS" w:cs="Arial Unicode MS"/>
      <w:sz w:val="21"/>
      <w:szCs w:val="21"/>
      <w:lang w:eastAsia="cs-CZ"/>
    </w:rPr>
  </w:style>
  <w:style w:type="paragraph" w:customStyle="1" w:styleId="navigace">
    <w:name w:val="navigace"/>
    <w:basedOn w:val="Normln"/>
    <w:rsid w:val="003C606D"/>
    <w:pPr>
      <w:spacing w:before="100" w:beforeAutospacing="1" w:after="100" w:afterAutospacing="1"/>
      <w:jc w:val="right"/>
    </w:pPr>
    <w:rPr>
      <w:rFonts w:ascii="Arial Unicode MS" w:eastAsia="Arial Unicode MS" w:hAnsi="Arial Unicode MS" w:cs="Arial Unicode MS"/>
      <w:b/>
      <w:bCs/>
      <w:sz w:val="17"/>
      <w:szCs w:val="17"/>
      <w:lang w:eastAsia="cs-CZ"/>
    </w:rPr>
  </w:style>
  <w:style w:type="paragraph" w:customStyle="1" w:styleId="textcerny">
    <w:name w:val="text_cerny"/>
    <w:basedOn w:val="Normln"/>
    <w:rsid w:val="003C606D"/>
    <w:pPr>
      <w:spacing w:before="100" w:beforeAutospacing="1" w:after="100" w:afterAutospacing="1"/>
    </w:pPr>
    <w:rPr>
      <w:rFonts w:ascii="Verdana" w:eastAsia="Arial Unicode MS" w:hAnsi="Verdana" w:cs="Arial Unicode MS"/>
      <w:color w:val="000000"/>
      <w:sz w:val="17"/>
      <w:szCs w:val="17"/>
      <w:lang w:eastAsia="cs-CZ"/>
    </w:rPr>
  </w:style>
  <w:style w:type="character" w:customStyle="1" w:styleId="a">
    <w:name w:val="a"/>
    <w:basedOn w:val="Standardnpsmoodstavce"/>
    <w:rsid w:val="003C606D"/>
  </w:style>
  <w:style w:type="character" w:customStyle="1" w:styleId="bbtext">
    <w:name w:val="bbtext"/>
    <w:basedOn w:val="Standardnpsmoodstavce"/>
    <w:rsid w:val="003C606D"/>
  </w:style>
  <w:style w:type="paragraph" w:customStyle="1" w:styleId="Normlntun">
    <w:name w:val="Normální tučný"/>
    <w:basedOn w:val="Normln"/>
    <w:rsid w:val="003C606D"/>
    <w:pPr>
      <w:widowControl w:val="0"/>
    </w:pPr>
    <w:rPr>
      <w:rFonts w:ascii="Times New Roman" w:eastAsia="Times New Roman" w:hAnsi="Times New Roman"/>
      <w:b/>
      <w:bCs/>
      <w:sz w:val="20"/>
      <w:szCs w:val="20"/>
      <w:lang w:val="en-US" w:eastAsia="cs-CZ"/>
    </w:rPr>
  </w:style>
  <w:style w:type="paragraph" w:customStyle="1" w:styleId="Normlnkurzva">
    <w:name w:val="Normální kurzíva"/>
    <w:basedOn w:val="Normln"/>
    <w:rsid w:val="003C606D"/>
    <w:rPr>
      <w:rFonts w:ascii="Times New Roman" w:eastAsia="Times New Roman" w:hAnsi="Times New Roman"/>
      <w:i/>
      <w:iCs/>
      <w:sz w:val="20"/>
      <w:szCs w:val="20"/>
      <w:lang w:eastAsia="cs-CZ"/>
    </w:rPr>
  </w:style>
  <w:style w:type="paragraph" w:customStyle="1" w:styleId="Source">
    <w:name w:val="Source"/>
    <w:basedOn w:val="Normln"/>
    <w:rsid w:val="003C606D"/>
    <w:rPr>
      <w:rFonts w:ascii="Times New Roman" w:eastAsia="Times New Roman" w:hAnsi="Times New Roman"/>
      <w:sz w:val="16"/>
      <w:szCs w:val="20"/>
      <w:lang w:eastAsia="cs-CZ"/>
    </w:rPr>
  </w:style>
  <w:style w:type="paragraph" w:styleId="Zkladntextodsazen">
    <w:name w:val="Body Text Indent"/>
    <w:basedOn w:val="Normln"/>
    <w:link w:val="ZkladntextodsazenChar"/>
    <w:rsid w:val="003C606D"/>
    <w:pPr>
      <w:spacing w:before="0"/>
      <w:ind w:left="4248" w:hanging="4245"/>
    </w:pPr>
    <w:rPr>
      <w:rFonts w:ascii="Arial" w:eastAsia="Times New Roman" w:hAnsi="Arial" w:cs="Arial"/>
      <w:sz w:val="20"/>
      <w:szCs w:val="24"/>
      <w:lang w:eastAsia="cs-CZ"/>
    </w:rPr>
  </w:style>
  <w:style w:type="character" w:customStyle="1" w:styleId="ZkladntextodsazenChar">
    <w:name w:val="Základní text odsazený Char"/>
    <w:basedOn w:val="Standardnpsmoodstavce"/>
    <w:link w:val="Zkladntextodsazen"/>
    <w:rsid w:val="003C606D"/>
    <w:rPr>
      <w:rFonts w:ascii="Arial" w:eastAsia="Times New Roman" w:hAnsi="Arial" w:cs="Arial"/>
      <w:szCs w:val="24"/>
      <w:lang w:val="cs-CZ" w:eastAsia="cs-CZ"/>
    </w:rPr>
  </w:style>
  <w:style w:type="paragraph" w:customStyle="1" w:styleId="Normlnsmezerou">
    <w:name w:val="Normální s mezerou"/>
    <w:basedOn w:val="Normln"/>
    <w:rsid w:val="003C606D"/>
    <w:pPr>
      <w:widowControl w:val="0"/>
      <w:autoSpaceDE w:val="0"/>
      <w:autoSpaceDN w:val="0"/>
      <w:adjustRightInd w:val="0"/>
      <w:spacing w:before="60" w:after="60"/>
      <w:ind w:firstLine="709"/>
    </w:pPr>
    <w:rPr>
      <w:rFonts w:ascii="Arial" w:eastAsia="Times New Roman" w:hAnsi="Arial" w:cs="Arial"/>
      <w:szCs w:val="24"/>
      <w:lang w:eastAsia="cs-CZ"/>
    </w:rPr>
  </w:style>
  <w:style w:type="paragraph" w:styleId="Zkladntextodsazen3">
    <w:name w:val="Body Text Indent 3"/>
    <w:basedOn w:val="Normln"/>
    <w:link w:val="Zkladntextodsazen3Char"/>
    <w:uiPriority w:val="99"/>
    <w:rsid w:val="003C606D"/>
    <w:pPr>
      <w:spacing w:before="0"/>
      <w:ind w:left="60"/>
    </w:pPr>
    <w:rPr>
      <w:rFonts w:ascii="Times New Roman" w:eastAsia="Times New Roman" w:hAnsi="Times New Roman"/>
      <w:sz w:val="22"/>
      <w:szCs w:val="20"/>
      <w:lang w:val="en-US" w:eastAsia="cs-CZ"/>
    </w:rPr>
  </w:style>
  <w:style w:type="character" w:customStyle="1" w:styleId="Zkladntextodsazen3Char">
    <w:name w:val="Základní text odsazený 3 Char"/>
    <w:basedOn w:val="Standardnpsmoodstavce"/>
    <w:link w:val="Zkladntextodsazen3"/>
    <w:uiPriority w:val="99"/>
    <w:rsid w:val="003C606D"/>
    <w:rPr>
      <w:rFonts w:ascii="Times New Roman" w:eastAsia="Times New Roman" w:hAnsi="Times New Roman"/>
      <w:sz w:val="22"/>
      <w:lang w:eastAsia="cs-CZ"/>
    </w:rPr>
  </w:style>
  <w:style w:type="paragraph" w:customStyle="1" w:styleId="Nadpes">
    <w:name w:val="Nadpes"/>
    <w:basedOn w:val="Nadpis2"/>
    <w:rsid w:val="003C606D"/>
    <w:pPr>
      <w:widowControl w:val="0"/>
      <w:numPr>
        <w:ilvl w:val="0"/>
        <w:numId w:val="5"/>
      </w:numPr>
      <w:tabs>
        <w:tab w:val="center" w:pos="1134"/>
      </w:tabs>
      <w:autoSpaceDE w:val="0"/>
      <w:autoSpaceDN w:val="0"/>
      <w:adjustRightInd w:val="0"/>
      <w:spacing w:before="360"/>
    </w:pPr>
    <w:rPr>
      <w:rFonts w:ascii="Times New Roman" w:hAnsi="Times New Roman"/>
      <w:color w:val="808000"/>
      <w:sz w:val="28"/>
      <w:szCs w:val="24"/>
      <w:lang w:val="en-US" w:eastAsia="cs-CZ"/>
    </w:rPr>
  </w:style>
  <w:style w:type="paragraph" w:customStyle="1" w:styleId="Nadpepes">
    <w:name w:val="Nadpepes"/>
    <w:basedOn w:val="Nadpis2"/>
    <w:rsid w:val="003C606D"/>
    <w:pPr>
      <w:widowControl w:val="0"/>
      <w:numPr>
        <w:numId w:val="5"/>
      </w:numPr>
      <w:tabs>
        <w:tab w:val="center" w:pos="1134"/>
      </w:tabs>
      <w:autoSpaceDE w:val="0"/>
      <w:autoSpaceDN w:val="0"/>
      <w:adjustRightInd w:val="0"/>
      <w:spacing w:before="360"/>
    </w:pPr>
    <w:rPr>
      <w:rFonts w:ascii="Times New Roman" w:hAnsi="Times New Roman"/>
      <w:i/>
      <w:iCs/>
      <w:color w:val="808000"/>
      <w:szCs w:val="24"/>
      <w:lang w:val="en-US" w:eastAsia="cs-CZ"/>
    </w:rPr>
  </w:style>
  <w:style w:type="paragraph" w:customStyle="1" w:styleId="Nadpepepes">
    <w:name w:val="Nadpepepes"/>
    <w:basedOn w:val="Nadpis4"/>
    <w:rsid w:val="003C606D"/>
    <w:pPr>
      <w:keepLines w:val="0"/>
      <w:numPr>
        <w:ilvl w:val="2"/>
        <w:numId w:val="5"/>
      </w:numPr>
      <w:tabs>
        <w:tab w:val="center" w:pos="4536"/>
        <w:tab w:val="left" w:pos="8306"/>
        <w:tab w:val="right" w:pos="10206"/>
      </w:tabs>
      <w:spacing w:before="240"/>
    </w:pPr>
    <w:rPr>
      <w:rFonts w:ascii="Times New Roman" w:hAnsi="Times New Roman"/>
      <w:i w:val="0"/>
      <w:iCs w:val="0"/>
      <w:color w:val="808000"/>
      <w:szCs w:val="20"/>
      <w:lang w:val="en-US" w:eastAsia="cs-CZ"/>
    </w:rPr>
  </w:style>
  <w:style w:type="paragraph" w:customStyle="1" w:styleId="Pedmtkomente1">
    <w:name w:val="Předmět komentáře1"/>
    <w:basedOn w:val="Textkomente"/>
    <w:next w:val="Textkomente"/>
    <w:semiHidden/>
    <w:rsid w:val="003C606D"/>
    <w:pPr>
      <w:spacing w:before="0" w:after="0"/>
      <w:jc w:val="left"/>
    </w:pPr>
    <w:rPr>
      <w:rFonts w:ascii="Times New Roman" w:eastAsia="Times New Roman" w:hAnsi="Times New Roman"/>
      <w:b/>
      <w:bCs/>
      <w:lang w:val="en-US"/>
    </w:rPr>
  </w:style>
  <w:style w:type="paragraph" w:customStyle="1" w:styleId="Textbubliny1">
    <w:name w:val="Text bubliny1"/>
    <w:basedOn w:val="Normln"/>
    <w:semiHidden/>
    <w:rsid w:val="003C606D"/>
    <w:pPr>
      <w:spacing w:before="0" w:after="0"/>
      <w:jc w:val="left"/>
    </w:pPr>
    <w:rPr>
      <w:rFonts w:ascii="Tahoma" w:eastAsia="Times New Roman" w:hAnsi="Tahoma" w:cs="Tahoma"/>
      <w:sz w:val="16"/>
      <w:szCs w:val="16"/>
      <w:lang w:val="en-US"/>
    </w:rPr>
  </w:style>
  <w:style w:type="paragraph" w:styleId="Obsah4">
    <w:name w:val="toc 4"/>
    <w:basedOn w:val="Normln"/>
    <w:next w:val="Normln"/>
    <w:autoRedefine/>
    <w:uiPriority w:val="39"/>
    <w:rsid w:val="003C606D"/>
    <w:pPr>
      <w:spacing w:before="0" w:after="0"/>
      <w:ind w:left="720"/>
      <w:jc w:val="left"/>
    </w:pPr>
    <w:rPr>
      <w:rFonts w:asciiTheme="minorHAnsi" w:hAnsiTheme="minorHAnsi"/>
      <w:sz w:val="18"/>
      <w:szCs w:val="18"/>
    </w:rPr>
  </w:style>
  <w:style w:type="paragraph" w:styleId="Obsah5">
    <w:name w:val="toc 5"/>
    <w:basedOn w:val="Normln"/>
    <w:next w:val="Normln"/>
    <w:autoRedefine/>
    <w:uiPriority w:val="39"/>
    <w:rsid w:val="003C606D"/>
    <w:pPr>
      <w:spacing w:before="0" w:after="0"/>
      <w:ind w:left="960"/>
      <w:jc w:val="left"/>
    </w:pPr>
    <w:rPr>
      <w:rFonts w:asciiTheme="minorHAnsi" w:hAnsiTheme="minorHAnsi"/>
      <w:sz w:val="18"/>
      <w:szCs w:val="18"/>
    </w:rPr>
  </w:style>
  <w:style w:type="paragraph" w:styleId="Obsah6">
    <w:name w:val="toc 6"/>
    <w:basedOn w:val="Normln"/>
    <w:next w:val="Normln"/>
    <w:autoRedefine/>
    <w:uiPriority w:val="39"/>
    <w:rsid w:val="003C606D"/>
    <w:pPr>
      <w:spacing w:before="0" w:after="0"/>
      <w:ind w:left="1200"/>
      <w:jc w:val="left"/>
    </w:pPr>
    <w:rPr>
      <w:rFonts w:asciiTheme="minorHAnsi" w:hAnsiTheme="minorHAnsi"/>
      <w:sz w:val="18"/>
      <w:szCs w:val="18"/>
    </w:rPr>
  </w:style>
  <w:style w:type="paragraph" w:styleId="Obsah7">
    <w:name w:val="toc 7"/>
    <w:basedOn w:val="Normln"/>
    <w:next w:val="Normln"/>
    <w:autoRedefine/>
    <w:uiPriority w:val="39"/>
    <w:rsid w:val="003C606D"/>
    <w:pPr>
      <w:spacing w:before="0" w:after="0"/>
      <w:ind w:left="1440"/>
      <w:jc w:val="left"/>
    </w:pPr>
    <w:rPr>
      <w:rFonts w:asciiTheme="minorHAnsi" w:hAnsiTheme="minorHAnsi"/>
      <w:sz w:val="18"/>
      <w:szCs w:val="18"/>
    </w:rPr>
  </w:style>
  <w:style w:type="paragraph" w:styleId="Obsah8">
    <w:name w:val="toc 8"/>
    <w:basedOn w:val="Normln"/>
    <w:next w:val="Normln"/>
    <w:autoRedefine/>
    <w:uiPriority w:val="39"/>
    <w:rsid w:val="003C606D"/>
    <w:pPr>
      <w:spacing w:before="0" w:after="0"/>
      <w:ind w:left="1680"/>
      <w:jc w:val="left"/>
    </w:pPr>
    <w:rPr>
      <w:rFonts w:asciiTheme="minorHAnsi" w:hAnsiTheme="minorHAnsi"/>
      <w:sz w:val="18"/>
      <w:szCs w:val="18"/>
    </w:rPr>
  </w:style>
  <w:style w:type="paragraph" w:styleId="Obsah9">
    <w:name w:val="toc 9"/>
    <w:basedOn w:val="Normln"/>
    <w:next w:val="Normln"/>
    <w:autoRedefine/>
    <w:uiPriority w:val="39"/>
    <w:rsid w:val="003C606D"/>
    <w:pPr>
      <w:spacing w:before="0" w:after="0"/>
      <w:ind w:left="1920"/>
      <w:jc w:val="left"/>
    </w:pPr>
    <w:rPr>
      <w:rFonts w:asciiTheme="minorHAnsi" w:hAnsiTheme="minorHAnsi"/>
      <w:sz w:val="18"/>
      <w:szCs w:val="18"/>
    </w:rPr>
  </w:style>
  <w:style w:type="paragraph" w:customStyle="1" w:styleId="Nadpis2Heading2FirmHeading2Firm13">
    <w:name w:val="Nadpis 2;Heading 2 Firm;Heading 2 Firm13"/>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2">
    <w:name w:val="Nadpis 2;Heading 2 Firm;Heading 2 Firm12"/>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1">
    <w:name w:val="Nadpis 2;Heading 2 Firm;Heading 2 Firm11"/>
    <w:basedOn w:val="Normln"/>
    <w:rsid w:val="003C606D"/>
    <w:pPr>
      <w:spacing w:before="0"/>
    </w:pPr>
    <w:rPr>
      <w:rFonts w:ascii="Times New Roman" w:eastAsia="Times New Roman" w:hAnsi="Times New Roman"/>
      <w:sz w:val="20"/>
      <w:szCs w:val="20"/>
      <w:lang w:eastAsia="cs-CZ"/>
    </w:rPr>
  </w:style>
  <w:style w:type="character" w:customStyle="1" w:styleId="SourceChar">
    <w:name w:val="Source Char"/>
    <w:basedOn w:val="Standardnpsmoodstavce"/>
    <w:rsid w:val="003C606D"/>
    <w:rPr>
      <w:sz w:val="16"/>
      <w:lang w:val="en-GB" w:eastAsia="cs-CZ" w:bidi="ar-SA"/>
    </w:rPr>
  </w:style>
  <w:style w:type="paragraph" w:customStyle="1" w:styleId="font5">
    <w:name w:val="font5"/>
    <w:basedOn w:val="Normln"/>
    <w:rsid w:val="003C606D"/>
    <w:pPr>
      <w:spacing w:before="100" w:beforeAutospacing="1" w:after="100" w:afterAutospacing="1"/>
      <w:jc w:val="left"/>
    </w:pPr>
    <w:rPr>
      <w:rFonts w:ascii="Tahoma" w:eastAsia="Arial Unicode MS" w:hAnsi="Tahoma" w:cs="Tahoma"/>
      <w:color w:val="000000"/>
      <w:sz w:val="16"/>
      <w:szCs w:val="16"/>
      <w:lang w:eastAsia="cs-CZ"/>
    </w:rPr>
  </w:style>
  <w:style w:type="paragraph" w:customStyle="1" w:styleId="font6">
    <w:name w:val="font6"/>
    <w:basedOn w:val="Normln"/>
    <w:rsid w:val="003C606D"/>
    <w:pPr>
      <w:spacing w:before="100" w:beforeAutospacing="1" w:after="100" w:afterAutospacing="1"/>
      <w:jc w:val="left"/>
    </w:pPr>
    <w:rPr>
      <w:rFonts w:ascii="Tahoma" w:eastAsia="Arial Unicode MS" w:hAnsi="Tahoma" w:cs="Tahoma"/>
      <w:b/>
      <w:bCs/>
      <w:color w:val="000000"/>
      <w:sz w:val="16"/>
      <w:szCs w:val="16"/>
      <w:lang w:eastAsia="cs-CZ"/>
    </w:rPr>
  </w:style>
  <w:style w:type="paragraph" w:customStyle="1" w:styleId="xl24">
    <w:name w:val="xl24"/>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25">
    <w:name w:val="xl25"/>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26">
    <w:name w:val="xl26"/>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27">
    <w:name w:val="xl27"/>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28">
    <w:name w:val="xl28"/>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29">
    <w:name w:val="xl29"/>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0">
    <w:name w:val="xl30"/>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1">
    <w:name w:val="xl31"/>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2">
    <w:name w:val="xl32"/>
    <w:basedOn w:val="Normln"/>
    <w:rsid w:val="003C606D"/>
    <w:pPr>
      <w:pBdr>
        <w:top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3">
    <w:name w:val="xl33"/>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5">
    <w:name w:val="xl35"/>
    <w:basedOn w:val="Normln"/>
    <w:rsid w:val="003C606D"/>
    <w:pPr>
      <w:spacing w:before="100" w:beforeAutospacing="1" w:after="100" w:afterAutospacing="1"/>
      <w:jc w:val="left"/>
    </w:pPr>
    <w:rPr>
      <w:rFonts w:ascii="Arial" w:eastAsia="Arial Unicode MS" w:hAnsi="Arial" w:cs="Arial Unicode MS"/>
      <w:i/>
      <w:iCs/>
      <w:szCs w:val="24"/>
      <w:lang w:eastAsia="cs-CZ"/>
    </w:rPr>
  </w:style>
  <w:style w:type="paragraph" w:customStyle="1" w:styleId="xl36">
    <w:name w:val="xl36"/>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7">
    <w:name w:val="xl37"/>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38">
    <w:name w:val="xl38"/>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9">
    <w:name w:val="xl39"/>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0">
    <w:name w:val="xl40"/>
    <w:basedOn w:val="Normln"/>
    <w:rsid w:val="003C606D"/>
    <w:pPr>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41">
    <w:name w:val="xl41"/>
    <w:basedOn w:val="Normln"/>
    <w:rsid w:val="003C606D"/>
    <w:pPr>
      <w:spacing w:before="100" w:beforeAutospacing="1" w:after="100" w:afterAutospacing="1"/>
      <w:jc w:val="left"/>
    </w:pPr>
    <w:rPr>
      <w:rFonts w:ascii="Arial" w:eastAsia="Arial Unicode MS" w:hAnsi="Arial" w:cs="Arial Unicode MS"/>
      <w:i/>
      <w:iCs/>
      <w:szCs w:val="24"/>
      <w:lang w:eastAsia="cs-CZ"/>
    </w:rPr>
  </w:style>
  <w:style w:type="paragraph" w:customStyle="1" w:styleId="xl42">
    <w:name w:val="xl42"/>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43">
    <w:name w:val="xl43"/>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4">
    <w:name w:val="xl44"/>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5">
    <w:name w:val="xl45"/>
    <w:basedOn w:val="Normln"/>
    <w:rsid w:val="003C606D"/>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6">
    <w:name w:val="xl46"/>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7">
    <w:name w:val="xl4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8">
    <w:name w:val="xl48"/>
    <w:basedOn w:val="Normln"/>
    <w:rsid w:val="003C606D"/>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49">
    <w:name w:val="xl49"/>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0">
    <w:name w:val="xl50"/>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51">
    <w:name w:val="xl51"/>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52">
    <w:name w:val="xl52"/>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3">
    <w:name w:val="xl53"/>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4">
    <w:name w:val="xl54"/>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5">
    <w:name w:val="xl55"/>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6">
    <w:name w:val="xl56"/>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57">
    <w:name w:val="xl57"/>
    <w:basedOn w:val="Normln"/>
    <w:rsid w:val="003C606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58">
    <w:name w:val="xl58"/>
    <w:basedOn w:val="Normln"/>
    <w:rsid w:val="003C606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59">
    <w:name w:val="xl59"/>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60">
    <w:name w:val="xl60"/>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61">
    <w:name w:val="xl61"/>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2">
    <w:name w:val="xl62"/>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3">
    <w:name w:val="xl63"/>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4">
    <w:name w:val="xl64"/>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5">
    <w:name w:val="xl65"/>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6">
    <w:name w:val="xl66"/>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7">
    <w:name w:val="xl67"/>
    <w:basedOn w:val="Normln"/>
    <w:rsid w:val="003C606D"/>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8">
    <w:name w:val="xl68"/>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9">
    <w:name w:val="xl69"/>
    <w:basedOn w:val="Normln"/>
    <w:rsid w:val="003C606D"/>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0">
    <w:name w:val="xl70"/>
    <w:basedOn w:val="Normln"/>
    <w:rsid w:val="003C606D"/>
    <w:pPr>
      <w:pBdr>
        <w:top w:val="single" w:sz="4" w:space="0" w:color="auto"/>
        <w:lef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1">
    <w:name w:val="xl71"/>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72">
    <w:name w:val="xl72"/>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73">
    <w:name w:val="xl73"/>
    <w:basedOn w:val="Normln"/>
    <w:rsid w:val="003C606D"/>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4">
    <w:name w:val="xl74"/>
    <w:basedOn w:val="Normln"/>
    <w:rsid w:val="003C606D"/>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5">
    <w:name w:val="xl75"/>
    <w:basedOn w:val="Normln"/>
    <w:rsid w:val="003C606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76">
    <w:name w:val="xl76"/>
    <w:basedOn w:val="Normln"/>
    <w:rsid w:val="003C606D"/>
    <w:pPr>
      <w:pBdr>
        <w:top w:val="single" w:sz="4"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7">
    <w:name w:val="xl7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8">
    <w:name w:val="xl78"/>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9">
    <w:name w:val="xl79"/>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80">
    <w:name w:val="xl80"/>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81">
    <w:name w:val="xl81"/>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82">
    <w:name w:val="xl82"/>
    <w:basedOn w:val="Normln"/>
    <w:rsid w:val="003C606D"/>
    <w:pPr>
      <w:pBdr>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3">
    <w:name w:val="xl83"/>
    <w:basedOn w:val="Normln"/>
    <w:rsid w:val="003C606D"/>
    <w:pPr>
      <w:pBdr>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4">
    <w:name w:val="xl84"/>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5">
    <w:name w:val="xl85"/>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6">
    <w:name w:val="xl86"/>
    <w:basedOn w:val="Normln"/>
    <w:rsid w:val="003C606D"/>
    <w:pPr>
      <w:pBdr>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7">
    <w:name w:val="xl87"/>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8">
    <w:name w:val="xl88"/>
    <w:basedOn w:val="Normln"/>
    <w:rsid w:val="003C606D"/>
    <w:pPr>
      <w:pBdr>
        <w:top w:val="single" w:sz="4"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9">
    <w:name w:val="xl89"/>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0">
    <w:name w:val="xl90"/>
    <w:basedOn w:val="Normln"/>
    <w:rsid w:val="003C606D"/>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1">
    <w:name w:val="xl91"/>
    <w:basedOn w:val="Normln"/>
    <w:rsid w:val="003C606D"/>
    <w:pPr>
      <w:pBdr>
        <w:lef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2">
    <w:name w:val="xl92"/>
    <w:basedOn w:val="Normln"/>
    <w:rsid w:val="003C606D"/>
    <w:pPr>
      <w:pBdr>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3">
    <w:name w:val="xl93"/>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94">
    <w:name w:val="xl94"/>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95">
    <w:name w:val="xl95"/>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6">
    <w:name w:val="xl96"/>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7">
    <w:name w:val="xl9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8">
    <w:name w:val="xl98"/>
    <w:basedOn w:val="Normln"/>
    <w:rsid w:val="003C606D"/>
    <w:pPr>
      <w:pBdr>
        <w:top w:val="single" w:sz="8"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9">
    <w:name w:val="xl99"/>
    <w:basedOn w:val="Normln"/>
    <w:rsid w:val="003C606D"/>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0">
    <w:name w:val="xl100"/>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1">
    <w:name w:val="xl101"/>
    <w:basedOn w:val="Normln"/>
    <w:rsid w:val="003C606D"/>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2">
    <w:name w:val="xl102"/>
    <w:basedOn w:val="Normln"/>
    <w:rsid w:val="003C606D"/>
    <w:pPr>
      <w:pBdr>
        <w:top w:val="single" w:sz="4"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03">
    <w:name w:val="xl103"/>
    <w:basedOn w:val="Normln"/>
    <w:rsid w:val="003C606D"/>
    <w:pPr>
      <w:pBdr>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4">
    <w:name w:val="xl104"/>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5">
    <w:name w:val="xl105"/>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06">
    <w:name w:val="xl106"/>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07">
    <w:name w:val="xl107"/>
    <w:basedOn w:val="Normln"/>
    <w:rsid w:val="003C606D"/>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8">
    <w:name w:val="xl108"/>
    <w:basedOn w:val="Normln"/>
    <w:rsid w:val="003C606D"/>
    <w:pPr>
      <w:pBdr>
        <w:top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9">
    <w:name w:val="xl109"/>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0">
    <w:name w:val="xl110"/>
    <w:basedOn w:val="Normln"/>
    <w:rsid w:val="003C606D"/>
    <w:pPr>
      <w:pBdr>
        <w:top w:val="single" w:sz="8"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1">
    <w:name w:val="xl111"/>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color w:val="FF0000"/>
      <w:szCs w:val="24"/>
      <w:lang w:eastAsia="cs-CZ"/>
    </w:rPr>
  </w:style>
  <w:style w:type="paragraph" w:customStyle="1" w:styleId="xl112">
    <w:name w:val="xl112"/>
    <w:basedOn w:val="Normln"/>
    <w:rsid w:val="003C606D"/>
    <w:pPr>
      <w:pBdr>
        <w:top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3">
    <w:name w:val="xl113"/>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4">
    <w:name w:val="xl114"/>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15">
    <w:name w:val="xl115"/>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16">
    <w:name w:val="xl116"/>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i/>
      <w:iCs/>
      <w:szCs w:val="24"/>
      <w:lang w:eastAsia="cs-CZ"/>
    </w:rPr>
  </w:style>
  <w:style w:type="paragraph" w:customStyle="1" w:styleId="xl117">
    <w:name w:val="xl117"/>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i/>
      <w:iCs/>
      <w:szCs w:val="24"/>
      <w:lang w:eastAsia="cs-CZ"/>
    </w:rPr>
  </w:style>
  <w:style w:type="paragraph" w:customStyle="1" w:styleId="xl118">
    <w:name w:val="xl118"/>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9">
    <w:name w:val="xl119"/>
    <w:basedOn w:val="Normln"/>
    <w:rsid w:val="003C606D"/>
    <w:pPr>
      <w:pBdr>
        <w:top w:val="single" w:sz="8" w:space="0" w:color="auto"/>
        <w:left w:val="single" w:sz="4" w:space="0" w:color="auto"/>
        <w:bottom w:val="single" w:sz="8"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120">
    <w:name w:val="xl120"/>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21">
    <w:name w:val="xl121"/>
    <w:basedOn w:val="Normln"/>
    <w:rsid w:val="003C606D"/>
    <w:pPr>
      <w:pBdr>
        <w:top w:val="single" w:sz="8"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2">
    <w:name w:val="xl122"/>
    <w:basedOn w:val="Normln"/>
    <w:rsid w:val="003C606D"/>
    <w:pPr>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23">
    <w:name w:val="xl123"/>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4">
    <w:name w:val="xl124"/>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25">
    <w:name w:val="xl125"/>
    <w:basedOn w:val="Normln"/>
    <w:rsid w:val="003C606D"/>
    <w:pPr>
      <w:pBdr>
        <w:top w:val="single" w:sz="4"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6">
    <w:name w:val="xl126"/>
    <w:basedOn w:val="Normln"/>
    <w:rsid w:val="003C606D"/>
    <w:pPr>
      <w:pBdr>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7">
    <w:name w:val="xl127"/>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28">
    <w:name w:val="xl128"/>
    <w:basedOn w:val="Normln"/>
    <w:rsid w:val="003C606D"/>
    <w:pPr>
      <w:pBdr>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9">
    <w:name w:val="xl129"/>
    <w:basedOn w:val="Normln"/>
    <w:rsid w:val="003C606D"/>
    <w:pPr>
      <w:pBdr>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30">
    <w:name w:val="xl130"/>
    <w:basedOn w:val="Normln"/>
    <w:rsid w:val="003C606D"/>
    <w:pPr>
      <w:pBdr>
        <w:lef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1">
    <w:name w:val="xl131"/>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2">
    <w:name w:val="xl132"/>
    <w:basedOn w:val="Normln"/>
    <w:rsid w:val="003C606D"/>
    <w:pPr>
      <w:pBdr>
        <w:top w:val="single" w:sz="4" w:space="0" w:color="auto"/>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3">
    <w:name w:val="xl133"/>
    <w:basedOn w:val="Normln"/>
    <w:rsid w:val="003C606D"/>
    <w:pPr>
      <w:pBdr>
        <w:top w:val="single" w:sz="8"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34">
    <w:name w:val="xl134"/>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35">
    <w:name w:val="xl135"/>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36">
    <w:name w:val="xl136"/>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7">
    <w:name w:val="xl137"/>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8">
    <w:name w:val="xl138"/>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9">
    <w:name w:val="xl139"/>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0">
    <w:name w:val="xl140"/>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w:eastAsia="Arial Unicode MS" w:hAnsi="Arial" w:cs="Arial Unicode MS"/>
      <w:i/>
      <w:iCs/>
      <w:szCs w:val="24"/>
      <w:lang w:eastAsia="cs-CZ"/>
    </w:rPr>
  </w:style>
  <w:style w:type="paragraph" w:customStyle="1" w:styleId="xl141">
    <w:name w:val="xl141"/>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2">
    <w:name w:val="xl142"/>
    <w:basedOn w:val="Normln"/>
    <w:rsid w:val="003C606D"/>
    <w:pPr>
      <w:pBdr>
        <w:top w:val="single" w:sz="8" w:space="0" w:color="auto"/>
        <w:bottom w:val="single" w:sz="8" w:space="0" w:color="auto"/>
        <w:right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3">
    <w:name w:val="xl143"/>
    <w:basedOn w:val="Normln"/>
    <w:rsid w:val="003C606D"/>
    <w:pPr>
      <w:pBdr>
        <w:top w:val="single" w:sz="8" w:space="0" w:color="auto"/>
        <w:left w:val="single" w:sz="8" w:space="0" w:color="auto"/>
        <w:bottom w:val="single" w:sz="8" w:space="0" w:color="auto"/>
      </w:pBdr>
      <w:shd w:val="clear" w:color="auto" w:fill="808000"/>
      <w:spacing w:before="100" w:beforeAutospacing="1" w:after="100" w:afterAutospacing="1"/>
      <w:jc w:val="left"/>
    </w:pPr>
    <w:rPr>
      <w:rFonts w:ascii="Arial" w:eastAsia="Arial Unicode MS" w:hAnsi="Arial" w:cs="Arial Unicode MS"/>
      <w:b/>
      <w:bCs/>
      <w:color w:val="FFFFFF"/>
      <w:szCs w:val="24"/>
      <w:lang w:eastAsia="cs-CZ"/>
    </w:rPr>
  </w:style>
  <w:style w:type="paragraph" w:customStyle="1" w:styleId="xl144">
    <w:name w:val="xl144"/>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5">
    <w:name w:val="xl145"/>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6">
    <w:name w:val="xl146"/>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7">
    <w:name w:val="xl147"/>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34">
    <w:name w:val="xl34"/>
    <w:basedOn w:val="Normln"/>
    <w:rsid w:val="003C606D"/>
    <w:pPr>
      <w:pBdr>
        <w:top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8">
    <w:name w:val="xl148"/>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9">
    <w:name w:val="xl149"/>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character" w:customStyle="1" w:styleId="cun1">
    <w:name w:val="cun1"/>
    <w:basedOn w:val="Standardnpsmoodstavce"/>
    <w:rsid w:val="003C606D"/>
    <w:rPr>
      <w:sz w:val="16"/>
      <w:szCs w:val="16"/>
    </w:rPr>
  </w:style>
  <w:style w:type="character" w:customStyle="1" w:styleId="cu1">
    <w:name w:val="cu1"/>
    <w:basedOn w:val="Standardnpsmoodstavce"/>
    <w:rsid w:val="003C606D"/>
    <w:rPr>
      <w:i/>
      <w:iCs/>
      <w:sz w:val="16"/>
      <w:szCs w:val="16"/>
    </w:rPr>
  </w:style>
  <w:style w:type="paragraph" w:customStyle="1" w:styleId="source0">
    <w:name w:val="source"/>
    <w:basedOn w:val="Normln"/>
    <w:rsid w:val="003C606D"/>
    <w:pPr>
      <w:spacing w:before="0" w:after="0"/>
    </w:pPr>
    <w:rPr>
      <w:rFonts w:ascii="Times New Roman" w:eastAsia="Times New Roman" w:hAnsi="Times New Roman"/>
      <w:sz w:val="16"/>
      <w:szCs w:val="24"/>
      <w:lang w:val="en-US" w:eastAsia="cs-CZ"/>
    </w:rPr>
  </w:style>
  <w:style w:type="paragraph" w:customStyle="1" w:styleId="center">
    <w:name w:val="center"/>
    <w:basedOn w:val="Normln"/>
    <w:rsid w:val="003C606D"/>
    <w:pPr>
      <w:spacing w:before="100" w:beforeAutospacing="1" w:after="100" w:afterAutospacing="1"/>
      <w:jc w:val="center"/>
    </w:pPr>
    <w:rPr>
      <w:rFonts w:ascii="Arial Unicode MS" w:eastAsia="Arial Unicode MS" w:hAnsi="Arial Unicode MS" w:cs="Arial Unicode MS"/>
      <w:szCs w:val="24"/>
      <w:lang w:eastAsia="cs-CZ"/>
    </w:rPr>
  </w:style>
  <w:style w:type="character" w:customStyle="1" w:styleId="vtwelve1">
    <w:name w:val="vtwelve1"/>
    <w:basedOn w:val="Standardnpsmoodstavce"/>
    <w:rsid w:val="003C606D"/>
    <w:rPr>
      <w:rFonts w:ascii="Verdana" w:hAnsi="Verdana" w:hint="default"/>
      <w:sz w:val="18"/>
      <w:szCs w:val="18"/>
    </w:rPr>
  </w:style>
  <w:style w:type="character" w:customStyle="1" w:styleId="CittChar">
    <w:name w:val="Citát Char"/>
    <w:basedOn w:val="Standardnpsmoodstavce"/>
    <w:link w:val="Citt"/>
    <w:uiPriority w:val="29"/>
    <w:rsid w:val="00B80ACE"/>
    <w:rPr>
      <w:rFonts w:ascii="Garamond" w:eastAsia="Times New Roman" w:hAnsi="Garamond"/>
      <w:i/>
      <w:iCs/>
      <w:color w:val="000000"/>
      <w:sz w:val="22"/>
      <w:lang w:eastAsia="cs-CZ"/>
    </w:rPr>
  </w:style>
  <w:style w:type="numbering" w:customStyle="1" w:styleId="NoList3">
    <w:name w:val="No List3"/>
    <w:next w:val="Bezseznamu"/>
    <w:uiPriority w:val="99"/>
    <w:semiHidden/>
    <w:unhideWhenUsed/>
    <w:rsid w:val="00FA7752"/>
  </w:style>
  <w:style w:type="character" w:customStyle="1" w:styleId="CharChar19">
    <w:name w:val="Char Char19"/>
    <w:basedOn w:val="Standardnpsmoodstavce"/>
    <w:rsid w:val="00FA7752"/>
    <w:rPr>
      <w:rFonts w:ascii="Arial" w:hAnsi="Arial"/>
      <w:b/>
      <w:bCs/>
      <w:i/>
      <w:iCs/>
      <w:sz w:val="26"/>
      <w:szCs w:val="26"/>
    </w:rPr>
  </w:style>
  <w:style w:type="character" w:customStyle="1" w:styleId="CharChar18">
    <w:name w:val="Char Char18"/>
    <w:basedOn w:val="Standardnpsmoodstavce"/>
    <w:rsid w:val="00FA7752"/>
    <w:rPr>
      <w:b/>
      <w:bCs/>
      <w:szCs w:val="22"/>
    </w:rPr>
  </w:style>
  <w:style w:type="character" w:customStyle="1" w:styleId="CharChar17">
    <w:name w:val="Char Char17"/>
    <w:basedOn w:val="Standardnpsmoodstavce"/>
    <w:rsid w:val="00FA7752"/>
    <w:rPr>
      <w:sz w:val="24"/>
      <w:szCs w:val="24"/>
    </w:rPr>
  </w:style>
  <w:style w:type="character" w:customStyle="1" w:styleId="CharChar16">
    <w:name w:val="Char Char16"/>
    <w:basedOn w:val="Standardnpsmoodstavce"/>
    <w:rsid w:val="00FA7752"/>
    <w:rPr>
      <w:i/>
      <w:iCs/>
      <w:sz w:val="24"/>
      <w:szCs w:val="24"/>
    </w:rPr>
  </w:style>
  <w:style w:type="character" w:customStyle="1" w:styleId="CharChar15">
    <w:name w:val="Char Char15"/>
    <w:basedOn w:val="Standardnpsmoodstavce"/>
    <w:rsid w:val="00FA7752"/>
    <w:rPr>
      <w:rFonts w:ascii="Arial" w:hAnsi="Arial" w:cs="Arial"/>
      <w:szCs w:val="22"/>
    </w:rPr>
  </w:style>
  <w:style w:type="character" w:customStyle="1" w:styleId="CharChar14">
    <w:name w:val="Char Char14"/>
    <w:basedOn w:val="Standardnpsmoodstavce"/>
    <w:rsid w:val="00FA7752"/>
    <w:rPr>
      <w:rFonts w:ascii="Arial" w:hAnsi="Arial"/>
      <w:szCs w:val="24"/>
      <w:lang w:val="cs-CZ" w:eastAsia="cs-CZ" w:bidi="ar-SA"/>
    </w:rPr>
  </w:style>
  <w:style w:type="character" w:customStyle="1" w:styleId="CharChar13">
    <w:name w:val="Char Char13"/>
    <w:basedOn w:val="Standardnpsmoodstavce"/>
    <w:semiHidden/>
    <w:rsid w:val="00FA7752"/>
    <w:rPr>
      <w:rFonts w:ascii="Arial" w:hAnsi="Arial"/>
      <w:sz w:val="16"/>
      <w:lang w:val="cs-CZ" w:eastAsia="cs-CZ" w:bidi="ar-SA"/>
    </w:rPr>
  </w:style>
  <w:style w:type="paragraph" w:customStyle="1" w:styleId="footnote">
    <w:name w:val="footnote"/>
    <w:basedOn w:val="Textpoznpodarou"/>
    <w:rsid w:val="00FA7752"/>
    <w:pPr>
      <w:spacing w:after="120" w:line="288" w:lineRule="auto"/>
    </w:pPr>
    <w:rPr>
      <w:rFonts w:ascii="Arial" w:hAnsi="Arial"/>
      <w:sz w:val="16"/>
    </w:rPr>
  </w:style>
  <w:style w:type="character" w:customStyle="1" w:styleId="footnoteChar">
    <w:name w:val="footnote Char"/>
    <w:rsid w:val="00FA7752"/>
    <w:rPr>
      <w:rFonts w:ascii="Arial" w:hAnsi="Arial"/>
      <w:sz w:val="16"/>
      <w:lang w:val="cs-CZ" w:eastAsia="cs-CZ" w:bidi="ar-SA"/>
    </w:rPr>
  </w:style>
  <w:style w:type="paragraph" w:customStyle="1" w:styleId="StyleHeading2Italic">
    <w:name w:val="Style Heading 2 + Italic"/>
    <w:basedOn w:val="Nadpis2"/>
    <w:rsid w:val="00FA7752"/>
    <w:pPr>
      <w:tabs>
        <w:tab w:val="num" w:pos="576"/>
      </w:tabs>
      <w:spacing w:before="0" w:line="288" w:lineRule="auto"/>
    </w:pPr>
    <w:rPr>
      <w:rFonts w:ascii="Arial" w:hAnsi="Arial" w:cs="Arial"/>
      <w:iCs/>
      <w:color w:val="000080"/>
      <w:sz w:val="20"/>
      <w:szCs w:val="28"/>
      <w:lang w:eastAsia="cs-CZ"/>
    </w:rPr>
  </w:style>
  <w:style w:type="character" w:customStyle="1" w:styleId="CharChar11">
    <w:name w:val="Char Char11"/>
    <w:basedOn w:val="Standardnpsmoodstavce"/>
    <w:rsid w:val="00FA7752"/>
    <w:rPr>
      <w:rFonts w:ascii="Arial Narrow" w:hAnsi="Arial Narrow"/>
      <w:szCs w:val="24"/>
      <w:lang w:val="cs-CZ" w:eastAsia="cs-CZ" w:bidi="ar-SA"/>
    </w:rPr>
  </w:style>
  <w:style w:type="paragraph" w:customStyle="1" w:styleId="Zdroj">
    <w:name w:val="Zdroj"/>
    <w:basedOn w:val="Normln"/>
    <w:next w:val="Normln"/>
    <w:qFormat/>
    <w:rsid w:val="00FA7752"/>
    <w:pPr>
      <w:spacing w:before="0" w:line="288" w:lineRule="auto"/>
    </w:pPr>
    <w:rPr>
      <w:rFonts w:ascii="Arial" w:eastAsia="Times New Roman" w:hAnsi="Arial"/>
      <w:sz w:val="18"/>
      <w:szCs w:val="24"/>
      <w:lang w:eastAsia="cs-CZ"/>
    </w:rPr>
  </w:style>
  <w:style w:type="character" w:customStyle="1" w:styleId="ZdrojChar">
    <w:name w:val="Zdroj Char"/>
    <w:basedOn w:val="Standardnpsmoodstavce"/>
    <w:rsid w:val="00FA7752"/>
    <w:rPr>
      <w:rFonts w:ascii="Arial" w:hAnsi="Arial"/>
      <w:sz w:val="18"/>
      <w:szCs w:val="24"/>
      <w:lang w:val="cs-CZ" w:eastAsia="cs-CZ" w:bidi="ar-SA"/>
    </w:rPr>
  </w:style>
  <w:style w:type="table" w:customStyle="1" w:styleId="TableGrid2">
    <w:name w:val="Table Grid2"/>
    <w:basedOn w:val="Normlntabulka"/>
    <w:next w:val="Mkatabulky"/>
    <w:uiPriority w:val="59"/>
    <w:rsid w:val="00FA775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x">
    <w:name w:val="Box"/>
    <w:basedOn w:val="Normln"/>
    <w:rsid w:val="00FA7752"/>
    <w:pPr>
      <w:pBdr>
        <w:top w:val="single" w:sz="12" w:space="1" w:color="808080"/>
        <w:left w:val="single" w:sz="12" w:space="4" w:color="808080"/>
        <w:bottom w:val="single" w:sz="12" w:space="1" w:color="808080"/>
        <w:right w:val="single" w:sz="12" w:space="4" w:color="808080"/>
      </w:pBdr>
      <w:spacing w:before="0" w:line="288" w:lineRule="auto"/>
    </w:pPr>
    <w:rPr>
      <w:rFonts w:ascii="Arial" w:eastAsia="Times New Roman" w:hAnsi="Arial"/>
      <w:sz w:val="20"/>
      <w:szCs w:val="24"/>
      <w:lang w:eastAsia="cs-CZ"/>
    </w:rPr>
  </w:style>
  <w:style w:type="character" w:customStyle="1" w:styleId="google-src-text">
    <w:name w:val="google-src-text"/>
    <w:basedOn w:val="Standardnpsmoodstavce"/>
    <w:rsid w:val="00FA7752"/>
  </w:style>
  <w:style w:type="character" w:customStyle="1" w:styleId="CharChar10">
    <w:name w:val="Char Char10"/>
    <w:basedOn w:val="Standardnpsmoodstavce"/>
    <w:rsid w:val="00FA7752"/>
    <w:rPr>
      <w:rFonts w:ascii="Arial" w:hAnsi="Arial"/>
      <w:lang w:val="cs-CZ" w:eastAsia="cs-CZ" w:bidi="ar-SA"/>
    </w:rPr>
  </w:style>
  <w:style w:type="character" w:customStyle="1" w:styleId="CharChar9">
    <w:name w:val="Char Char9"/>
    <w:basedOn w:val="Standardnpsmoodstavce"/>
    <w:rsid w:val="00FA7752"/>
    <w:rPr>
      <w:rFonts w:ascii="Tahoma" w:hAnsi="Tahoma" w:cs="Tahoma"/>
      <w:sz w:val="16"/>
      <w:szCs w:val="16"/>
      <w:lang w:val="cs-CZ" w:eastAsia="cs-CZ" w:bidi="ar-SA"/>
    </w:rPr>
  </w:style>
  <w:style w:type="paragraph" w:customStyle="1" w:styleId="normln0">
    <w:name w:val="normální"/>
    <w:basedOn w:val="Normln"/>
    <w:rsid w:val="00FA7752"/>
    <w:pPr>
      <w:spacing w:before="60" w:after="60" w:line="300" w:lineRule="auto"/>
    </w:pPr>
    <w:rPr>
      <w:rFonts w:ascii="Arial" w:eastAsia="Times New Roman" w:hAnsi="Arial"/>
      <w:sz w:val="20"/>
      <w:szCs w:val="20"/>
      <w:lang w:eastAsia="cs-CZ"/>
    </w:rPr>
  </w:style>
  <w:style w:type="paragraph" w:customStyle="1" w:styleId="Normln1">
    <w:name w:val="Normální 1"/>
    <w:basedOn w:val="Normln"/>
    <w:next w:val="Normln"/>
    <w:rsid w:val="00FA7752"/>
    <w:pPr>
      <w:spacing w:before="0" w:line="288" w:lineRule="auto"/>
    </w:pPr>
    <w:rPr>
      <w:rFonts w:ascii="Times New Roman" w:eastAsia="Times New Roman" w:hAnsi="Times New Roman"/>
      <w:sz w:val="22"/>
      <w:szCs w:val="20"/>
    </w:rPr>
  </w:style>
  <w:style w:type="character" w:customStyle="1" w:styleId="CharChar8">
    <w:name w:val="Char Char8"/>
    <w:basedOn w:val="CharChar10"/>
    <w:rsid w:val="00FA7752"/>
    <w:rPr>
      <w:rFonts w:ascii="Arial" w:hAnsi="Arial"/>
      <w:b/>
      <w:bCs/>
      <w:lang w:val="cs-CZ" w:eastAsia="cs-CZ" w:bidi="ar-SA"/>
    </w:rPr>
  </w:style>
  <w:style w:type="paragraph" w:customStyle="1" w:styleId="orm">
    <w:name w:val="orm"/>
    <w:basedOn w:val="Titulek"/>
    <w:rsid w:val="00FA7752"/>
    <w:pPr>
      <w:spacing w:before="0" w:line="288" w:lineRule="auto"/>
    </w:pPr>
    <w:rPr>
      <w:i/>
    </w:rPr>
  </w:style>
  <w:style w:type="character" w:customStyle="1" w:styleId="CharChar12">
    <w:name w:val="Char Char12"/>
    <w:basedOn w:val="Standardnpsmoodstavce"/>
    <w:rsid w:val="00FA7752"/>
    <w:rPr>
      <w:rFonts w:ascii="Arial" w:eastAsia="Times New Roman" w:hAnsi="Arial"/>
      <w:sz w:val="16"/>
    </w:rPr>
  </w:style>
  <w:style w:type="paragraph" w:customStyle="1" w:styleId="CM4">
    <w:name w:val="CM4"/>
    <w:basedOn w:val="Default"/>
    <w:next w:val="Default"/>
    <w:uiPriority w:val="99"/>
    <w:rsid w:val="00FA7752"/>
  </w:style>
  <w:style w:type="character" w:customStyle="1" w:styleId="CharChar7">
    <w:name w:val="Char Char7"/>
    <w:basedOn w:val="Standardnpsmoodstavce"/>
    <w:rsid w:val="00FA7752"/>
    <w:rPr>
      <w:rFonts w:ascii="Arial" w:hAnsi="Arial"/>
      <w:i/>
      <w:iCs/>
      <w:sz w:val="22"/>
      <w:szCs w:val="24"/>
      <w:lang w:val="cs-CZ" w:eastAsia="cs-CZ" w:bidi="ar-SA"/>
    </w:rPr>
  </w:style>
  <w:style w:type="character" w:customStyle="1" w:styleId="CharChar6">
    <w:name w:val="Char Char6"/>
    <w:basedOn w:val="Standardnpsmoodstavce"/>
    <w:rsid w:val="00FA7752"/>
    <w:rPr>
      <w:rFonts w:ascii="Arial" w:hAnsi="Arial"/>
      <w:sz w:val="32"/>
      <w:lang w:val="cs-CZ" w:eastAsia="cs-CZ" w:bidi="ar-SA"/>
    </w:rPr>
  </w:style>
  <w:style w:type="paragraph" w:customStyle="1" w:styleId="Nadpisobsahuaseznamu">
    <w:name w:val="Nadpis obsahu a seznamu"/>
    <w:basedOn w:val="Obsah1"/>
    <w:rsid w:val="00FA7752"/>
    <w:pPr>
      <w:spacing w:before="240" w:after="240"/>
    </w:pPr>
    <w:rPr>
      <w:rFonts w:ascii="Arial" w:eastAsia="Times New Roman" w:hAnsi="Arial" w:cs="Arial"/>
      <w:noProof/>
      <w:sz w:val="28"/>
      <w:lang w:eastAsia="cs-CZ"/>
    </w:rPr>
  </w:style>
  <w:style w:type="paragraph" w:customStyle="1" w:styleId="Zkratky">
    <w:name w:val="Zkratky"/>
    <w:basedOn w:val="Normln"/>
    <w:rsid w:val="00FA7752"/>
    <w:pPr>
      <w:tabs>
        <w:tab w:val="left" w:leader="dot" w:pos="2835"/>
      </w:tabs>
      <w:jc w:val="left"/>
    </w:pPr>
    <w:rPr>
      <w:rFonts w:ascii="Arial" w:eastAsia="Times New Roman" w:hAnsi="Arial"/>
      <w:sz w:val="22"/>
      <w:szCs w:val="24"/>
      <w:lang w:eastAsia="cs-CZ"/>
    </w:rPr>
  </w:style>
  <w:style w:type="paragraph" w:customStyle="1" w:styleId="Zhlavtabulky">
    <w:name w:val="Záhlaví tabulky"/>
    <w:basedOn w:val="Normln"/>
    <w:rsid w:val="00FA7752"/>
    <w:pPr>
      <w:jc w:val="center"/>
    </w:pPr>
    <w:rPr>
      <w:rFonts w:ascii="Arial" w:eastAsia="Times New Roman" w:hAnsi="Arial"/>
      <w:b/>
      <w:sz w:val="22"/>
      <w:szCs w:val="24"/>
      <w:lang w:eastAsia="cs-CZ"/>
    </w:rPr>
  </w:style>
  <w:style w:type="paragraph" w:customStyle="1" w:styleId="Bullet1">
    <w:name w:val="Bullet 1"/>
    <w:basedOn w:val="Normln"/>
    <w:rsid w:val="00FA7752"/>
    <w:pPr>
      <w:numPr>
        <w:numId w:val="6"/>
      </w:numPr>
      <w:jc w:val="left"/>
    </w:pPr>
    <w:rPr>
      <w:rFonts w:ascii="Arial" w:eastAsia="Times New Roman" w:hAnsi="Arial"/>
      <w:sz w:val="22"/>
      <w:szCs w:val="24"/>
      <w:lang w:eastAsia="cs-CZ"/>
    </w:rPr>
  </w:style>
  <w:style w:type="paragraph" w:customStyle="1" w:styleId="Bullet2">
    <w:name w:val="Bullet 2"/>
    <w:basedOn w:val="Normln"/>
    <w:rsid w:val="00FA7752"/>
    <w:pPr>
      <w:numPr>
        <w:numId w:val="7"/>
      </w:numPr>
      <w:tabs>
        <w:tab w:val="clear" w:pos="720"/>
        <w:tab w:val="left" w:pos="851"/>
      </w:tabs>
      <w:ind w:left="851" w:hanging="284"/>
      <w:jc w:val="left"/>
    </w:pPr>
    <w:rPr>
      <w:rFonts w:ascii="Arial" w:eastAsia="Times New Roman" w:hAnsi="Arial"/>
      <w:sz w:val="22"/>
      <w:szCs w:val="24"/>
      <w:lang w:eastAsia="cs-CZ"/>
    </w:rPr>
  </w:style>
  <w:style w:type="character" w:customStyle="1" w:styleId="CharChar5">
    <w:name w:val="Char Char5"/>
    <w:basedOn w:val="Standardnpsmoodstavce"/>
    <w:rsid w:val="00FA7752"/>
    <w:rPr>
      <w:rFonts w:ascii="Arial" w:hAnsi="Arial"/>
      <w:b/>
      <w:bCs/>
      <w:sz w:val="22"/>
      <w:szCs w:val="24"/>
      <w:lang w:val="cs-CZ" w:eastAsia="cs-CZ" w:bidi="ar-SA"/>
    </w:rPr>
  </w:style>
  <w:style w:type="character" w:customStyle="1" w:styleId="CharChar4">
    <w:name w:val="Char Char4"/>
    <w:basedOn w:val="Standardnpsmoodstavce"/>
    <w:rsid w:val="00FA7752"/>
    <w:rPr>
      <w:rFonts w:ascii="Arial" w:hAnsi="Arial"/>
      <w:sz w:val="22"/>
      <w:szCs w:val="24"/>
      <w:lang w:val="cs-CZ" w:eastAsia="cs-CZ" w:bidi="ar-SA"/>
    </w:rPr>
  </w:style>
  <w:style w:type="character" w:customStyle="1" w:styleId="textemarge">
    <w:name w:val="textemarge"/>
    <w:basedOn w:val="Standardnpsmoodstavce"/>
    <w:rsid w:val="00FA7752"/>
  </w:style>
  <w:style w:type="character" w:customStyle="1" w:styleId="CharChar3">
    <w:name w:val="Char Char3"/>
    <w:basedOn w:val="Standardnpsmoodstavce"/>
    <w:rsid w:val="00FA7752"/>
    <w:rPr>
      <w:rFonts w:ascii="Arial" w:hAnsi="Arial"/>
      <w:color w:val="FF0000"/>
      <w:sz w:val="22"/>
      <w:szCs w:val="24"/>
      <w:lang w:val="cs-CZ" w:eastAsia="cs-CZ" w:bidi="ar-SA"/>
    </w:rPr>
  </w:style>
  <w:style w:type="paragraph" w:styleId="Zkladntextodsazen2">
    <w:name w:val="Body Text Indent 2"/>
    <w:basedOn w:val="Normln"/>
    <w:link w:val="Zkladntextodsazen2Char"/>
    <w:rsid w:val="00FA7752"/>
    <w:pPr>
      <w:tabs>
        <w:tab w:val="num" w:pos="720"/>
      </w:tabs>
      <w:ind w:left="720" w:hanging="360"/>
    </w:pPr>
    <w:rPr>
      <w:rFonts w:ascii="Arial" w:eastAsia="Times New Roman" w:hAnsi="Arial"/>
      <w:color w:val="0000FF"/>
      <w:szCs w:val="24"/>
      <w:lang w:eastAsia="cs-CZ"/>
    </w:rPr>
  </w:style>
  <w:style w:type="character" w:customStyle="1" w:styleId="Zkladntextodsazen2Char">
    <w:name w:val="Základní text odsazený 2 Char"/>
    <w:basedOn w:val="Standardnpsmoodstavce"/>
    <w:link w:val="Zkladntextodsazen2"/>
    <w:rsid w:val="00FA7752"/>
    <w:rPr>
      <w:rFonts w:ascii="Arial" w:eastAsia="Times New Roman" w:hAnsi="Arial"/>
      <w:color w:val="0000FF"/>
      <w:sz w:val="24"/>
      <w:szCs w:val="24"/>
      <w:lang w:val="cs-CZ" w:eastAsia="cs-CZ"/>
    </w:rPr>
  </w:style>
  <w:style w:type="character" w:customStyle="1" w:styleId="CharChar2">
    <w:name w:val="Char Char2"/>
    <w:basedOn w:val="Standardnpsmoodstavce"/>
    <w:rsid w:val="00FA7752"/>
    <w:rPr>
      <w:rFonts w:ascii="Arial" w:hAnsi="Arial"/>
      <w:color w:val="0000FF"/>
      <w:sz w:val="24"/>
      <w:szCs w:val="24"/>
      <w:lang w:val="cs-CZ" w:eastAsia="cs-CZ" w:bidi="ar-SA"/>
    </w:rPr>
  </w:style>
  <w:style w:type="character" w:customStyle="1" w:styleId="CharChar1">
    <w:name w:val="Char Char1"/>
    <w:basedOn w:val="Standardnpsmoodstavce"/>
    <w:rsid w:val="00FA7752"/>
    <w:rPr>
      <w:b/>
      <w:bCs/>
      <w:sz w:val="24"/>
      <w:lang w:val="cs-CZ" w:eastAsia="cs-CZ" w:bidi="ar-SA"/>
    </w:rPr>
  </w:style>
  <w:style w:type="paragraph" w:styleId="Prosttext">
    <w:name w:val="Plain Text"/>
    <w:basedOn w:val="Normln"/>
    <w:link w:val="ProsttextChar"/>
    <w:rsid w:val="00FA7752"/>
    <w:pPr>
      <w:spacing w:before="0" w:after="0"/>
      <w:jc w:val="left"/>
    </w:pPr>
    <w:rPr>
      <w:rFonts w:ascii="Consolas" w:eastAsia="Arial Unicode MS" w:hAnsi="Consolas" w:cs="Arial Unicode MS"/>
      <w:sz w:val="21"/>
      <w:szCs w:val="21"/>
      <w:lang w:eastAsia="cs-CZ"/>
    </w:rPr>
  </w:style>
  <w:style w:type="character" w:customStyle="1" w:styleId="ProsttextChar">
    <w:name w:val="Prostý text Char"/>
    <w:basedOn w:val="Standardnpsmoodstavce"/>
    <w:link w:val="Prosttext"/>
    <w:rsid w:val="00FA7752"/>
    <w:rPr>
      <w:rFonts w:ascii="Consolas" w:eastAsia="Arial Unicode MS" w:hAnsi="Consolas" w:cs="Arial Unicode MS"/>
      <w:sz w:val="21"/>
      <w:szCs w:val="21"/>
      <w:lang w:val="cs-CZ" w:eastAsia="cs-CZ"/>
    </w:rPr>
  </w:style>
  <w:style w:type="character" w:customStyle="1" w:styleId="CharChar">
    <w:name w:val="Char Char"/>
    <w:basedOn w:val="Standardnpsmoodstavce"/>
    <w:rsid w:val="00FA7752"/>
    <w:rPr>
      <w:rFonts w:ascii="Consolas" w:eastAsia="Arial Unicode MS" w:hAnsi="Consolas" w:cs="Arial Unicode MS"/>
      <w:sz w:val="21"/>
      <w:szCs w:val="21"/>
      <w:lang w:val="cs-CZ" w:eastAsia="cs-CZ" w:bidi="ar-SA"/>
    </w:rPr>
  </w:style>
  <w:style w:type="paragraph" w:customStyle="1" w:styleId="Nadpisobsahu2">
    <w:name w:val="Nadpis obsahu2"/>
    <w:basedOn w:val="Nadpis1"/>
    <w:next w:val="Normln"/>
    <w:rsid w:val="00FA7752"/>
    <w:pPr>
      <w:numPr>
        <w:numId w:val="0"/>
      </w:numPr>
      <w:spacing w:line="276" w:lineRule="auto"/>
      <w:jc w:val="left"/>
      <w:outlineLvl w:val="9"/>
    </w:pPr>
    <w:rPr>
      <w:color w:val="365F91"/>
    </w:rPr>
  </w:style>
  <w:style w:type="paragraph" w:customStyle="1" w:styleId="Odstavecseseznamem2">
    <w:name w:val="Odstavec se seznamem2"/>
    <w:basedOn w:val="Normln"/>
    <w:rsid w:val="00FA7752"/>
    <w:pPr>
      <w:spacing w:before="0" w:after="200" w:line="276" w:lineRule="auto"/>
      <w:ind w:left="720"/>
      <w:contextualSpacing/>
      <w:jc w:val="left"/>
    </w:pPr>
    <w:rPr>
      <w:rFonts w:ascii="Verdana" w:hAnsi="Verdana"/>
      <w:sz w:val="18"/>
      <w:szCs w:val="18"/>
    </w:rPr>
  </w:style>
  <w:style w:type="paragraph" w:customStyle="1" w:styleId="bodytext">
    <w:name w:val="bodytext"/>
    <w:basedOn w:val="Normln"/>
    <w:uiPriority w:val="99"/>
    <w:rsid w:val="00FA7752"/>
    <w:pP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OdrazkaIstav">
    <w:name w:val="Odrazka_I_stav"/>
    <w:basedOn w:val="Normln"/>
    <w:rsid w:val="00D91259"/>
    <w:pPr>
      <w:numPr>
        <w:numId w:val="8"/>
      </w:numPr>
      <w:tabs>
        <w:tab w:val="left" w:pos="284"/>
      </w:tabs>
      <w:spacing w:before="60" w:after="60"/>
    </w:pPr>
    <w:rPr>
      <w:rFonts w:ascii="Arial" w:eastAsia="Times New Roman" w:hAnsi="Arial" w:cs="Arial"/>
      <w:noProof/>
      <w:sz w:val="20"/>
      <w:szCs w:val="20"/>
      <w:lang w:eastAsia="cs-CZ"/>
    </w:rPr>
  </w:style>
  <w:style w:type="table" w:customStyle="1" w:styleId="TableGrid3">
    <w:name w:val="Table Grid3"/>
    <w:basedOn w:val="Normlntabulka"/>
    <w:next w:val="Mkatabulky"/>
    <w:uiPriority w:val="59"/>
    <w:rsid w:val="00D912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ision">
    <w:name w:val="Vision"/>
    <w:basedOn w:val="Normln"/>
    <w:rsid w:val="00465CC5"/>
    <w:rPr>
      <w:i/>
    </w:rPr>
  </w:style>
  <w:style w:type="numbering" w:customStyle="1" w:styleId="NoList4">
    <w:name w:val="No List4"/>
    <w:next w:val="Bezseznamu"/>
    <w:uiPriority w:val="99"/>
    <w:semiHidden/>
    <w:unhideWhenUsed/>
    <w:rsid w:val="008D11FE"/>
  </w:style>
  <w:style w:type="paragraph" w:styleId="Nzev">
    <w:name w:val="Title"/>
    <w:aliases w:val="Heading4"/>
    <w:basedOn w:val="Normln"/>
    <w:link w:val="NzevChar"/>
    <w:uiPriority w:val="10"/>
    <w:qFormat/>
    <w:rsid w:val="008D11FE"/>
    <w:pPr>
      <w:overflowPunct w:val="0"/>
      <w:autoSpaceDE w:val="0"/>
      <w:autoSpaceDN w:val="0"/>
      <w:adjustRightInd w:val="0"/>
      <w:spacing w:after="0"/>
      <w:jc w:val="center"/>
      <w:textAlignment w:val="baseline"/>
    </w:pPr>
    <w:rPr>
      <w:rFonts w:ascii="Times New Roman" w:eastAsia="Times New Roman" w:hAnsi="Times New Roman"/>
      <w:b/>
      <w:bCs/>
      <w:i/>
      <w:iCs/>
      <w:color w:val="993366"/>
      <w:szCs w:val="20"/>
      <w:lang w:eastAsia="cs-CZ"/>
    </w:rPr>
  </w:style>
  <w:style w:type="character" w:customStyle="1" w:styleId="NzevChar">
    <w:name w:val="Název Char"/>
    <w:aliases w:val="Heading4 Char"/>
    <w:basedOn w:val="Standardnpsmoodstavce"/>
    <w:link w:val="Nzev"/>
    <w:uiPriority w:val="10"/>
    <w:rsid w:val="008D11FE"/>
    <w:rPr>
      <w:rFonts w:ascii="Times New Roman" w:eastAsia="Times New Roman" w:hAnsi="Times New Roman"/>
      <w:b/>
      <w:bCs/>
      <w:i/>
      <w:iCs/>
      <w:color w:val="993366"/>
      <w:sz w:val="24"/>
      <w:lang w:val="cs-CZ" w:eastAsia="cs-CZ"/>
    </w:rPr>
  </w:style>
  <w:style w:type="paragraph" w:customStyle="1" w:styleId="documentannotation">
    <w:name w:val="documentannotation"/>
    <w:basedOn w:val="Normln"/>
    <w:rsid w:val="00EE117B"/>
    <w:pPr>
      <w:spacing w:before="100" w:beforeAutospacing="1" w:after="100" w:afterAutospacing="1"/>
      <w:jc w:val="left"/>
    </w:pPr>
    <w:rPr>
      <w:rFonts w:ascii="Times New Roman" w:eastAsia="Times New Roman" w:hAnsi="Times New Roman"/>
      <w:szCs w:val="24"/>
      <w:lang w:val="en-US"/>
    </w:rPr>
  </w:style>
  <w:style w:type="character" w:customStyle="1" w:styleId="platne">
    <w:name w:val="platne"/>
    <w:basedOn w:val="Standardnpsmoodstavce"/>
    <w:rsid w:val="00203AD2"/>
  </w:style>
  <w:style w:type="character" w:customStyle="1" w:styleId="ZpatChar1">
    <w:name w:val="Zápatí Char1"/>
    <w:aliases w:val=" Char10 Char1,Char10 Char1"/>
    <w:basedOn w:val="Standardnpsmoodstavce"/>
    <w:link w:val="Zpat"/>
    <w:uiPriority w:val="99"/>
    <w:rsid w:val="000773A4"/>
    <w:rPr>
      <w:rFonts w:ascii="Garamond" w:hAnsi="Garamond"/>
      <w:sz w:val="24"/>
      <w:szCs w:val="22"/>
      <w:lang w:val="en-GB"/>
    </w:rPr>
  </w:style>
  <w:style w:type="character" w:customStyle="1" w:styleId="apple-converted-space">
    <w:name w:val="apple-converted-space"/>
    <w:basedOn w:val="Standardnpsmoodstavce"/>
    <w:rsid w:val="007A541D"/>
  </w:style>
  <w:style w:type="paragraph" w:customStyle="1" w:styleId="ca">
    <w:name w:val="ca"/>
    <w:basedOn w:val="Normln"/>
    <w:rsid w:val="00F124AA"/>
    <w:pPr>
      <w:spacing w:before="100" w:beforeAutospacing="1" w:after="100" w:afterAutospacing="1"/>
      <w:jc w:val="left"/>
    </w:pPr>
    <w:rPr>
      <w:rFonts w:ascii="Times New Roman" w:eastAsia="Times New Roman" w:hAnsi="Times New Roman"/>
      <w:szCs w:val="24"/>
      <w:lang w:val="en-US"/>
    </w:rPr>
  </w:style>
  <w:style w:type="character" w:customStyle="1" w:styleId="Caption1">
    <w:name w:val="Caption1"/>
    <w:basedOn w:val="Standardnpsmoodstavce"/>
    <w:rsid w:val="004812B6"/>
  </w:style>
  <w:style w:type="paragraph" w:customStyle="1" w:styleId="introduction">
    <w:name w:val="introduction"/>
    <w:basedOn w:val="Normln"/>
    <w:rsid w:val="00CD20FD"/>
    <w:pPr>
      <w:spacing w:before="100" w:beforeAutospacing="1" w:after="100" w:afterAutospacing="1"/>
      <w:jc w:val="left"/>
    </w:pPr>
    <w:rPr>
      <w:rFonts w:ascii="Times New Roman" w:eastAsia="Times New Roman" w:hAnsi="Times New Roman"/>
      <w:szCs w:val="24"/>
      <w:lang w:val="en-US"/>
    </w:rPr>
  </w:style>
  <w:style w:type="paragraph" w:customStyle="1" w:styleId="first-child">
    <w:name w:val="first-child"/>
    <w:basedOn w:val="Normln"/>
    <w:rsid w:val="00CD20FD"/>
    <w:pPr>
      <w:spacing w:before="100" w:beforeAutospacing="1" w:after="100" w:afterAutospacing="1"/>
      <w:jc w:val="left"/>
    </w:pPr>
    <w:rPr>
      <w:rFonts w:ascii="Times New Roman" w:eastAsia="Times New Roman" w:hAnsi="Times New Roman"/>
      <w:szCs w:val="24"/>
      <w:lang w:val="en-US"/>
    </w:rPr>
  </w:style>
  <w:style w:type="character" w:customStyle="1" w:styleId="quote-credit">
    <w:name w:val="quote-credit"/>
    <w:basedOn w:val="Standardnpsmoodstavce"/>
    <w:rsid w:val="00CD20FD"/>
  </w:style>
  <w:style w:type="character" w:customStyle="1" w:styleId="quote-credit-title">
    <w:name w:val="quote-credit-title"/>
    <w:basedOn w:val="Standardnpsmoodstavce"/>
    <w:rsid w:val="00CD20FD"/>
  </w:style>
  <w:style w:type="character" w:customStyle="1" w:styleId="A5">
    <w:name w:val="A5"/>
    <w:uiPriority w:val="99"/>
    <w:rsid w:val="003340FF"/>
    <w:rPr>
      <w:rFonts w:cs="Frutiger Next Pro"/>
      <w:color w:val="000000"/>
      <w:sz w:val="17"/>
      <w:szCs w:val="17"/>
    </w:rPr>
  </w:style>
  <w:style w:type="paragraph" w:customStyle="1" w:styleId="Listarrow">
    <w:name w:val="List arrow"/>
    <w:basedOn w:val="Default"/>
    <w:next w:val="Default"/>
    <w:uiPriority w:val="99"/>
    <w:rsid w:val="00186FC6"/>
    <w:rPr>
      <w:rFonts w:ascii="Wingdings" w:eastAsia="Calibri" w:hAnsi="Wingdings" w:cs="Times New Roman"/>
      <w:color w:val="auto"/>
    </w:rPr>
  </w:style>
  <w:style w:type="paragraph" w:customStyle="1" w:styleId="Listeapuces">
    <w:name w:val="Liste a puces"/>
    <w:basedOn w:val="Default"/>
    <w:next w:val="Default"/>
    <w:uiPriority w:val="99"/>
    <w:rsid w:val="00F975CA"/>
    <w:rPr>
      <w:rFonts w:ascii="Arial" w:eastAsia="Calibri" w:hAnsi="Arial" w:cs="Arial"/>
      <w:color w:val="auto"/>
    </w:rPr>
  </w:style>
  <w:style w:type="paragraph" w:customStyle="1" w:styleId="Titre3">
    <w:name w:val="Titre 3"/>
    <w:basedOn w:val="Default"/>
    <w:next w:val="Default"/>
    <w:uiPriority w:val="99"/>
    <w:rsid w:val="00E94C41"/>
    <w:rPr>
      <w:rFonts w:ascii="Arial" w:eastAsia="Calibri" w:hAnsi="Arial" w:cs="Arial"/>
      <w:color w:val="auto"/>
    </w:rPr>
  </w:style>
  <w:style w:type="paragraph" w:customStyle="1" w:styleId="Example">
    <w:name w:val="Example"/>
    <w:basedOn w:val="Default"/>
    <w:next w:val="Default"/>
    <w:uiPriority w:val="99"/>
    <w:rsid w:val="00E94C41"/>
    <w:rPr>
      <w:rFonts w:ascii="Arial" w:eastAsia="Calibri" w:hAnsi="Arial" w:cs="Arial"/>
      <w:color w:val="auto"/>
    </w:rPr>
  </w:style>
  <w:style w:type="character" w:customStyle="1" w:styleId="Appelnotedebasdep">
    <w:name w:val="Appel note de bas de p."/>
    <w:uiPriority w:val="99"/>
    <w:rsid w:val="00E94C41"/>
    <w:rPr>
      <w:color w:val="000000"/>
    </w:rPr>
  </w:style>
  <w:style w:type="paragraph" w:customStyle="1" w:styleId="Titre2">
    <w:name w:val="Titre 2"/>
    <w:basedOn w:val="Default"/>
    <w:next w:val="Default"/>
    <w:uiPriority w:val="99"/>
    <w:rsid w:val="005C327C"/>
    <w:rPr>
      <w:rFonts w:ascii="Arial" w:eastAsia="Calibri" w:hAnsi="Arial" w:cs="Arial"/>
      <w:color w:val="auto"/>
    </w:rPr>
  </w:style>
  <w:style w:type="paragraph" w:customStyle="1" w:styleId="Titre4">
    <w:name w:val="Titre 4"/>
    <w:basedOn w:val="Default"/>
    <w:next w:val="Default"/>
    <w:uiPriority w:val="99"/>
    <w:rsid w:val="005C327C"/>
    <w:rPr>
      <w:rFonts w:ascii="Arial" w:eastAsia="Calibri" w:hAnsi="Arial" w:cs="Arial"/>
      <w:color w:val="auto"/>
    </w:rPr>
  </w:style>
  <w:style w:type="paragraph" w:customStyle="1" w:styleId="detail-odstavec">
    <w:name w:val="detail-odstavec"/>
    <w:basedOn w:val="Normln"/>
    <w:rsid w:val="006C37E3"/>
    <w:pPr>
      <w:spacing w:before="100" w:beforeAutospacing="1" w:after="100" w:afterAutospacing="1"/>
      <w:jc w:val="left"/>
    </w:pPr>
    <w:rPr>
      <w:rFonts w:ascii="Times New Roman" w:eastAsia="Times New Roman" w:hAnsi="Times New Roman"/>
      <w:szCs w:val="24"/>
      <w:lang w:val="en-US"/>
    </w:rPr>
  </w:style>
  <w:style w:type="character" w:customStyle="1" w:styleId="zde">
    <w:name w:val="zde"/>
    <w:basedOn w:val="Standardnpsmoodstavce"/>
    <w:rsid w:val="00F87098"/>
  </w:style>
  <w:style w:type="paragraph" w:customStyle="1" w:styleId="CM1">
    <w:name w:val="CM1"/>
    <w:basedOn w:val="Default"/>
    <w:next w:val="Default"/>
    <w:uiPriority w:val="99"/>
    <w:rsid w:val="00E4652C"/>
    <w:pPr>
      <w:widowControl w:val="0"/>
    </w:pPr>
    <w:rPr>
      <w:rFonts w:ascii="CMSSB X 10" w:eastAsia="Times New Roman" w:hAnsi="CMSSB X 10" w:cs="Times New Roman"/>
      <w:color w:val="auto"/>
    </w:rPr>
  </w:style>
  <w:style w:type="paragraph" w:customStyle="1" w:styleId="CM24">
    <w:name w:val="CM24"/>
    <w:basedOn w:val="Default"/>
    <w:next w:val="Default"/>
    <w:uiPriority w:val="99"/>
    <w:rsid w:val="00E4652C"/>
    <w:pPr>
      <w:widowControl w:val="0"/>
    </w:pPr>
    <w:rPr>
      <w:rFonts w:ascii="CMSSB X 10" w:eastAsia="Times New Roman" w:hAnsi="CMSSB X 10" w:cs="Times New Roman"/>
      <w:color w:val="auto"/>
    </w:rPr>
  </w:style>
  <w:style w:type="paragraph" w:customStyle="1" w:styleId="CM2">
    <w:name w:val="CM2"/>
    <w:basedOn w:val="Default"/>
    <w:next w:val="Default"/>
    <w:uiPriority w:val="99"/>
    <w:rsid w:val="00E4652C"/>
    <w:pPr>
      <w:widowControl w:val="0"/>
      <w:spacing w:line="360" w:lineRule="atLeast"/>
    </w:pPr>
    <w:rPr>
      <w:rFonts w:ascii="CMSSB X 10" w:eastAsia="Times New Roman" w:hAnsi="CMSSB X 10" w:cs="Times New Roman"/>
      <w:color w:val="auto"/>
    </w:rPr>
  </w:style>
  <w:style w:type="paragraph" w:customStyle="1" w:styleId="CM25">
    <w:name w:val="CM25"/>
    <w:basedOn w:val="Default"/>
    <w:next w:val="Default"/>
    <w:uiPriority w:val="99"/>
    <w:rsid w:val="00E4652C"/>
    <w:pPr>
      <w:widowControl w:val="0"/>
    </w:pPr>
    <w:rPr>
      <w:rFonts w:ascii="CMSSB X 10" w:eastAsia="Times New Roman" w:hAnsi="CMSSB X 10" w:cs="Times New Roman"/>
      <w:color w:val="auto"/>
    </w:rPr>
  </w:style>
  <w:style w:type="paragraph" w:customStyle="1" w:styleId="CM3">
    <w:name w:val="CM3"/>
    <w:basedOn w:val="Default"/>
    <w:next w:val="Default"/>
    <w:uiPriority w:val="99"/>
    <w:rsid w:val="00E4652C"/>
    <w:pPr>
      <w:widowControl w:val="0"/>
      <w:spacing w:line="451" w:lineRule="atLeast"/>
    </w:pPr>
    <w:rPr>
      <w:rFonts w:ascii="CMSSB X 10" w:eastAsia="Times New Roman" w:hAnsi="CMSSB X 10" w:cs="Times New Roman"/>
      <w:color w:val="auto"/>
    </w:rPr>
  </w:style>
  <w:style w:type="paragraph" w:customStyle="1" w:styleId="CM5">
    <w:name w:val="CM5"/>
    <w:basedOn w:val="Default"/>
    <w:next w:val="Default"/>
    <w:uiPriority w:val="99"/>
    <w:rsid w:val="00E4652C"/>
    <w:pPr>
      <w:widowControl w:val="0"/>
      <w:spacing w:line="360" w:lineRule="atLeast"/>
    </w:pPr>
    <w:rPr>
      <w:rFonts w:ascii="CMSSB X 10" w:eastAsia="Times New Roman" w:hAnsi="CMSSB X 10" w:cs="Times New Roman"/>
      <w:color w:val="auto"/>
    </w:rPr>
  </w:style>
  <w:style w:type="paragraph" w:customStyle="1" w:styleId="CM6">
    <w:name w:val="CM6"/>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6">
    <w:name w:val="CM26"/>
    <w:basedOn w:val="Default"/>
    <w:next w:val="Default"/>
    <w:uiPriority w:val="99"/>
    <w:rsid w:val="00E4652C"/>
    <w:pPr>
      <w:widowControl w:val="0"/>
    </w:pPr>
    <w:rPr>
      <w:rFonts w:ascii="CMSSB X 10" w:eastAsia="Times New Roman" w:hAnsi="CMSSB X 10" w:cs="Times New Roman"/>
      <w:color w:val="auto"/>
    </w:rPr>
  </w:style>
  <w:style w:type="paragraph" w:customStyle="1" w:styleId="CM27">
    <w:name w:val="CM27"/>
    <w:basedOn w:val="Default"/>
    <w:next w:val="Default"/>
    <w:uiPriority w:val="99"/>
    <w:rsid w:val="00E4652C"/>
    <w:pPr>
      <w:widowControl w:val="0"/>
    </w:pPr>
    <w:rPr>
      <w:rFonts w:ascii="CMSSB X 10" w:eastAsia="Times New Roman" w:hAnsi="CMSSB X 10" w:cs="Times New Roman"/>
      <w:color w:val="auto"/>
    </w:rPr>
  </w:style>
  <w:style w:type="paragraph" w:customStyle="1" w:styleId="CM28">
    <w:name w:val="CM28"/>
    <w:basedOn w:val="Default"/>
    <w:next w:val="Default"/>
    <w:uiPriority w:val="99"/>
    <w:rsid w:val="00E4652C"/>
    <w:pPr>
      <w:widowControl w:val="0"/>
    </w:pPr>
    <w:rPr>
      <w:rFonts w:ascii="CMSSB X 10" w:eastAsia="Times New Roman" w:hAnsi="CMSSB X 10" w:cs="Times New Roman"/>
      <w:color w:val="auto"/>
    </w:rPr>
  </w:style>
  <w:style w:type="paragraph" w:customStyle="1" w:styleId="CM29">
    <w:name w:val="CM29"/>
    <w:basedOn w:val="Default"/>
    <w:next w:val="Default"/>
    <w:uiPriority w:val="99"/>
    <w:rsid w:val="00E4652C"/>
    <w:pPr>
      <w:widowControl w:val="0"/>
    </w:pPr>
    <w:rPr>
      <w:rFonts w:ascii="CMSSB X 10" w:eastAsia="Times New Roman" w:hAnsi="CMSSB X 10" w:cs="Times New Roman"/>
      <w:color w:val="auto"/>
    </w:rPr>
  </w:style>
  <w:style w:type="paragraph" w:customStyle="1" w:styleId="CM7">
    <w:name w:val="CM7"/>
    <w:basedOn w:val="Default"/>
    <w:next w:val="Default"/>
    <w:uiPriority w:val="99"/>
    <w:rsid w:val="00E4652C"/>
    <w:pPr>
      <w:widowControl w:val="0"/>
    </w:pPr>
    <w:rPr>
      <w:rFonts w:ascii="CMSSB X 10" w:eastAsia="Times New Roman" w:hAnsi="CMSSB X 10" w:cs="Times New Roman"/>
      <w:color w:val="auto"/>
    </w:rPr>
  </w:style>
  <w:style w:type="paragraph" w:customStyle="1" w:styleId="CM8">
    <w:name w:val="CM8"/>
    <w:basedOn w:val="Default"/>
    <w:next w:val="Default"/>
    <w:uiPriority w:val="99"/>
    <w:rsid w:val="00E4652C"/>
    <w:pPr>
      <w:widowControl w:val="0"/>
    </w:pPr>
    <w:rPr>
      <w:rFonts w:ascii="CMSSB X 10" w:eastAsia="Times New Roman" w:hAnsi="CMSSB X 10" w:cs="Times New Roman"/>
      <w:color w:val="auto"/>
    </w:rPr>
  </w:style>
  <w:style w:type="paragraph" w:customStyle="1" w:styleId="CM9">
    <w:name w:val="CM9"/>
    <w:basedOn w:val="Default"/>
    <w:next w:val="Default"/>
    <w:uiPriority w:val="99"/>
    <w:rsid w:val="00E4652C"/>
    <w:pPr>
      <w:widowControl w:val="0"/>
    </w:pPr>
    <w:rPr>
      <w:rFonts w:ascii="CMSSB X 10" w:eastAsia="Times New Roman" w:hAnsi="CMSSB X 10" w:cs="Times New Roman"/>
      <w:color w:val="auto"/>
    </w:rPr>
  </w:style>
  <w:style w:type="paragraph" w:customStyle="1" w:styleId="CM30">
    <w:name w:val="CM30"/>
    <w:basedOn w:val="Default"/>
    <w:next w:val="Default"/>
    <w:uiPriority w:val="99"/>
    <w:rsid w:val="00E4652C"/>
    <w:pPr>
      <w:widowControl w:val="0"/>
    </w:pPr>
    <w:rPr>
      <w:rFonts w:ascii="CMSSB X 10" w:eastAsia="Times New Roman" w:hAnsi="CMSSB X 10" w:cs="Times New Roman"/>
      <w:color w:val="auto"/>
    </w:rPr>
  </w:style>
  <w:style w:type="paragraph" w:customStyle="1" w:styleId="CM31">
    <w:name w:val="CM31"/>
    <w:basedOn w:val="Default"/>
    <w:next w:val="Default"/>
    <w:uiPriority w:val="99"/>
    <w:rsid w:val="00E4652C"/>
    <w:pPr>
      <w:widowControl w:val="0"/>
    </w:pPr>
    <w:rPr>
      <w:rFonts w:ascii="CMSSB X 10" w:eastAsia="Times New Roman" w:hAnsi="CMSSB X 10" w:cs="Times New Roman"/>
      <w:color w:val="auto"/>
    </w:rPr>
  </w:style>
  <w:style w:type="paragraph" w:customStyle="1" w:styleId="CM32">
    <w:name w:val="CM32"/>
    <w:basedOn w:val="Default"/>
    <w:next w:val="Default"/>
    <w:uiPriority w:val="99"/>
    <w:rsid w:val="00E4652C"/>
    <w:pPr>
      <w:widowControl w:val="0"/>
    </w:pPr>
    <w:rPr>
      <w:rFonts w:ascii="CMSSB X 10" w:eastAsia="Times New Roman" w:hAnsi="CMSSB X 10" w:cs="Times New Roman"/>
      <w:color w:val="auto"/>
    </w:rPr>
  </w:style>
  <w:style w:type="paragraph" w:customStyle="1" w:styleId="CM33">
    <w:name w:val="CM33"/>
    <w:basedOn w:val="Default"/>
    <w:next w:val="Default"/>
    <w:uiPriority w:val="99"/>
    <w:rsid w:val="00E4652C"/>
    <w:pPr>
      <w:widowControl w:val="0"/>
    </w:pPr>
    <w:rPr>
      <w:rFonts w:ascii="CMSSB X 10" w:eastAsia="Times New Roman" w:hAnsi="CMSSB X 10" w:cs="Times New Roman"/>
      <w:color w:val="auto"/>
    </w:rPr>
  </w:style>
  <w:style w:type="paragraph" w:customStyle="1" w:styleId="CM12">
    <w:name w:val="CM12"/>
    <w:basedOn w:val="Default"/>
    <w:next w:val="Default"/>
    <w:uiPriority w:val="99"/>
    <w:rsid w:val="00E4652C"/>
    <w:pPr>
      <w:widowControl w:val="0"/>
    </w:pPr>
    <w:rPr>
      <w:rFonts w:ascii="CMSSB X 10" w:eastAsia="Times New Roman" w:hAnsi="CMSSB X 10" w:cs="Times New Roman"/>
      <w:color w:val="auto"/>
    </w:rPr>
  </w:style>
  <w:style w:type="paragraph" w:customStyle="1" w:styleId="CM34">
    <w:name w:val="CM34"/>
    <w:basedOn w:val="Default"/>
    <w:next w:val="Default"/>
    <w:uiPriority w:val="99"/>
    <w:rsid w:val="00E4652C"/>
    <w:pPr>
      <w:widowControl w:val="0"/>
    </w:pPr>
    <w:rPr>
      <w:rFonts w:ascii="CMSSB X 10" w:eastAsia="Times New Roman" w:hAnsi="CMSSB X 10" w:cs="Times New Roman"/>
      <w:color w:val="auto"/>
    </w:rPr>
  </w:style>
  <w:style w:type="paragraph" w:customStyle="1" w:styleId="CM35">
    <w:name w:val="CM35"/>
    <w:basedOn w:val="Default"/>
    <w:next w:val="Default"/>
    <w:uiPriority w:val="99"/>
    <w:rsid w:val="00E4652C"/>
    <w:pPr>
      <w:widowControl w:val="0"/>
    </w:pPr>
    <w:rPr>
      <w:rFonts w:ascii="CMSSB X 10" w:eastAsia="Times New Roman" w:hAnsi="CMSSB X 10" w:cs="Times New Roman"/>
      <w:color w:val="auto"/>
    </w:rPr>
  </w:style>
  <w:style w:type="paragraph" w:customStyle="1" w:styleId="CM14">
    <w:name w:val="CM14"/>
    <w:basedOn w:val="Default"/>
    <w:next w:val="Default"/>
    <w:uiPriority w:val="99"/>
    <w:rsid w:val="00E4652C"/>
    <w:pPr>
      <w:widowControl w:val="0"/>
    </w:pPr>
    <w:rPr>
      <w:rFonts w:ascii="CMSSB X 10" w:eastAsia="Times New Roman" w:hAnsi="CMSSB X 10" w:cs="Times New Roman"/>
      <w:color w:val="auto"/>
    </w:rPr>
  </w:style>
  <w:style w:type="paragraph" w:customStyle="1" w:styleId="CM36">
    <w:name w:val="CM36"/>
    <w:basedOn w:val="Default"/>
    <w:next w:val="Default"/>
    <w:uiPriority w:val="99"/>
    <w:rsid w:val="00E4652C"/>
    <w:pPr>
      <w:widowControl w:val="0"/>
    </w:pPr>
    <w:rPr>
      <w:rFonts w:ascii="CMSSB X 10" w:eastAsia="Times New Roman" w:hAnsi="CMSSB X 10" w:cs="Times New Roman"/>
      <w:color w:val="auto"/>
    </w:rPr>
  </w:style>
  <w:style w:type="paragraph" w:customStyle="1" w:styleId="CM17">
    <w:name w:val="CM17"/>
    <w:basedOn w:val="Default"/>
    <w:next w:val="Default"/>
    <w:uiPriority w:val="99"/>
    <w:rsid w:val="00E4652C"/>
    <w:pPr>
      <w:widowControl w:val="0"/>
    </w:pPr>
    <w:rPr>
      <w:rFonts w:ascii="CMSSB X 10" w:eastAsia="Times New Roman" w:hAnsi="CMSSB X 10" w:cs="Times New Roman"/>
      <w:color w:val="auto"/>
    </w:rPr>
  </w:style>
  <w:style w:type="paragraph" w:customStyle="1" w:styleId="CM19">
    <w:name w:val="CM19"/>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0">
    <w:name w:val="CM20"/>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1">
    <w:name w:val="CM21"/>
    <w:basedOn w:val="Default"/>
    <w:next w:val="Default"/>
    <w:uiPriority w:val="99"/>
    <w:rsid w:val="00E4652C"/>
    <w:pPr>
      <w:widowControl w:val="0"/>
      <w:spacing w:line="1140" w:lineRule="atLeast"/>
    </w:pPr>
    <w:rPr>
      <w:rFonts w:ascii="CMSSB X 10" w:eastAsia="Times New Roman" w:hAnsi="CMSSB X 10" w:cs="Times New Roman"/>
      <w:color w:val="auto"/>
    </w:rPr>
  </w:style>
  <w:style w:type="paragraph" w:customStyle="1" w:styleId="CM22">
    <w:name w:val="CM22"/>
    <w:basedOn w:val="Default"/>
    <w:next w:val="Default"/>
    <w:uiPriority w:val="99"/>
    <w:rsid w:val="00E4652C"/>
    <w:pPr>
      <w:widowControl w:val="0"/>
      <w:spacing w:line="358" w:lineRule="atLeast"/>
    </w:pPr>
    <w:rPr>
      <w:rFonts w:ascii="CMSSB X 10" w:eastAsia="Times New Roman" w:hAnsi="CMSSB X 10" w:cs="Times New Roman"/>
      <w:color w:val="auto"/>
    </w:rPr>
  </w:style>
  <w:style w:type="character" w:customStyle="1" w:styleId="ZhlavChar1">
    <w:name w:val="Záhlaví Char1"/>
    <w:aliases w:val="Záhlaví a zápatí Char1"/>
    <w:basedOn w:val="Standardnpsmoodstavce"/>
    <w:link w:val="Zhlav"/>
    <w:rsid w:val="00E4652C"/>
    <w:rPr>
      <w:rFonts w:ascii="Garamond" w:hAnsi="Garamond"/>
      <w:sz w:val="24"/>
      <w:szCs w:val="22"/>
      <w:lang w:val="en-GB"/>
    </w:rPr>
  </w:style>
  <w:style w:type="character" w:customStyle="1" w:styleId="Nadpis3Char1">
    <w:name w:val="Nadpis 3 Char1"/>
    <w:aliases w:val="nadpis 3 Char1,Nadpis 3 Z Char1,Dipl3 Char1"/>
    <w:basedOn w:val="Standardnpsmoodstavce"/>
    <w:link w:val="Nadpis3"/>
    <w:rsid w:val="00E97160"/>
    <w:rPr>
      <w:rFonts w:ascii="Cambria" w:eastAsia="Times New Roman" w:hAnsi="Cambria"/>
      <w:b/>
      <w:bCs/>
      <w:color w:val="B6B002"/>
      <w:sz w:val="24"/>
      <w:szCs w:val="22"/>
    </w:rPr>
  </w:style>
  <w:style w:type="character" w:customStyle="1" w:styleId="Nadpis4Char1">
    <w:name w:val="Nadpis 4 Char1"/>
    <w:aliases w:val="nadpis 4 Char1,Nadpis 4 Z Char1,1-1 Char"/>
    <w:basedOn w:val="Standardnpsmoodstavce"/>
    <w:link w:val="Nadpis4"/>
    <w:uiPriority w:val="9"/>
    <w:rsid w:val="00F41B64"/>
    <w:rPr>
      <w:rFonts w:ascii="Cambria" w:eastAsia="Times New Roman" w:hAnsi="Cambria"/>
      <w:b/>
      <w:bCs/>
      <w:i/>
      <w:iCs/>
      <w:color w:val="AC9B02"/>
      <w:sz w:val="22"/>
      <w:szCs w:val="22"/>
    </w:rPr>
  </w:style>
  <w:style w:type="paragraph" w:customStyle="1" w:styleId="Note">
    <w:name w:val="Note"/>
    <w:basedOn w:val="Titulek"/>
    <w:link w:val="NoteChar"/>
    <w:rsid w:val="00E4652C"/>
    <w:pPr>
      <w:spacing w:before="0" w:line="360" w:lineRule="auto"/>
      <w:ind w:left="1440"/>
    </w:pPr>
    <w:rPr>
      <w:rFonts w:ascii="Times New Roman" w:hAnsi="Times New Roman"/>
    </w:rPr>
  </w:style>
  <w:style w:type="paragraph" w:customStyle="1" w:styleId="Text0">
    <w:name w:val="Text"/>
    <w:basedOn w:val="Default"/>
    <w:link w:val="TextChar"/>
    <w:rsid w:val="00E4652C"/>
    <w:pPr>
      <w:widowControl w:val="0"/>
      <w:spacing w:line="538" w:lineRule="atLeast"/>
    </w:pPr>
    <w:rPr>
      <w:rFonts w:ascii="Times New Roman" w:eastAsia="Times New Roman" w:hAnsi="Times New Roman"/>
    </w:rPr>
  </w:style>
  <w:style w:type="character" w:customStyle="1" w:styleId="TitulekChar">
    <w:name w:val="Titulek Char"/>
    <w:aliases w:val="Titulek tabulky Char,Title for table Char,picture Char,graph Char,formula Char,Zdroj_moje Char,titulek tabulka Char,Tabulka-PK Char,Tabulka Char,Tabulka_nadpis Char"/>
    <w:basedOn w:val="Standardnpsmoodstavce"/>
    <w:link w:val="Titulek"/>
    <w:uiPriority w:val="35"/>
    <w:rsid w:val="00EC3868"/>
    <w:rPr>
      <w:rFonts w:ascii="Garamond" w:eastAsia="Times New Roman" w:hAnsi="Garamond"/>
      <w:b/>
      <w:bCs/>
      <w:color w:val="000000"/>
      <w:sz w:val="22"/>
      <w:lang w:eastAsia="cs-CZ"/>
    </w:rPr>
  </w:style>
  <w:style w:type="character" w:customStyle="1" w:styleId="NoteChar">
    <w:name w:val="Note Char"/>
    <w:basedOn w:val="TitulekChar"/>
    <w:link w:val="Note"/>
    <w:rsid w:val="00E4652C"/>
    <w:rPr>
      <w:rFonts w:ascii="Times New Roman" w:eastAsia="Times New Roman" w:hAnsi="Times New Roman"/>
      <w:b/>
      <w:bCs/>
      <w:i w:val="0"/>
      <w:color w:val="000000"/>
      <w:sz w:val="24"/>
      <w:szCs w:val="18"/>
      <w:lang w:val="en-GB" w:eastAsia="cs-CZ"/>
    </w:rPr>
  </w:style>
  <w:style w:type="character" w:customStyle="1" w:styleId="DefaultChar">
    <w:name w:val="Default Char"/>
    <w:basedOn w:val="Standardnpsmoodstavce"/>
    <w:link w:val="Default"/>
    <w:rsid w:val="00E4652C"/>
    <w:rPr>
      <w:rFonts w:eastAsia="MS Mincho" w:cs="Calibri"/>
      <w:color w:val="000000"/>
      <w:sz w:val="24"/>
      <w:szCs w:val="24"/>
    </w:rPr>
  </w:style>
  <w:style w:type="character" w:customStyle="1" w:styleId="TextChar">
    <w:name w:val="Text Char"/>
    <w:basedOn w:val="DefaultChar"/>
    <w:link w:val="Text0"/>
    <w:rsid w:val="00E4652C"/>
    <w:rPr>
      <w:rFonts w:ascii="Times New Roman" w:eastAsia="Times New Roman" w:hAnsi="Times New Roman" w:cs="Calibri"/>
      <w:color w:val="000000"/>
      <w:sz w:val="24"/>
      <w:szCs w:val="24"/>
    </w:rPr>
  </w:style>
  <w:style w:type="character" w:styleId="slodku">
    <w:name w:val="line number"/>
    <w:basedOn w:val="Standardnpsmoodstavce"/>
    <w:uiPriority w:val="99"/>
    <w:semiHidden/>
    <w:unhideWhenUsed/>
    <w:rsid w:val="00E4652C"/>
  </w:style>
  <w:style w:type="character" w:customStyle="1" w:styleId="Nadpis5Char1">
    <w:name w:val="Nadpis 5 Char1"/>
    <w:aliases w:val="nadpis 5 Char1"/>
    <w:basedOn w:val="Standardnpsmoodstavce"/>
    <w:link w:val="Nadpis5"/>
    <w:uiPriority w:val="9"/>
    <w:rsid w:val="00D4266B"/>
    <w:rPr>
      <w:rFonts w:eastAsia="Times New Roman"/>
      <w:b/>
      <w:bCs/>
      <w:i/>
      <w:iCs/>
      <w:sz w:val="22"/>
      <w:szCs w:val="26"/>
    </w:rPr>
  </w:style>
  <w:style w:type="character" w:customStyle="1" w:styleId="Nadpis6Char1">
    <w:name w:val="Nadpis 6 Char1"/>
    <w:basedOn w:val="Standardnpsmoodstavce"/>
    <w:link w:val="Nadpis6"/>
    <w:uiPriority w:val="9"/>
    <w:rsid w:val="00D4266B"/>
    <w:rPr>
      <w:rFonts w:eastAsia="Times New Roman"/>
      <w:bCs/>
      <w:sz w:val="22"/>
      <w:szCs w:val="22"/>
      <w:u w:val="single"/>
    </w:rPr>
  </w:style>
  <w:style w:type="character" w:customStyle="1" w:styleId="Nadpis7Char1">
    <w:name w:val="Nadpis 7 Char1"/>
    <w:basedOn w:val="Standardnpsmoodstavce"/>
    <w:link w:val="Nadpis7"/>
    <w:uiPriority w:val="9"/>
    <w:rsid w:val="00E4652C"/>
    <w:rPr>
      <w:rFonts w:eastAsia="Times New Roman"/>
      <w:sz w:val="24"/>
      <w:szCs w:val="24"/>
    </w:rPr>
  </w:style>
  <w:style w:type="character" w:customStyle="1" w:styleId="Nadpis8Char1">
    <w:name w:val="Nadpis 8 Char1"/>
    <w:basedOn w:val="Standardnpsmoodstavce"/>
    <w:link w:val="Nadpis8"/>
    <w:uiPriority w:val="9"/>
    <w:rsid w:val="00E4652C"/>
    <w:rPr>
      <w:rFonts w:eastAsia="Times New Roman"/>
      <w:i/>
      <w:iCs/>
      <w:sz w:val="24"/>
      <w:szCs w:val="24"/>
    </w:rPr>
  </w:style>
  <w:style w:type="character" w:customStyle="1" w:styleId="Nadpis9Char1">
    <w:name w:val="Nadpis 9 Char1"/>
    <w:basedOn w:val="Standardnpsmoodstavce"/>
    <w:link w:val="Nadpis9"/>
    <w:uiPriority w:val="9"/>
    <w:rsid w:val="00E4652C"/>
    <w:rPr>
      <w:rFonts w:ascii="Cambria" w:eastAsia="Times New Roman" w:hAnsi="Cambria"/>
      <w:sz w:val="24"/>
      <w:szCs w:val="22"/>
    </w:rPr>
  </w:style>
  <w:style w:type="character" w:customStyle="1" w:styleId="TextkomenteChar1">
    <w:name w:val="Text komentáře Char1"/>
    <w:aliases w:val="Text poznámky Char1"/>
    <w:basedOn w:val="Standardnpsmoodstavce"/>
    <w:link w:val="Textkomente"/>
    <w:rsid w:val="00E4652C"/>
    <w:rPr>
      <w:rFonts w:ascii="Garamond" w:hAnsi="Garamond"/>
      <w:lang w:val="en-GB"/>
    </w:rPr>
  </w:style>
  <w:style w:type="paragraph" w:styleId="Hlavikaobsahu">
    <w:name w:val="toa heading"/>
    <w:basedOn w:val="Normln"/>
    <w:next w:val="Normln"/>
    <w:uiPriority w:val="99"/>
    <w:semiHidden/>
    <w:unhideWhenUsed/>
    <w:rsid w:val="00E4652C"/>
    <w:pPr>
      <w:autoSpaceDE w:val="0"/>
      <w:autoSpaceDN w:val="0"/>
      <w:adjustRightInd w:val="0"/>
      <w:spacing w:after="200" w:line="360" w:lineRule="auto"/>
      <w:jc w:val="left"/>
    </w:pPr>
    <w:rPr>
      <w:rFonts w:asciiTheme="majorHAnsi" w:eastAsiaTheme="majorEastAsia" w:hAnsiTheme="majorHAnsi" w:cstheme="majorBidi"/>
      <w:b/>
      <w:bCs/>
      <w:szCs w:val="24"/>
      <w:lang w:val="en-US"/>
    </w:rPr>
  </w:style>
  <w:style w:type="paragraph" w:styleId="Seznamcitac">
    <w:name w:val="table of authorities"/>
    <w:basedOn w:val="Normln"/>
    <w:next w:val="Normln"/>
    <w:uiPriority w:val="99"/>
    <w:semiHidden/>
    <w:unhideWhenUsed/>
    <w:rsid w:val="00E4652C"/>
    <w:pPr>
      <w:autoSpaceDE w:val="0"/>
      <w:autoSpaceDN w:val="0"/>
      <w:adjustRightInd w:val="0"/>
      <w:spacing w:after="0" w:line="360" w:lineRule="auto"/>
      <w:ind w:left="240" w:hanging="240"/>
      <w:jc w:val="left"/>
    </w:pPr>
    <w:rPr>
      <w:rFonts w:ascii="Times New Roman" w:eastAsiaTheme="minorHAnsi" w:hAnsi="Times New Roman" w:cs="Times-Roman"/>
      <w:szCs w:val="20"/>
      <w:lang w:val="en-US"/>
    </w:rPr>
  </w:style>
  <w:style w:type="paragraph" w:customStyle="1" w:styleId="free">
    <w:name w:val="free"/>
    <w:basedOn w:val="Normln"/>
    <w:rsid w:val="00E4652C"/>
    <w:pPr>
      <w:spacing w:before="100" w:beforeAutospacing="1" w:after="100" w:afterAutospacing="1"/>
      <w:jc w:val="left"/>
    </w:pPr>
    <w:rPr>
      <w:rFonts w:ascii="Times New Roman" w:eastAsia="Times New Roman" w:hAnsi="Times New Roman"/>
      <w:szCs w:val="24"/>
      <w:lang w:eastAsia="cs-CZ"/>
    </w:rPr>
  </w:style>
  <w:style w:type="character" w:customStyle="1" w:styleId="PedmtkomenteChar1">
    <w:name w:val="Předmět komentáře Char1"/>
    <w:basedOn w:val="TextkomenteChar1"/>
    <w:link w:val="Pedmtkomente"/>
    <w:uiPriority w:val="99"/>
    <w:semiHidden/>
    <w:rsid w:val="00E4652C"/>
    <w:rPr>
      <w:rFonts w:ascii="Garamond" w:hAnsi="Garamond"/>
      <w:b/>
      <w:bCs/>
      <w:lang w:val="en-GB"/>
    </w:rPr>
  </w:style>
  <w:style w:type="paragraph" w:customStyle="1" w:styleId="definicetext">
    <w:name w:val="definice text"/>
    <w:basedOn w:val="Normln"/>
    <w:link w:val="definicetextChar"/>
    <w:rsid w:val="00E4652C"/>
    <w:pPr>
      <w:spacing w:after="0" w:line="360" w:lineRule="auto"/>
      <w:ind w:left="720" w:right="567"/>
    </w:pPr>
    <w:rPr>
      <w:rFonts w:ascii="Times New Roman" w:eastAsia="Times New Roman" w:hAnsi="Times New Roman"/>
      <w:i/>
      <w:color w:val="000000" w:themeColor="text1"/>
      <w:szCs w:val="24"/>
      <w:lang w:val="en-US"/>
    </w:rPr>
  </w:style>
  <w:style w:type="paragraph" w:customStyle="1" w:styleId="definicenadpis">
    <w:name w:val="definice nadpis"/>
    <w:basedOn w:val="Normln"/>
    <w:link w:val="definicenadpisChar"/>
    <w:rsid w:val="00E4652C"/>
    <w:pPr>
      <w:spacing w:after="0" w:line="360" w:lineRule="auto"/>
      <w:ind w:left="720"/>
    </w:pPr>
    <w:rPr>
      <w:rFonts w:ascii="Times New Roman" w:eastAsia="Times New Roman" w:hAnsi="Times New Roman"/>
      <w:b/>
      <w:i/>
      <w:lang w:val="en-US"/>
    </w:rPr>
  </w:style>
  <w:style w:type="character" w:customStyle="1" w:styleId="definicetextChar">
    <w:name w:val="definice text Char"/>
    <w:basedOn w:val="Standardnpsmoodstavce"/>
    <w:link w:val="definicetext"/>
    <w:rsid w:val="00E4652C"/>
    <w:rPr>
      <w:rFonts w:ascii="Times New Roman" w:eastAsia="Times New Roman" w:hAnsi="Times New Roman"/>
      <w:i/>
      <w:color w:val="000000" w:themeColor="text1"/>
      <w:sz w:val="24"/>
      <w:szCs w:val="24"/>
    </w:rPr>
  </w:style>
  <w:style w:type="paragraph" w:customStyle="1" w:styleId="vpis">
    <w:name w:val="výpis"/>
    <w:basedOn w:val="Odstavecseseznamem"/>
    <w:link w:val="vpisChar"/>
    <w:rsid w:val="00E4652C"/>
    <w:pPr>
      <w:numPr>
        <w:numId w:val="10"/>
      </w:numPr>
      <w:autoSpaceDE w:val="0"/>
      <w:autoSpaceDN w:val="0"/>
      <w:adjustRightInd w:val="0"/>
      <w:spacing w:after="0" w:line="360" w:lineRule="auto"/>
      <w:outlineLvl w:val="0"/>
    </w:pPr>
    <w:rPr>
      <w:rFonts w:ascii="Times New Roman" w:eastAsia="Times New Roman" w:hAnsi="Times New Roman"/>
      <w:b/>
      <w:i/>
      <w:szCs w:val="24"/>
    </w:rPr>
  </w:style>
  <w:style w:type="character" w:customStyle="1" w:styleId="definicenadpisChar">
    <w:name w:val="definice nadpis Char"/>
    <w:basedOn w:val="Standardnpsmoodstavce"/>
    <w:link w:val="definicenadpis"/>
    <w:rsid w:val="00E4652C"/>
    <w:rPr>
      <w:rFonts w:ascii="Times New Roman" w:eastAsia="Times New Roman" w:hAnsi="Times New Roman"/>
      <w:b/>
      <w:i/>
      <w:sz w:val="24"/>
      <w:szCs w:val="22"/>
    </w:rPr>
  </w:style>
  <w:style w:type="paragraph" w:customStyle="1" w:styleId="citace">
    <w:name w:val="citace"/>
    <w:basedOn w:val="Normlnweb"/>
    <w:link w:val="citaceChar0"/>
    <w:rsid w:val="00E4652C"/>
    <w:rPr>
      <w:noProof/>
    </w:rPr>
  </w:style>
  <w:style w:type="character" w:customStyle="1" w:styleId="OdstavecseseznamemChar">
    <w:name w:val="Odstavec se seznamem Char"/>
    <w:aliases w:val="_Odstavec se seznamem Char,Seznam - odrážky Char,Tučné Char,Odstavec cíl se seznamem Char,A-Odrážky1 Char,Odstavec_muj Char,Nad Char,Odstavec_muj1 Char,Odstavec_muj2 Char,Odstavec_muj3 Char,Nad1 Char,Odstavec_muj4 Char"/>
    <w:basedOn w:val="Standardnpsmoodstavce"/>
    <w:link w:val="Odstavecseseznamem"/>
    <w:uiPriority w:val="34"/>
    <w:qFormat/>
    <w:rsid w:val="00E4652C"/>
    <w:rPr>
      <w:rFonts w:ascii="Garamond" w:hAnsi="Garamond"/>
      <w:sz w:val="24"/>
      <w:szCs w:val="22"/>
      <w:lang w:val="en-GB"/>
    </w:rPr>
  </w:style>
  <w:style w:type="character" w:customStyle="1" w:styleId="vpisChar">
    <w:name w:val="výpis Char"/>
    <w:basedOn w:val="OdstavecseseznamemChar"/>
    <w:link w:val="vpis"/>
    <w:rsid w:val="00E4652C"/>
    <w:rPr>
      <w:rFonts w:ascii="Times New Roman" w:eastAsia="Times New Roman" w:hAnsi="Times New Roman"/>
      <w:b/>
      <w:i/>
      <w:sz w:val="24"/>
      <w:szCs w:val="24"/>
      <w:lang w:val="en-GB"/>
    </w:rPr>
  </w:style>
  <w:style w:type="character" w:customStyle="1" w:styleId="NormlnwebChar">
    <w:name w:val="Normální (web) Char"/>
    <w:basedOn w:val="Standardnpsmoodstavce"/>
    <w:link w:val="Normlnweb"/>
    <w:uiPriority w:val="99"/>
    <w:rsid w:val="00E4652C"/>
    <w:rPr>
      <w:rFonts w:ascii="Times New Roman" w:eastAsia="Times New Roman" w:hAnsi="Times New Roman"/>
      <w:sz w:val="24"/>
      <w:szCs w:val="24"/>
      <w:lang w:val="en-GB" w:eastAsia="cs-CZ"/>
    </w:rPr>
  </w:style>
  <w:style w:type="character" w:customStyle="1" w:styleId="citaceChar0">
    <w:name w:val="citace Char"/>
    <w:basedOn w:val="NormlnwebChar"/>
    <w:link w:val="citace"/>
    <w:rsid w:val="00E4652C"/>
    <w:rPr>
      <w:rFonts w:ascii="Times New Roman" w:eastAsia="Times New Roman" w:hAnsi="Times New Roman"/>
      <w:noProof/>
      <w:sz w:val="24"/>
      <w:szCs w:val="24"/>
      <w:lang w:val="en-GB" w:eastAsia="cs-CZ"/>
    </w:rPr>
  </w:style>
  <w:style w:type="paragraph" w:customStyle="1" w:styleId="poznpodarou">
    <w:name w:val="pozn. pod čarou"/>
    <w:basedOn w:val="Normln"/>
    <w:link w:val="poznpodarouChar"/>
    <w:rsid w:val="00E4652C"/>
    <w:pPr>
      <w:spacing w:line="276" w:lineRule="auto"/>
    </w:pPr>
    <w:rPr>
      <w:rFonts w:ascii="Times New Roman" w:eastAsia="Times New Roman" w:hAnsi="Times New Roman"/>
      <w:sz w:val="20"/>
      <w:lang w:val="en-US"/>
    </w:rPr>
  </w:style>
  <w:style w:type="character" w:customStyle="1" w:styleId="poznpodarouChar">
    <w:name w:val="pozn. pod čarou Char"/>
    <w:basedOn w:val="Standardnpsmoodstavce"/>
    <w:link w:val="poznpodarou"/>
    <w:rsid w:val="00E4652C"/>
    <w:rPr>
      <w:rFonts w:ascii="Times New Roman" w:eastAsia="Times New Roman" w:hAnsi="Times New Roman"/>
      <w:szCs w:val="22"/>
    </w:rPr>
  </w:style>
  <w:style w:type="character" w:customStyle="1" w:styleId="bold">
    <w:name w:val="bold"/>
    <w:basedOn w:val="Standardnpsmoodstavce"/>
    <w:rsid w:val="00E4652C"/>
  </w:style>
  <w:style w:type="character" w:customStyle="1" w:styleId="webname">
    <w:name w:val="webname"/>
    <w:basedOn w:val="Standardnpsmoodstavce"/>
    <w:rsid w:val="00E4652C"/>
  </w:style>
  <w:style w:type="paragraph" w:styleId="Textvysvtlivek">
    <w:name w:val="endnote text"/>
    <w:basedOn w:val="Normln"/>
    <w:link w:val="TextvysvtlivekChar"/>
    <w:uiPriority w:val="99"/>
    <w:semiHidden/>
    <w:unhideWhenUsed/>
    <w:rsid w:val="00E4652C"/>
    <w:pPr>
      <w:spacing w:before="0" w:after="0"/>
    </w:pPr>
    <w:rPr>
      <w:rFonts w:ascii="Times New Roman" w:eastAsia="Times New Roman" w:hAnsi="Times New Roman"/>
      <w:sz w:val="20"/>
      <w:szCs w:val="20"/>
      <w:lang w:val="en-US"/>
    </w:rPr>
  </w:style>
  <w:style w:type="character" w:customStyle="1" w:styleId="TextvysvtlivekChar">
    <w:name w:val="Text vysvětlivek Char"/>
    <w:basedOn w:val="Standardnpsmoodstavce"/>
    <w:link w:val="Textvysvtlivek"/>
    <w:uiPriority w:val="99"/>
    <w:semiHidden/>
    <w:rsid w:val="00E4652C"/>
    <w:rPr>
      <w:rFonts w:ascii="Times New Roman" w:eastAsia="Times New Roman" w:hAnsi="Times New Roman"/>
    </w:rPr>
  </w:style>
  <w:style w:type="character" w:styleId="Odkaznavysvtlivky">
    <w:name w:val="endnote reference"/>
    <w:basedOn w:val="Standardnpsmoodstavce"/>
    <w:uiPriority w:val="99"/>
    <w:semiHidden/>
    <w:unhideWhenUsed/>
    <w:rsid w:val="00E4652C"/>
    <w:rPr>
      <w:vertAlign w:val="superscript"/>
    </w:rPr>
  </w:style>
  <w:style w:type="character" w:customStyle="1" w:styleId="reference-accessdate">
    <w:name w:val="reference-accessdate"/>
    <w:basedOn w:val="Standardnpsmoodstavce"/>
    <w:rsid w:val="00E4652C"/>
  </w:style>
  <w:style w:type="character" w:customStyle="1" w:styleId="articledate">
    <w:name w:val="articledate"/>
    <w:basedOn w:val="Standardnpsmoodstavce"/>
    <w:rsid w:val="001F65F9"/>
  </w:style>
  <w:style w:type="character" w:customStyle="1" w:styleId="goog-trans-section">
    <w:name w:val="goog-trans-section"/>
    <w:basedOn w:val="Standardnpsmoodstavce"/>
    <w:rsid w:val="001F65F9"/>
  </w:style>
  <w:style w:type="character" w:customStyle="1" w:styleId="Datum1">
    <w:name w:val="Datum1"/>
    <w:basedOn w:val="Standardnpsmoodstavce"/>
    <w:rsid w:val="00A207C1"/>
  </w:style>
  <w:style w:type="character" w:customStyle="1" w:styleId="sep">
    <w:name w:val="sep"/>
    <w:basedOn w:val="Standardnpsmoodstavce"/>
    <w:rsid w:val="00A207C1"/>
  </w:style>
  <w:style w:type="numbering" w:customStyle="1" w:styleId="NoList5">
    <w:name w:val="No List5"/>
    <w:next w:val="Bezseznamu"/>
    <w:uiPriority w:val="99"/>
    <w:semiHidden/>
    <w:unhideWhenUsed/>
    <w:rsid w:val="00F1317B"/>
  </w:style>
  <w:style w:type="table" w:customStyle="1" w:styleId="TableGrid4">
    <w:name w:val="Table Grid4"/>
    <w:basedOn w:val="Normlntabulka"/>
    <w:next w:val="Mkatabulky"/>
    <w:uiPriority w:val="59"/>
    <w:rsid w:val="00F1317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A5B8D0E64CA4985BBFCEFDF165F36CC">
    <w:name w:val="3A5B8D0E64CA4985BBFCEFDF165F36CC"/>
    <w:rsid w:val="00F1317B"/>
    <w:pPr>
      <w:spacing w:after="200" w:line="276" w:lineRule="auto"/>
    </w:pPr>
    <w:rPr>
      <w:rFonts w:eastAsia="Times New Roman"/>
      <w:sz w:val="22"/>
      <w:szCs w:val="22"/>
    </w:rPr>
  </w:style>
  <w:style w:type="character" w:customStyle="1" w:styleId="BezmezerChar">
    <w:name w:val="Bez mezer Char"/>
    <w:aliases w:val="podtrženo Char"/>
    <w:basedOn w:val="Standardnpsmoodstavce"/>
    <w:link w:val="Bezmezer"/>
    <w:uiPriority w:val="1"/>
    <w:rsid w:val="00F1317B"/>
    <w:rPr>
      <w:rFonts w:ascii="Garamond" w:hAnsi="Garamond"/>
      <w:sz w:val="24"/>
      <w:szCs w:val="22"/>
      <w:lang w:val="cs-CZ"/>
    </w:rPr>
  </w:style>
  <w:style w:type="paragraph" w:customStyle="1" w:styleId="TITULNISTRANKA">
    <w:name w:val="TITULNI STRANKA"/>
    <w:basedOn w:val="Normln"/>
    <w:next w:val="Normln"/>
    <w:rsid w:val="00F1317B"/>
    <w:pPr>
      <w:spacing w:before="0" w:after="0" w:line="360" w:lineRule="auto"/>
      <w:jc w:val="center"/>
    </w:pPr>
    <w:rPr>
      <w:rFonts w:ascii="Arial" w:eastAsia="Times New Roman" w:hAnsi="Arial" w:cs="Arial"/>
      <w:b/>
      <w:smallCaps/>
      <w:sz w:val="36"/>
      <w:szCs w:val="36"/>
      <w:lang w:eastAsia="cs-CZ"/>
    </w:rPr>
  </w:style>
  <w:style w:type="paragraph" w:customStyle="1" w:styleId="Char4CharCharChar">
    <w:name w:val="Char4 Char Char Char"/>
    <w:basedOn w:val="Normln"/>
    <w:rsid w:val="00F1317B"/>
    <w:pPr>
      <w:spacing w:before="0" w:after="160" w:line="240" w:lineRule="exact"/>
      <w:jc w:val="left"/>
    </w:pPr>
    <w:rPr>
      <w:rFonts w:ascii="Times New Roman Bold" w:eastAsia="Times New Roman" w:hAnsi="Times New Roman Bold"/>
      <w:sz w:val="22"/>
      <w:szCs w:val="26"/>
      <w:lang w:val="sk-SK"/>
    </w:rPr>
  </w:style>
  <w:style w:type="paragraph" w:customStyle="1" w:styleId="Char4CharCharChar2">
    <w:name w:val="Char4 Char Char Char2"/>
    <w:basedOn w:val="Normln"/>
    <w:rsid w:val="000C17C0"/>
    <w:pPr>
      <w:spacing w:before="0" w:after="160" w:line="240" w:lineRule="exact"/>
      <w:jc w:val="left"/>
    </w:pPr>
    <w:rPr>
      <w:rFonts w:ascii="Times New Roman Bold" w:eastAsia="Times New Roman" w:hAnsi="Times New Roman Bold"/>
      <w:sz w:val="22"/>
      <w:szCs w:val="26"/>
      <w:lang w:val="sk-SK"/>
    </w:rPr>
  </w:style>
  <w:style w:type="character" w:styleId="Nzevknihy">
    <w:name w:val="Book Title"/>
    <w:basedOn w:val="Standardnpsmoodstavce"/>
    <w:uiPriority w:val="33"/>
    <w:rsid w:val="00C608DF"/>
    <w:rPr>
      <w:b/>
      <w:bCs/>
      <w:smallCaps/>
      <w:spacing w:val="5"/>
    </w:rPr>
  </w:style>
  <w:style w:type="character" w:styleId="Zdraznnintenzivn">
    <w:name w:val="Intense Emphasis"/>
    <w:basedOn w:val="Standardnpsmoodstavce"/>
    <w:uiPriority w:val="21"/>
    <w:qFormat/>
    <w:rsid w:val="00D90EF8"/>
    <w:rPr>
      <w:b/>
      <w:bCs/>
      <w:i/>
      <w:iCs/>
      <w:color w:val="B6B002" w:themeColor="accent1"/>
    </w:rPr>
  </w:style>
  <w:style w:type="numbering" w:customStyle="1" w:styleId="NoList6">
    <w:name w:val="No List6"/>
    <w:next w:val="Bezseznamu"/>
    <w:uiPriority w:val="99"/>
    <w:semiHidden/>
    <w:unhideWhenUsed/>
    <w:rsid w:val="006C6681"/>
  </w:style>
  <w:style w:type="paragraph" w:customStyle="1" w:styleId="Char4CharCharChar1">
    <w:name w:val="Char4 Char Char Char1"/>
    <w:basedOn w:val="Normln"/>
    <w:rsid w:val="00DA287E"/>
    <w:pPr>
      <w:spacing w:before="0" w:after="160" w:line="240" w:lineRule="exact"/>
      <w:jc w:val="left"/>
    </w:pPr>
    <w:rPr>
      <w:rFonts w:ascii="Times New Roman Bold" w:eastAsia="Times New Roman" w:hAnsi="Times New Roman Bold"/>
      <w:sz w:val="22"/>
      <w:szCs w:val="26"/>
      <w:lang w:val="sk-SK"/>
    </w:rPr>
  </w:style>
  <w:style w:type="paragraph" w:customStyle="1" w:styleId="Rfrenceinstitutionelle">
    <w:name w:val="Référence institutionelle"/>
    <w:basedOn w:val="Normln"/>
    <w:next w:val="Normln"/>
    <w:rsid w:val="00CF3D53"/>
    <w:pPr>
      <w:spacing w:before="0" w:after="240"/>
      <w:ind w:left="5103"/>
      <w:jc w:val="left"/>
    </w:pPr>
    <w:rPr>
      <w:rFonts w:ascii="Times New Roman" w:eastAsia="Times New Roman" w:hAnsi="Times New Roman"/>
      <w:szCs w:val="20"/>
      <w:lang w:eastAsia="en-GB"/>
    </w:rPr>
  </w:style>
  <w:style w:type="paragraph" w:customStyle="1" w:styleId="Typedudocument">
    <w:name w:val="Type du document"/>
    <w:basedOn w:val="Normln"/>
    <w:next w:val="Normln"/>
    <w:rsid w:val="00CF3D53"/>
    <w:pPr>
      <w:spacing w:before="360" w:after="0"/>
      <w:jc w:val="center"/>
    </w:pPr>
    <w:rPr>
      <w:rFonts w:ascii="Times New Roman" w:eastAsia="Times New Roman" w:hAnsi="Times New Roman"/>
      <w:b/>
      <w:szCs w:val="20"/>
      <w:lang w:eastAsia="en-GB"/>
    </w:rPr>
  </w:style>
  <w:style w:type="paragraph" w:customStyle="1" w:styleId="Confidentialit">
    <w:name w:val="Confidentialité"/>
    <w:basedOn w:val="Normln"/>
    <w:next w:val="Normln"/>
    <w:rsid w:val="00CF3D53"/>
    <w:pPr>
      <w:spacing w:before="240" w:after="240"/>
      <w:ind w:left="5103"/>
    </w:pPr>
    <w:rPr>
      <w:rFonts w:ascii="Times New Roman" w:eastAsia="Times New Roman" w:hAnsi="Times New Roman"/>
      <w:szCs w:val="20"/>
      <w:u w:val="single"/>
      <w:lang w:eastAsia="en-GB"/>
    </w:rPr>
  </w:style>
  <w:style w:type="character" w:customStyle="1" w:styleId="tw4winMark">
    <w:name w:val="tw4winMark"/>
    <w:rsid w:val="00FC2B27"/>
    <w:rPr>
      <w:vanish/>
      <w:color w:val="800080"/>
      <w:vertAlign w:val="subscript"/>
    </w:rPr>
  </w:style>
  <w:style w:type="paragraph" w:customStyle="1" w:styleId="odst">
    <w:name w:val="odst"/>
    <w:basedOn w:val="Normln"/>
    <w:rsid w:val="00163D9D"/>
    <w:pPr>
      <w:spacing w:before="100" w:beforeAutospacing="1" w:after="100" w:afterAutospacing="1"/>
      <w:jc w:val="left"/>
    </w:pPr>
    <w:rPr>
      <w:rFonts w:ascii="Times New Roman" w:eastAsia="Times New Roman" w:hAnsi="Times New Roman"/>
      <w:szCs w:val="24"/>
      <w:lang w:eastAsia="cs-CZ"/>
    </w:rPr>
  </w:style>
  <w:style w:type="character" w:customStyle="1" w:styleId="d-b">
    <w:name w:val="d-b"/>
    <w:basedOn w:val="Standardnpsmoodstavce"/>
    <w:rsid w:val="00846D63"/>
  </w:style>
  <w:style w:type="character" w:customStyle="1" w:styleId="fs-12">
    <w:name w:val="fs-12"/>
    <w:basedOn w:val="Standardnpsmoodstavce"/>
    <w:rsid w:val="00846D63"/>
  </w:style>
  <w:style w:type="character" w:customStyle="1" w:styleId="fs-11">
    <w:name w:val="fs-11"/>
    <w:basedOn w:val="Standardnpsmoodstavce"/>
    <w:rsid w:val="00846D63"/>
  </w:style>
  <w:style w:type="paragraph" w:customStyle="1" w:styleId="Barevnseznamzvraznn11">
    <w:name w:val="Barevný seznam – zvýraznění 11"/>
    <w:basedOn w:val="Normln"/>
    <w:link w:val="Barevnseznamzvraznn1Char"/>
    <w:uiPriority w:val="99"/>
    <w:rsid w:val="00745EFC"/>
    <w:pPr>
      <w:spacing w:before="0" w:after="0"/>
      <w:ind w:left="720"/>
      <w:contextualSpacing/>
      <w:jc w:val="left"/>
    </w:pPr>
    <w:rPr>
      <w:rFonts w:ascii="Times New Roman" w:eastAsia="Times New Roman" w:hAnsi="Times New Roman"/>
      <w:sz w:val="20"/>
      <w:szCs w:val="20"/>
      <w:lang w:eastAsia="cs-CZ"/>
    </w:rPr>
  </w:style>
  <w:style w:type="paragraph" w:customStyle="1" w:styleId="Normodsaz">
    <w:name w:val="Norm.odsaz."/>
    <w:basedOn w:val="Normln"/>
    <w:uiPriority w:val="99"/>
    <w:rsid w:val="00745EFC"/>
    <w:pPr>
      <w:autoSpaceDE w:val="0"/>
      <w:autoSpaceDN w:val="0"/>
    </w:pPr>
    <w:rPr>
      <w:rFonts w:ascii="Times New Roman" w:hAnsi="Times New Roman"/>
      <w:szCs w:val="24"/>
      <w:lang w:eastAsia="cs-CZ"/>
    </w:rPr>
  </w:style>
  <w:style w:type="character" w:customStyle="1" w:styleId="Barevnseznamzvraznn1Char">
    <w:name w:val="Barevný seznam – zvýraznění 1 Char"/>
    <w:link w:val="Barevnseznamzvraznn11"/>
    <w:uiPriority w:val="99"/>
    <w:rsid w:val="00745EFC"/>
    <w:rPr>
      <w:rFonts w:ascii="Times New Roman" w:eastAsia="Times New Roman" w:hAnsi="Times New Roman"/>
      <w:lang w:val="cs-CZ" w:eastAsia="cs-CZ"/>
    </w:rPr>
  </w:style>
  <w:style w:type="paragraph" w:customStyle="1" w:styleId="odrky1">
    <w:name w:val="odrážky1"/>
    <w:basedOn w:val="Normln"/>
    <w:uiPriority w:val="99"/>
    <w:rsid w:val="00D0793B"/>
    <w:pPr>
      <w:widowControl w:val="0"/>
      <w:numPr>
        <w:numId w:val="12"/>
      </w:numPr>
      <w:autoSpaceDE w:val="0"/>
      <w:autoSpaceDN w:val="0"/>
      <w:adjustRightInd w:val="0"/>
      <w:spacing w:before="0" w:line="288" w:lineRule="auto"/>
      <w:contextualSpacing/>
    </w:pPr>
    <w:rPr>
      <w:rFonts w:ascii="Arial" w:eastAsia="Times New Roman" w:hAnsi="Arial" w:cs="Arial"/>
      <w:szCs w:val="24"/>
      <w:lang w:eastAsia="cs-CZ"/>
    </w:rPr>
  </w:style>
  <w:style w:type="paragraph" w:customStyle="1" w:styleId="Nadpis10">
    <w:name w:val="Nadpis (1)"/>
    <w:basedOn w:val="Nadpis1"/>
    <w:link w:val="Nadpis1Char0"/>
    <w:qFormat/>
    <w:rsid w:val="009679AD"/>
  </w:style>
  <w:style w:type="paragraph" w:customStyle="1" w:styleId="Nadpis20">
    <w:name w:val="Nadpis (2)"/>
    <w:basedOn w:val="Nadpis2"/>
    <w:link w:val="Nadpis2Char0"/>
    <w:qFormat/>
    <w:rsid w:val="009679AD"/>
    <w:rPr>
      <w:rFonts w:eastAsia="Calibri"/>
    </w:rPr>
  </w:style>
  <w:style w:type="character" w:customStyle="1" w:styleId="Nadpis1Char0">
    <w:name w:val="Nadpis (1) Char"/>
    <w:basedOn w:val="Nadpis1Char1"/>
    <w:link w:val="Nadpis10"/>
    <w:rsid w:val="009679AD"/>
    <w:rPr>
      <w:rFonts w:ascii="Cambria" w:eastAsia="Times New Roman" w:hAnsi="Cambria"/>
      <w:b/>
      <w:bCs/>
      <w:color w:val="B6B002"/>
      <w:sz w:val="28"/>
      <w:szCs w:val="28"/>
    </w:rPr>
  </w:style>
  <w:style w:type="paragraph" w:customStyle="1" w:styleId="Nadpis30">
    <w:name w:val="Nadpis (3)"/>
    <w:basedOn w:val="Nadpis3"/>
    <w:link w:val="Nadpis3Char0"/>
    <w:qFormat/>
    <w:rsid w:val="00391E39"/>
    <w:pPr>
      <w:ind w:left="720"/>
    </w:pPr>
  </w:style>
  <w:style w:type="character" w:customStyle="1" w:styleId="Nadpis2Char0">
    <w:name w:val="Nadpis (2) Char"/>
    <w:basedOn w:val="Nadpis2Char1"/>
    <w:link w:val="Nadpis20"/>
    <w:rsid w:val="009679AD"/>
    <w:rPr>
      <w:rFonts w:ascii="Cambria" w:eastAsia="Times New Roman" w:hAnsi="Cambria"/>
      <w:b/>
      <w:bCs/>
      <w:color w:val="B6B002"/>
      <w:sz w:val="26"/>
      <w:szCs w:val="26"/>
    </w:rPr>
  </w:style>
  <w:style w:type="paragraph" w:customStyle="1" w:styleId="Text-Normaln">
    <w:name w:val="Text - Normalní"/>
    <w:basedOn w:val="Normln"/>
    <w:link w:val="Text-NormalnChar"/>
    <w:qFormat/>
    <w:rsid w:val="009679AD"/>
  </w:style>
  <w:style w:type="character" w:customStyle="1" w:styleId="Nadpis3Char0">
    <w:name w:val="Nadpis (3) Char"/>
    <w:basedOn w:val="Nadpis3Char1"/>
    <w:link w:val="Nadpis30"/>
    <w:rsid w:val="00391E39"/>
    <w:rPr>
      <w:rFonts w:ascii="Cambria" w:eastAsia="Times New Roman" w:hAnsi="Cambria"/>
      <w:b/>
      <w:bCs/>
      <w:color w:val="B6B002"/>
      <w:sz w:val="24"/>
      <w:szCs w:val="22"/>
    </w:rPr>
  </w:style>
  <w:style w:type="paragraph" w:customStyle="1" w:styleId="Odraky1">
    <w:name w:val="Odražky (1)"/>
    <w:basedOn w:val="Odstavecseseznamem"/>
    <w:link w:val="Odraky1Char"/>
    <w:qFormat/>
    <w:rsid w:val="009679AD"/>
    <w:pPr>
      <w:numPr>
        <w:numId w:val="13"/>
      </w:numPr>
    </w:pPr>
  </w:style>
  <w:style w:type="character" w:customStyle="1" w:styleId="Text-NormalnChar">
    <w:name w:val="Text - Normalní Char"/>
    <w:basedOn w:val="Standardnpsmoodstavce"/>
    <w:link w:val="Text-Normaln"/>
    <w:rsid w:val="009679AD"/>
    <w:rPr>
      <w:rFonts w:ascii="Garamond" w:hAnsi="Garamond"/>
      <w:sz w:val="24"/>
      <w:szCs w:val="22"/>
      <w:lang w:val="cs-CZ"/>
    </w:rPr>
  </w:style>
  <w:style w:type="paragraph" w:customStyle="1" w:styleId="Text-Tabulka">
    <w:name w:val="Text - Tabulka"/>
    <w:basedOn w:val="Normln"/>
    <w:link w:val="Text-TabulkaChar"/>
    <w:qFormat/>
    <w:rsid w:val="009679AD"/>
    <w:pPr>
      <w:jc w:val="left"/>
    </w:pPr>
    <w:rPr>
      <w:rFonts w:eastAsia="MS Mincho"/>
      <w:sz w:val="20"/>
      <w:szCs w:val="20"/>
    </w:rPr>
  </w:style>
  <w:style w:type="character" w:customStyle="1" w:styleId="Odraky1Char">
    <w:name w:val="Odražky (1) Char"/>
    <w:basedOn w:val="OdstavecseseznamemChar"/>
    <w:link w:val="Odraky1"/>
    <w:rsid w:val="009679AD"/>
    <w:rPr>
      <w:rFonts w:ascii="Garamond" w:hAnsi="Garamond"/>
      <w:sz w:val="24"/>
      <w:szCs w:val="22"/>
      <w:lang w:val="en-GB"/>
    </w:rPr>
  </w:style>
  <w:style w:type="paragraph" w:customStyle="1" w:styleId="Quote1">
    <w:name w:val="Quote1"/>
    <w:basedOn w:val="Normln"/>
    <w:next w:val="Normln"/>
    <w:link w:val="QuoteChar"/>
    <w:rsid w:val="006529AC"/>
    <w:pPr>
      <w:spacing w:before="0" w:after="0"/>
    </w:pPr>
    <w:rPr>
      <w:rFonts w:eastAsia="Times New Roman"/>
      <w:i/>
      <w:iCs/>
      <w:color w:val="000000"/>
      <w:sz w:val="20"/>
      <w:szCs w:val="20"/>
      <w:lang w:eastAsia="cs-CZ"/>
    </w:rPr>
  </w:style>
  <w:style w:type="character" w:customStyle="1" w:styleId="Text-TabulkaChar">
    <w:name w:val="Text - Tabulka Char"/>
    <w:basedOn w:val="Standardnpsmoodstavce"/>
    <w:link w:val="Text-Tabulka"/>
    <w:rsid w:val="009679AD"/>
    <w:rPr>
      <w:rFonts w:ascii="Garamond" w:eastAsia="MS Mincho" w:hAnsi="Garamond"/>
      <w:lang w:val="cs-CZ"/>
    </w:rPr>
  </w:style>
  <w:style w:type="character" w:customStyle="1" w:styleId="QuoteChar">
    <w:name w:val="Quote Char"/>
    <w:link w:val="Quote1"/>
    <w:locked/>
    <w:rsid w:val="006529AC"/>
    <w:rPr>
      <w:rFonts w:ascii="Garamond" w:eastAsia="Times New Roman" w:hAnsi="Garamond"/>
      <w:i/>
      <w:iCs/>
      <w:color w:val="000000"/>
      <w:lang w:val="cs-CZ" w:eastAsia="cs-CZ"/>
    </w:rPr>
  </w:style>
  <w:style w:type="paragraph" w:customStyle="1" w:styleId="Zdroj1">
    <w:name w:val="Zdroj (1)"/>
    <w:basedOn w:val="Normln"/>
    <w:link w:val="Zdroj1Char"/>
    <w:qFormat/>
    <w:rsid w:val="004864F4"/>
    <w:pPr>
      <w:widowControl w:val="0"/>
      <w:spacing w:after="0"/>
    </w:pPr>
    <w:rPr>
      <w:rFonts w:eastAsia="Times New Roman"/>
      <w:i/>
      <w:iCs/>
      <w:color w:val="000000"/>
      <w:sz w:val="20"/>
      <w:szCs w:val="20"/>
      <w:lang w:eastAsia="cs-CZ"/>
    </w:rPr>
  </w:style>
  <w:style w:type="paragraph" w:customStyle="1" w:styleId="Nadpis2a">
    <w:name w:val="Nadpis (2a)"/>
    <w:basedOn w:val="Nadpis2"/>
    <w:link w:val="Nadpis2aChar"/>
    <w:qFormat/>
    <w:rsid w:val="008F009D"/>
    <w:pPr>
      <w:keepNext w:val="0"/>
      <w:numPr>
        <w:numId w:val="14"/>
      </w:numPr>
    </w:pPr>
    <w:rPr>
      <w:rFonts w:eastAsia="Calibri"/>
      <w:color w:val="auto"/>
      <w:sz w:val="24"/>
      <w:szCs w:val="24"/>
      <w:u w:val="single"/>
    </w:rPr>
  </w:style>
  <w:style w:type="character" w:customStyle="1" w:styleId="Zdroj1Char">
    <w:name w:val="Zdroj (1) Char"/>
    <w:basedOn w:val="Standardnpsmoodstavce"/>
    <w:link w:val="Zdroj1"/>
    <w:rsid w:val="004864F4"/>
    <w:rPr>
      <w:rFonts w:ascii="Garamond" w:eastAsia="Times New Roman" w:hAnsi="Garamond"/>
      <w:i/>
      <w:iCs/>
      <w:color w:val="000000"/>
      <w:lang w:eastAsia="cs-CZ"/>
    </w:rPr>
  </w:style>
  <w:style w:type="character" w:customStyle="1" w:styleId="Nadpis2aChar">
    <w:name w:val="Nadpis (2a) Char"/>
    <w:basedOn w:val="Nadpis2Char1"/>
    <w:link w:val="Nadpis2a"/>
    <w:rsid w:val="008F009D"/>
    <w:rPr>
      <w:rFonts w:ascii="Cambria" w:eastAsia="Times New Roman" w:hAnsi="Cambria"/>
      <w:b/>
      <w:bCs/>
      <w:color w:val="B6B002"/>
      <w:sz w:val="24"/>
      <w:szCs w:val="24"/>
      <w:u w:val="single"/>
    </w:rPr>
  </w:style>
  <w:style w:type="paragraph" w:customStyle="1" w:styleId="Odraky2">
    <w:name w:val="Odražky (2)"/>
    <w:basedOn w:val="Odstavecseseznamem"/>
    <w:link w:val="Odraky2Char"/>
    <w:qFormat/>
    <w:rsid w:val="00A40982"/>
    <w:pPr>
      <w:numPr>
        <w:numId w:val="11"/>
      </w:numPr>
      <w:ind w:left="1134" w:hanging="425"/>
    </w:pPr>
  </w:style>
  <w:style w:type="character" w:customStyle="1" w:styleId="Odraky2Char">
    <w:name w:val="Odražky (2) Char"/>
    <w:basedOn w:val="OdstavecseseznamemChar"/>
    <w:link w:val="Odraky2"/>
    <w:rsid w:val="00A40982"/>
    <w:rPr>
      <w:rFonts w:ascii="Garamond" w:hAnsi="Garamond"/>
      <w:sz w:val="24"/>
      <w:szCs w:val="22"/>
      <w:lang w:val="en-GB"/>
    </w:rPr>
  </w:style>
  <w:style w:type="paragraph" w:styleId="Rejstk5">
    <w:name w:val="index 5"/>
    <w:basedOn w:val="Normln"/>
    <w:next w:val="Normln"/>
    <w:autoRedefine/>
    <w:uiPriority w:val="99"/>
    <w:semiHidden/>
    <w:unhideWhenUsed/>
    <w:rsid w:val="00A57C40"/>
    <w:pPr>
      <w:spacing w:before="0" w:after="0"/>
      <w:ind w:left="1200" w:hanging="240"/>
    </w:pPr>
  </w:style>
  <w:style w:type="paragraph" w:customStyle="1" w:styleId="Styl14bTunzarovnnnasted">
    <w:name w:val="Styl 14 b. Tučné zarovnání na střed"/>
    <w:basedOn w:val="Normln"/>
    <w:rsid w:val="00513D3A"/>
    <w:pPr>
      <w:spacing w:before="0" w:after="80"/>
      <w:jc w:val="left"/>
    </w:pPr>
    <w:rPr>
      <w:rFonts w:ascii="Calibri" w:eastAsia="MS Mincho" w:hAnsi="Calibri"/>
      <w:bCs/>
      <w:szCs w:val="20"/>
      <w:lang w:eastAsia="ja-JP"/>
    </w:rPr>
  </w:style>
  <w:style w:type="paragraph" w:customStyle="1" w:styleId="Nadpis3a">
    <w:name w:val="Nadpis (3a)"/>
    <w:basedOn w:val="Text-Normaln"/>
    <w:link w:val="Nadpis3aChar"/>
    <w:qFormat/>
    <w:rsid w:val="00F8483B"/>
    <w:pPr>
      <w:numPr>
        <w:ilvl w:val="2"/>
        <w:numId w:val="15"/>
      </w:numPr>
    </w:pPr>
    <w:rPr>
      <w:b/>
    </w:rPr>
  </w:style>
  <w:style w:type="character" w:customStyle="1" w:styleId="Nadpis3aChar">
    <w:name w:val="Nadpis (3a) Char"/>
    <w:basedOn w:val="Text-NormalnChar"/>
    <w:link w:val="Nadpis3a"/>
    <w:rsid w:val="00F8483B"/>
    <w:rPr>
      <w:rFonts w:ascii="Garamond" w:hAnsi="Garamond"/>
      <w:b/>
      <w:sz w:val="24"/>
      <w:szCs w:val="22"/>
      <w:lang w:val="cs-CZ"/>
    </w:rPr>
  </w:style>
  <w:style w:type="paragraph" w:customStyle="1" w:styleId="Normln-tun">
    <w:name w:val="Normální - tučné"/>
    <w:basedOn w:val="Normln"/>
    <w:uiPriority w:val="99"/>
    <w:qFormat/>
    <w:rsid w:val="00C618B7"/>
    <w:rPr>
      <w:rFonts w:eastAsia="MS Mincho"/>
    </w:rPr>
  </w:style>
  <w:style w:type="character" w:customStyle="1" w:styleId="Zdraznnjemn1">
    <w:name w:val="Zdůraznění – jemné1"/>
    <w:aliases w:val="Heading6"/>
    <w:basedOn w:val="Standardnpsmoodstavce"/>
    <w:uiPriority w:val="19"/>
    <w:qFormat/>
    <w:rsid w:val="00FB5427"/>
    <w:rPr>
      <w:rFonts w:ascii="Times New Roman" w:hAnsi="Times New Roman"/>
      <w:b/>
      <w:i/>
      <w:iCs/>
      <w:color w:val="auto"/>
      <w:sz w:val="24"/>
    </w:rPr>
  </w:style>
  <w:style w:type="paragraph" w:styleId="FormtovanvHTML">
    <w:name w:val="HTML Preformatted"/>
    <w:basedOn w:val="Normln"/>
    <w:link w:val="FormtovanvHTMLChar"/>
    <w:uiPriority w:val="99"/>
    <w:rsid w:val="00FB5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FB5427"/>
    <w:rPr>
      <w:rFonts w:ascii="Courier New" w:eastAsia="Times New Roman" w:hAnsi="Courier New" w:cs="Courier New"/>
      <w:lang w:eastAsia="cs-CZ"/>
    </w:rPr>
  </w:style>
  <w:style w:type="paragraph" w:customStyle="1" w:styleId="Point1">
    <w:name w:val="Point 1"/>
    <w:basedOn w:val="Normln"/>
    <w:rsid w:val="00FB5427"/>
    <w:pPr>
      <w:widowControl w:val="0"/>
      <w:ind w:left="1418" w:hanging="567"/>
    </w:pPr>
    <w:rPr>
      <w:rFonts w:ascii="Times New Roman" w:eastAsia="Times New Roman" w:hAnsi="Times New Roman"/>
      <w:szCs w:val="20"/>
      <w:lang w:eastAsia="cs-CZ"/>
    </w:rPr>
  </w:style>
  <w:style w:type="character" w:customStyle="1" w:styleId="apple-style-span">
    <w:name w:val="apple-style-span"/>
    <w:basedOn w:val="Standardnpsmoodstavce"/>
    <w:rsid w:val="00FB5427"/>
  </w:style>
  <w:style w:type="paragraph" w:customStyle="1" w:styleId="1">
    <w:name w:val="1"/>
    <w:basedOn w:val="Normln"/>
    <w:next w:val="Normln"/>
    <w:link w:val="CitaceChar1"/>
    <w:uiPriority w:val="29"/>
    <w:qFormat/>
    <w:rsid w:val="00FB5427"/>
    <w:pPr>
      <w:widowControl w:val="0"/>
    </w:pPr>
    <w:rPr>
      <w:rFonts w:ascii="Times New Roman" w:eastAsia="Times New Roman" w:hAnsi="Times New Roman"/>
      <w:i/>
      <w:iCs/>
      <w:color w:val="000000"/>
      <w:szCs w:val="20"/>
    </w:rPr>
  </w:style>
  <w:style w:type="character" w:customStyle="1" w:styleId="CitaceChar2">
    <w:name w:val="Citace Char2"/>
    <w:basedOn w:val="Standardnpsmoodstavce"/>
    <w:uiPriority w:val="29"/>
    <w:rsid w:val="00FB5427"/>
    <w:rPr>
      <w:i/>
      <w:iCs/>
      <w:color w:val="000000"/>
      <w:sz w:val="24"/>
    </w:rPr>
  </w:style>
  <w:style w:type="character" w:styleId="Odkazintenzivn">
    <w:name w:val="Intense Reference"/>
    <w:basedOn w:val="Standardnpsmoodstavce"/>
    <w:uiPriority w:val="32"/>
    <w:qFormat/>
    <w:rsid w:val="00FB5427"/>
    <w:rPr>
      <w:b/>
      <w:bCs/>
      <w:smallCaps/>
      <w:color w:val="C0504D"/>
      <w:spacing w:val="5"/>
      <w:u w:val="single"/>
    </w:rPr>
  </w:style>
  <w:style w:type="paragraph" w:customStyle="1" w:styleId="ManualConsidrant">
    <w:name w:val="Manual Considérant"/>
    <w:basedOn w:val="Normln"/>
    <w:rsid w:val="00FB5427"/>
    <w:pPr>
      <w:spacing w:line="360" w:lineRule="auto"/>
      <w:ind w:left="850" w:hanging="850"/>
      <w:jc w:val="left"/>
    </w:pPr>
    <w:rPr>
      <w:rFonts w:ascii="Times New Roman" w:eastAsia="Times New Roman" w:hAnsi="Times New Roman"/>
      <w:szCs w:val="20"/>
    </w:rPr>
  </w:style>
  <w:style w:type="paragraph" w:customStyle="1" w:styleId="Point2">
    <w:name w:val="Point 2"/>
    <w:basedOn w:val="Normln"/>
    <w:link w:val="Point2Char"/>
    <w:rsid w:val="00FB5427"/>
    <w:pPr>
      <w:spacing w:line="360" w:lineRule="auto"/>
      <w:ind w:left="1984" w:hanging="567"/>
      <w:jc w:val="left"/>
    </w:pPr>
    <w:rPr>
      <w:rFonts w:ascii="Times New Roman" w:eastAsia="Times New Roman" w:hAnsi="Times New Roman"/>
      <w:szCs w:val="20"/>
    </w:rPr>
  </w:style>
  <w:style w:type="character" w:customStyle="1" w:styleId="Point2Char">
    <w:name w:val="Point 2 Char"/>
    <w:basedOn w:val="Standardnpsmoodstavce"/>
    <w:link w:val="Point2"/>
    <w:rsid w:val="00FB5427"/>
    <w:rPr>
      <w:rFonts w:ascii="Times New Roman" w:eastAsia="Times New Roman" w:hAnsi="Times New Roman"/>
      <w:sz w:val="24"/>
    </w:rPr>
  </w:style>
  <w:style w:type="paragraph" w:customStyle="1" w:styleId="Point3">
    <w:name w:val="Point 3"/>
    <w:basedOn w:val="Normln"/>
    <w:rsid w:val="00FB5427"/>
    <w:pPr>
      <w:spacing w:line="360" w:lineRule="auto"/>
      <w:ind w:left="2551" w:hanging="567"/>
      <w:jc w:val="left"/>
    </w:pPr>
    <w:rPr>
      <w:rFonts w:ascii="Times New Roman" w:eastAsia="Times New Roman" w:hAnsi="Times New Roman"/>
      <w:szCs w:val="20"/>
    </w:rPr>
  </w:style>
  <w:style w:type="paragraph" w:customStyle="1" w:styleId="Nzavtabulky">
    <w:name w:val="Názav tabulky"/>
    <w:basedOn w:val="Normln"/>
    <w:next w:val="Normln"/>
    <w:qFormat/>
    <w:rsid w:val="009221E2"/>
    <w:pPr>
      <w:keepNext/>
      <w:tabs>
        <w:tab w:val="left" w:pos="1531"/>
      </w:tabs>
      <w:spacing w:before="140" w:after="60" w:line="276" w:lineRule="auto"/>
      <w:ind w:left="1531" w:hanging="1531"/>
      <w:jc w:val="left"/>
    </w:pPr>
    <w:rPr>
      <w:rFonts w:ascii="Arial" w:hAnsi="Arial"/>
      <w:b/>
      <w:color w:val="000000"/>
      <w:sz w:val="22"/>
    </w:rPr>
  </w:style>
  <w:style w:type="character" w:customStyle="1" w:styleId="FootnoteTextChar">
    <w:name w:val="Footnote Text Char"/>
    <w:basedOn w:val="Standardnpsmoodstavce"/>
    <w:uiPriority w:val="99"/>
    <w:semiHidden/>
    <w:rsid w:val="0054475B"/>
    <w:rPr>
      <w:sz w:val="20"/>
      <w:szCs w:val="20"/>
    </w:rPr>
  </w:style>
  <w:style w:type="paragraph" w:customStyle="1" w:styleId="st">
    <w:name w:val="část"/>
    <w:basedOn w:val="Normln"/>
    <w:next w:val="Normln"/>
    <w:rsid w:val="00C32F4B"/>
    <w:pPr>
      <w:keepNext/>
      <w:spacing w:before="360" w:after="0"/>
      <w:jc w:val="center"/>
      <w:outlineLvl w:val="0"/>
    </w:pPr>
    <w:rPr>
      <w:rFonts w:ascii="Times New Roman" w:eastAsia="Times New Roman" w:hAnsi="Times New Roman"/>
      <w:caps/>
      <w:szCs w:val="24"/>
      <w:lang w:eastAsia="cs-CZ"/>
    </w:rPr>
  </w:style>
  <w:style w:type="paragraph" w:customStyle="1" w:styleId="hlava">
    <w:name w:val="hlava"/>
    <w:basedOn w:val="Normln"/>
    <w:next w:val="Normln"/>
    <w:rsid w:val="00C32F4B"/>
    <w:pPr>
      <w:keepNext/>
      <w:spacing w:before="240" w:after="0"/>
      <w:jc w:val="center"/>
      <w:outlineLvl w:val="1"/>
    </w:pPr>
    <w:rPr>
      <w:rFonts w:ascii="Times New Roman" w:eastAsia="Times New Roman" w:hAnsi="Times New Roman"/>
      <w:szCs w:val="24"/>
      <w:lang w:eastAsia="cs-CZ"/>
    </w:rPr>
  </w:style>
  <w:style w:type="paragraph" w:customStyle="1" w:styleId="zkon-nadpis">
    <w:name w:val="zákon - nadpis"/>
    <w:basedOn w:val="Normln"/>
    <w:rsid w:val="00C32F4B"/>
    <w:pPr>
      <w:spacing w:before="0"/>
      <w:jc w:val="center"/>
    </w:pPr>
    <w:rPr>
      <w:rFonts w:ascii="Times New Roman" w:eastAsia="Times New Roman" w:hAnsi="Times New Roman"/>
      <w:b/>
      <w:szCs w:val="24"/>
      <w:lang w:val="en-US" w:eastAsia="cs-CZ"/>
    </w:rPr>
  </w:style>
  <w:style w:type="paragraph" w:customStyle="1" w:styleId="dl">
    <w:name w:val="díl"/>
    <w:basedOn w:val="Normln"/>
    <w:next w:val="Normln"/>
    <w:rsid w:val="00C32F4B"/>
    <w:pPr>
      <w:keepNext/>
      <w:spacing w:before="240" w:after="0"/>
      <w:jc w:val="center"/>
      <w:outlineLvl w:val="2"/>
    </w:pPr>
    <w:rPr>
      <w:rFonts w:ascii="Times New Roman" w:eastAsia="Times New Roman" w:hAnsi="Times New Roman"/>
      <w:szCs w:val="24"/>
      <w:lang w:eastAsia="cs-CZ"/>
    </w:rPr>
  </w:style>
  <w:style w:type="paragraph" w:customStyle="1" w:styleId="oddl">
    <w:name w:val="oddíl"/>
    <w:basedOn w:val="Normln"/>
    <w:next w:val="Normln"/>
    <w:rsid w:val="00C32F4B"/>
    <w:pPr>
      <w:keepNext/>
      <w:spacing w:before="240" w:after="0"/>
      <w:jc w:val="center"/>
      <w:outlineLvl w:val="3"/>
    </w:pPr>
    <w:rPr>
      <w:rFonts w:ascii="Times New Roman" w:eastAsia="Times New Roman" w:hAnsi="Times New Roman"/>
      <w:szCs w:val="24"/>
      <w:lang w:eastAsia="cs-CZ"/>
    </w:rPr>
  </w:style>
  <w:style w:type="paragraph" w:customStyle="1" w:styleId="pododdl">
    <w:name w:val="pododdíl"/>
    <w:basedOn w:val="Normln"/>
    <w:next w:val="Normln"/>
    <w:rsid w:val="00C32F4B"/>
    <w:pPr>
      <w:keepNext/>
      <w:spacing w:before="240" w:after="0"/>
      <w:jc w:val="center"/>
      <w:outlineLvl w:val="4"/>
    </w:pPr>
    <w:rPr>
      <w:rFonts w:ascii="Times New Roman" w:eastAsia="Times New Roman" w:hAnsi="Times New Roman"/>
      <w:szCs w:val="24"/>
      <w:lang w:eastAsia="cs-CZ"/>
    </w:rPr>
  </w:style>
  <w:style w:type="paragraph" w:customStyle="1" w:styleId="paragraf">
    <w:name w:val="paragraf"/>
    <w:basedOn w:val="Normln"/>
    <w:next w:val="odstavec"/>
    <w:rsid w:val="00C32F4B"/>
    <w:pPr>
      <w:keepNext/>
      <w:spacing w:before="240" w:after="0"/>
      <w:jc w:val="center"/>
    </w:pPr>
    <w:rPr>
      <w:rFonts w:ascii="Times New Roman" w:eastAsia="Times New Roman" w:hAnsi="Times New Roman"/>
      <w:szCs w:val="24"/>
      <w:lang w:eastAsia="cs-CZ"/>
    </w:rPr>
  </w:style>
  <w:style w:type="paragraph" w:customStyle="1" w:styleId="odstavec">
    <w:name w:val="odstavec"/>
    <w:basedOn w:val="Normln"/>
    <w:rsid w:val="00C32F4B"/>
    <w:pPr>
      <w:spacing w:after="0"/>
      <w:ind w:firstLine="482"/>
    </w:pPr>
    <w:rPr>
      <w:rFonts w:ascii="Times New Roman" w:eastAsia="Times New Roman" w:hAnsi="Times New Roman"/>
      <w:szCs w:val="24"/>
      <w:lang w:eastAsia="cs-CZ"/>
    </w:rPr>
  </w:style>
  <w:style w:type="paragraph" w:customStyle="1" w:styleId="parlament">
    <w:name w:val="parlament"/>
    <w:basedOn w:val="Normln"/>
    <w:rsid w:val="00C32F4B"/>
    <w:pPr>
      <w:spacing w:before="0" w:after="0"/>
      <w:jc w:val="left"/>
    </w:pPr>
    <w:rPr>
      <w:rFonts w:ascii="Times New Roman" w:eastAsia="Times New Roman" w:hAnsi="Times New Roman"/>
      <w:szCs w:val="24"/>
      <w:lang w:eastAsia="cs-CZ"/>
    </w:rPr>
  </w:style>
  <w:style w:type="paragraph" w:customStyle="1" w:styleId="bod">
    <w:name w:val="bod"/>
    <w:basedOn w:val="slovanseznam2"/>
    <w:rsid w:val="00C32F4B"/>
    <w:pPr>
      <w:numPr>
        <w:numId w:val="0"/>
      </w:numPr>
      <w:tabs>
        <w:tab w:val="left" w:pos="357"/>
      </w:tabs>
      <w:spacing w:before="0"/>
      <w:ind w:left="714" w:hanging="357"/>
    </w:pPr>
  </w:style>
  <w:style w:type="paragraph" w:styleId="slovanseznam2">
    <w:name w:val="List Number 2"/>
    <w:aliases w:val="číslovaný seznam 2"/>
    <w:basedOn w:val="odsazentext2"/>
    <w:rsid w:val="00C32F4B"/>
    <w:pPr>
      <w:numPr>
        <w:numId w:val="22"/>
      </w:numPr>
    </w:pPr>
  </w:style>
  <w:style w:type="paragraph" w:customStyle="1" w:styleId="odsazentext2">
    <w:name w:val="odsazený text 2"/>
    <w:basedOn w:val="Normln"/>
    <w:rsid w:val="00C32F4B"/>
    <w:pPr>
      <w:spacing w:after="0"/>
      <w:ind w:left="720"/>
    </w:pPr>
    <w:rPr>
      <w:rFonts w:ascii="Times New Roman" w:eastAsia="Times New Roman" w:hAnsi="Times New Roman"/>
      <w:szCs w:val="24"/>
      <w:lang w:eastAsia="cs-CZ"/>
    </w:rPr>
  </w:style>
  <w:style w:type="paragraph" w:customStyle="1" w:styleId="psmeno">
    <w:name w:val="písmeno"/>
    <w:basedOn w:val="slovanseznam"/>
    <w:rsid w:val="00C32F4B"/>
    <w:pPr>
      <w:numPr>
        <w:numId w:val="0"/>
      </w:numPr>
      <w:tabs>
        <w:tab w:val="left" w:pos="357"/>
      </w:tabs>
      <w:spacing w:before="0"/>
      <w:ind w:left="357" w:hanging="357"/>
    </w:pPr>
  </w:style>
  <w:style w:type="paragraph" w:styleId="slovanseznam">
    <w:name w:val="List Number"/>
    <w:aliases w:val="číslovaný seznam 1"/>
    <w:basedOn w:val="odsazentext1"/>
    <w:rsid w:val="00C32F4B"/>
    <w:pPr>
      <w:numPr>
        <w:numId w:val="21"/>
      </w:numPr>
      <w:ind w:left="360" w:hanging="360"/>
    </w:pPr>
    <w:rPr>
      <w:lang w:val="en-US"/>
    </w:rPr>
  </w:style>
  <w:style w:type="paragraph" w:customStyle="1" w:styleId="odsazentext1">
    <w:name w:val="odsazený text 1"/>
    <w:basedOn w:val="Normln"/>
    <w:rsid w:val="00C32F4B"/>
    <w:pPr>
      <w:spacing w:after="0"/>
      <w:ind w:left="360"/>
    </w:pPr>
    <w:rPr>
      <w:rFonts w:ascii="Times New Roman" w:eastAsia="Times New Roman" w:hAnsi="Times New Roman"/>
      <w:szCs w:val="24"/>
      <w:lang w:eastAsia="cs-CZ"/>
    </w:rPr>
  </w:style>
  <w:style w:type="paragraph" w:customStyle="1" w:styleId="skupinovnadpis">
    <w:name w:val="skupinový nadpis"/>
    <w:basedOn w:val="Normln"/>
    <w:rsid w:val="00C32F4B"/>
    <w:pPr>
      <w:keepNext/>
      <w:spacing w:before="240" w:after="0"/>
      <w:jc w:val="center"/>
    </w:pPr>
    <w:rPr>
      <w:rFonts w:ascii="Times New Roman" w:eastAsia="Times New Roman" w:hAnsi="Times New Roman"/>
      <w:b/>
      <w:szCs w:val="24"/>
      <w:lang w:eastAsia="cs-CZ"/>
    </w:rPr>
  </w:style>
  <w:style w:type="paragraph" w:customStyle="1" w:styleId="zkon">
    <w:name w:val="zákon"/>
    <w:basedOn w:val="Normln"/>
    <w:rsid w:val="00C32F4B"/>
    <w:pPr>
      <w:keepNext/>
      <w:spacing w:before="0" w:after="240"/>
      <w:jc w:val="center"/>
    </w:pPr>
    <w:rPr>
      <w:rFonts w:ascii="Times New Roman" w:eastAsia="Times New Roman" w:hAnsi="Times New Roman"/>
      <w:caps/>
      <w:szCs w:val="24"/>
      <w:lang w:eastAsia="cs-CZ"/>
    </w:rPr>
  </w:style>
  <w:style w:type="paragraph" w:customStyle="1" w:styleId="varianta">
    <w:name w:val="varianta"/>
    <w:basedOn w:val="Normln"/>
    <w:rsid w:val="00C32F4B"/>
    <w:pPr>
      <w:spacing w:before="240" w:after="0"/>
      <w:jc w:val="left"/>
    </w:pPr>
    <w:rPr>
      <w:rFonts w:ascii="Times New Roman" w:eastAsia="Times New Roman" w:hAnsi="Times New Roman"/>
      <w:caps/>
      <w:szCs w:val="24"/>
      <w:lang w:eastAsia="cs-CZ"/>
    </w:rPr>
  </w:style>
  <w:style w:type="paragraph" w:customStyle="1" w:styleId="zdvodnn">
    <w:name w:val="zdůvodnění"/>
    <w:basedOn w:val="Normln"/>
    <w:next w:val="text"/>
    <w:rsid w:val="00C32F4B"/>
    <w:pPr>
      <w:keepNext/>
      <w:spacing w:before="240"/>
      <w:jc w:val="left"/>
    </w:pPr>
    <w:rPr>
      <w:rFonts w:ascii="Times New Roman" w:eastAsia="Times New Roman" w:hAnsi="Times New Roman"/>
      <w:b/>
      <w:szCs w:val="24"/>
      <w:lang w:eastAsia="cs-CZ"/>
    </w:rPr>
  </w:style>
  <w:style w:type="paragraph" w:customStyle="1" w:styleId="slovanseznam30">
    <w:name w:val="číslovaný seznam 3"/>
    <w:basedOn w:val="odsazentext3"/>
    <w:rsid w:val="00C32F4B"/>
    <w:pPr>
      <w:numPr>
        <w:numId w:val="23"/>
      </w:numPr>
      <w:tabs>
        <w:tab w:val="clear" w:pos="1072"/>
        <w:tab w:val="num" w:pos="360"/>
        <w:tab w:val="num" w:pos="720"/>
      </w:tabs>
      <w:ind w:left="1071" w:hanging="357"/>
    </w:pPr>
  </w:style>
  <w:style w:type="paragraph" w:customStyle="1" w:styleId="odsazentext3">
    <w:name w:val="odsazený text 3"/>
    <w:basedOn w:val="Normln"/>
    <w:link w:val="odsazentext3Char"/>
    <w:rsid w:val="00C32F4B"/>
    <w:pPr>
      <w:spacing w:after="0"/>
      <w:ind w:left="1066"/>
    </w:pPr>
    <w:rPr>
      <w:rFonts w:ascii="Times New Roman" w:eastAsia="Times New Roman" w:hAnsi="Times New Roman"/>
      <w:szCs w:val="24"/>
      <w:lang w:eastAsia="cs-CZ"/>
    </w:rPr>
  </w:style>
  <w:style w:type="character" w:customStyle="1" w:styleId="odsazentext3Char">
    <w:name w:val="odsazený text 3 Char"/>
    <w:link w:val="odsazentext3"/>
    <w:rsid w:val="00C32F4B"/>
    <w:rPr>
      <w:rFonts w:ascii="Times New Roman" w:eastAsia="Times New Roman" w:hAnsi="Times New Roman"/>
      <w:sz w:val="24"/>
      <w:szCs w:val="24"/>
      <w:lang w:eastAsia="cs-CZ"/>
    </w:rPr>
  </w:style>
  <w:style w:type="paragraph" w:customStyle="1" w:styleId="slovanseznam4">
    <w:name w:val="číslovaný seznam 4"/>
    <w:basedOn w:val="odsazentext4"/>
    <w:rsid w:val="00C32F4B"/>
    <w:pPr>
      <w:numPr>
        <w:numId w:val="24"/>
      </w:numPr>
      <w:tabs>
        <w:tab w:val="clear" w:pos="1429"/>
        <w:tab w:val="num" w:pos="360"/>
        <w:tab w:val="num" w:pos="388"/>
      </w:tabs>
      <w:ind w:left="1426" w:firstLine="0"/>
    </w:pPr>
  </w:style>
  <w:style w:type="paragraph" w:customStyle="1" w:styleId="odsazentext4">
    <w:name w:val="odsazený text 4"/>
    <w:basedOn w:val="Normln"/>
    <w:link w:val="odsazentext4CharChar"/>
    <w:rsid w:val="00C32F4B"/>
    <w:pPr>
      <w:spacing w:after="0"/>
      <w:ind w:left="1426"/>
    </w:pPr>
    <w:rPr>
      <w:rFonts w:ascii="Times New Roman" w:eastAsia="Times New Roman" w:hAnsi="Times New Roman"/>
      <w:szCs w:val="24"/>
      <w:lang w:eastAsia="cs-CZ"/>
    </w:rPr>
  </w:style>
  <w:style w:type="character" w:customStyle="1" w:styleId="odsazentext4CharChar">
    <w:name w:val="odsazený text 4 Char Char"/>
    <w:link w:val="odsazentext4"/>
    <w:rsid w:val="00C32F4B"/>
    <w:rPr>
      <w:rFonts w:ascii="Times New Roman" w:eastAsia="Times New Roman" w:hAnsi="Times New Roman"/>
      <w:sz w:val="24"/>
      <w:szCs w:val="24"/>
      <w:lang w:eastAsia="cs-CZ"/>
    </w:rPr>
  </w:style>
  <w:style w:type="character" w:customStyle="1" w:styleId="tituleknadpisu">
    <w:name w:val="titulek nadpisu"/>
    <w:rsid w:val="00C32F4B"/>
    <w:rPr>
      <w:b/>
    </w:rPr>
  </w:style>
  <w:style w:type="paragraph" w:customStyle="1" w:styleId="neslovanseznam1">
    <w:name w:val="nečíslovaný seznam 1"/>
    <w:basedOn w:val="slovanseznam"/>
    <w:rsid w:val="00C32F4B"/>
    <w:pPr>
      <w:numPr>
        <w:numId w:val="17"/>
      </w:numPr>
    </w:pPr>
  </w:style>
  <w:style w:type="paragraph" w:customStyle="1" w:styleId="neslovanseznam2">
    <w:name w:val="nečíslovaný seznam 2"/>
    <w:basedOn w:val="slovanseznam2"/>
    <w:rsid w:val="00C32F4B"/>
    <w:pPr>
      <w:numPr>
        <w:numId w:val="18"/>
      </w:numPr>
    </w:pPr>
    <w:rPr>
      <w:lang w:val="en-US"/>
    </w:rPr>
  </w:style>
  <w:style w:type="paragraph" w:customStyle="1" w:styleId="neslovanseznam3">
    <w:name w:val="nečíslovaný seznam 3"/>
    <w:basedOn w:val="slovanseznam30"/>
    <w:rsid w:val="00C32F4B"/>
    <w:pPr>
      <w:numPr>
        <w:numId w:val="19"/>
      </w:numPr>
      <w:tabs>
        <w:tab w:val="clear" w:pos="1074"/>
        <w:tab w:val="num" w:pos="720"/>
        <w:tab w:val="num" w:pos="786"/>
      </w:tabs>
      <w:ind w:left="1" w:firstLine="425"/>
    </w:pPr>
    <w:rPr>
      <w:lang w:val="en-US"/>
    </w:rPr>
  </w:style>
  <w:style w:type="paragraph" w:customStyle="1" w:styleId="neslovanseznam4">
    <w:name w:val="nečíslovaný seznam 4"/>
    <w:basedOn w:val="slovanseznam4"/>
    <w:rsid w:val="00C32F4B"/>
    <w:pPr>
      <w:numPr>
        <w:numId w:val="20"/>
      </w:numPr>
      <w:tabs>
        <w:tab w:val="clear" w:pos="1432"/>
        <w:tab w:val="num" w:pos="360"/>
        <w:tab w:val="num" w:pos="388"/>
      </w:tabs>
      <w:ind w:left="360"/>
    </w:pPr>
    <w:rPr>
      <w:lang w:val="en-US"/>
    </w:rPr>
  </w:style>
  <w:style w:type="character" w:customStyle="1" w:styleId="poznmkapodarou">
    <w:name w:val="poznámka pod čarou"/>
    <w:rsid w:val="00C32F4B"/>
    <w:rPr>
      <w:vertAlign w:val="superscript"/>
    </w:rPr>
  </w:style>
  <w:style w:type="paragraph" w:customStyle="1" w:styleId="novelizanbod">
    <w:name w:val="novelizační bod"/>
    <w:basedOn w:val="Normln"/>
    <w:rsid w:val="00C32F4B"/>
    <w:pPr>
      <w:tabs>
        <w:tab w:val="left" w:pos="357"/>
      </w:tabs>
      <w:spacing w:after="0"/>
      <w:jc w:val="left"/>
    </w:pPr>
    <w:rPr>
      <w:rFonts w:ascii="Times New Roman" w:eastAsia="Times New Roman" w:hAnsi="Times New Roman"/>
      <w:szCs w:val="24"/>
      <w:lang w:eastAsia="cs-CZ"/>
    </w:rPr>
  </w:style>
  <w:style w:type="paragraph" w:customStyle="1" w:styleId="textnovelizanhobodu">
    <w:name w:val="text novelizačního bodu"/>
    <w:basedOn w:val="Normln"/>
    <w:next w:val="novelizanbod"/>
    <w:rsid w:val="00C32F4B"/>
    <w:pPr>
      <w:spacing w:after="0"/>
      <w:ind w:left="357"/>
      <w:jc w:val="left"/>
    </w:pPr>
    <w:rPr>
      <w:rFonts w:ascii="Times New Roman" w:eastAsia="Times New Roman" w:hAnsi="Times New Roman"/>
      <w:szCs w:val="24"/>
      <w:lang w:eastAsia="cs-CZ"/>
    </w:rPr>
  </w:style>
  <w:style w:type="paragraph" w:customStyle="1" w:styleId="odsazentext0">
    <w:name w:val="odsazený text 0"/>
    <w:basedOn w:val="Normln"/>
    <w:next w:val="oddl"/>
    <w:rsid w:val="00C32F4B"/>
    <w:pPr>
      <w:spacing w:after="0"/>
    </w:pPr>
    <w:rPr>
      <w:rFonts w:ascii="Times New Roman" w:eastAsia="Times New Roman" w:hAnsi="Times New Roman"/>
      <w:szCs w:val="24"/>
      <w:lang w:eastAsia="cs-CZ"/>
    </w:rPr>
  </w:style>
  <w:style w:type="paragraph" w:customStyle="1" w:styleId="citacepoznmky">
    <w:name w:val="citace poznámky"/>
    <w:basedOn w:val="Normln"/>
    <w:rsid w:val="00C32F4B"/>
    <w:pPr>
      <w:pBdr>
        <w:top w:val="single" w:sz="4" w:space="4" w:color="auto"/>
      </w:pBdr>
      <w:tabs>
        <w:tab w:val="left" w:pos="357"/>
      </w:tabs>
      <w:spacing w:after="0"/>
    </w:pPr>
    <w:rPr>
      <w:rFonts w:ascii="Times New Roman" w:eastAsia="Times New Roman" w:hAnsi="Times New Roman"/>
      <w:szCs w:val="24"/>
      <w:lang w:val="en-US" w:eastAsia="cs-CZ"/>
    </w:rPr>
  </w:style>
  <w:style w:type="paragraph" w:customStyle="1" w:styleId="celex">
    <w:name w:val="celex"/>
    <w:basedOn w:val="Normln"/>
    <w:qFormat/>
    <w:rsid w:val="00C32F4B"/>
    <w:pPr>
      <w:spacing w:after="0"/>
      <w:jc w:val="left"/>
    </w:pPr>
    <w:rPr>
      <w:rFonts w:ascii="Times New Roman" w:eastAsia="Times New Roman" w:hAnsi="Times New Roman"/>
      <w:i/>
      <w:sz w:val="20"/>
      <w:szCs w:val="24"/>
      <w:lang w:eastAsia="cs-CZ"/>
    </w:rPr>
  </w:style>
  <w:style w:type="character" w:customStyle="1" w:styleId="zvraznncelexu">
    <w:name w:val="zvýraznění celexu"/>
    <w:qFormat/>
    <w:rsid w:val="00C32F4B"/>
    <w:rPr>
      <w:u w:val="single"/>
    </w:rPr>
  </w:style>
  <w:style w:type="table" w:customStyle="1" w:styleId="tabulka">
    <w:name w:val="tabulka"/>
    <w:basedOn w:val="Mkatabulky"/>
    <w:rsid w:val="00C32F4B"/>
    <w:rPr>
      <w:rFonts w:eastAsia="Times New Roman"/>
      <w:lang w:eastAsia="cs-C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Mar>
        <w:top w:w="57" w:type="dxa"/>
        <w:bottom w:w="57" w:type="dxa"/>
      </w:tcMar>
    </w:tcPr>
  </w:style>
  <w:style w:type="paragraph" w:customStyle="1" w:styleId="bukatabulky">
    <w:name w:val="buňka tabulky"/>
    <w:basedOn w:val="Normln"/>
    <w:qFormat/>
    <w:rsid w:val="00C32F4B"/>
    <w:rPr>
      <w:rFonts w:ascii="Times New Roman" w:eastAsia="Times New Roman" w:hAnsi="Times New Roman"/>
      <w:szCs w:val="24"/>
      <w:lang w:eastAsia="cs-CZ"/>
    </w:rPr>
  </w:style>
  <w:style w:type="paragraph" w:customStyle="1" w:styleId="Normln-zdroj">
    <w:name w:val="Normální - zdroj"/>
    <w:basedOn w:val="Normln"/>
    <w:rsid w:val="00C32F4B"/>
    <w:rPr>
      <w:rFonts w:eastAsia="Times New Roman"/>
      <w:sz w:val="20"/>
      <w:szCs w:val="20"/>
      <w:lang w:eastAsia="cs-CZ"/>
    </w:rPr>
  </w:style>
  <w:style w:type="paragraph" w:customStyle="1" w:styleId="mojeodra">
    <w:name w:val="moje odra"/>
    <w:basedOn w:val="Normln"/>
    <w:rsid w:val="00C32F4B"/>
    <w:pPr>
      <w:tabs>
        <w:tab w:val="num" w:pos="709"/>
      </w:tabs>
      <w:ind w:left="709" w:hanging="425"/>
    </w:pPr>
    <w:rPr>
      <w:rFonts w:eastAsia="Times New Roman"/>
      <w:szCs w:val="20"/>
      <w:lang w:eastAsia="cs-CZ"/>
    </w:rPr>
  </w:style>
  <w:style w:type="paragraph" w:customStyle="1" w:styleId="Revision1">
    <w:name w:val="Revision1"/>
    <w:hidden/>
    <w:semiHidden/>
    <w:rsid w:val="00C32F4B"/>
    <w:rPr>
      <w:rFonts w:ascii="Times New Roman" w:eastAsia="Times New Roman" w:hAnsi="Times New Roman"/>
      <w:sz w:val="24"/>
      <w:lang w:eastAsia="cs-CZ"/>
    </w:rPr>
  </w:style>
  <w:style w:type="paragraph" w:customStyle="1" w:styleId="Nadpis3-erven">
    <w:name w:val="Nadpis 3- červený"/>
    <w:basedOn w:val="Normln"/>
    <w:rsid w:val="00C32F4B"/>
    <w:pPr>
      <w:tabs>
        <w:tab w:val="num" w:pos="720"/>
      </w:tabs>
    </w:pPr>
    <w:rPr>
      <w:rFonts w:eastAsia="Times New Roman"/>
      <w:szCs w:val="20"/>
      <w:lang w:eastAsia="cs-CZ"/>
    </w:rPr>
  </w:style>
  <w:style w:type="paragraph" w:customStyle="1" w:styleId="Pes1">
    <w:name w:val="Pes1"/>
    <w:basedOn w:val="Normln"/>
    <w:uiPriority w:val="99"/>
    <w:rsid w:val="00C32F4B"/>
    <w:rPr>
      <w:rFonts w:eastAsia="Times New Roman"/>
      <w:b/>
      <w:szCs w:val="20"/>
      <w:u w:val="single"/>
      <w:lang w:eastAsia="cs-CZ"/>
    </w:rPr>
  </w:style>
  <w:style w:type="paragraph" w:customStyle="1" w:styleId="Pes2">
    <w:name w:val="Pes2"/>
    <w:basedOn w:val="Normln"/>
    <w:rsid w:val="00C32F4B"/>
    <w:rPr>
      <w:rFonts w:eastAsia="Times New Roman"/>
      <w:b/>
      <w:i/>
      <w:szCs w:val="20"/>
      <w:lang w:eastAsia="cs-CZ"/>
    </w:rPr>
  </w:style>
  <w:style w:type="character" w:customStyle="1" w:styleId="Pes1Char">
    <w:name w:val="Pes1 Char"/>
    <w:rsid w:val="00C32F4B"/>
    <w:rPr>
      <w:rFonts w:cs="Times New Roman"/>
      <w:b/>
      <w:sz w:val="24"/>
      <w:u w:val="single"/>
      <w:lang w:val="cs-CZ" w:eastAsia="cs-CZ"/>
    </w:rPr>
  </w:style>
  <w:style w:type="paragraph" w:customStyle="1" w:styleId="TOCHeading1">
    <w:name w:val="TOC Heading1"/>
    <w:basedOn w:val="Nadpis1"/>
    <w:next w:val="Normln"/>
    <w:rsid w:val="00C32F4B"/>
    <w:pPr>
      <w:keepNext/>
      <w:keepLines/>
      <w:widowControl/>
      <w:numPr>
        <w:numId w:val="0"/>
      </w:numPr>
      <w:spacing w:before="480" w:after="0" w:line="276" w:lineRule="auto"/>
      <w:outlineLvl w:val="9"/>
    </w:pPr>
    <w:rPr>
      <w:color w:val="365F91"/>
      <w:lang w:val="en-US"/>
    </w:rPr>
  </w:style>
  <w:style w:type="character" w:customStyle="1" w:styleId="Pes2Char">
    <w:name w:val="Pes2 Char"/>
    <w:rsid w:val="00C32F4B"/>
    <w:rPr>
      <w:rFonts w:cs="Times New Roman"/>
      <w:b/>
      <w:i/>
      <w:sz w:val="24"/>
      <w:lang w:val="cs-CZ" w:eastAsia="cs-CZ"/>
    </w:rPr>
  </w:style>
  <w:style w:type="paragraph" w:customStyle="1" w:styleId="nzevsti">
    <w:name w:val="nzevsti"/>
    <w:basedOn w:val="Normln"/>
    <w:rsid w:val="00C32F4B"/>
    <w:pPr>
      <w:spacing w:before="40" w:after="40"/>
    </w:pPr>
    <w:rPr>
      <w:rFonts w:eastAsia="Times New Roman"/>
      <w:szCs w:val="24"/>
      <w:lang w:val="en-US"/>
    </w:rPr>
  </w:style>
  <w:style w:type="paragraph" w:customStyle="1" w:styleId="textparagrafu">
    <w:name w:val="textparagrafu"/>
    <w:basedOn w:val="Normln"/>
    <w:rsid w:val="00C32F4B"/>
    <w:pPr>
      <w:spacing w:before="40" w:after="40"/>
    </w:pPr>
    <w:rPr>
      <w:rFonts w:eastAsia="Times New Roman"/>
      <w:szCs w:val="24"/>
      <w:lang w:val="en-US"/>
    </w:rPr>
  </w:style>
  <w:style w:type="paragraph" w:customStyle="1" w:styleId="psmeno0">
    <w:name w:val="psmeno"/>
    <w:basedOn w:val="Normln"/>
    <w:rsid w:val="00C32F4B"/>
    <w:pPr>
      <w:spacing w:before="40" w:after="40"/>
    </w:pPr>
    <w:rPr>
      <w:rFonts w:eastAsia="Times New Roman"/>
      <w:szCs w:val="24"/>
      <w:lang w:val="en-US"/>
    </w:rPr>
  </w:style>
  <w:style w:type="paragraph" w:customStyle="1" w:styleId="ploha">
    <w:name w:val="ploha"/>
    <w:basedOn w:val="Normln"/>
    <w:rsid w:val="00C32F4B"/>
    <w:pPr>
      <w:spacing w:before="40" w:after="40"/>
    </w:pPr>
    <w:rPr>
      <w:rFonts w:eastAsia="Times New Roman"/>
      <w:szCs w:val="24"/>
      <w:lang w:val="en-US"/>
    </w:rPr>
  </w:style>
  <w:style w:type="character" w:customStyle="1" w:styleId="SubtleReference2">
    <w:name w:val="Subtle Reference2"/>
    <w:rsid w:val="00C32F4B"/>
    <w:rPr>
      <w:rFonts w:cs="Times New Roman"/>
      <w:smallCaps/>
      <w:color w:val="C0504D"/>
      <w:u w:val="single"/>
    </w:rPr>
  </w:style>
  <w:style w:type="paragraph" w:customStyle="1" w:styleId="ListParagraph1">
    <w:name w:val="List Paragraph1"/>
    <w:basedOn w:val="Normln"/>
    <w:rsid w:val="00C32F4B"/>
    <w:pPr>
      <w:ind w:left="720"/>
    </w:pPr>
    <w:rPr>
      <w:rFonts w:eastAsia="Times New Roman"/>
      <w:szCs w:val="20"/>
      <w:lang w:eastAsia="cs-CZ"/>
    </w:rPr>
  </w:style>
  <w:style w:type="paragraph" w:customStyle="1" w:styleId="Styl">
    <w:name w:val="Styl"/>
    <w:uiPriority w:val="99"/>
    <w:rsid w:val="00C32F4B"/>
    <w:pPr>
      <w:widowControl w:val="0"/>
      <w:autoSpaceDE w:val="0"/>
      <w:autoSpaceDN w:val="0"/>
      <w:adjustRightInd w:val="0"/>
    </w:pPr>
    <w:rPr>
      <w:rFonts w:ascii="Arial" w:eastAsia="Times New Roman" w:hAnsi="Arial" w:cs="Arial"/>
      <w:sz w:val="24"/>
      <w:szCs w:val="24"/>
      <w:lang w:eastAsia="cs-CZ"/>
    </w:rPr>
  </w:style>
  <w:style w:type="character" w:customStyle="1" w:styleId="SubtleEmphasis1">
    <w:name w:val="Subtle Emphasis1"/>
    <w:rsid w:val="00C32F4B"/>
    <w:rPr>
      <w:rFonts w:cs="Times New Roman"/>
      <w:i/>
      <w:iCs/>
      <w:color w:val="808080"/>
    </w:rPr>
  </w:style>
  <w:style w:type="paragraph" w:customStyle="1" w:styleId="BodyText31">
    <w:name w:val="Body Text 31"/>
    <w:basedOn w:val="Normln"/>
    <w:rsid w:val="00C32F4B"/>
    <w:pPr>
      <w:spacing w:before="0" w:after="0"/>
      <w:jc w:val="center"/>
    </w:pPr>
    <w:rPr>
      <w:rFonts w:eastAsia="Times New Roman"/>
      <w:b/>
      <w:szCs w:val="20"/>
      <w:lang w:eastAsia="cs-CZ"/>
    </w:rPr>
  </w:style>
  <w:style w:type="paragraph" w:customStyle="1" w:styleId="odsazeny">
    <w:name w:val="odsazeny"/>
    <w:basedOn w:val="Normln"/>
    <w:rsid w:val="00C32F4B"/>
    <w:pPr>
      <w:widowControl w:val="0"/>
      <w:spacing w:before="0" w:after="0"/>
      <w:ind w:firstLine="170"/>
      <w:jc w:val="left"/>
    </w:pPr>
    <w:rPr>
      <w:rFonts w:eastAsia="Times New Roman"/>
      <w:sz w:val="18"/>
      <w:szCs w:val="20"/>
      <w:lang w:eastAsia="cs-CZ"/>
    </w:rPr>
  </w:style>
  <w:style w:type="character" w:customStyle="1" w:styleId="SubtleReference1">
    <w:name w:val="Subtle Reference1"/>
    <w:rsid w:val="00C32F4B"/>
    <w:rPr>
      <w:rFonts w:cs="Times New Roman"/>
      <w:smallCaps/>
      <w:color w:val="C0504D"/>
      <w:u w:val="single"/>
    </w:rPr>
  </w:style>
  <w:style w:type="paragraph" w:customStyle="1" w:styleId="KUMS-text">
    <w:name w:val="KUMS-text"/>
    <w:basedOn w:val="Zkladntext"/>
    <w:rsid w:val="00C32F4B"/>
    <w:pPr>
      <w:spacing w:before="0" w:after="280" w:line="280" w:lineRule="exact"/>
    </w:pPr>
    <w:rPr>
      <w:rFonts w:ascii="Tahoma" w:eastAsia="Times New Roman" w:hAnsi="Tahoma" w:cs="Tahoma"/>
      <w:noProof/>
      <w:sz w:val="20"/>
      <w:szCs w:val="20"/>
      <w:lang w:eastAsia="cs-CZ"/>
    </w:rPr>
  </w:style>
  <w:style w:type="character" w:customStyle="1" w:styleId="platne1">
    <w:name w:val="platne1"/>
    <w:rsid w:val="00C32F4B"/>
    <w:rPr>
      <w:rFonts w:cs="Times New Roman"/>
    </w:rPr>
  </w:style>
  <w:style w:type="character" w:customStyle="1" w:styleId="prefixicons">
    <w:name w:val="prefix icons"/>
    <w:rsid w:val="00C32F4B"/>
    <w:rPr>
      <w:rFonts w:cs="Times New Roman"/>
    </w:rPr>
  </w:style>
  <w:style w:type="character" w:customStyle="1" w:styleId="firstname">
    <w:name w:val="first_name"/>
    <w:rsid w:val="00C32F4B"/>
    <w:rPr>
      <w:rFonts w:cs="Times New Roman"/>
    </w:rPr>
  </w:style>
  <w:style w:type="character" w:customStyle="1" w:styleId="lastname">
    <w:name w:val="last_name"/>
    <w:rsid w:val="00C32F4B"/>
    <w:rPr>
      <w:rFonts w:cs="Times New Roman"/>
    </w:rPr>
  </w:style>
  <w:style w:type="paragraph" w:customStyle="1" w:styleId="rok">
    <w:name w:val="rok"/>
    <w:basedOn w:val="Normln"/>
    <w:rsid w:val="00C32F4B"/>
    <w:pPr>
      <w:spacing w:before="100" w:beforeAutospacing="1" w:after="100" w:afterAutospacing="1"/>
      <w:jc w:val="left"/>
    </w:pPr>
    <w:rPr>
      <w:rFonts w:ascii="Times New Roman" w:eastAsia="Times New Roman" w:hAnsi="Times New Roman"/>
      <w:szCs w:val="24"/>
      <w:lang w:eastAsia="cs-CZ"/>
    </w:rPr>
  </w:style>
  <w:style w:type="paragraph" w:customStyle="1" w:styleId="StylD">
    <w:name w:val="StylD"/>
    <w:basedOn w:val="Normln"/>
    <w:rsid w:val="00C32F4B"/>
    <w:pPr>
      <w:spacing w:before="0" w:after="0" w:line="360" w:lineRule="auto"/>
    </w:pPr>
    <w:rPr>
      <w:rFonts w:ascii="Arial" w:eastAsia="Times New Roman" w:hAnsi="Arial"/>
      <w:szCs w:val="20"/>
      <w:lang w:eastAsia="cs-CZ"/>
    </w:rPr>
  </w:style>
  <w:style w:type="paragraph" w:customStyle="1" w:styleId="zelen">
    <w:name w:val="zelená"/>
    <w:basedOn w:val="Text-Normaln"/>
    <w:link w:val="zelenChar"/>
    <w:qFormat/>
    <w:rsid w:val="00CB7505"/>
    <w:pPr>
      <w:numPr>
        <w:numId w:val="27"/>
      </w:numPr>
    </w:pPr>
    <w:rPr>
      <w:b/>
    </w:rPr>
  </w:style>
  <w:style w:type="character" w:customStyle="1" w:styleId="zelenChar">
    <w:name w:val="zelená Char"/>
    <w:basedOn w:val="Nadpis1Char"/>
    <w:link w:val="zelen"/>
    <w:rsid w:val="00CB7505"/>
    <w:rPr>
      <w:rFonts w:ascii="Garamond" w:eastAsia="Times New Roman" w:hAnsi="Garamond"/>
      <w:b/>
      <w:bCs w:val="0"/>
      <w:color w:val="B6B002"/>
      <w:sz w:val="24"/>
      <w:szCs w:val="22"/>
      <w:lang w:eastAsia="en-US"/>
    </w:rPr>
  </w:style>
  <w:style w:type="table" w:customStyle="1" w:styleId="Svtltabulkasmkou11">
    <w:name w:val="Světlá tabulka s mřížkou 11"/>
    <w:basedOn w:val="Normlntabulka"/>
    <w:uiPriority w:val="46"/>
    <w:rsid w:val="00C32F4B"/>
    <w:rPr>
      <w:rFonts w:asciiTheme="minorHAnsi" w:eastAsiaTheme="minorHAnsi" w:hAnsiTheme="minorHAnsi" w:cstheme="minorBidi"/>
      <w:sz w:val="22"/>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nakypropoznmkupodarou">
    <w:name w:val="Znaky pro poznámku pod ?arou"/>
    <w:rsid w:val="00C32F4B"/>
  </w:style>
  <w:style w:type="character" w:customStyle="1" w:styleId="WW-Znakypropoznmkupodarou">
    <w:name w:val="WW-Znaky pro poznámku pod ?arou"/>
    <w:rsid w:val="00C32F4B"/>
    <w:rPr>
      <w:vertAlign w:val="superscript"/>
    </w:rPr>
  </w:style>
  <w:style w:type="character" w:customStyle="1" w:styleId="WW-Znakypropoznmkupodarou12345678910111213141516">
    <w:name w:val="WW-Znaky pro poznámku pod ?arou12345678910111213141516"/>
    <w:rsid w:val="00C32F4B"/>
    <w:rPr>
      <w:vertAlign w:val="superscript"/>
    </w:rPr>
  </w:style>
  <w:style w:type="character" w:customStyle="1" w:styleId="WW-Znakypropoznmkupodarou12345678910111213141516171819202122232425">
    <w:name w:val="WW-Znaky pro poznámku pod ?arou12345678910111213141516171819202122232425"/>
    <w:rsid w:val="00C32F4B"/>
    <w:rPr>
      <w:vertAlign w:val="superscript"/>
    </w:rPr>
  </w:style>
  <w:style w:type="character" w:customStyle="1" w:styleId="WW-Znakypropoznmkupodarou12345678910111213141516171819202122232425262728">
    <w:name w:val="WW-Znaky pro poznámku pod ?arou12345678910111213141516171819202122232425262728"/>
    <w:rsid w:val="00C32F4B"/>
    <w:rPr>
      <w:vertAlign w:val="superscript"/>
    </w:rPr>
  </w:style>
  <w:style w:type="character" w:customStyle="1" w:styleId="normaltextrun">
    <w:name w:val="normaltextrun"/>
    <w:rsid w:val="00EC6F2E"/>
  </w:style>
  <w:style w:type="paragraph" w:customStyle="1" w:styleId="sti-art">
    <w:name w:val="sti-art"/>
    <w:basedOn w:val="Normln"/>
    <w:rsid w:val="00713CE8"/>
    <w:pPr>
      <w:spacing w:before="100" w:beforeAutospacing="1" w:after="100" w:afterAutospacing="1"/>
      <w:jc w:val="left"/>
    </w:pPr>
    <w:rPr>
      <w:rFonts w:ascii="Times New Roman" w:eastAsia="Times New Roman" w:hAnsi="Times New Roman"/>
      <w:szCs w:val="24"/>
      <w:lang w:eastAsia="cs-CZ"/>
    </w:rPr>
  </w:style>
  <w:style w:type="paragraph" w:customStyle="1" w:styleId="Normln10">
    <w:name w:val="Normální1"/>
    <w:basedOn w:val="Normln"/>
    <w:rsid w:val="00713CE8"/>
    <w:pPr>
      <w:spacing w:before="100" w:beforeAutospacing="1" w:after="100" w:afterAutospacing="1"/>
      <w:jc w:val="left"/>
    </w:pPr>
    <w:rPr>
      <w:rFonts w:ascii="Times New Roman" w:eastAsia="Times New Roman" w:hAnsi="Times New Roman"/>
      <w:szCs w:val="24"/>
      <w:lang w:eastAsia="cs-CZ"/>
    </w:rPr>
  </w:style>
  <w:style w:type="paragraph" w:customStyle="1" w:styleId="ti-art">
    <w:name w:val="ti-art"/>
    <w:basedOn w:val="Normln"/>
    <w:rsid w:val="00713CE8"/>
    <w:pPr>
      <w:spacing w:before="100" w:beforeAutospacing="1" w:after="100" w:afterAutospacing="1"/>
      <w:jc w:val="left"/>
    </w:pPr>
    <w:rPr>
      <w:rFonts w:ascii="Times New Roman" w:eastAsia="Times New Roman" w:hAnsi="Times New Roman"/>
      <w:szCs w:val="24"/>
      <w:lang w:eastAsia="cs-CZ"/>
    </w:rPr>
  </w:style>
  <w:style w:type="character" w:customStyle="1" w:styleId="negrita">
    <w:name w:val="negrita"/>
    <w:basedOn w:val="Standardnpsmoodstavce"/>
    <w:rsid w:val="00805193"/>
  </w:style>
  <w:style w:type="paragraph" w:customStyle="1" w:styleId="go">
    <w:name w:val="go"/>
    <w:basedOn w:val="Normln"/>
    <w:rsid w:val="00E338DA"/>
    <w:pPr>
      <w:spacing w:before="100" w:beforeAutospacing="1" w:after="100" w:afterAutospacing="1"/>
      <w:jc w:val="left"/>
    </w:pPr>
    <w:rPr>
      <w:rFonts w:ascii="Times New Roman" w:eastAsia="Times New Roman" w:hAnsi="Times New Roman"/>
      <w:szCs w:val="24"/>
      <w:lang w:eastAsia="cs-CZ"/>
    </w:rPr>
  </w:style>
  <w:style w:type="character" w:styleId="PromnnHTML">
    <w:name w:val="HTML Variable"/>
    <w:basedOn w:val="Standardnpsmoodstavce"/>
    <w:uiPriority w:val="99"/>
    <w:semiHidden/>
    <w:unhideWhenUsed/>
    <w:rsid w:val="00E338DA"/>
    <w:rPr>
      <w:i/>
      <w:iCs/>
    </w:rPr>
  </w:style>
  <w:style w:type="table" w:customStyle="1" w:styleId="TableNormal">
    <w:name w:val="Table Normal"/>
    <w:uiPriority w:val="2"/>
    <w:semiHidden/>
    <w:unhideWhenUsed/>
    <w:qFormat/>
    <w:rsid w:val="00A340B4"/>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A340B4"/>
    <w:pPr>
      <w:widowControl w:val="0"/>
      <w:autoSpaceDE w:val="0"/>
      <w:autoSpaceDN w:val="0"/>
      <w:spacing w:before="0" w:after="0"/>
      <w:jc w:val="right"/>
    </w:pPr>
    <w:rPr>
      <w:rFonts w:ascii="Calibri" w:hAnsi="Calibri" w:cs="Calibri"/>
      <w:sz w:val="22"/>
      <w:lang w:eastAsia="cs-CZ" w:bidi="cs-CZ"/>
    </w:rPr>
  </w:style>
  <w:style w:type="paragraph" w:styleId="Seznamsodrkami">
    <w:name w:val="List Bullet"/>
    <w:basedOn w:val="Normln"/>
    <w:autoRedefine/>
    <w:qFormat/>
    <w:rsid w:val="00271B14"/>
    <w:pPr>
      <w:numPr>
        <w:numId w:val="30"/>
      </w:numPr>
      <w:spacing w:before="0" w:after="0"/>
    </w:pPr>
    <w:rPr>
      <w:rFonts w:ascii="Times New Roman" w:hAnsi="Times New Roman" w:cstheme="minorBidi"/>
      <w:szCs w:val="24"/>
    </w:rPr>
  </w:style>
  <w:style w:type="table" w:customStyle="1" w:styleId="Barevntabulkaseznamu6zvraznn51">
    <w:name w:val="Barevná tabulka seznamu 6 – zvýraznění 51"/>
    <w:basedOn w:val="Normlntabulka"/>
    <w:uiPriority w:val="51"/>
    <w:rsid w:val="00E63FF0"/>
    <w:rPr>
      <w:color w:val="1C1C1C" w:themeColor="accent5" w:themeShade="BF"/>
    </w:rPr>
    <w:tblPr>
      <w:tblStyleRowBandSize w:val="1"/>
      <w:tblStyleColBandSize w:val="1"/>
      <w:tblInd w:w="0" w:type="dxa"/>
      <w:tblBorders>
        <w:top w:val="single" w:sz="4" w:space="0" w:color="262626" w:themeColor="accent5"/>
        <w:bottom w:val="single" w:sz="4" w:space="0" w:color="262626" w:themeColor="accent5"/>
      </w:tblBorders>
      <w:tblCellMar>
        <w:top w:w="0" w:type="dxa"/>
        <w:left w:w="108" w:type="dxa"/>
        <w:bottom w:w="0" w:type="dxa"/>
        <w:right w:w="108" w:type="dxa"/>
      </w:tblCellMar>
    </w:tblPr>
    <w:tblStylePr w:type="firstRow">
      <w:rPr>
        <w:b/>
        <w:bCs/>
      </w:rPr>
      <w:tblPr/>
      <w:tcPr>
        <w:tcBorders>
          <w:bottom w:val="single" w:sz="4" w:space="0" w:color="262626" w:themeColor="accent5"/>
        </w:tcBorders>
      </w:tcPr>
    </w:tblStylePr>
    <w:tblStylePr w:type="lastRow">
      <w:rPr>
        <w:b/>
        <w:bCs/>
      </w:rPr>
      <w:tblPr/>
      <w:tcPr>
        <w:tcBorders>
          <w:top w:val="double" w:sz="4" w:space="0" w:color="262626" w:themeColor="accent5"/>
        </w:tcBorders>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table" w:customStyle="1" w:styleId="StylEEIP">
    <w:name w:val="StylEEIP"/>
    <w:basedOn w:val="Normlntabulka"/>
    <w:uiPriority w:val="99"/>
    <w:rsid w:val="00E63FF0"/>
    <w:tblPr>
      <w:tblInd w:w="0" w:type="dxa"/>
      <w:tblCellMar>
        <w:top w:w="0" w:type="dxa"/>
        <w:left w:w="108" w:type="dxa"/>
        <w:bottom w:w="0" w:type="dxa"/>
        <w:right w:w="108" w:type="dxa"/>
      </w:tblCellMar>
    </w:tblPr>
  </w:style>
  <w:style w:type="paragraph" w:customStyle="1" w:styleId="msonormal0">
    <w:name w:val="msonormal"/>
    <w:basedOn w:val="Normln"/>
    <w:rsid w:val="00AD28F1"/>
    <w:pPr>
      <w:spacing w:before="100" w:beforeAutospacing="1" w:after="100" w:afterAutospacing="1"/>
      <w:jc w:val="left"/>
    </w:pPr>
    <w:rPr>
      <w:rFonts w:ascii="Times New Roman" w:eastAsia="Times New Roman" w:hAnsi="Times New Roman"/>
      <w:szCs w:val="24"/>
      <w:lang w:eastAsia="cs-CZ"/>
    </w:rPr>
  </w:style>
  <w:style w:type="paragraph" w:customStyle="1" w:styleId="xl22824">
    <w:name w:val="xl22824"/>
    <w:basedOn w:val="Normln"/>
    <w:rsid w:val="00AD28F1"/>
    <w:pPr>
      <w:spacing w:before="100" w:beforeAutospacing="1" w:after="100" w:afterAutospacing="1"/>
      <w:jc w:val="left"/>
    </w:pPr>
    <w:rPr>
      <w:rFonts w:ascii="Times New Roman" w:eastAsia="Times New Roman" w:hAnsi="Times New Roman"/>
      <w:szCs w:val="24"/>
      <w:lang w:eastAsia="cs-CZ"/>
    </w:rPr>
  </w:style>
  <w:style w:type="table" w:styleId="Svtlseznamzvraznn2">
    <w:name w:val="Light List Accent 2"/>
    <w:basedOn w:val="Normlntabulka"/>
    <w:uiPriority w:val="61"/>
    <w:rsid w:val="0050396A"/>
    <w:rPr>
      <w:lang w:eastAsia="cs-CZ"/>
    </w:rPr>
    <w:tblPr>
      <w:tblStyleRowBandSize w:val="1"/>
      <w:tblStyleColBandSize w:val="1"/>
      <w:tblInd w:w="0" w:type="dxa"/>
      <w:tblBorders>
        <w:top w:val="single" w:sz="8" w:space="0" w:color="7F7F7F" w:themeColor="accent2"/>
        <w:left w:val="single" w:sz="8" w:space="0" w:color="7F7F7F" w:themeColor="accent2"/>
        <w:bottom w:val="single" w:sz="8" w:space="0" w:color="7F7F7F" w:themeColor="accent2"/>
        <w:right w:val="single" w:sz="8" w:space="0" w:color="7F7F7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F7F7F" w:themeFill="accent2"/>
      </w:tcPr>
    </w:tblStylePr>
    <w:tblStylePr w:type="lastRow">
      <w:pPr>
        <w:spacing w:before="0" w:after="0" w:line="240" w:lineRule="auto"/>
      </w:pPr>
      <w:rPr>
        <w:b/>
        <w:bCs/>
      </w:rPr>
      <w:tblPr/>
      <w:tcPr>
        <w:tcBorders>
          <w:top w:val="double" w:sz="6" w:space="0" w:color="7F7F7F" w:themeColor="accent2"/>
          <w:left w:val="single" w:sz="8" w:space="0" w:color="7F7F7F" w:themeColor="accent2"/>
          <w:bottom w:val="single" w:sz="8" w:space="0" w:color="7F7F7F" w:themeColor="accent2"/>
          <w:right w:val="single" w:sz="8" w:space="0" w:color="7F7F7F" w:themeColor="accent2"/>
        </w:tcBorders>
      </w:tcPr>
    </w:tblStylePr>
    <w:tblStylePr w:type="firstCol">
      <w:rPr>
        <w:b/>
        <w:bCs/>
      </w:rPr>
    </w:tblStylePr>
    <w:tblStylePr w:type="lastCol">
      <w:rPr>
        <w:b/>
        <w:bCs/>
      </w:rPr>
    </w:tblStylePr>
    <w:tblStylePr w:type="band1Vert">
      <w:tblPr/>
      <w:tcPr>
        <w:tcBorders>
          <w:top w:val="single" w:sz="8" w:space="0" w:color="7F7F7F" w:themeColor="accent2"/>
          <w:left w:val="single" w:sz="8" w:space="0" w:color="7F7F7F" w:themeColor="accent2"/>
          <w:bottom w:val="single" w:sz="8" w:space="0" w:color="7F7F7F" w:themeColor="accent2"/>
          <w:right w:val="single" w:sz="8" w:space="0" w:color="7F7F7F" w:themeColor="accent2"/>
        </w:tcBorders>
      </w:tcPr>
    </w:tblStylePr>
    <w:tblStylePr w:type="band1Horz">
      <w:tblPr/>
      <w:tcPr>
        <w:tcBorders>
          <w:top w:val="single" w:sz="8" w:space="0" w:color="7F7F7F" w:themeColor="accent2"/>
          <w:left w:val="single" w:sz="8" w:space="0" w:color="7F7F7F" w:themeColor="accent2"/>
          <w:bottom w:val="single" w:sz="8" w:space="0" w:color="7F7F7F" w:themeColor="accent2"/>
          <w:right w:val="single" w:sz="8" w:space="0" w:color="7F7F7F" w:themeColor="accent2"/>
        </w:tcBorders>
      </w:tcPr>
    </w:tblStylePr>
  </w:style>
  <w:style w:type="paragraph" w:customStyle="1" w:styleId="norm">
    <w:name w:val="norm"/>
    <w:basedOn w:val="Normln"/>
    <w:rsid w:val="0050396A"/>
    <w:pPr>
      <w:spacing w:before="240" w:after="240" w:line="276" w:lineRule="auto"/>
    </w:pPr>
    <w:rPr>
      <w:rFonts w:ascii="Times New Roman" w:eastAsia="MS Mincho" w:hAnsi="Times New Roman"/>
      <w:szCs w:val="24"/>
      <w:lang w:eastAsia="ja-JP"/>
    </w:rPr>
  </w:style>
  <w:style w:type="character" w:customStyle="1" w:styleId="N6normlnChar">
    <w:name w:val="N6_normální Char"/>
    <w:link w:val="N6normln"/>
    <w:locked/>
    <w:rsid w:val="0050396A"/>
    <w:rPr>
      <w:rFonts w:ascii="Times New Roman" w:eastAsia="Constantia" w:hAnsi="Times New Roman"/>
      <w:sz w:val="24"/>
    </w:rPr>
  </w:style>
  <w:style w:type="paragraph" w:customStyle="1" w:styleId="N6normln">
    <w:name w:val="N6_normální"/>
    <w:basedOn w:val="Normln"/>
    <w:link w:val="N6normlnChar"/>
    <w:rsid w:val="0050396A"/>
    <w:pPr>
      <w:spacing w:after="0"/>
      <w:ind w:firstLine="709"/>
    </w:pPr>
    <w:rPr>
      <w:rFonts w:ascii="Times New Roman" w:eastAsia="Constantia" w:hAnsi="Times New Roman"/>
      <w:szCs w:val="20"/>
    </w:rPr>
  </w:style>
  <w:style w:type="character" w:styleId="Zdraznnjemn">
    <w:name w:val="Subtle Emphasis"/>
    <w:basedOn w:val="Standardnpsmoodstavce"/>
    <w:uiPriority w:val="19"/>
    <w:qFormat/>
    <w:rsid w:val="0050396A"/>
    <w:rPr>
      <w:rFonts w:ascii="Segoe UI" w:hAnsi="Segoe UI"/>
      <w:b/>
      <w:i w:val="0"/>
      <w:iCs/>
      <w:color w:val="auto"/>
      <w:sz w:val="20"/>
    </w:rPr>
  </w:style>
  <w:style w:type="paragraph" w:customStyle="1" w:styleId="Tab">
    <w:name w:val="Tab"/>
    <w:basedOn w:val="Normln"/>
    <w:link w:val="TabChar"/>
    <w:qFormat/>
    <w:rsid w:val="0050396A"/>
    <w:pPr>
      <w:spacing w:after="0"/>
      <w:jc w:val="center"/>
    </w:pPr>
    <w:rPr>
      <w:rFonts w:ascii="Segoe UI" w:eastAsia="Times New Roman" w:hAnsi="Segoe UI"/>
      <w:color w:val="000000"/>
      <w:sz w:val="18"/>
      <w:lang w:eastAsia="cs-CZ"/>
    </w:rPr>
  </w:style>
  <w:style w:type="character" w:customStyle="1" w:styleId="TabChar">
    <w:name w:val="Tab Char"/>
    <w:basedOn w:val="Standardnpsmoodstavce"/>
    <w:link w:val="Tab"/>
    <w:rsid w:val="0050396A"/>
    <w:rPr>
      <w:rFonts w:ascii="Segoe UI" w:eastAsia="Times New Roman" w:hAnsi="Segoe UI"/>
      <w:color w:val="000000"/>
      <w:sz w:val="18"/>
      <w:szCs w:val="22"/>
      <w:lang w:eastAsia="cs-CZ"/>
    </w:rPr>
  </w:style>
  <w:style w:type="paragraph" w:customStyle="1" w:styleId="podnadpis2">
    <w:name w:val="podnadpis2"/>
    <w:basedOn w:val="N6normln"/>
    <w:link w:val="podnadpis2Char"/>
    <w:rsid w:val="0050396A"/>
    <w:pPr>
      <w:keepNext/>
      <w:ind w:firstLine="0"/>
    </w:pPr>
    <w:rPr>
      <w:rFonts w:ascii="Segoe UI" w:hAnsi="Segoe UI" w:cs="Segoe UI"/>
      <w:b/>
      <w:szCs w:val="24"/>
    </w:rPr>
  </w:style>
  <w:style w:type="character" w:customStyle="1" w:styleId="podnadpis2Char">
    <w:name w:val="podnadpis2 Char"/>
    <w:basedOn w:val="N6normlnChar"/>
    <w:link w:val="podnadpis2"/>
    <w:rsid w:val="0050396A"/>
    <w:rPr>
      <w:rFonts w:ascii="Segoe UI" w:eastAsia="Constantia" w:hAnsi="Segoe UI" w:cs="Segoe UI"/>
      <w:b/>
      <w:sz w:val="24"/>
      <w:szCs w:val="24"/>
    </w:rPr>
  </w:style>
  <w:style w:type="character" w:customStyle="1" w:styleId="mw-headline">
    <w:name w:val="mw-headline"/>
    <w:basedOn w:val="Standardnpsmoodstavce"/>
    <w:rsid w:val="0050396A"/>
  </w:style>
  <w:style w:type="paragraph" w:customStyle="1" w:styleId="GACRtext">
    <w:name w:val="GACR_text"/>
    <w:basedOn w:val="Normln"/>
    <w:link w:val="GACRtextChar"/>
    <w:rsid w:val="0050396A"/>
    <w:pPr>
      <w:spacing w:after="0"/>
      <w:ind w:firstLine="709"/>
    </w:pPr>
    <w:rPr>
      <w:rFonts w:ascii="Cambria" w:eastAsia="Times New Roman" w:hAnsi="Cambria"/>
      <w:szCs w:val="24"/>
      <w:lang w:eastAsia="cs-CZ"/>
    </w:rPr>
  </w:style>
  <w:style w:type="character" w:customStyle="1" w:styleId="GACRtextChar">
    <w:name w:val="GACR_text Char"/>
    <w:basedOn w:val="Standardnpsmoodstavce"/>
    <w:link w:val="GACRtext"/>
    <w:rsid w:val="0050396A"/>
    <w:rPr>
      <w:rFonts w:ascii="Cambria" w:eastAsia="Times New Roman" w:hAnsi="Cambria"/>
      <w:sz w:val="24"/>
      <w:szCs w:val="24"/>
      <w:lang w:eastAsia="cs-CZ"/>
    </w:rPr>
  </w:style>
  <w:style w:type="paragraph" w:customStyle="1" w:styleId="gacrobr">
    <w:name w:val="gacr_obr"/>
    <w:basedOn w:val="Normln"/>
    <w:rsid w:val="0050396A"/>
    <w:pPr>
      <w:keepNext/>
      <w:spacing w:line="360" w:lineRule="auto"/>
      <w:jc w:val="center"/>
    </w:pPr>
    <w:rPr>
      <w:rFonts w:ascii="Times New Roman" w:eastAsia="Times New Roman" w:hAnsi="Times New Roman"/>
      <w:szCs w:val="24"/>
      <w:lang w:eastAsia="cs-CZ"/>
    </w:rPr>
  </w:style>
  <w:style w:type="paragraph" w:customStyle="1" w:styleId="Popisky">
    <w:name w:val="Popisky"/>
    <w:basedOn w:val="Titulek"/>
    <w:link w:val="PopiskyChar"/>
    <w:qFormat/>
    <w:rsid w:val="0050396A"/>
    <w:pPr>
      <w:keepNext/>
      <w:widowControl/>
      <w:spacing w:after="60"/>
    </w:pPr>
    <w:rPr>
      <w:rFonts w:ascii="Segoe UI" w:eastAsiaTheme="minorHAnsi" w:hAnsi="Segoe UI" w:cs="Segoe UI"/>
      <w:color w:val="auto"/>
      <w:sz w:val="18"/>
      <w:szCs w:val="18"/>
      <w:lang w:eastAsia="en-US"/>
    </w:rPr>
  </w:style>
  <w:style w:type="character" w:customStyle="1" w:styleId="PopiskyChar">
    <w:name w:val="Popisky Char"/>
    <w:basedOn w:val="Standardnpsmoodstavce"/>
    <w:link w:val="Popisky"/>
    <w:rsid w:val="0050396A"/>
    <w:rPr>
      <w:rFonts w:ascii="Segoe UI" w:eastAsiaTheme="minorHAnsi" w:hAnsi="Segoe UI" w:cs="Segoe UI"/>
      <w:b/>
      <w:bCs/>
      <w:sz w:val="18"/>
      <w:szCs w:val="18"/>
    </w:rPr>
  </w:style>
  <w:style w:type="table" w:styleId="Svtlstnovnzvraznn2">
    <w:name w:val="Light Shading Accent 2"/>
    <w:basedOn w:val="Normlntabulka"/>
    <w:uiPriority w:val="60"/>
    <w:rsid w:val="0050396A"/>
    <w:rPr>
      <w:color w:val="5F5F5F" w:themeColor="accent2" w:themeShade="BF"/>
      <w:lang w:eastAsia="cs-CZ"/>
    </w:rPr>
    <w:tblPr>
      <w:tblStyleRowBandSize w:val="1"/>
      <w:tblStyleColBandSize w:val="1"/>
      <w:tblInd w:w="0" w:type="dxa"/>
      <w:tblBorders>
        <w:top w:val="single" w:sz="8" w:space="0" w:color="7F7F7F" w:themeColor="accent2"/>
        <w:bottom w:val="single" w:sz="8" w:space="0" w:color="7F7F7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7F7F" w:themeColor="accent2"/>
          <w:left w:val="nil"/>
          <w:bottom w:val="single" w:sz="8" w:space="0" w:color="7F7F7F" w:themeColor="accent2"/>
          <w:right w:val="nil"/>
          <w:insideH w:val="nil"/>
          <w:insideV w:val="nil"/>
        </w:tcBorders>
      </w:tcPr>
    </w:tblStylePr>
    <w:tblStylePr w:type="lastRow">
      <w:pPr>
        <w:spacing w:before="0" w:after="0" w:line="240" w:lineRule="auto"/>
      </w:pPr>
      <w:rPr>
        <w:b/>
        <w:bCs/>
      </w:rPr>
      <w:tblPr/>
      <w:tcPr>
        <w:tcBorders>
          <w:top w:val="single" w:sz="8" w:space="0" w:color="7F7F7F" w:themeColor="accent2"/>
          <w:left w:val="nil"/>
          <w:bottom w:val="single" w:sz="8" w:space="0" w:color="7F7F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2" w:themeFillTint="3F"/>
      </w:tcPr>
    </w:tblStylePr>
    <w:tblStylePr w:type="band1Horz">
      <w:tblPr/>
      <w:tcPr>
        <w:tcBorders>
          <w:left w:val="nil"/>
          <w:right w:val="nil"/>
          <w:insideH w:val="nil"/>
          <w:insideV w:val="nil"/>
        </w:tcBorders>
        <w:shd w:val="clear" w:color="auto" w:fill="DFDFDF" w:themeFill="accent2" w:themeFillTint="3F"/>
      </w:tcPr>
    </w:tblStylePr>
  </w:style>
  <w:style w:type="paragraph" w:customStyle="1" w:styleId="Popisek">
    <w:name w:val="Popisek"/>
    <w:basedOn w:val="Normln"/>
    <w:link w:val="PopisekChar"/>
    <w:qFormat/>
    <w:rsid w:val="0050396A"/>
    <w:pPr>
      <w:spacing w:line="360" w:lineRule="auto"/>
    </w:pPr>
    <w:rPr>
      <w:rFonts w:ascii="Segoe UI" w:eastAsiaTheme="minorHAnsi" w:hAnsi="Segoe UI" w:cstheme="minorBidi"/>
      <w:i/>
      <w:color w:val="B6B002" w:themeColor="text2"/>
      <w:sz w:val="18"/>
    </w:rPr>
  </w:style>
  <w:style w:type="character" w:customStyle="1" w:styleId="PopisekChar">
    <w:name w:val="Popisek Char"/>
    <w:basedOn w:val="Standardnpsmoodstavce"/>
    <w:link w:val="Popisek"/>
    <w:rsid w:val="0050396A"/>
    <w:rPr>
      <w:rFonts w:ascii="Segoe UI" w:eastAsiaTheme="minorHAnsi" w:hAnsi="Segoe UI" w:cstheme="minorBidi"/>
      <w:i/>
      <w:color w:val="B6B002" w:themeColor="text2"/>
      <w:sz w:val="18"/>
      <w:szCs w:val="22"/>
    </w:rPr>
  </w:style>
  <w:style w:type="paragraph" w:customStyle="1" w:styleId="podnapis1">
    <w:name w:val="podnapis1"/>
    <w:basedOn w:val="podnadpis2"/>
    <w:rsid w:val="0050396A"/>
    <w:rPr>
      <w:color w:val="C00000"/>
      <w:lang w:eastAsia="cs-CZ"/>
    </w:rPr>
  </w:style>
  <w:style w:type="paragraph" w:customStyle="1" w:styleId="podnadpis">
    <w:name w:val="podnadpis"/>
    <w:basedOn w:val="N6normln"/>
    <w:link w:val="podnadpisChar"/>
    <w:rsid w:val="0050396A"/>
    <w:pPr>
      <w:keepNext/>
      <w:ind w:firstLine="0"/>
    </w:pPr>
    <w:rPr>
      <w:rFonts w:ascii="Segoe UI" w:hAnsi="Segoe UI" w:cs="Segoe UI"/>
      <w:b/>
      <w:szCs w:val="24"/>
    </w:rPr>
  </w:style>
  <w:style w:type="character" w:customStyle="1" w:styleId="podnadpisChar">
    <w:name w:val="podnadpis Char"/>
    <w:basedOn w:val="N6normlnChar"/>
    <w:link w:val="podnadpis"/>
    <w:rsid w:val="0050396A"/>
    <w:rPr>
      <w:rFonts w:ascii="Segoe UI" w:eastAsia="Constantia" w:hAnsi="Segoe UI" w:cs="Segoe UI"/>
      <w:b/>
      <w:sz w:val="24"/>
      <w:szCs w:val="24"/>
    </w:rPr>
  </w:style>
  <w:style w:type="table" w:customStyle="1" w:styleId="Tabulkasmkou2zvraznn51">
    <w:name w:val="Tabulka s mřížkou 2 – zvýraznění 51"/>
    <w:basedOn w:val="Normlntabulka"/>
    <w:uiPriority w:val="47"/>
    <w:rsid w:val="0050396A"/>
    <w:rPr>
      <w:lang w:eastAsia="cs-CZ"/>
    </w:rPr>
    <w:tblPr>
      <w:tblStyleRowBandSize w:val="1"/>
      <w:tblStyleColBandSize w:val="1"/>
      <w:tblInd w:w="0" w:type="dxa"/>
      <w:tblBorders>
        <w:top w:val="single" w:sz="2" w:space="0" w:color="7C7C7C" w:themeColor="accent5" w:themeTint="99"/>
        <w:bottom w:val="single" w:sz="2" w:space="0" w:color="7C7C7C" w:themeColor="accent5" w:themeTint="99"/>
        <w:insideH w:val="single" w:sz="2" w:space="0" w:color="7C7C7C" w:themeColor="accent5" w:themeTint="99"/>
        <w:insideV w:val="single" w:sz="2" w:space="0" w:color="7C7C7C" w:themeColor="accent5" w:themeTint="99"/>
      </w:tblBorders>
      <w:tblCellMar>
        <w:top w:w="0" w:type="dxa"/>
        <w:left w:w="108" w:type="dxa"/>
        <w:bottom w:w="0" w:type="dxa"/>
        <w:right w:w="108" w:type="dxa"/>
      </w:tblCellMar>
    </w:tblPr>
    <w:tblStylePr w:type="firstRow">
      <w:rPr>
        <w:b/>
        <w:bCs/>
      </w:rPr>
      <w:tblPr/>
      <w:tcPr>
        <w:tcBorders>
          <w:top w:val="nil"/>
          <w:bottom w:val="single" w:sz="12" w:space="0" w:color="7C7C7C" w:themeColor="accent5" w:themeTint="99"/>
          <w:insideH w:val="nil"/>
          <w:insideV w:val="nil"/>
        </w:tcBorders>
        <w:shd w:val="clear" w:color="auto" w:fill="FFFFFF" w:themeFill="background1"/>
      </w:tcPr>
    </w:tblStylePr>
    <w:tblStylePr w:type="lastRow">
      <w:rPr>
        <w:b/>
        <w:bCs/>
      </w:rPr>
      <w:tblPr/>
      <w:tcPr>
        <w:tcBorders>
          <w:top w:val="double" w:sz="2" w:space="0" w:color="7C7C7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paragraph" w:customStyle="1" w:styleId="Odstavec0">
    <w:name w:val="Odstavec"/>
    <w:basedOn w:val="Normln"/>
    <w:link w:val="OdstavecChar"/>
    <w:qFormat/>
    <w:rsid w:val="0050396A"/>
    <w:pPr>
      <w:spacing w:line="312" w:lineRule="auto"/>
      <w:ind w:firstLine="397"/>
    </w:pPr>
    <w:rPr>
      <w:rFonts w:ascii="Times New Roman" w:eastAsia="Times New Roman" w:hAnsi="Times New Roman"/>
      <w:szCs w:val="20"/>
      <w:lang w:eastAsia="cs-CZ"/>
    </w:rPr>
  </w:style>
  <w:style w:type="character" w:customStyle="1" w:styleId="OdstavecChar">
    <w:name w:val="Odstavec Char"/>
    <w:link w:val="Odstavec0"/>
    <w:rsid w:val="0050396A"/>
    <w:rPr>
      <w:rFonts w:ascii="Times New Roman" w:eastAsia="Times New Roman" w:hAnsi="Times New Roman"/>
      <w:sz w:val="24"/>
      <w:lang w:eastAsia="cs-CZ"/>
    </w:rPr>
  </w:style>
  <w:style w:type="character" w:customStyle="1" w:styleId="ZdrojeChar">
    <w:name w:val="Zdroje Char"/>
    <w:basedOn w:val="Standardnpsmoodstavce"/>
    <w:link w:val="Zdroje"/>
    <w:locked/>
    <w:rsid w:val="0050396A"/>
    <w:rPr>
      <w:rFonts w:ascii="Cambria" w:eastAsia="Times New Roman" w:hAnsi="Cambria"/>
      <w:bCs/>
      <w:i/>
      <w:iCs/>
      <w:sz w:val="18"/>
      <w:szCs w:val="24"/>
    </w:rPr>
  </w:style>
  <w:style w:type="paragraph" w:customStyle="1" w:styleId="Zdroje">
    <w:name w:val="Zdroje"/>
    <w:basedOn w:val="Normln"/>
    <w:link w:val="ZdrojeChar"/>
    <w:rsid w:val="0050396A"/>
    <w:rPr>
      <w:rFonts w:ascii="Cambria" w:eastAsia="Times New Roman" w:hAnsi="Cambria"/>
      <w:bCs/>
      <w:i/>
      <w:iCs/>
      <w:sz w:val="18"/>
      <w:szCs w:val="24"/>
    </w:rPr>
  </w:style>
  <w:style w:type="character" w:customStyle="1" w:styleId="ico-article-date">
    <w:name w:val="ico-article-date"/>
    <w:basedOn w:val="Standardnpsmoodstavce"/>
    <w:rsid w:val="0050396A"/>
  </w:style>
  <w:style w:type="character" w:customStyle="1" w:styleId="st0">
    <w:name w:val="st"/>
    <w:basedOn w:val="Standardnpsmoodstavce"/>
    <w:rsid w:val="0050396A"/>
  </w:style>
  <w:style w:type="paragraph" w:styleId="slovanseznam3">
    <w:name w:val="List Number 3"/>
    <w:basedOn w:val="Normln"/>
    <w:rsid w:val="0050396A"/>
    <w:pPr>
      <w:numPr>
        <w:numId w:val="41"/>
      </w:numPr>
      <w:autoSpaceDE w:val="0"/>
      <w:autoSpaceDN w:val="0"/>
    </w:pPr>
    <w:rPr>
      <w:rFonts w:ascii="Times New Roman" w:eastAsia="Times New Roman" w:hAnsi="Times New Roman"/>
      <w:szCs w:val="24"/>
      <w:lang w:eastAsia="cs-CZ"/>
    </w:rPr>
  </w:style>
  <w:style w:type="numbering" w:customStyle="1" w:styleId="Bezseznamu1">
    <w:name w:val="Bez seznamu1"/>
    <w:next w:val="Bezseznamu"/>
    <w:uiPriority w:val="99"/>
    <w:semiHidden/>
    <w:unhideWhenUsed/>
    <w:rsid w:val="0050396A"/>
  </w:style>
  <w:style w:type="paragraph" w:customStyle="1" w:styleId="Zhlav-akce">
    <w:name w:val="Záhlaví-akce"/>
    <w:basedOn w:val="Normln"/>
    <w:rsid w:val="0050396A"/>
    <w:pPr>
      <w:widowControl w:val="0"/>
      <w:spacing w:after="0"/>
    </w:pPr>
    <w:rPr>
      <w:rFonts w:ascii="Times New Roman" w:eastAsia="Times New Roman" w:hAnsi="Times New Roman"/>
      <w:i/>
      <w:szCs w:val="20"/>
      <w:lang w:eastAsia="cs-CZ"/>
    </w:rPr>
  </w:style>
  <w:style w:type="character" w:customStyle="1" w:styleId="zklstylpsma">
    <w:name w:val="zákl. styl písma"/>
    <w:rsid w:val="0050396A"/>
    <w:rPr>
      <w:rFonts w:ascii="Switzerland" w:hAnsi="Switzerland"/>
      <w:kern w:val="16"/>
      <w:sz w:val="20"/>
    </w:rPr>
  </w:style>
  <w:style w:type="paragraph" w:customStyle="1" w:styleId="Zhlav-kap">
    <w:name w:val="Záhlaví - kap."/>
    <w:basedOn w:val="Normln"/>
    <w:rsid w:val="0050396A"/>
    <w:pPr>
      <w:widowControl w:val="0"/>
      <w:spacing w:after="0"/>
      <w:jc w:val="right"/>
    </w:pPr>
    <w:rPr>
      <w:rFonts w:ascii="Times New Roman" w:eastAsia="Times New Roman" w:hAnsi="Times New Roman"/>
      <w:i/>
      <w:szCs w:val="20"/>
      <w:lang w:eastAsia="cs-CZ"/>
    </w:rPr>
  </w:style>
  <w:style w:type="paragraph" w:styleId="slovanseznam40">
    <w:name w:val="List Number 4"/>
    <w:basedOn w:val="Normln"/>
    <w:rsid w:val="0050396A"/>
    <w:pPr>
      <w:widowControl w:val="0"/>
      <w:spacing w:after="0"/>
      <w:ind w:left="1132" w:hanging="283"/>
    </w:pPr>
    <w:rPr>
      <w:rFonts w:ascii="Times New Roman" w:eastAsia="Times New Roman" w:hAnsi="Times New Roman"/>
      <w:szCs w:val="20"/>
      <w:lang w:eastAsia="cs-CZ"/>
    </w:rPr>
  </w:style>
  <w:style w:type="paragraph" w:styleId="slovanseznam5">
    <w:name w:val="List Number 5"/>
    <w:basedOn w:val="Normln"/>
    <w:rsid w:val="0050396A"/>
    <w:pPr>
      <w:widowControl w:val="0"/>
      <w:spacing w:after="0"/>
      <w:ind w:left="1415" w:hanging="283"/>
    </w:pPr>
    <w:rPr>
      <w:rFonts w:ascii="Times New Roman" w:eastAsia="Times New Roman" w:hAnsi="Times New Roman"/>
      <w:szCs w:val="20"/>
      <w:lang w:eastAsia="cs-CZ"/>
    </w:rPr>
  </w:style>
  <w:style w:type="paragraph" w:styleId="Normlnodsazen">
    <w:name w:val="Normal Indent"/>
    <w:aliases w:val="záhlaví"/>
    <w:basedOn w:val="Normln"/>
    <w:next w:val="Normln"/>
    <w:rsid w:val="0050396A"/>
    <w:pPr>
      <w:widowControl w:val="0"/>
      <w:spacing w:after="0"/>
      <w:ind w:left="709"/>
    </w:pPr>
    <w:rPr>
      <w:rFonts w:ascii="Times New Roman" w:eastAsia="Times New Roman" w:hAnsi="Times New Roman"/>
      <w:szCs w:val="20"/>
      <w:lang w:eastAsia="cs-CZ"/>
    </w:rPr>
  </w:style>
  <w:style w:type="paragraph" w:customStyle="1" w:styleId="Bntext">
    <w:name w:val="Běžný text"/>
    <w:basedOn w:val="Normln"/>
    <w:rsid w:val="0050396A"/>
    <w:pPr>
      <w:widowControl w:val="0"/>
      <w:spacing w:after="0"/>
      <w:ind w:firstLine="567"/>
    </w:pPr>
    <w:rPr>
      <w:rFonts w:ascii="Tahoma" w:eastAsia="Times New Roman" w:hAnsi="Tahoma"/>
      <w:szCs w:val="20"/>
      <w:lang w:eastAsia="cs-CZ"/>
    </w:rPr>
  </w:style>
  <w:style w:type="paragraph" w:customStyle="1" w:styleId="Bntextodsazen">
    <w:name w:val="Běžný text odsazený"/>
    <w:basedOn w:val="Normln"/>
    <w:rsid w:val="0050396A"/>
    <w:pPr>
      <w:widowControl w:val="0"/>
      <w:spacing w:before="60" w:after="60"/>
      <w:ind w:left="567"/>
    </w:pPr>
    <w:rPr>
      <w:rFonts w:ascii="Times New Roman" w:eastAsia="Times New Roman" w:hAnsi="Times New Roman"/>
      <w:szCs w:val="20"/>
      <w:lang w:eastAsia="cs-CZ"/>
    </w:rPr>
  </w:style>
  <w:style w:type="paragraph" w:styleId="Seznamsodrkami2">
    <w:name w:val="List Bullet 2"/>
    <w:basedOn w:val="Normln"/>
    <w:rsid w:val="0050396A"/>
    <w:pPr>
      <w:widowControl w:val="0"/>
      <w:spacing w:after="0"/>
      <w:ind w:left="850" w:hanging="283"/>
    </w:pPr>
    <w:rPr>
      <w:rFonts w:ascii="Times New Roman" w:eastAsia="Times New Roman" w:hAnsi="Times New Roman"/>
      <w:szCs w:val="20"/>
      <w:lang w:eastAsia="cs-CZ"/>
    </w:rPr>
  </w:style>
  <w:style w:type="paragraph" w:styleId="Zptenadresanaoblku">
    <w:name w:val="envelope return"/>
    <w:basedOn w:val="Normln"/>
    <w:rsid w:val="0050396A"/>
    <w:pPr>
      <w:widowControl w:val="0"/>
      <w:spacing w:after="0"/>
    </w:pPr>
    <w:rPr>
      <w:rFonts w:ascii="Times New Roman" w:eastAsia="Times New Roman" w:hAnsi="Times New Roman"/>
      <w:szCs w:val="20"/>
      <w:lang w:eastAsia="cs-CZ"/>
    </w:rPr>
  </w:style>
  <w:style w:type="paragraph" w:styleId="Seznam">
    <w:name w:val="List"/>
    <w:basedOn w:val="Normln"/>
    <w:rsid w:val="0050396A"/>
    <w:pPr>
      <w:widowControl w:val="0"/>
      <w:spacing w:after="0"/>
      <w:ind w:left="283" w:hanging="283"/>
    </w:pPr>
    <w:rPr>
      <w:rFonts w:ascii="Times New Roman" w:eastAsia="Times New Roman" w:hAnsi="Times New Roman"/>
      <w:szCs w:val="20"/>
      <w:lang w:eastAsia="cs-CZ"/>
    </w:rPr>
  </w:style>
  <w:style w:type="paragraph" w:styleId="Seznam2">
    <w:name w:val="List 2"/>
    <w:basedOn w:val="Normln"/>
    <w:rsid w:val="0050396A"/>
    <w:pPr>
      <w:widowControl w:val="0"/>
      <w:spacing w:after="0"/>
      <w:ind w:left="566" w:hanging="283"/>
    </w:pPr>
    <w:rPr>
      <w:rFonts w:ascii="Times New Roman" w:eastAsia="Times New Roman" w:hAnsi="Times New Roman"/>
      <w:szCs w:val="20"/>
      <w:lang w:eastAsia="cs-CZ"/>
    </w:rPr>
  </w:style>
  <w:style w:type="paragraph" w:styleId="Seznam3">
    <w:name w:val="List 3"/>
    <w:basedOn w:val="Normln"/>
    <w:rsid w:val="0050396A"/>
    <w:pPr>
      <w:widowControl w:val="0"/>
      <w:spacing w:after="0"/>
      <w:ind w:left="849" w:hanging="283"/>
    </w:pPr>
    <w:rPr>
      <w:rFonts w:ascii="Times New Roman" w:eastAsia="Times New Roman" w:hAnsi="Times New Roman"/>
      <w:szCs w:val="20"/>
      <w:lang w:eastAsia="cs-CZ"/>
    </w:rPr>
  </w:style>
  <w:style w:type="paragraph" w:customStyle="1" w:styleId="uvodnitext">
    <w:name w:val="uvodni text"/>
    <w:rsid w:val="0050396A"/>
    <w:pPr>
      <w:widowControl w:val="0"/>
    </w:pPr>
    <w:rPr>
      <w:rFonts w:ascii="Times New Roman" w:eastAsia="Times New Roman" w:hAnsi="Times New Roman"/>
      <w:sz w:val="24"/>
      <w:lang w:eastAsia="cs-CZ"/>
    </w:rPr>
  </w:style>
  <w:style w:type="paragraph" w:customStyle="1" w:styleId="Popisobjektu">
    <w:name w:val="Popis objektu"/>
    <w:rsid w:val="0050396A"/>
    <w:pPr>
      <w:widowControl w:val="0"/>
    </w:pPr>
    <w:rPr>
      <w:rFonts w:ascii="Times New Roman" w:eastAsia="Times New Roman" w:hAnsi="Times New Roman"/>
      <w:sz w:val="24"/>
      <w:lang w:eastAsia="cs-CZ"/>
    </w:rPr>
  </w:style>
  <w:style w:type="paragraph" w:customStyle="1" w:styleId="Zkladntext21">
    <w:name w:val="Základní text 21"/>
    <w:basedOn w:val="Normln"/>
    <w:rsid w:val="0050396A"/>
    <w:pPr>
      <w:widowControl w:val="0"/>
      <w:spacing w:after="0"/>
    </w:pPr>
    <w:rPr>
      <w:rFonts w:ascii="Times New Roman" w:eastAsia="Times New Roman" w:hAnsi="Times New Roman"/>
      <w:szCs w:val="20"/>
      <w:lang w:eastAsia="cs-CZ"/>
    </w:rPr>
  </w:style>
  <w:style w:type="paragraph" w:customStyle="1" w:styleId="Zkladntext31">
    <w:name w:val="Základní text 31"/>
    <w:basedOn w:val="Normln"/>
    <w:rsid w:val="0050396A"/>
    <w:pPr>
      <w:widowControl w:val="0"/>
      <w:spacing w:after="0"/>
    </w:pPr>
    <w:rPr>
      <w:rFonts w:ascii="Times New Roman" w:eastAsia="Times New Roman" w:hAnsi="Times New Roman"/>
      <w:i/>
      <w:szCs w:val="20"/>
      <w:lang w:eastAsia="cs-CZ"/>
    </w:rPr>
  </w:style>
  <w:style w:type="paragraph" w:customStyle="1" w:styleId="Bintext">
    <w:name w:val="Bižný text"/>
    <w:basedOn w:val="Normln"/>
    <w:rsid w:val="0050396A"/>
    <w:pPr>
      <w:widowControl w:val="0"/>
      <w:spacing w:before="60" w:after="60"/>
      <w:ind w:firstLine="567"/>
    </w:pPr>
    <w:rPr>
      <w:rFonts w:ascii="Times New Roman" w:eastAsia="Times New Roman" w:hAnsi="Times New Roman"/>
      <w:szCs w:val="20"/>
      <w:lang w:eastAsia="cs-CZ"/>
    </w:rPr>
  </w:style>
  <w:style w:type="paragraph" w:customStyle="1" w:styleId="Zkladntextodsazen31">
    <w:name w:val="Základní text odsazený 31"/>
    <w:basedOn w:val="Normln"/>
    <w:rsid w:val="0050396A"/>
    <w:pPr>
      <w:widowControl w:val="0"/>
      <w:spacing w:after="0"/>
      <w:ind w:firstLine="708"/>
    </w:pPr>
    <w:rPr>
      <w:rFonts w:ascii="Times New Roman" w:eastAsia="Times New Roman" w:hAnsi="Times New Roman"/>
      <w:szCs w:val="20"/>
      <w:lang w:eastAsia="cs-CZ"/>
    </w:rPr>
  </w:style>
  <w:style w:type="paragraph" w:customStyle="1" w:styleId="font7">
    <w:name w:val="font7"/>
    <w:basedOn w:val="Normln"/>
    <w:rsid w:val="0050396A"/>
    <w:pPr>
      <w:spacing w:before="100" w:beforeAutospacing="1" w:after="100" w:afterAutospacing="1"/>
    </w:pPr>
    <w:rPr>
      <w:rFonts w:ascii="Tahoma" w:eastAsia="Times New Roman" w:hAnsi="Tahoma" w:cs="Tahoma"/>
      <w:color w:val="000000"/>
      <w:sz w:val="16"/>
      <w:szCs w:val="16"/>
      <w:lang w:eastAsia="cs-CZ"/>
    </w:rPr>
  </w:style>
  <w:style w:type="paragraph" w:customStyle="1" w:styleId="font8">
    <w:name w:val="font8"/>
    <w:basedOn w:val="Normln"/>
    <w:rsid w:val="0050396A"/>
    <w:pPr>
      <w:spacing w:before="100" w:beforeAutospacing="1" w:after="100" w:afterAutospacing="1"/>
    </w:pPr>
    <w:rPr>
      <w:rFonts w:ascii="Tahoma" w:eastAsia="Times New Roman" w:hAnsi="Tahoma" w:cs="Tahoma"/>
      <w:color w:val="000000"/>
      <w:sz w:val="16"/>
      <w:szCs w:val="16"/>
      <w:lang w:eastAsia="cs-CZ"/>
    </w:rPr>
  </w:style>
  <w:style w:type="paragraph" w:customStyle="1" w:styleId="font9">
    <w:name w:val="font9"/>
    <w:basedOn w:val="Normln"/>
    <w:rsid w:val="0050396A"/>
    <w:pPr>
      <w:spacing w:before="100" w:beforeAutospacing="1" w:after="100" w:afterAutospacing="1"/>
    </w:pPr>
    <w:rPr>
      <w:rFonts w:ascii="Times New Roman" w:eastAsia="Times New Roman" w:hAnsi="Times New Roman"/>
      <w:sz w:val="16"/>
      <w:szCs w:val="16"/>
      <w:lang w:eastAsia="cs-CZ"/>
    </w:rPr>
  </w:style>
  <w:style w:type="paragraph" w:customStyle="1" w:styleId="xl150">
    <w:name w:val="xl150"/>
    <w:basedOn w:val="Normln"/>
    <w:rsid w:val="0050396A"/>
    <w:pPr>
      <w:pBdr>
        <w:top w:val="single" w:sz="8" w:space="0" w:color="auto"/>
        <w:left w:val="single" w:sz="8" w:space="0" w:color="auto"/>
        <w:bottom w:val="single" w:sz="8" w:space="0" w:color="auto"/>
      </w:pBdr>
      <w:shd w:val="clear" w:color="auto" w:fill="00FFFF"/>
      <w:spacing w:before="100" w:beforeAutospacing="1" w:after="100" w:afterAutospacing="1"/>
    </w:pPr>
    <w:rPr>
      <w:rFonts w:ascii="Times New Roman" w:eastAsia="Times New Roman" w:hAnsi="Times New Roman"/>
      <w:b/>
      <w:bCs/>
      <w:sz w:val="14"/>
      <w:szCs w:val="14"/>
      <w:lang w:eastAsia="cs-CZ"/>
    </w:rPr>
  </w:style>
  <w:style w:type="paragraph" w:customStyle="1" w:styleId="xl151">
    <w:name w:val="xl151"/>
    <w:basedOn w:val="Normln"/>
    <w:rsid w:val="0050396A"/>
    <w:pPr>
      <w:pBdr>
        <w:top w:val="single" w:sz="8" w:space="0" w:color="auto"/>
        <w:left w:val="single" w:sz="8" w:space="0" w:color="auto"/>
        <w:bottom w:val="single" w:sz="8" w:space="0" w:color="auto"/>
        <w:right w:val="single" w:sz="4"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paragraph" w:customStyle="1" w:styleId="xl152">
    <w:name w:val="xl152"/>
    <w:basedOn w:val="Normln"/>
    <w:rsid w:val="0050396A"/>
    <w:pPr>
      <w:pBdr>
        <w:top w:val="single" w:sz="8" w:space="0" w:color="auto"/>
        <w:left w:val="single" w:sz="4" w:space="0" w:color="auto"/>
        <w:bottom w:val="single" w:sz="8"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paragraph" w:customStyle="1" w:styleId="xl153">
    <w:name w:val="xl153"/>
    <w:basedOn w:val="Normln"/>
    <w:rsid w:val="0050396A"/>
    <w:pPr>
      <w:pBdr>
        <w:top w:val="single" w:sz="8" w:space="0" w:color="auto"/>
        <w:left w:val="single" w:sz="4" w:space="0" w:color="auto"/>
        <w:bottom w:val="single" w:sz="8" w:space="0" w:color="auto"/>
        <w:right w:val="single" w:sz="8"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character" w:customStyle="1" w:styleId="titulninadpis">
    <w:name w:val="titulni nadpis"/>
    <w:rsid w:val="0050396A"/>
    <w:rPr>
      <w:b/>
      <w:sz w:val="20"/>
    </w:rPr>
  </w:style>
  <w:style w:type="paragraph" w:customStyle="1" w:styleId="zaveradresa">
    <w:name w:val="zaver adresa"/>
    <w:rsid w:val="0050396A"/>
    <w:pPr>
      <w:widowControl w:val="0"/>
    </w:pPr>
    <w:rPr>
      <w:rFonts w:ascii="Times New Roman" w:eastAsia="Times New Roman" w:hAnsi="Times New Roman"/>
      <w:sz w:val="24"/>
      <w:lang w:eastAsia="cs-CZ"/>
    </w:rPr>
  </w:style>
  <w:style w:type="paragraph" w:customStyle="1" w:styleId="font10">
    <w:name w:val="font10"/>
    <w:basedOn w:val="Normln"/>
    <w:rsid w:val="0050396A"/>
    <w:pPr>
      <w:spacing w:before="100" w:beforeAutospacing="1" w:after="100" w:afterAutospacing="1"/>
    </w:pPr>
    <w:rPr>
      <w:rFonts w:ascii="Tahoma" w:eastAsia="Arial Unicode MS" w:hAnsi="Tahoma" w:cs="Tahoma"/>
      <w:color w:val="000000"/>
      <w:sz w:val="16"/>
      <w:szCs w:val="16"/>
      <w:lang w:eastAsia="cs-CZ"/>
    </w:rPr>
  </w:style>
  <w:style w:type="paragraph" w:customStyle="1" w:styleId="Aconstext">
    <w:name w:val="Acons text"/>
    <w:basedOn w:val="Normln"/>
    <w:rsid w:val="0050396A"/>
    <w:pPr>
      <w:spacing w:after="0"/>
    </w:pPr>
    <w:rPr>
      <w:rFonts w:ascii="Times New Roman" w:eastAsia="Times New Roman" w:hAnsi="Times New Roman"/>
      <w:szCs w:val="20"/>
      <w:lang w:eastAsia="cs-CZ"/>
    </w:rPr>
  </w:style>
  <w:style w:type="table" w:customStyle="1" w:styleId="Mkatabulky1">
    <w:name w:val="Mřížka tabulky1"/>
    <w:basedOn w:val="Normlntabulka"/>
    <w:next w:val="Mkatabulky"/>
    <w:rsid w:val="0050396A"/>
    <w:pPr>
      <w:overflowPunct w:val="0"/>
      <w:autoSpaceDE w:val="0"/>
      <w:autoSpaceDN w:val="0"/>
      <w:adjustRightInd w:val="0"/>
      <w:textAlignment w:val="baseline"/>
    </w:pPr>
    <w:rPr>
      <w:rFonts w:ascii="Times New Roman" w:eastAsia="Times New Roman" w:hAnsi="Times New Roman"/>
      <w:lang w:eastAsia="cs-CZ"/>
    </w:rPr>
    <w:tblPr>
      <w:tblInd w:w="0" w:type="dxa"/>
      <w:tblBorders>
        <w:top w:val="single" w:sz="4" w:space="0" w:color="FCEECC"/>
        <w:left w:val="single" w:sz="4" w:space="0" w:color="FCEECC"/>
        <w:bottom w:val="single" w:sz="4" w:space="0" w:color="FCEECC"/>
        <w:right w:val="single" w:sz="4" w:space="0" w:color="FCEECC"/>
        <w:insideH w:val="single" w:sz="4" w:space="0" w:color="FCEECC"/>
        <w:insideV w:val="single" w:sz="4" w:space="0" w:color="FCEECC"/>
      </w:tblBorders>
      <w:tblCellMar>
        <w:top w:w="0" w:type="dxa"/>
        <w:left w:w="108" w:type="dxa"/>
        <w:bottom w:w="0" w:type="dxa"/>
        <w:right w:w="108" w:type="dxa"/>
      </w:tblCellMar>
    </w:tblPr>
  </w:style>
  <w:style w:type="paragraph" w:customStyle="1" w:styleId="Bntext-posudek">
    <w:name w:val="Běžný text - posudek"/>
    <w:basedOn w:val="Zkladntext"/>
    <w:autoRedefine/>
    <w:rsid w:val="0050396A"/>
    <w:pPr>
      <w:overflowPunct w:val="0"/>
      <w:autoSpaceDE w:val="0"/>
      <w:autoSpaceDN w:val="0"/>
      <w:adjustRightInd w:val="0"/>
      <w:spacing w:after="0"/>
      <w:textAlignment w:val="baseline"/>
    </w:pPr>
    <w:rPr>
      <w:rFonts w:ascii="Tahoma" w:eastAsia="Times New Roman" w:hAnsi="Tahoma"/>
      <w:sz w:val="20"/>
      <w:szCs w:val="20"/>
      <w:lang w:eastAsia="cs-CZ"/>
    </w:rPr>
  </w:style>
  <w:style w:type="paragraph" w:customStyle="1" w:styleId="Bintext-posudek">
    <w:name w:val="Bižný text - posudek"/>
    <w:basedOn w:val="Zkladntext"/>
    <w:rsid w:val="0050396A"/>
    <w:pPr>
      <w:overflowPunct w:val="0"/>
      <w:autoSpaceDE w:val="0"/>
      <w:autoSpaceDN w:val="0"/>
      <w:adjustRightInd w:val="0"/>
      <w:spacing w:after="0"/>
      <w:textAlignment w:val="baseline"/>
    </w:pPr>
    <w:rPr>
      <w:rFonts w:ascii="Tahoma" w:eastAsia="Times New Roman" w:hAnsi="Tahoma"/>
      <w:sz w:val="20"/>
      <w:szCs w:val="20"/>
      <w:lang w:eastAsia="cs-CZ"/>
    </w:rPr>
  </w:style>
  <w:style w:type="paragraph" w:customStyle="1" w:styleId="inz-info">
    <w:name w:val="inz-info"/>
    <w:basedOn w:val="Normln"/>
    <w:rsid w:val="0050396A"/>
    <w:pPr>
      <w:spacing w:before="100" w:beforeAutospacing="1" w:after="100" w:afterAutospacing="1"/>
    </w:pPr>
    <w:rPr>
      <w:rFonts w:ascii="Times New Roman" w:eastAsia="Times New Roman" w:hAnsi="Times New Roman"/>
      <w:szCs w:val="24"/>
      <w:lang w:eastAsia="cs-CZ"/>
    </w:rPr>
  </w:style>
  <w:style w:type="character" w:customStyle="1" w:styleId="price">
    <w:name w:val="price"/>
    <w:rsid w:val="0050396A"/>
  </w:style>
  <w:style w:type="paragraph" w:customStyle="1" w:styleId="inz-text">
    <w:name w:val="inz-text"/>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StylZkladntextTahomazarovnnnasted">
    <w:name w:val="Styl Základní text + Tahoma zarovnání na střed"/>
    <w:basedOn w:val="Zkladntext"/>
    <w:autoRedefine/>
    <w:rsid w:val="0050396A"/>
    <w:pPr>
      <w:widowControl w:val="0"/>
      <w:tabs>
        <w:tab w:val="left" w:pos="6804"/>
      </w:tabs>
      <w:ind w:right="-28"/>
    </w:pPr>
    <w:rPr>
      <w:rFonts w:ascii="Times New Roman" w:eastAsia="Times New Roman" w:hAnsi="Times New Roman"/>
      <w:color w:val="000000"/>
      <w:sz w:val="20"/>
      <w:szCs w:val="20"/>
      <w:lang w:eastAsia="cs-CZ"/>
    </w:rPr>
  </w:style>
  <w:style w:type="character" w:customStyle="1" w:styleId="new-vykrik">
    <w:name w:val="new-vykrik"/>
    <w:rsid w:val="0050396A"/>
  </w:style>
  <w:style w:type="character" w:customStyle="1" w:styleId="t9pt">
    <w:name w:val="t9pt"/>
    <w:rsid w:val="0050396A"/>
  </w:style>
  <w:style w:type="character" w:customStyle="1" w:styleId="12pt">
    <w:name w:val="12pt"/>
    <w:rsid w:val="0050396A"/>
  </w:style>
  <w:style w:type="character" w:customStyle="1" w:styleId="8pt">
    <w:name w:val="8pt"/>
    <w:rsid w:val="0050396A"/>
  </w:style>
  <w:style w:type="paragraph" w:styleId="z-Zatekformule">
    <w:name w:val="HTML Top of Form"/>
    <w:basedOn w:val="Normln"/>
    <w:next w:val="Normln"/>
    <w:link w:val="z-ZatekformuleChar"/>
    <w:hidden/>
    <w:uiPriority w:val="99"/>
    <w:unhideWhenUsed/>
    <w:rsid w:val="0050396A"/>
    <w:pPr>
      <w:pBdr>
        <w:bottom w:val="single" w:sz="6" w:space="1" w:color="auto"/>
      </w:pBdr>
      <w:spacing w:after="0"/>
      <w:jc w:val="center"/>
    </w:pPr>
    <w:rPr>
      <w:rFonts w:ascii="Arial" w:eastAsia="Times New Roman" w:hAnsi="Arial"/>
      <w:vanish/>
      <w:sz w:val="16"/>
      <w:szCs w:val="16"/>
    </w:rPr>
  </w:style>
  <w:style w:type="character" w:customStyle="1" w:styleId="z-ZatekformuleChar">
    <w:name w:val="z-Začátek formuláře Char"/>
    <w:basedOn w:val="Standardnpsmoodstavce"/>
    <w:link w:val="z-Zatekformule"/>
    <w:uiPriority w:val="99"/>
    <w:rsid w:val="0050396A"/>
    <w:rPr>
      <w:rFonts w:ascii="Arial" w:eastAsia="Times New Roman" w:hAnsi="Arial"/>
      <w:vanish/>
      <w:sz w:val="16"/>
      <w:szCs w:val="16"/>
    </w:rPr>
  </w:style>
  <w:style w:type="character" w:customStyle="1" w:styleId="text12pt">
    <w:name w:val="text12pt"/>
    <w:rsid w:val="0050396A"/>
  </w:style>
  <w:style w:type="character" w:customStyle="1" w:styleId="skypepnhprintcontainer">
    <w:name w:val="skype_pnh_print_container"/>
    <w:rsid w:val="0050396A"/>
  </w:style>
  <w:style w:type="character" w:customStyle="1" w:styleId="skypepnhcontainer">
    <w:name w:val="skype_pnh_container"/>
    <w:rsid w:val="0050396A"/>
  </w:style>
  <w:style w:type="character" w:customStyle="1" w:styleId="skypepnhmark">
    <w:name w:val="skype_pnh_mark"/>
    <w:rsid w:val="0050396A"/>
  </w:style>
  <w:style w:type="character" w:customStyle="1" w:styleId="skypepnhleftspan">
    <w:name w:val="skype_pnh_left_span"/>
    <w:rsid w:val="0050396A"/>
  </w:style>
  <w:style w:type="character" w:customStyle="1" w:styleId="skypepnhdropartspan">
    <w:name w:val="skype_pnh_dropart_span"/>
    <w:rsid w:val="0050396A"/>
  </w:style>
  <w:style w:type="character" w:customStyle="1" w:styleId="skypepnhdropartflagspan">
    <w:name w:val="skype_pnh_dropart_flag_span"/>
    <w:rsid w:val="0050396A"/>
  </w:style>
  <w:style w:type="character" w:customStyle="1" w:styleId="skypepnhtextspan">
    <w:name w:val="skype_pnh_text_span"/>
    <w:rsid w:val="0050396A"/>
  </w:style>
  <w:style w:type="character" w:customStyle="1" w:styleId="skypepnhrightspan">
    <w:name w:val="skype_pnh_right_span"/>
    <w:rsid w:val="0050396A"/>
  </w:style>
  <w:style w:type="character" w:customStyle="1" w:styleId="7pt">
    <w:name w:val="7pt"/>
    <w:rsid w:val="0050396A"/>
  </w:style>
  <w:style w:type="paragraph" w:customStyle="1" w:styleId="Eerveninormln">
    <w:name w:val="Eerveni normální"/>
    <w:basedOn w:val="Normln"/>
    <w:rsid w:val="0050396A"/>
    <w:pPr>
      <w:overflowPunct w:val="0"/>
      <w:autoSpaceDE w:val="0"/>
      <w:autoSpaceDN w:val="0"/>
      <w:adjustRightInd w:val="0"/>
      <w:spacing w:after="0"/>
      <w:textAlignment w:val="baseline"/>
    </w:pPr>
    <w:rPr>
      <w:rFonts w:ascii="Times New Roman" w:eastAsia="Times New Roman" w:hAnsi="Times New Roman"/>
      <w:color w:val="FF0000"/>
      <w:szCs w:val="20"/>
      <w:lang w:eastAsia="cs-CZ"/>
    </w:rPr>
  </w:style>
  <w:style w:type="paragraph" w:customStyle="1" w:styleId="Zeleninormln">
    <w:name w:val="Zeleni normální"/>
    <w:basedOn w:val="Normln"/>
    <w:rsid w:val="0050396A"/>
    <w:pPr>
      <w:overflowPunct w:val="0"/>
      <w:autoSpaceDE w:val="0"/>
      <w:autoSpaceDN w:val="0"/>
      <w:adjustRightInd w:val="0"/>
      <w:spacing w:after="0"/>
      <w:textAlignment w:val="baseline"/>
    </w:pPr>
    <w:rPr>
      <w:rFonts w:ascii="Times New Roman" w:eastAsia="Times New Roman" w:hAnsi="Times New Roman"/>
      <w:color w:val="00FF00"/>
      <w:szCs w:val="20"/>
      <w:lang w:eastAsia="cs-CZ"/>
    </w:rPr>
  </w:style>
  <w:style w:type="paragraph" w:customStyle="1" w:styleId="Modoenormln">
    <w:name w:val="Modoe normální"/>
    <w:basedOn w:val="Zeleninormln"/>
    <w:rsid w:val="0050396A"/>
    <w:rPr>
      <w:color w:val="0000FF"/>
    </w:rPr>
  </w:style>
  <w:style w:type="paragraph" w:customStyle="1" w:styleId="Hlavnnadpis">
    <w:name w:val="Hlavní nadpis"/>
    <w:basedOn w:val="Normln"/>
    <w:rsid w:val="0050396A"/>
    <w:pPr>
      <w:overflowPunct w:val="0"/>
      <w:autoSpaceDE w:val="0"/>
      <w:autoSpaceDN w:val="0"/>
      <w:adjustRightInd w:val="0"/>
      <w:spacing w:after="0"/>
      <w:jc w:val="center"/>
      <w:textAlignment w:val="baseline"/>
    </w:pPr>
    <w:rPr>
      <w:rFonts w:ascii="Arial" w:eastAsia="Times New Roman" w:hAnsi="Arial"/>
      <w:b/>
      <w:smallCaps/>
      <w:sz w:val="48"/>
      <w:szCs w:val="20"/>
      <w:lang w:eastAsia="cs-CZ"/>
    </w:rPr>
  </w:style>
  <w:style w:type="paragraph" w:customStyle="1" w:styleId="BodyText21">
    <w:name w:val="Body Text 21"/>
    <w:basedOn w:val="Normln"/>
    <w:rsid w:val="0050396A"/>
    <w:pPr>
      <w:overflowPunct w:val="0"/>
      <w:autoSpaceDE w:val="0"/>
      <w:autoSpaceDN w:val="0"/>
      <w:adjustRightInd w:val="0"/>
      <w:ind w:left="283"/>
      <w:textAlignment w:val="baseline"/>
    </w:pPr>
    <w:rPr>
      <w:rFonts w:ascii="Times New Roman" w:eastAsia="Times New Roman" w:hAnsi="Times New Roman"/>
      <w:szCs w:val="20"/>
      <w:lang w:eastAsia="cs-CZ"/>
    </w:rPr>
  </w:style>
  <w:style w:type="paragraph" w:customStyle="1" w:styleId="StylNadpis1Ped6b">
    <w:name w:val="Styl Nadpis 1 + Před:  6 b."/>
    <w:basedOn w:val="Nadpis1"/>
    <w:autoRedefine/>
    <w:rsid w:val="0050396A"/>
    <w:pPr>
      <w:keepNext/>
      <w:widowControl/>
      <w:tabs>
        <w:tab w:val="num" w:pos="432"/>
      </w:tabs>
      <w:overflowPunct w:val="0"/>
      <w:autoSpaceDE w:val="0"/>
      <w:autoSpaceDN w:val="0"/>
      <w:adjustRightInd w:val="0"/>
      <w:spacing w:after="0"/>
      <w:textAlignment w:val="baseline"/>
    </w:pPr>
    <w:rPr>
      <w:rFonts w:ascii="Times New Roman" w:hAnsi="Times New Roman"/>
      <w:color w:val="0070C0"/>
      <w:kern w:val="28"/>
      <w:szCs w:val="20"/>
    </w:rPr>
  </w:style>
  <w:style w:type="paragraph" w:customStyle="1" w:styleId="import18">
    <w:name w:val="import18"/>
    <w:basedOn w:val="Normln"/>
    <w:rsid w:val="0050396A"/>
    <w:pPr>
      <w:spacing w:before="100" w:beforeAutospacing="1" w:after="100" w:afterAutospacing="1"/>
    </w:pPr>
    <w:rPr>
      <w:rFonts w:ascii="Times New Roman" w:eastAsia="Times New Roman" w:hAnsi="Times New Roman"/>
      <w:szCs w:val="24"/>
      <w:lang w:eastAsia="cs-CZ"/>
    </w:rPr>
  </w:style>
  <w:style w:type="character" w:customStyle="1" w:styleId="address">
    <w:name w:val="address"/>
    <w:rsid w:val="0050396A"/>
  </w:style>
  <w:style w:type="character" w:customStyle="1" w:styleId="street-address">
    <w:name w:val="street-address"/>
    <w:rsid w:val="0050396A"/>
  </w:style>
  <w:style w:type="character" w:customStyle="1" w:styleId="id">
    <w:name w:val="id"/>
    <w:rsid w:val="0050396A"/>
  </w:style>
  <w:style w:type="paragraph" w:customStyle="1" w:styleId="BodyText22">
    <w:name w:val="Body Text 22"/>
    <w:basedOn w:val="Normln"/>
    <w:rsid w:val="0050396A"/>
    <w:pPr>
      <w:overflowPunct w:val="0"/>
      <w:autoSpaceDE w:val="0"/>
      <w:autoSpaceDN w:val="0"/>
      <w:adjustRightInd w:val="0"/>
      <w:ind w:left="283"/>
      <w:textAlignment w:val="baseline"/>
    </w:pPr>
    <w:rPr>
      <w:rFonts w:ascii="Times New Roman" w:eastAsia="Times New Roman" w:hAnsi="Times New Roman"/>
      <w:szCs w:val="20"/>
      <w:lang w:eastAsia="cs-CZ"/>
    </w:rPr>
  </w:style>
  <w:style w:type="paragraph" w:customStyle="1" w:styleId="xl154">
    <w:name w:val="xl154"/>
    <w:basedOn w:val="Normln"/>
    <w:rsid w:val="0050396A"/>
    <w:pPr>
      <w:pBdr>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5">
    <w:name w:val="xl155"/>
    <w:basedOn w:val="Normln"/>
    <w:rsid w:val="0050396A"/>
    <w:pPr>
      <w:pBdr>
        <w:bottom w:val="single" w:sz="4" w:space="0" w:color="auto"/>
      </w:pBdr>
      <w:shd w:val="clear" w:color="000000" w:fill="CCCC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56">
    <w:name w:val="xl156"/>
    <w:basedOn w:val="Normln"/>
    <w:rsid w:val="0050396A"/>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7">
    <w:name w:val="xl157"/>
    <w:basedOn w:val="Normln"/>
    <w:rsid w:val="0050396A"/>
    <w:pPr>
      <w:pBdr>
        <w:left w:val="single" w:sz="4"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8">
    <w:name w:val="xl158"/>
    <w:basedOn w:val="Normln"/>
    <w:rsid w:val="0050396A"/>
    <w:pPr>
      <w:pBdr>
        <w:bottom w:val="single" w:sz="4" w:space="0" w:color="auto"/>
      </w:pBdr>
      <w:shd w:val="clear" w:color="000000" w:fill="33CCCC"/>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59">
    <w:name w:val="xl159"/>
    <w:basedOn w:val="Normln"/>
    <w:rsid w:val="0050396A"/>
    <w:pPr>
      <w:pBdr>
        <w:left w:val="single" w:sz="4" w:space="0" w:color="auto"/>
        <w:bottom w:val="single" w:sz="4" w:space="0" w:color="auto"/>
        <w:right w:val="single" w:sz="4" w:space="0" w:color="auto"/>
      </w:pBdr>
      <w:shd w:val="clear" w:color="000000" w:fill="33CCCC"/>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0">
    <w:name w:val="xl160"/>
    <w:basedOn w:val="Normln"/>
    <w:rsid w:val="0050396A"/>
    <w:pPr>
      <w:pBdr>
        <w:left w:val="single" w:sz="4" w:space="0" w:color="auto"/>
        <w:bottom w:val="single" w:sz="4" w:space="0" w:color="auto"/>
        <w:right w:val="single" w:sz="8" w:space="0" w:color="auto"/>
      </w:pBdr>
      <w:shd w:val="clear" w:color="000000" w:fill="33CCCC"/>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1">
    <w:name w:val="xl161"/>
    <w:basedOn w:val="Normln"/>
    <w:rsid w:val="0050396A"/>
    <w:pPr>
      <w:pBdr>
        <w:bottom w:val="single" w:sz="4"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2">
    <w:name w:val="xl162"/>
    <w:basedOn w:val="Normln"/>
    <w:rsid w:val="0050396A"/>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3">
    <w:name w:val="xl163"/>
    <w:basedOn w:val="Normln"/>
    <w:rsid w:val="0050396A"/>
    <w:pPr>
      <w:pBdr>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4">
    <w:name w:val="xl164"/>
    <w:basedOn w:val="Normln"/>
    <w:rsid w:val="0050396A"/>
    <w:pPr>
      <w:pBdr>
        <w:top w:val="single" w:sz="4" w:space="0" w:color="auto"/>
        <w:bottom w:val="single" w:sz="8"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5">
    <w:name w:val="xl165"/>
    <w:basedOn w:val="Normln"/>
    <w:rsid w:val="0050396A"/>
    <w:pPr>
      <w:pBdr>
        <w:top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6">
    <w:name w:val="xl166"/>
    <w:basedOn w:val="Normln"/>
    <w:rsid w:val="0050396A"/>
    <w:pPr>
      <w:pBdr>
        <w:top w:val="single" w:sz="8" w:space="0" w:color="auto"/>
        <w:left w:val="single" w:sz="4" w:space="0" w:color="auto"/>
        <w:bottom w:val="single" w:sz="8"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67">
    <w:name w:val="xl167"/>
    <w:basedOn w:val="Normln"/>
    <w:rsid w:val="0050396A"/>
    <w:pPr>
      <w:pBdr>
        <w:top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168">
    <w:name w:val="xl168"/>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9">
    <w:name w:val="xl169"/>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70">
    <w:name w:val="xl170"/>
    <w:basedOn w:val="Normln"/>
    <w:rsid w:val="0050396A"/>
    <w:pPr>
      <w:pBdr>
        <w:top w:val="single" w:sz="8" w:space="0" w:color="auto"/>
        <w:left w:val="single" w:sz="4" w:space="0" w:color="auto"/>
        <w:bottom w:val="single" w:sz="8" w:space="0" w:color="auto"/>
        <w:right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71">
    <w:name w:val="xl171"/>
    <w:basedOn w:val="Normln"/>
    <w:rsid w:val="0050396A"/>
    <w:pPr>
      <w:pBdr>
        <w:top w:val="single" w:sz="8" w:space="0" w:color="auto"/>
        <w:left w:val="single" w:sz="4" w:space="0" w:color="auto"/>
        <w:bottom w:val="single" w:sz="8" w:space="0" w:color="auto"/>
        <w:right w:val="single" w:sz="8" w:space="0" w:color="auto"/>
      </w:pBdr>
      <w:shd w:val="clear" w:color="000000" w:fill="FF8080"/>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72">
    <w:name w:val="xl172"/>
    <w:basedOn w:val="Normln"/>
    <w:rsid w:val="0050396A"/>
    <w:pPr>
      <w:pBdr>
        <w:top w:val="single" w:sz="8" w:space="0" w:color="auto"/>
        <w:left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3">
    <w:name w:val="xl173"/>
    <w:basedOn w:val="Normln"/>
    <w:rsid w:val="0050396A"/>
    <w:pPr>
      <w:pBdr>
        <w:top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74">
    <w:name w:val="xl174"/>
    <w:basedOn w:val="Normln"/>
    <w:rsid w:val="0050396A"/>
    <w:pPr>
      <w:pBdr>
        <w:top w:val="single" w:sz="8" w:space="0" w:color="auto"/>
        <w:bottom w:val="single" w:sz="4" w:space="0" w:color="auto"/>
        <w:right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75">
    <w:name w:val="xl175"/>
    <w:basedOn w:val="Normln"/>
    <w:rsid w:val="0050396A"/>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76">
    <w:name w:val="xl176"/>
    <w:basedOn w:val="Normln"/>
    <w:rsid w:val="0050396A"/>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77">
    <w:name w:val="xl177"/>
    <w:basedOn w:val="Normln"/>
    <w:rsid w:val="0050396A"/>
    <w:pPr>
      <w:pBdr>
        <w:left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8">
    <w:name w:val="xl178"/>
    <w:basedOn w:val="Normln"/>
    <w:rsid w:val="0050396A"/>
    <w:pPr>
      <w:pBdr>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9">
    <w:name w:val="xl179"/>
    <w:basedOn w:val="Normln"/>
    <w:rsid w:val="0050396A"/>
    <w:pPr>
      <w:pBdr>
        <w:bottom w:val="single" w:sz="4"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80">
    <w:name w:val="xl180"/>
    <w:basedOn w:val="Normln"/>
    <w:rsid w:val="0050396A"/>
    <w:pPr>
      <w:pBdr>
        <w:top w:val="single" w:sz="8" w:space="0" w:color="auto"/>
        <w:left w:val="single" w:sz="4" w:space="0" w:color="auto"/>
        <w:bottom w:val="double" w:sz="6"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1">
    <w:name w:val="xl181"/>
    <w:basedOn w:val="Normln"/>
    <w:rsid w:val="0050396A"/>
    <w:pPr>
      <w:pBdr>
        <w:top w:val="single" w:sz="8" w:space="0" w:color="auto"/>
        <w:bottom w:val="double" w:sz="6"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2">
    <w:name w:val="xl182"/>
    <w:basedOn w:val="Normln"/>
    <w:rsid w:val="0050396A"/>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3">
    <w:name w:val="xl183"/>
    <w:basedOn w:val="Normln"/>
    <w:rsid w:val="0050396A"/>
    <w:pPr>
      <w:pBdr>
        <w:top w:val="single" w:sz="4" w:space="0" w:color="auto"/>
        <w:bottom w:val="single" w:sz="4"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4">
    <w:name w:val="xl184"/>
    <w:basedOn w:val="Normln"/>
    <w:rsid w:val="0050396A"/>
    <w:pPr>
      <w:pBdr>
        <w:top w:val="single" w:sz="4" w:space="0" w:color="auto"/>
        <w:left w:val="single" w:sz="4" w:space="0" w:color="auto"/>
        <w:bottom w:val="double" w:sz="6" w:space="0" w:color="auto"/>
      </w:pBdr>
      <w:shd w:val="clear" w:color="000000" w:fill="FFFF0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5">
    <w:name w:val="xl185"/>
    <w:basedOn w:val="Normln"/>
    <w:rsid w:val="0050396A"/>
    <w:pPr>
      <w:pBdr>
        <w:top w:val="single" w:sz="4" w:space="0" w:color="auto"/>
        <w:bottom w:val="double" w:sz="6"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6">
    <w:name w:val="xl186"/>
    <w:basedOn w:val="Normln"/>
    <w:rsid w:val="0050396A"/>
    <w:pPr>
      <w:pBdr>
        <w:top w:val="single" w:sz="8" w:space="0" w:color="auto"/>
        <w:bottom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87">
    <w:name w:val="xl187"/>
    <w:basedOn w:val="Normln"/>
    <w:rsid w:val="0050396A"/>
    <w:pPr>
      <w:pBdr>
        <w:top w:val="single" w:sz="8" w:space="0" w:color="auto"/>
        <w:bottom w:val="single" w:sz="8" w:space="0" w:color="auto"/>
        <w:right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88">
    <w:name w:val="xl188"/>
    <w:basedOn w:val="Normln"/>
    <w:rsid w:val="0050396A"/>
    <w:pPr>
      <w:pBdr>
        <w:top w:val="single" w:sz="4" w:space="0" w:color="auto"/>
        <w:bottom w:val="single" w:sz="4" w:space="0" w:color="auto"/>
      </w:pBdr>
      <w:shd w:val="clear" w:color="000000" w:fill="FFFFCC"/>
      <w:spacing w:before="100" w:beforeAutospacing="1" w:after="100" w:afterAutospacing="1"/>
    </w:pPr>
    <w:rPr>
      <w:rFonts w:ascii="Times New Roman" w:eastAsia="Times New Roman" w:hAnsi="Times New Roman"/>
      <w:szCs w:val="24"/>
      <w:lang w:eastAsia="cs-CZ"/>
    </w:rPr>
  </w:style>
  <w:style w:type="paragraph" w:customStyle="1" w:styleId="xl189">
    <w:name w:val="xl189"/>
    <w:basedOn w:val="Normln"/>
    <w:rsid w:val="0050396A"/>
    <w:pPr>
      <w:pBdr>
        <w:bottom w:val="single" w:sz="4" w:space="0" w:color="auto"/>
        <w:right w:val="single" w:sz="8" w:space="0" w:color="auto"/>
      </w:pBdr>
      <w:shd w:val="clear" w:color="000000" w:fill="FFFFCC"/>
      <w:spacing w:before="100" w:beforeAutospacing="1" w:after="100" w:afterAutospacing="1"/>
    </w:pPr>
    <w:rPr>
      <w:rFonts w:ascii="Times New Roman" w:eastAsia="Times New Roman" w:hAnsi="Times New Roman"/>
      <w:szCs w:val="24"/>
      <w:lang w:eastAsia="cs-CZ"/>
    </w:rPr>
  </w:style>
  <w:style w:type="paragraph" w:customStyle="1" w:styleId="xl190">
    <w:name w:val="xl190"/>
    <w:basedOn w:val="Normln"/>
    <w:rsid w:val="0050396A"/>
    <w:pPr>
      <w:pBdr>
        <w:left w:val="single" w:sz="8" w:space="0" w:color="auto"/>
        <w:right w:val="single" w:sz="4" w:space="0" w:color="auto"/>
      </w:pBdr>
      <w:shd w:val="clear" w:color="000000" w:fill="00FFFF"/>
      <w:spacing w:before="100" w:beforeAutospacing="1" w:after="100" w:afterAutospacing="1"/>
      <w:jc w:val="center"/>
    </w:pPr>
    <w:rPr>
      <w:rFonts w:ascii="Times New Roman" w:eastAsia="Times New Roman" w:hAnsi="Times New Roman"/>
      <w:i/>
      <w:iCs/>
      <w:sz w:val="18"/>
      <w:szCs w:val="18"/>
      <w:lang w:eastAsia="cs-CZ"/>
    </w:rPr>
  </w:style>
  <w:style w:type="paragraph" w:customStyle="1" w:styleId="xl191">
    <w:name w:val="xl191"/>
    <w:basedOn w:val="Normln"/>
    <w:rsid w:val="0050396A"/>
    <w:pPr>
      <w:pBdr>
        <w:left w:val="single" w:sz="8" w:space="0" w:color="auto"/>
        <w:bottom w:val="single" w:sz="8" w:space="0" w:color="auto"/>
        <w:right w:val="single" w:sz="4" w:space="0" w:color="auto"/>
      </w:pBdr>
      <w:shd w:val="clear" w:color="000000" w:fill="00FFFF"/>
      <w:spacing w:before="100" w:beforeAutospacing="1" w:after="100" w:afterAutospacing="1"/>
    </w:pPr>
    <w:rPr>
      <w:rFonts w:ascii="Times New Roman" w:eastAsia="Times New Roman" w:hAnsi="Times New Roman"/>
      <w:i/>
      <w:iCs/>
      <w:sz w:val="18"/>
      <w:szCs w:val="18"/>
      <w:lang w:eastAsia="cs-CZ"/>
    </w:rPr>
  </w:style>
  <w:style w:type="paragraph" w:customStyle="1" w:styleId="xl192">
    <w:name w:val="xl192"/>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jc w:val="center"/>
      <w:textAlignment w:val="top"/>
    </w:pPr>
    <w:rPr>
      <w:rFonts w:ascii="Times New Roman" w:eastAsia="Times New Roman" w:hAnsi="Times New Roman"/>
      <w:sz w:val="18"/>
      <w:szCs w:val="18"/>
      <w:lang w:eastAsia="cs-CZ"/>
    </w:rPr>
  </w:style>
  <w:style w:type="paragraph" w:customStyle="1" w:styleId="xl193">
    <w:name w:val="xl193"/>
    <w:basedOn w:val="Normln"/>
    <w:rsid w:val="0050396A"/>
    <w:pPr>
      <w:pBdr>
        <w:top w:val="single" w:sz="8" w:space="0" w:color="auto"/>
        <w:bottom w:val="single" w:sz="8" w:space="0" w:color="auto"/>
      </w:pBdr>
      <w:shd w:val="clear" w:color="000000" w:fill="00FFFF"/>
      <w:spacing w:before="100" w:beforeAutospacing="1" w:after="100" w:afterAutospacing="1"/>
      <w:textAlignment w:val="top"/>
    </w:pPr>
    <w:rPr>
      <w:rFonts w:ascii="Times New Roman" w:eastAsia="Times New Roman" w:hAnsi="Times New Roman"/>
      <w:sz w:val="18"/>
      <w:szCs w:val="18"/>
      <w:lang w:eastAsia="cs-CZ"/>
    </w:rPr>
  </w:style>
  <w:style w:type="paragraph" w:customStyle="1" w:styleId="xl194">
    <w:name w:val="xl194"/>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top"/>
    </w:pPr>
    <w:rPr>
      <w:rFonts w:ascii="Times New Roman" w:eastAsia="Times New Roman" w:hAnsi="Times New Roman"/>
      <w:sz w:val="18"/>
      <w:szCs w:val="18"/>
      <w:lang w:eastAsia="cs-CZ"/>
    </w:rPr>
  </w:style>
  <w:style w:type="paragraph" w:customStyle="1" w:styleId="xl195">
    <w:name w:val="xl195"/>
    <w:basedOn w:val="Normln"/>
    <w:rsid w:val="0050396A"/>
    <w:pPr>
      <w:pBdr>
        <w:top w:val="single" w:sz="8" w:space="0" w:color="auto"/>
        <w:left w:val="single" w:sz="4" w:space="0" w:color="auto"/>
        <w:bottom w:val="single" w:sz="8"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96">
    <w:name w:val="xl196"/>
    <w:basedOn w:val="Normln"/>
    <w:rsid w:val="0050396A"/>
    <w:pPr>
      <w:pBdr>
        <w:top w:val="single" w:sz="8" w:space="0" w:color="auto"/>
        <w:left w:val="single" w:sz="8" w:space="0" w:color="auto"/>
        <w:bottom w:val="single" w:sz="4" w:space="0" w:color="auto"/>
      </w:pBdr>
      <w:shd w:val="clear" w:color="000000" w:fill="00FFFF"/>
      <w:spacing w:before="100" w:beforeAutospacing="1" w:after="100" w:afterAutospacing="1"/>
      <w:jc w:val="center"/>
      <w:textAlignment w:val="top"/>
    </w:pPr>
    <w:rPr>
      <w:rFonts w:ascii="Times New Roman" w:eastAsia="Times New Roman" w:hAnsi="Times New Roman"/>
      <w:b/>
      <w:bCs/>
      <w:sz w:val="18"/>
      <w:szCs w:val="18"/>
      <w:lang w:eastAsia="cs-CZ"/>
    </w:rPr>
  </w:style>
  <w:style w:type="paragraph" w:customStyle="1" w:styleId="xl197">
    <w:name w:val="xl197"/>
    <w:basedOn w:val="Normln"/>
    <w:rsid w:val="0050396A"/>
    <w:pPr>
      <w:pBdr>
        <w:top w:val="single" w:sz="8" w:space="0" w:color="auto"/>
        <w:bottom w:val="single" w:sz="4" w:space="0" w:color="auto"/>
      </w:pBdr>
      <w:shd w:val="clear" w:color="000000" w:fill="00FFFF"/>
      <w:spacing w:before="100" w:beforeAutospacing="1" w:after="100" w:afterAutospacing="1"/>
      <w:textAlignment w:val="top"/>
    </w:pPr>
    <w:rPr>
      <w:rFonts w:ascii="Times New Roman" w:eastAsia="Times New Roman" w:hAnsi="Times New Roman"/>
      <w:b/>
      <w:bCs/>
      <w:sz w:val="18"/>
      <w:szCs w:val="18"/>
      <w:lang w:eastAsia="cs-CZ"/>
    </w:rPr>
  </w:style>
  <w:style w:type="paragraph" w:customStyle="1" w:styleId="xl198">
    <w:name w:val="xl198"/>
    <w:basedOn w:val="Normln"/>
    <w:rsid w:val="0050396A"/>
    <w:pPr>
      <w:pBdr>
        <w:top w:val="single" w:sz="8" w:space="0" w:color="auto"/>
        <w:bottom w:val="single" w:sz="4" w:space="0" w:color="auto"/>
      </w:pBdr>
      <w:shd w:val="clear" w:color="000000" w:fill="00FFFF"/>
      <w:spacing w:before="100" w:beforeAutospacing="1" w:after="100" w:afterAutospacing="1"/>
      <w:textAlignment w:val="top"/>
    </w:pPr>
    <w:rPr>
      <w:rFonts w:ascii="Times New Roman" w:eastAsia="Times New Roman" w:hAnsi="Times New Roman"/>
      <w:sz w:val="18"/>
      <w:szCs w:val="18"/>
      <w:lang w:eastAsia="cs-CZ"/>
    </w:rPr>
  </w:style>
  <w:style w:type="paragraph" w:customStyle="1" w:styleId="xl199">
    <w:name w:val="xl199"/>
    <w:basedOn w:val="Normln"/>
    <w:rsid w:val="0050396A"/>
    <w:pPr>
      <w:pBdr>
        <w:top w:val="single" w:sz="8" w:space="0" w:color="auto"/>
        <w:bottom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0">
    <w:name w:val="xl200"/>
    <w:basedOn w:val="Normln"/>
    <w:rsid w:val="0050396A"/>
    <w:pPr>
      <w:pBdr>
        <w:top w:val="single" w:sz="8" w:space="0" w:color="auto"/>
        <w:bottom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1">
    <w:name w:val="xl201"/>
    <w:basedOn w:val="Normln"/>
    <w:rsid w:val="0050396A"/>
    <w:pPr>
      <w:pBdr>
        <w:top w:val="single" w:sz="8" w:space="0" w:color="auto"/>
        <w:bottom w:val="single" w:sz="4"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2">
    <w:name w:val="xl202"/>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3">
    <w:name w:val="xl203"/>
    <w:basedOn w:val="Normln"/>
    <w:rsid w:val="0050396A"/>
    <w:pPr>
      <w:pBdr>
        <w:top w:val="single" w:sz="8" w:space="0" w:color="auto"/>
        <w:bottom w:val="single" w:sz="8" w:space="0" w:color="auto"/>
      </w:pBdr>
      <w:shd w:val="clear" w:color="000000" w:fill="00FFFF"/>
      <w:spacing w:before="100" w:beforeAutospacing="1" w:after="100" w:afterAutospacing="1"/>
      <w:jc w:val="right"/>
      <w:textAlignment w:val="center"/>
    </w:pPr>
    <w:rPr>
      <w:rFonts w:ascii="Times New Roman" w:eastAsia="Times New Roman" w:hAnsi="Times New Roman"/>
      <w:sz w:val="18"/>
      <w:szCs w:val="18"/>
      <w:lang w:eastAsia="cs-CZ"/>
    </w:rPr>
  </w:style>
  <w:style w:type="paragraph" w:customStyle="1" w:styleId="xl204">
    <w:name w:val="xl204"/>
    <w:basedOn w:val="Normln"/>
    <w:rsid w:val="0050396A"/>
    <w:pPr>
      <w:pBdr>
        <w:top w:val="single" w:sz="8" w:space="0" w:color="auto"/>
        <w:left w:val="single" w:sz="8" w:space="0" w:color="auto"/>
        <w:bottom w:val="double" w:sz="6"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5">
    <w:name w:val="xl205"/>
    <w:basedOn w:val="Normln"/>
    <w:rsid w:val="0050396A"/>
    <w:pPr>
      <w:pBdr>
        <w:top w:val="single" w:sz="8" w:space="0" w:color="auto"/>
        <w:bottom w:val="double" w:sz="6"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206">
    <w:name w:val="xl206"/>
    <w:basedOn w:val="Normln"/>
    <w:rsid w:val="0050396A"/>
    <w:pPr>
      <w:pBdr>
        <w:top w:val="single" w:sz="8" w:space="0" w:color="auto"/>
        <w:left w:val="single" w:sz="4" w:space="0" w:color="auto"/>
        <w:bottom w:val="double" w:sz="6" w:space="0" w:color="auto"/>
        <w:right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7">
    <w:name w:val="xl207"/>
    <w:basedOn w:val="Normln"/>
    <w:rsid w:val="0050396A"/>
    <w:pPr>
      <w:pBdr>
        <w:top w:val="single" w:sz="8" w:space="0" w:color="auto"/>
        <w:left w:val="single" w:sz="4" w:space="0" w:color="auto"/>
        <w:bottom w:val="double" w:sz="6"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8">
    <w:name w:val="xl208"/>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9">
    <w:name w:val="xl209"/>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210">
    <w:name w:val="xl210"/>
    <w:basedOn w:val="Normln"/>
    <w:rsid w:val="0050396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11">
    <w:name w:val="xl211"/>
    <w:basedOn w:val="Normln"/>
    <w:rsid w:val="0050396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12">
    <w:name w:val="xl212"/>
    <w:basedOn w:val="Normln"/>
    <w:rsid w:val="0050396A"/>
    <w:pPr>
      <w:pBdr>
        <w:top w:val="single" w:sz="4"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213">
    <w:name w:val="xl213"/>
    <w:basedOn w:val="Normln"/>
    <w:rsid w:val="0050396A"/>
    <w:pPr>
      <w:pBdr>
        <w:top w:val="single" w:sz="4" w:space="0" w:color="auto"/>
        <w:bottom w:val="single" w:sz="4" w:space="0" w:color="auto"/>
        <w:right w:val="single" w:sz="8"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214">
    <w:name w:val="xl214"/>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215">
    <w:name w:val="xl215"/>
    <w:basedOn w:val="Normln"/>
    <w:rsid w:val="0050396A"/>
    <w:pPr>
      <w:pBdr>
        <w:top w:val="single" w:sz="4" w:space="0" w:color="auto"/>
        <w:bottom w:val="single" w:sz="4" w:space="0" w:color="auto"/>
      </w:pBdr>
      <w:shd w:val="clear" w:color="000000" w:fill="99CCFF"/>
      <w:spacing w:before="100" w:beforeAutospacing="1" w:after="100" w:afterAutospacing="1"/>
      <w:jc w:val="right"/>
    </w:pPr>
    <w:rPr>
      <w:rFonts w:ascii="Times New Roman" w:eastAsia="Times New Roman" w:hAnsi="Times New Roman"/>
      <w:szCs w:val="24"/>
      <w:lang w:eastAsia="cs-CZ"/>
    </w:rPr>
  </w:style>
  <w:style w:type="paragraph" w:customStyle="1" w:styleId="xl216">
    <w:name w:val="xl216"/>
    <w:basedOn w:val="Normln"/>
    <w:rsid w:val="0050396A"/>
    <w:pPr>
      <w:pBdr>
        <w:top w:val="single" w:sz="4" w:space="0" w:color="auto"/>
        <w:bottom w:val="single" w:sz="4" w:space="0" w:color="auto"/>
      </w:pBdr>
      <w:shd w:val="clear" w:color="000000" w:fill="99CCFF"/>
      <w:spacing w:before="100" w:beforeAutospacing="1" w:after="100" w:afterAutospacing="1"/>
      <w:jc w:val="center"/>
    </w:pPr>
    <w:rPr>
      <w:rFonts w:ascii="Times New Roman" w:eastAsia="Times New Roman" w:hAnsi="Times New Roman"/>
      <w:szCs w:val="24"/>
      <w:lang w:eastAsia="cs-CZ"/>
    </w:rPr>
  </w:style>
  <w:style w:type="paragraph" w:customStyle="1" w:styleId="HBText">
    <w:name w:val="HB Text"/>
    <w:uiPriority w:val="99"/>
    <w:rsid w:val="0050396A"/>
    <w:pPr>
      <w:widowControl w:val="0"/>
      <w:autoSpaceDE w:val="0"/>
      <w:autoSpaceDN w:val="0"/>
      <w:adjustRightInd w:val="0"/>
      <w:spacing w:before="30" w:after="30"/>
    </w:pPr>
    <w:rPr>
      <w:rFonts w:ascii="Arial" w:eastAsia="Times New Roman" w:hAnsi="Arial" w:cs="Arial"/>
      <w:color w:val="000000"/>
      <w:sz w:val="18"/>
      <w:szCs w:val="18"/>
      <w:lang w:eastAsia="cs-CZ"/>
    </w:rPr>
  </w:style>
  <w:style w:type="character" w:customStyle="1" w:styleId="RozvrendokumentuChar">
    <w:name w:val="Rozvržení dokumentu Char"/>
    <w:rsid w:val="0050396A"/>
    <w:rPr>
      <w:rFonts w:ascii="Tahoma" w:hAnsi="Tahoma" w:cs="Tahoma"/>
      <w:shd w:val="clear" w:color="auto" w:fill="000080"/>
      <w:lang w:val="cs-CZ" w:eastAsia="cs-CZ" w:bidi="ar-SA"/>
    </w:rPr>
  </w:style>
  <w:style w:type="paragraph" w:customStyle="1" w:styleId="odrky">
    <w:name w:val="odrážky"/>
    <w:basedOn w:val="Normln"/>
    <w:rsid w:val="0050396A"/>
    <w:pPr>
      <w:numPr>
        <w:numId w:val="42"/>
      </w:numPr>
      <w:spacing w:after="0" w:line="360" w:lineRule="auto"/>
    </w:pPr>
    <w:rPr>
      <w:rFonts w:ascii="Times New Roman" w:eastAsia="Times New Roman" w:hAnsi="Times New Roman"/>
      <w:szCs w:val="24"/>
      <w:lang w:eastAsia="cs-CZ"/>
    </w:rPr>
  </w:style>
  <w:style w:type="paragraph" w:customStyle="1" w:styleId="StylZkladntextTun">
    <w:name w:val="Styl Základní text + Tučné"/>
    <w:basedOn w:val="Zkladntext"/>
    <w:link w:val="StylZkladntextTunChar"/>
    <w:autoRedefine/>
    <w:rsid w:val="0050396A"/>
    <w:pPr>
      <w:overflowPunct w:val="0"/>
      <w:autoSpaceDE w:val="0"/>
      <w:autoSpaceDN w:val="0"/>
      <w:adjustRightInd w:val="0"/>
      <w:spacing w:after="0"/>
      <w:textAlignment w:val="baseline"/>
    </w:pPr>
    <w:rPr>
      <w:rFonts w:ascii="Times New Roman" w:eastAsia="Times New Roman" w:hAnsi="Times New Roman"/>
      <w:b/>
      <w:bCs/>
      <w:color w:val="000000"/>
      <w:sz w:val="20"/>
      <w:szCs w:val="20"/>
    </w:rPr>
  </w:style>
  <w:style w:type="character" w:customStyle="1" w:styleId="StylZkladntextTunChar">
    <w:name w:val="Styl Základní text + Tučné Char"/>
    <w:link w:val="StylZkladntextTun"/>
    <w:rsid w:val="0050396A"/>
    <w:rPr>
      <w:rFonts w:ascii="Times New Roman" w:eastAsia="Times New Roman" w:hAnsi="Times New Roman"/>
      <w:b/>
      <w:bCs/>
      <w:color w:val="000000"/>
    </w:rPr>
  </w:style>
  <w:style w:type="character" w:customStyle="1" w:styleId="locality">
    <w:name w:val="locality"/>
    <w:rsid w:val="0050396A"/>
  </w:style>
  <w:style w:type="paragraph" w:styleId="Seznamsodrkami3">
    <w:name w:val="List Bullet 3"/>
    <w:basedOn w:val="Normln"/>
    <w:uiPriority w:val="99"/>
    <w:unhideWhenUsed/>
    <w:rsid w:val="0050396A"/>
    <w:pPr>
      <w:numPr>
        <w:numId w:val="43"/>
      </w:numPr>
      <w:overflowPunct w:val="0"/>
      <w:autoSpaceDE w:val="0"/>
      <w:autoSpaceDN w:val="0"/>
      <w:adjustRightInd w:val="0"/>
      <w:spacing w:after="0"/>
      <w:contextualSpacing/>
      <w:textAlignment w:val="baseline"/>
    </w:pPr>
    <w:rPr>
      <w:rFonts w:ascii="Times New Roman" w:eastAsia="Times New Roman" w:hAnsi="Times New Roman"/>
      <w:szCs w:val="20"/>
      <w:lang w:eastAsia="cs-CZ"/>
    </w:rPr>
  </w:style>
  <w:style w:type="paragraph" w:customStyle="1" w:styleId="row">
    <w:name w:val="row"/>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description">
    <w:name w:val="description"/>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BodyText32">
    <w:name w:val="Body Text 32"/>
    <w:basedOn w:val="Normln"/>
    <w:rsid w:val="0050396A"/>
    <w:pPr>
      <w:overflowPunct w:val="0"/>
      <w:autoSpaceDE w:val="0"/>
      <w:autoSpaceDN w:val="0"/>
      <w:adjustRightInd w:val="0"/>
      <w:textAlignment w:val="baseline"/>
    </w:pPr>
    <w:rPr>
      <w:rFonts w:ascii="Times New Roman" w:eastAsia="Times New Roman" w:hAnsi="Times New Roman"/>
      <w:szCs w:val="20"/>
      <w:lang w:eastAsia="cs-CZ"/>
    </w:rPr>
  </w:style>
  <w:style w:type="numbering" w:customStyle="1" w:styleId="seznamliteratury">
    <w:name w:val="seznam literatury"/>
    <w:basedOn w:val="Bezseznamu"/>
    <w:rsid w:val="0050396A"/>
    <w:pPr>
      <w:numPr>
        <w:numId w:val="44"/>
      </w:numPr>
    </w:pPr>
  </w:style>
  <w:style w:type="paragraph" w:customStyle="1" w:styleId="Literatura">
    <w:name w:val="Literatura"/>
    <w:basedOn w:val="Normln"/>
    <w:rsid w:val="0050396A"/>
    <w:pPr>
      <w:numPr>
        <w:numId w:val="45"/>
      </w:numPr>
      <w:spacing w:after="0"/>
      <w:ind w:right="198"/>
      <w:contextualSpacing/>
      <w:jc w:val="left"/>
    </w:pPr>
    <w:rPr>
      <w:rFonts w:ascii="Times New Roman" w:eastAsia="Times New Roman" w:hAnsi="Times New Roman" w:cs="Arial"/>
      <w:spacing w:val="-4"/>
      <w:lang w:eastAsia="cs-CZ"/>
    </w:rPr>
  </w:style>
  <w:style w:type="paragraph" w:customStyle="1" w:styleId="zdroj0">
    <w:name w:val="zdroj"/>
    <w:basedOn w:val="Normln"/>
    <w:link w:val="zdrojChar0"/>
    <w:rsid w:val="0050396A"/>
    <w:pPr>
      <w:contextualSpacing/>
    </w:pPr>
    <w:rPr>
      <w:rFonts w:ascii="Times New Roman" w:eastAsia="Times New Roman" w:hAnsi="Times New Roman"/>
      <w:i/>
      <w:szCs w:val="24"/>
      <w:lang w:eastAsia="cs-CZ"/>
    </w:rPr>
  </w:style>
  <w:style w:type="character" w:customStyle="1" w:styleId="zdrojChar0">
    <w:name w:val="zdroj Char"/>
    <w:link w:val="zdroj0"/>
    <w:rsid w:val="0050396A"/>
    <w:rPr>
      <w:rFonts w:ascii="Times New Roman" w:eastAsia="Times New Roman" w:hAnsi="Times New Roman"/>
      <w:i/>
      <w:sz w:val="24"/>
      <w:szCs w:val="24"/>
      <w:lang w:eastAsia="cs-CZ"/>
    </w:rPr>
  </w:style>
  <w:style w:type="paragraph" w:customStyle="1" w:styleId="H5">
    <w:name w:val="H5"/>
    <w:basedOn w:val="Normln"/>
    <w:next w:val="Normln"/>
    <w:rsid w:val="0050396A"/>
    <w:pPr>
      <w:keepNext/>
      <w:spacing w:before="100" w:after="100"/>
      <w:jc w:val="left"/>
      <w:outlineLvl w:val="5"/>
    </w:pPr>
    <w:rPr>
      <w:rFonts w:ascii="Arial" w:eastAsia="Times New Roman" w:hAnsi="Arial"/>
      <w:b/>
      <w:szCs w:val="20"/>
      <w:lang w:eastAsia="cs-CZ"/>
    </w:rPr>
  </w:style>
  <w:style w:type="paragraph" w:styleId="Textvbloku">
    <w:name w:val="Block Text"/>
    <w:basedOn w:val="Normln"/>
    <w:rsid w:val="0050396A"/>
    <w:pPr>
      <w:spacing w:after="0"/>
      <w:ind w:left="540" w:right="332"/>
    </w:pPr>
    <w:rPr>
      <w:rFonts w:ascii="Times New Roman" w:eastAsia="Times New Roman" w:hAnsi="Times New Roman"/>
      <w:szCs w:val="24"/>
      <w:lang w:eastAsia="cs-CZ"/>
    </w:rPr>
  </w:style>
  <w:style w:type="paragraph" w:customStyle="1" w:styleId="Zdroj-tabulky">
    <w:name w:val="Zdroj - tabulky"/>
    <w:aliases w:val="grafy atd."/>
    <w:basedOn w:val="Normln"/>
    <w:rsid w:val="0050396A"/>
    <w:pPr>
      <w:spacing w:line="360" w:lineRule="auto"/>
    </w:pPr>
    <w:rPr>
      <w:rFonts w:ascii="Segoe UI" w:hAnsi="Segoe UI" w:cs="Segoe UI"/>
      <w:sz w:val="18"/>
    </w:rPr>
  </w:style>
  <w:style w:type="table" w:styleId="Svtlstnovnzvraznn4">
    <w:name w:val="Light Shading Accent 4"/>
    <w:basedOn w:val="Normlntabulka"/>
    <w:uiPriority w:val="60"/>
    <w:rsid w:val="0050396A"/>
    <w:rPr>
      <w:rFonts w:asciiTheme="minorHAnsi" w:eastAsiaTheme="minorHAnsi" w:hAnsiTheme="minorHAnsi" w:cstheme="minorBidi"/>
      <w:color w:val="5F0000" w:themeColor="accent4" w:themeShade="BF"/>
      <w:sz w:val="22"/>
      <w:szCs w:val="22"/>
    </w:rPr>
    <w:tblPr>
      <w:tblStyleRowBandSize w:val="1"/>
      <w:tblStyleColBandSize w:val="1"/>
      <w:tblInd w:w="0" w:type="dxa"/>
      <w:tblBorders>
        <w:top w:val="single" w:sz="8" w:space="0" w:color="800000" w:themeColor="accent4"/>
        <w:bottom w:val="single" w:sz="8" w:space="0" w:color="8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0000" w:themeColor="accent4"/>
          <w:left w:val="nil"/>
          <w:bottom w:val="single" w:sz="8" w:space="0" w:color="800000" w:themeColor="accent4"/>
          <w:right w:val="nil"/>
          <w:insideH w:val="nil"/>
          <w:insideV w:val="nil"/>
        </w:tcBorders>
      </w:tcPr>
    </w:tblStylePr>
    <w:tblStylePr w:type="lastRow">
      <w:pPr>
        <w:spacing w:before="0" w:after="0" w:line="240" w:lineRule="auto"/>
      </w:pPr>
      <w:rPr>
        <w:b/>
        <w:bCs/>
      </w:rPr>
      <w:tblPr/>
      <w:tcPr>
        <w:tcBorders>
          <w:top w:val="single" w:sz="8" w:space="0" w:color="800000" w:themeColor="accent4"/>
          <w:left w:val="nil"/>
          <w:bottom w:val="single" w:sz="8" w:space="0" w:color="8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0A0" w:themeFill="accent4" w:themeFillTint="3F"/>
      </w:tcPr>
    </w:tblStylePr>
    <w:tblStylePr w:type="band1Horz">
      <w:tblPr/>
      <w:tcPr>
        <w:tcBorders>
          <w:left w:val="nil"/>
          <w:right w:val="nil"/>
          <w:insideH w:val="nil"/>
          <w:insideV w:val="nil"/>
        </w:tcBorders>
        <w:shd w:val="clear" w:color="auto" w:fill="FFA0A0" w:themeFill="accent4" w:themeFillTint="3F"/>
      </w:tcPr>
    </w:tblStylePr>
  </w:style>
  <w:style w:type="table" w:styleId="Stednseznam1zvraznn6">
    <w:name w:val="Medium List 1 Accent 6"/>
    <w:basedOn w:val="Normlntabulka"/>
    <w:uiPriority w:val="65"/>
    <w:rsid w:val="0050396A"/>
    <w:rPr>
      <w:rFonts w:asciiTheme="minorHAnsi" w:eastAsiaTheme="minorHAnsi" w:hAnsiTheme="minorHAnsi" w:cstheme="minorBidi"/>
      <w:color w:val="000000" w:themeColor="text1"/>
      <w:sz w:val="22"/>
      <w:szCs w:val="22"/>
    </w:rPr>
    <w:tblPr>
      <w:tblStyleRowBandSize w:val="1"/>
      <w:tblStyleColBandSize w:val="1"/>
      <w:tblInd w:w="0" w:type="dxa"/>
      <w:tblBorders>
        <w:top w:val="single" w:sz="8" w:space="0" w:color="CC7B38" w:themeColor="accent6"/>
        <w:bottom w:val="single" w:sz="8" w:space="0" w:color="CC7B38"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7B38" w:themeColor="accent6"/>
        </w:tcBorders>
      </w:tcPr>
    </w:tblStylePr>
    <w:tblStylePr w:type="lastRow">
      <w:rPr>
        <w:b/>
        <w:bCs/>
        <w:color w:val="B6B002" w:themeColor="text2"/>
      </w:rPr>
      <w:tblPr/>
      <w:tcPr>
        <w:tcBorders>
          <w:top w:val="single" w:sz="8" w:space="0" w:color="CC7B38" w:themeColor="accent6"/>
          <w:bottom w:val="single" w:sz="8" w:space="0" w:color="CC7B38" w:themeColor="accent6"/>
        </w:tcBorders>
      </w:tcPr>
    </w:tblStylePr>
    <w:tblStylePr w:type="firstCol">
      <w:rPr>
        <w:b/>
        <w:bCs/>
      </w:rPr>
    </w:tblStylePr>
    <w:tblStylePr w:type="lastCol">
      <w:rPr>
        <w:b/>
        <w:bCs/>
      </w:rPr>
      <w:tblPr/>
      <w:tcPr>
        <w:tcBorders>
          <w:top w:val="single" w:sz="8" w:space="0" w:color="CC7B38" w:themeColor="accent6"/>
          <w:bottom w:val="single" w:sz="8" w:space="0" w:color="CC7B38" w:themeColor="accent6"/>
        </w:tcBorders>
      </w:tcPr>
    </w:tblStylePr>
    <w:tblStylePr w:type="band1Vert">
      <w:tblPr/>
      <w:tcPr>
        <w:shd w:val="clear" w:color="auto" w:fill="F2DECD" w:themeFill="accent6" w:themeFillTint="3F"/>
      </w:tcPr>
    </w:tblStylePr>
    <w:tblStylePr w:type="band1Horz">
      <w:tblPr/>
      <w:tcPr>
        <w:shd w:val="clear" w:color="auto" w:fill="F2DECD" w:themeFill="accent6" w:themeFillTint="3F"/>
      </w:tcPr>
    </w:tblStylePr>
  </w:style>
  <w:style w:type="table" w:styleId="Svtlstnovnzvraznn6">
    <w:name w:val="Light Shading Accent 6"/>
    <w:basedOn w:val="Normlntabulka"/>
    <w:uiPriority w:val="60"/>
    <w:rsid w:val="0050396A"/>
    <w:rPr>
      <w:rFonts w:asciiTheme="minorHAnsi" w:eastAsiaTheme="minorHAnsi" w:hAnsiTheme="minorHAnsi" w:cstheme="minorBidi"/>
      <w:color w:val="9A5B27" w:themeColor="accent6" w:themeShade="BF"/>
      <w:sz w:val="22"/>
      <w:szCs w:val="22"/>
    </w:rPr>
    <w:tblPr>
      <w:tblStyleRowBandSize w:val="1"/>
      <w:tblStyleColBandSize w:val="1"/>
      <w:tblInd w:w="0" w:type="dxa"/>
      <w:tblBorders>
        <w:top w:val="single" w:sz="4" w:space="0" w:color="FCEECC"/>
        <w:bottom w:val="single" w:sz="4" w:space="0" w:color="FCEECC"/>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7B38" w:themeColor="accent6"/>
          <w:left w:val="nil"/>
          <w:bottom w:val="single" w:sz="8" w:space="0" w:color="CC7B38" w:themeColor="accent6"/>
          <w:right w:val="nil"/>
          <w:insideH w:val="nil"/>
          <w:insideV w:val="nil"/>
        </w:tcBorders>
      </w:tcPr>
    </w:tblStylePr>
    <w:tblStylePr w:type="lastRow">
      <w:pPr>
        <w:spacing w:before="0" w:after="0" w:line="240" w:lineRule="auto"/>
      </w:pPr>
      <w:rPr>
        <w:b/>
        <w:bCs/>
      </w:rPr>
      <w:tblPr/>
      <w:tcPr>
        <w:tcBorders>
          <w:top w:val="single" w:sz="8" w:space="0" w:color="CC7B38" w:themeColor="accent6"/>
          <w:left w:val="nil"/>
          <w:bottom w:val="single" w:sz="8" w:space="0" w:color="CC7B3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ECD" w:themeFill="accent6" w:themeFillTint="3F"/>
      </w:tcPr>
    </w:tblStylePr>
    <w:tblStylePr w:type="band1Horz">
      <w:tblPr/>
      <w:tcPr>
        <w:tcBorders>
          <w:left w:val="nil"/>
          <w:right w:val="nil"/>
          <w:insideH w:val="nil"/>
          <w:insideV w:val="nil"/>
        </w:tcBorders>
        <w:shd w:val="clear" w:color="auto" w:fill="F2DECD" w:themeFill="accent6" w:themeFillTint="3F"/>
      </w:tcPr>
    </w:tblStylePr>
  </w:style>
  <w:style w:type="table" w:customStyle="1" w:styleId="Mkatabulky2">
    <w:name w:val="Mřížka tabulky2"/>
    <w:basedOn w:val="Normlntabulka"/>
    <w:next w:val="Mkatabulky"/>
    <w:uiPriority w:val="39"/>
    <w:rsid w:val="0050396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tlstnovnzvraznn21">
    <w:name w:val="Světlé stínování – zvýraznění 21"/>
    <w:basedOn w:val="Normlntabulka"/>
    <w:next w:val="Svtlstnovnzvraznn2"/>
    <w:uiPriority w:val="60"/>
    <w:rsid w:val="0050396A"/>
    <w:rPr>
      <w:rFonts w:ascii="Arial" w:eastAsiaTheme="minorHAnsi" w:hAnsi="Arial" w:cs="Arial"/>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vtlstnovnzvraznn11">
    <w:name w:val="Světlé stínování – zvýraznění 11"/>
    <w:basedOn w:val="Normlntabulka"/>
    <w:uiPriority w:val="60"/>
    <w:rsid w:val="0050396A"/>
    <w:rPr>
      <w:rFonts w:asciiTheme="minorHAnsi" w:eastAsiaTheme="minorHAnsi" w:hAnsiTheme="minorHAnsi" w:cstheme="minorBidi"/>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citation">
    <w:name w:val="citation"/>
    <w:basedOn w:val="Standardnpsmoodstavce"/>
    <w:rsid w:val="0050396A"/>
  </w:style>
  <w:style w:type="paragraph" w:customStyle="1" w:styleId="l4">
    <w:name w:val="l4"/>
    <w:basedOn w:val="Normln"/>
    <w:rsid w:val="0050396A"/>
    <w:pPr>
      <w:spacing w:before="100" w:beforeAutospacing="1" w:after="100" w:afterAutospacing="1"/>
      <w:jc w:val="left"/>
    </w:pPr>
    <w:rPr>
      <w:rFonts w:ascii="Times New Roman" w:eastAsia="Times New Roman" w:hAnsi="Times New Roman"/>
      <w:bCs/>
      <w:szCs w:val="24"/>
      <w:lang w:eastAsia="cs-CZ"/>
    </w:rPr>
  </w:style>
  <w:style w:type="paragraph" w:customStyle="1" w:styleId="odst2">
    <w:name w:val="odst2"/>
    <w:basedOn w:val="Normln"/>
    <w:rsid w:val="0050396A"/>
    <w:pPr>
      <w:spacing w:before="72" w:after="72" w:line="360" w:lineRule="atLeast"/>
      <w:ind w:firstLine="480"/>
    </w:pPr>
    <w:rPr>
      <w:rFonts w:ascii="Times New Roman" w:eastAsia="Times New Roman" w:hAnsi="Times New Roman"/>
      <w:szCs w:val="24"/>
      <w:lang w:eastAsia="cs-CZ"/>
    </w:rPr>
  </w:style>
  <w:style w:type="table" w:customStyle="1" w:styleId="Svtlmkazvraznn11">
    <w:name w:val="Světlá mřížka – zvýraznění 11"/>
    <w:basedOn w:val="Normlntabulka"/>
    <w:uiPriority w:val="62"/>
    <w:rsid w:val="0050396A"/>
    <w:rPr>
      <w:rFonts w:asciiTheme="minorHAnsi" w:eastAsiaTheme="minorHAnsi" w:hAnsiTheme="minorHAnsi" w:cstheme="minorBidi"/>
      <w:sz w:val="22"/>
      <w:szCs w:val="22"/>
    </w:rPr>
    <w:tblPr>
      <w:tblStyleRowBandSize w:val="1"/>
      <w:tblStyleColBandSize w:val="1"/>
      <w:tblInd w:w="0" w:type="dxa"/>
      <w:tblBorders>
        <w:top w:val="single" w:sz="8" w:space="0" w:color="B6B002" w:themeColor="accent1"/>
        <w:left w:val="single" w:sz="8" w:space="0" w:color="B6B002" w:themeColor="accent1"/>
        <w:bottom w:val="single" w:sz="8" w:space="0" w:color="B6B002" w:themeColor="accent1"/>
        <w:right w:val="single" w:sz="8" w:space="0" w:color="B6B002" w:themeColor="accent1"/>
        <w:insideH w:val="single" w:sz="8" w:space="0" w:color="B6B002" w:themeColor="accent1"/>
        <w:insideV w:val="single" w:sz="8" w:space="0" w:color="B6B00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6B002" w:themeColor="accent1"/>
          <w:left w:val="single" w:sz="8" w:space="0" w:color="B6B002" w:themeColor="accent1"/>
          <w:bottom w:val="single" w:sz="18" w:space="0" w:color="B6B002" w:themeColor="accent1"/>
          <w:right w:val="single" w:sz="8" w:space="0" w:color="B6B002" w:themeColor="accent1"/>
          <w:insideH w:val="nil"/>
          <w:insideV w:val="single" w:sz="8" w:space="0" w:color="B6B00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B002" w:themeColor="accent1"/>
          <w:left w:val="single" w:sz="8" w:space="0" w:color="B6B002" w:themeColor="accent1"/>
          <w:bottom w:val="single" w:sz="8" w:space="0" w:color="B6B002" w:themeColor="accent1"/>
          <w:right w:val="single" w:sz="8" w:space="0" w:color="B6B002" w:themeColor="accent1"/>
          <w:insideH w:val="nil"/>
          <w:insideV w:val="single" w:sz="8" w:space="0" w:color="B6B00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tblStylePr w:type="band1Vert">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shd w:val="clear" w:color="auto" w:fill="FEFBAF" w:themeFill="accent1" w:themeFillTint="3F"/>
      </w:tcPr>
    </w:tblStylePr>
    <w:tblStylePr w:type="band1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insideV w:val="single" w:sz="8" w:space="0" w:color="B6B002" w:themeColor="accent1"/>
        </w:tcBorders>
        <w:shd w:val="clear" w:color="auto" w:fill="FEFBAF" w:themeFill="accent1" w:themeFillTint="3F"/>
      </w:tcPr>
    </w:tblStylePr>
    <w:tblStylePr w:type="band2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insideV w:val="single" w:sz="8" w:space="0" w:color="B6B002" w:themeColor="accent1"/>
        </w:tcBorders>
      </w:tcPr>
    </w:tblStylePr>
  </w:style>
  <w:style w:type="character" w:customStyle="1" w:styleId="notranslate">
    <w:name w:val="notranslate"/>
    <w:basedOn w:val="Standardnpsmoodstavce"/>
    <w:rsid w:val="0050396A"/>
  </w:style>
  <w:style w:type="character" w:customStyle="1" w:styleId="reference-text">
    <w:name w:val="reference-text"/>
    <w:basedOn w:val="Standardnpsmoodstavce"/>
    <w:rsid w:val="0050396A"/>
  </w:style>
  <w:style w:type="character" w:customStyle="1" w:styleId="plainlinks">
    <w:name w:val="plainlinks"/>
    <w:basedOn w:val="Standardnpsmoodstavce"/>
    <w:rsid w:val="0050396A"/>
  </w:style>
  <w:style w:type="table" w:customStyle="1" w:styleId="Stednstnovn2zvraznn11">
    <w:name w:val="Střední stínování 2 – zvýraznění 11"/>
    <w:basedOn w:val="Normlntabulka"/>
    <w:uiPriority w:val="64"/>
    <w:rsid w:val="0050396A"/>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B00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B002" w:themeFill="accent1"/>
      </w:tcPr>
    </w:tblStylePr>
    <w:tblStylePr w:type="lastCol">
      <w:rPr>
        <w:b/>
        <w:bCs/>
        <w:color w:val="FFFFFF" w:themeColor="background1"/>
      </w:rPr>
      <w:tblPr/>
      <w:tcPr>
        <w:tcBorders>
          <w:left w:val="nil"/>
          <w:right w:val="nil"/>
          <w:insideH w:val="nil"/>
          <w:insideV w:val="nil"/>
        </w:tcBorders>
        <w:shd w:val="clear" w:color="auto" w:fill="B6B00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1zvraznn11">
    <w:name w:val="Střední stínování 1 – zvýraznění 11"/>
    <w:basedOn w:val="Normlntabulka"/>
    <w:uiPriority w:val="63"/>
    <w:rsid w:val="0050396A"/>
    <w:rPr>
      <w:rFonts w:asciiTheme="minorHAnsi" w:eastAsiaTheme="minorHAnsi" w:hAnsiTheme="minorHAnsi" w:cstheme="minorBidi"/>
      <w:sz w:val="22"/>
      <w:szCs w:val="22"/>
    </w:rPr>
    <w:tblPr>
      <w:tblStyleRowBandSize w:val="1"/>
      <w:tblStyleColBandSize w:val="1"/>
      <w:tblInd w:w="0" w:type="dxa"/>
      <w:tblBorders>
        <w:top w:val="single" w:sz="8"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single" w:sz="8" w:space="0" w:color="FCF30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nil"/>
          <w:insideV w:val="nil"/>
        </w:tcBorders>
        <w:shd w:val="clear" w:color="auto" w:fill="B6B002" w:themeFill="accent1"/>
      </w:tcPr>
    </w:tblStylePr>
    <w:tblStylePr w:type="lastRow">
      <w:pPr>
        <w:spacing w:before="0" w:after="0" w:line="240" w:lineRule="auto"/>
      </w:pPr>
      <w:rPr>
        <w:b/>
        <w:bCs/>
      </w:rPr>
      <w:tblPr/>
      <w:tcPr>
        <w:tcBorders>
          <w:top w:val="double" w:sz="6"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FBAF" w:themeFill="accent1" w:themeFillTint="3F"/>
      </w:tcPr>
    </w:tblStylePr>
    <w:tblStylePr w:type="band1Horz">
      <w:tblPr/>
      <w:tcPr>
        <w:tcBorders>
          <w:insideH w:val="nil"/>
          <w:insideV w:val="nil"/>
        </w:tcBorders>
        <w:shd w:val="clear" w:color="auto" w:fill="FEFBAF" w:themeFill="accent1" w:themeFillTint="3F"/>
      </w:tcPr>
    </w:tblStylePr>
    <w:tblStylePr w:type="band2Horz">
      <w:tblPr/>
      <w:tcPr>
        <w:tcBorders>
          <w:insideH w:val="nil"/>
          <w:insideV w:val="nil"/>
        </w:tcBorders>
      </w:tcPr>
    </w:tblStylePr>
  </w:style>
  <w:style w:type="paragraph" w:customStyle="1" w:styleId="font0">
    <w:name w:val="font0"/>
    <w:basedOn w:val="Normln"/>
    <w:rsid w:val="0050396A"/>
    <w:pPr>
      <w:spacing w:before="100" w:beforeAutospacing="1" w:after="100" w:afterAutospacing="1"/>
      <w:jc w:val="left"/>
    </w:pPr>
    <w:rPr>
      <w:rFonts w:ascii="Calibri" w:eastAsia="Times New Roman" w:hAnsi="Calibri"/>
      <w:color w:val="000000"/>
      <w:lang w:eastAsia="cs-CZ"/>
    </w:rPr>
  </w:style>
  <w:style w:type="character" w:customStyle="1" w:styleId="alt-edited">
    <w:name w:val="alt-edited"/>
    <w:basedOn w:val="Standardnpsmoodstavce"/>
    <w:rsid w:val="0050396A"/>
  </w:style>
  <w:style w:type="character" w:customStyle="1" w:styleId="GACRzdrojeChar">
    <w:name w:val="GACR_zdroje Char"/>
    <w:basedOn w:val="Standardnpsmoodstavce"/>
    <w:link w:val="GACRzdroje"/>
    <w:locked/>
    <w:rsid w:val="0050396A"/>
    <w:rPr>
      <w:rFonts w:ascii="Cambria" w:eastAsia="Times New Roman" w:hAnsi="Cambria"/>
      <w:bCs/>
      <w:i/>
      <w:iCs/>
      <w:sz w:val="18"/>
      <w:szCs w:val="24"/>
    </w:rPr>
  </w:style>
  <w:style w:type="paragraph" w:customStyle="1" w:styleId="GACRzdroje">
    <w:name w:val="GACR_zdroje"/>
    <w:basedOn w:val="Normln"/>
    <w:link w:val="GACRzdrojeChar"/>
    <w:rsid w:val="0050396A"/>
    <w:rPr>
      <w:rFonts w:ascii="Cambria" w:eastAsia="Times New Roman" w:hAnsi="Cambria"/>
      <w:bCs/>
      <w:i/>
      <w:iCs/>
      <w:sz w:val="18"/>
      <w:szCs w:val="24"/>
    </w:rPr>
  </w:style>
  <w:style w:type="character" w:customStyle="1" w:styleId="FootnoteTextChar1">
    <w:name w:val="Footnote Text Char1"/>
    <w:basedOn w:val="Standardnpsmoodstavce"/>
    <w:uiPriority w:val="99"/>
    <w:semiHidden/>
    <w:rsid w:val="0050396A"/>
    <w:rPr>
      <w:sz w:val="20"/>
      <w:szCs w:val="20"/>
    </w:rPr>
  </w:style>
  <w:style w:type="character" w:customStyle="1" w:styleId="Nevyeenzmnka1">
    <w:name w:val="Nevyřešená zmínka1"/>
    <w:basedOn w:val="Standardnpsmoodstavce"/>
    <w:uiPriority w:val="99"/>
    <w:semiHidden/>
    <w:unhideWhenUsed/>
    <w:rsid w:val="0050396A"/>
    <w:rPr>
      <w:color w:val="605E5C"/>
      <w:shd w:val="clear" w:color="auto" w:fill="E1DFDD"/>
    </w:rPr>
  </w:style>
  <w:style w:type="character" w:customStyle="1" w:styleId="Nevyeenzmnka2">
    <w:name w:val="Nevyřešená zmínka2"/>
    <w:basedOn w:val="Standardnpsmoodstavce"/>
    <w:uiPriority w:val="99"/>
    <w:semiHidden/>
    <w:unhideWhenUsed/>
    <w:rsid w:val="0050396A"/>
    <w:rPr>
      <w:color w:val="605E5C"/>
      <w:shd w:val="clear" w:color="auto" w:fill="E1DFDD"/>
    </w:rPr>
  </w:style>
  <w:style w:type="table" w:customStyle="1" w:styleId="Svtlseznamzvraznn11">
    <w:name w:val="Světlý seznam – zvýraznění 11"/>
    <w:basedOn w:val="Normlntabulka"/>
    <w:uiPriority w:val="61"/>
    <w:rsid w:val="0050396A"/>
    <w:pPr>
      <w:jc w:val="both"/>
    </w:pPr>
    <w:rPr>
      <w:rFonts w:asciiTheme="minorHAnsi" w:eastAsiaTheme="minorHAnsi" w:hAnsiTheme="minorHAnsi" w:cstheme="minorBidi"/>
      <w:sz w:val="24"/>
    </w:rPr>
    <w:tblPr>
      <w:tblStyleRowBandSize w:val="1"/>
      <w:tblStyleColBandSize w:val="1"/>
      <w:tblInd w:w="0" w:type="dxa"/>
      <w:tblBorders>
        <w:top w:val="single" w:sz="8" w:space="0" w:color="B6B002" w:themeColor="accent1"/>
        <w:left w:val="single" w:sz="8" w:space="0" w:color="B6B002" w:themeColor="accent1"/>
        <w:bottom w:val="single" w:sz="8" w:space="0" w:color="B6B002" w:themeColor="accent1"/>
        <w:right w:val="single" w:sz="8" w:space="0" w:color="B6B00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6B002" w:themeFill="accent1"/>
      </w:tcPr>
    </w:tblStylePr>
    <w:tblStylePr w:type="lastRow">
      <w:pPr>
        <w:spacing w:before="0" w:after="0" w:line="240" w:lineRule="auto"/>
      </w:pPr>
      <w:rPr>
        <w:b/>
        <w:bCs/>
      </w:rPr>
      <w:tblPr/>
      <w:tcPr>
        <w:tcBorders>
          <w:top w:val="double" w:sz="6" w:space="0" w:color="B6B002" w:themeColor="accent1"/>
          <w:left w:val="single" w:sz="8" w:space="0" w:color="B6B002" w:themeColor="accent1"/>
          <w:bottom w:val="single" w:sz="8" w:space="0" w:color="B6B002" w:themeColor="accent1"/>
          <w:right w:val="single" w:sz="8" w:space="0" w:color="B6B002" w:themeColor="accent1"/>
        </w:tcBorders>
      </w:tcPr>
    </w:tblStylePr>
    <w:tblStylePr w:type="firstCol">
      <w:rPr>
        <w:b/>
        <w:bCs/>
      </w:rPr>
    </w:tblStylePr>
    <w:tblStylePr w:type="lastCol">
      <w:rPr>
        <w:b/>
        <w:bCs/>
      </w:rPr>
    </w:tblStylePr>
    <w:tblStylePr w:type="band1Vert">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tblStylePr w:type="band1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style>
  <w:style w:type="paragraph" w:customStyle="1" w:styleId="Normln2">
    <w:name w:val="Normální2"/>
    <w:basedOn w:val="Normln"/>
    <w:rsid w:val="0050396A"/>
    <w:rPr>
      <w:rFonts w:eastAsia="Times New Roman"/>
      <w:noProof/>
      <w:lang w:bidi="en-US"/>
    </w:rPr>
  </w:style>
  <w:style w:type="character" w:customStyle="1" w:styleId="Nevyeenzmnka3">
    <w:name w:val="Nevyřešená zmínka3"/>
    <w:basedOn w:val="Standardnpsmoodstavce"/>
    <w:uiPriority w:val="99"/>
    <w:semiHidden/>
    <w:unhideWhenUsed/>
    <w:rsid w:val="0050396A"/>
    <w:rPr>
      <w:color w:val="605E5C"/>
      <w:shd w:val="clear" w:color="auto" w:fill="E1DFDD"/>
    </w:rPr>
  </w:style>
  <w:style w:type="paragraph" w:customStyle="1" w:styleId="l5">
    <w:name w:val="l5"/>
    <w:basedOn w:val="Normln"/>
    <w:rsid w:val="0050396A"/>
    <w:pPr>
      <w:spacing w:before="100" w:beforeAutospacing="1" w:after="100" w:afterAutospacing="1"/>
      <w:jc w:val="left"/>
    </w:pPr>
    <w:rPr>
      <w:rFonts w:ascii="Times New Roman" w:eastAsia="Times New Roman" w:hAnsi="Times New Roman"/>
      <w:szCs w:val="24"/>
      <w:lang w:eastAsia="cs-CZ"/>
    </w:rPr>
  </w:style>
  <w:style w:type="paragraph" w:customStyle="1" w:styleId="l6">
    <w:name w:val="l6"/>
    <w:basedOn w:val="Normln"/>
    <w:rsid w:val="0050396A"/>
    <w:pPr>
      <w:spacing w:before="100" w:beforeAutospacing="1" w:after="100" w:afterAutospacing="1"/>
      <w:jc w:val="left"/>
    </w:pPr>
    <w:rPr>
      <w:rFonts w:ascii="Times New Roman" w:eastAsia="Times New Roman" w:hAnsi="Times New Roman"/>
      <w:szCs w:val="24"/>
      <w:lang w:eastAsia="cs-CZ"/>
    </w:rPr>
  </w:style>
  <w:style w:type="character" w:customStyle="1" w:styleId="highlight">
    <w:name w:val="highlight"/>
    <w:basedOn w:val="Standardnpsmoodstavce"/>
    <w:rsid w:val="0050396A"/>
  </w:style>
  <w:style w:type="character" w:customStyle="1" w:styleId="highlight-disabled">
    <w:name w:val="highlight-disabled"/>
    <w:basedOn w:val="Standardnpsmoodstavce"/>
    <w:rsid w:val="0050396A"/>
  </w:style>
  <w:style w:type="character" w:customStyle="1" w:styleId="h1a">
    <w:name w:val="h1a"/>
    <w:basedOn w:val="Standardnpsmoodstavce"/>
    <w:rsid w:val="0050396A"/>
  </w:style>
  <w:style w:type="table" w:customStyle="1" w:styleId="Tabulkasmkou4zvraznn61">
    <w:name w:val="Tabulka s mřížkou 4 – zvýraznění 61"/>
    <w:basedOn w:val="Normlntabulka"/>
    <w:uiPriority w:val="49"/>
    <w:rsid w:val="0050396A"/>
    <w:rPr>
      <w:rFonts w:asciiTheme="minorHAnsi" w:eastAsiaTheme="minorHAnsi" w:hAnsiTheme="minorHAnsi" w:cstheme="minorBidi"/>
      <w:sz w:val="22"/>
      <w:szCs w:val="22"/>
    </w:rPr>
    <w:tblPr>
      <w:tblStyleRowBandSize w:val="1"/>
      <w:tblStyleColBandSize w:val="1"/>
      <w:tblInd w:w="0" w:type="dxa"/>
      <w:tblBorders>
        <w:top w:val="single" w:sz="4" w:space="0" w:color="E0AF87" w:themeColor="accent6" w:themeTint="99"/>
        <w:left w:val="single" w:sz="4" w:space="0" w:color="E0AF87" w:themeColor="accent6" w:themeTint="99"/>
        <w:bottom w:val="single" w:sz="4" w:space="0" w:color="E0AF87" w:themeColor="accent6" w:themeTint="99"/>
        <w:right w:val="single" w:sz="4" w:space="0" w:color="E0AF87" w:themeColor="accent6" w:themeTint="99"/>
        <w:insideH w:val="single" w:sz="4" w:space="0" w:color="E0AF87" w:themeColor="accent6" w:themeTint="99"/>
        <w:insideV w:val="single" w:sz="4" w:space="0" w:color="E0AF87"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C7B38" w:themeColor="accent6"/>
          <w:left w:val="single" w:sz="4" w:space="0" w:color="CC7B38" w:themeColor="accent6"/>
          <w:bottom w:val="single" w:sz="4" w:space="0" w:color="CC7B38" w:themeColor="accent6"/>
          <w:right w:val="single" w:sz="4" w:space="0" w:color="CC7B38" w:themeColor="accent6"/>
          <w:insideH w:val="nil"/>
          <w:insideV w:val="nil"/>
        </w:tcBorders>
        <w:shd w:val="clear" w:color="auto" w:fill="CC7B38" w:themeFill="accent6"/>
      </w:tcPr>
    </w:tblStylePr>
    <w:tblStylePr w:type="lastRow">
      <w:rPr>
        <w:b/>
        <w:bCs/>
      </w:rPr>
      <w:tblPr/>
      <w:tcPr>
        <w:tcBorders>
          <w:top w:val="double" w:sz="4" w:space="0" w:color="CC7B38" w:themeColor="accent6"/>
        </w:tcBorders>
      </w:tcPr>
    </w:tblStylePr>
    <w:tblStylePr w:type="firstCol">
      <w:rPr>
        <w:b/>
        <w:bCs/>
      </w:rPr>
    </w:tblStylePr>
    <w:tblStylePr w:type="lastCol">
      <w:rPr>
        <w:b/>
        <w:bCs/>
      </w:rPr>
    </w:tblStylePr>
    <w:tblStylePr w:type="band1Vert">
      <w:tblPr/>
      <w:tcPr>
        <w:shd w:val="clear" w:color="auto" w:fill="F4E4D7" w:themeFill="accent6" w:themeFillTint="33"/>
      </w:tcPr>
    </w:tblStylePr>
    <w:tblStylePr w:type="band1Horz">
      <w:tblPr/>
      <w:tcPr>
        <w:shd w:val="clear" w:color="auto" w:fill="F4E4D7" w:themeFill="accent6" w:themeFillTint="33"/>
      </w:tcPr>
    </w:tblStylePr>
  </w:style>
  <w:style w:type="character" w:customStyle="1" w:styleId="5yl5">
    <w:name w:val="_5yl5"/>
    <w:basedOn w:val="Standardnpsmoodstavce"/>
    <w:rsid w:val="0050396A"/>
  </w:style>
  <w:style w:type="character" w:customStyle="1" w:styleId="normal-text">
    <w:name w:val="normal-text"/>
    <w:basedOn w:val="Standardnpsmoodstavce"/>
    <w:rsid w:val="0050396A"/>
  </w:style>
  <w:style w:type="paragraph" w:customStyle="1" w:styleId="l7">
    <w:name w:val="l7"/>
    <w:basedOn w:val="Normln"/>
    <w:rsid w:val="0050396A"/>
    <w:pPr>
      <w:spacing w:before="100" w:beforeAutospacing="1" w:after="100" w:afterAutospacing="1"/>
      <w:jc w:val="left"/>
    </w:pPr>
    <w:rPr>
      <w:rFonts w:ascii="Times New Roman" w:eastAsia="Times New Roman" w:hAnsi="Times New Roman"/>
      <w:szCs w:val="24"/>
      <w:lang w:eastAsia="cs-CZ"/>
    </w:rPr>
  </w:style>
  <w:style w:type="numbering" w:customStyle="1" w:styleId="WWOutlineListStyle">
    <w:name w:val="WW_OutlineListStyle"/>
    <w:basedOn w:val="Bezseznamu"/>
    <w:rsid w:val="0050396A"/>
    <w:pPr>
      <w:numPr>
        <w:numId w:val="46"/>
      </w:numPr>
    </w:pPr>
  </w:style>
  <w:style w:type="paragraph" w:customStyle="1" w:styleId="Titulek-mapy">
    <w:name w:val="Titulek - mapy"/>
    <w:basedOn w:val="Titulek"/>
    <w:qFormat/>
    <w:rsid w:val="0050396A"/>
    <w:pPr>
      <w:widowControl/>
      <w:spacing w:after="240"/>
    </w:pPr>
    <w:rPr>
      <w:rFonts w:ascii="Calibri" w:eastAsia="Calibri" w:hAnsi="Calibri"/>
      <w:color w:val="auto"/>
      <w:sz w:val="18"/>
      <w:szCs w:val="18"/>
    </w:rPr>
  </w:style>
  <w:style w:type="paragraph" w:customStyle="1" w:styleId="Odstavecdal">
    <w:name w:val="Odstavec další"/>
    <w:basedOn w:val="Normln"/>
    <w:rsid w:val="0050396A"/>
    <w:pPr>
      <w:autoSpaceDE w:val="0"/>
      <w:autoSpaceDN w:val="0"/>
      <w:adjustRightInd w:val="0"/>
      <w:spacing w:after="0" w:line="360" w:lineRule="auto"/>
      <w:ind w:firstLine="567"/>
    </w:pPr>
    <w:rPr>
      <w:rFonts w:ascii="Times-Roman" w:eastAsia="Times New Roman" w:hAnsi="Times-Roman" w:cs="Times-Roman"/>
      <w:sz w:val="23"/>
      <w:szCs w:val="23"/>
      <w:lang w:eastAsia="cs-CZ"/>
    </w:rPr>
  </w:style>
  <w:style w:type="paragraph" w:customStyle="1" w:styleId="odrazka">
    <w:name w:val="odrazka"/>
    <w:basedOn w:val="Odstavecseseznamem"/>
    <w:link w:val="odrazkaChar"/>
    <w:qFormat/>
    <w:rsid w:val="0050396A"/>
    <w:pPr>
      <w:numPr>
        <w:numId w:val="47"/>
      </w:numPr>
      <w:autoSpaceDE w:val="0"/>
      <w:autoSpaceDN w:val="0"/>
      <w:adjustRightInd w:val="0"/>
      <w:spacing w:after="0" w:line="360" w:lineRule="auto"/>
      <w:ind w:left="1701" w:hanging="425"/>
    </w:pPr>
    <w:rPr>
      <w:rFonts w:ascii="Times New Roman" w:eastAsia="Times New Roman" w:hAnsi="Times New Roman"/>
      <w:szCs w:val="24"/>
      <w:lang w:val="en-GB" w:eastAsia="cs-CZ"/>
    </w:rPr>
  </w:style>
  <w:style w:type="table" w:customStyle="1" w:styleId="Prosttabulka11">
    <w:name w:val="Prostá tabulka 11"/>
    <w:basedOn w:val="Normlntabulka"/>
    <w:uiPriority w:val="41"/>
    <w:rsid w:val="0050396A"/>
    <w:rPr>
      <w:rFonts w:ascii="Times New Roman" w:eastAsia="Times New Roman" w:hAnsi="Times New Roman"/>
      <w:lang w:eastAsia="cs-CZ"/>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drazkaChar">
    <w:name w:val="odrazka Char"/>
    <w:basedOn w:val="OdstavecseseznamemChar"/>
    <w:link w:val="odrazka"/>
    <w:rsid w:val="0050396A"/>
    <w:rPr>
      <w:rFonts w:ascii="Times New Roman" w:eastAsia="Times New Roman" w:hAnsi="Times New Roman"/>
      <w:sz w:val="24"/>
      <w:szCs w:val="24"/>
      <w:lang w:val="en-GB" w:eastAsia="cs-CZ"/>
    </w:rPr>
  </w:style>
  <w:style w:type="paragraph" w:customStyle="1" w:styleId="obazek">
    <w:name w:val="obazek"/>
    <w:basedOn w:val="Normln"/>
    <w:link w:val="obazekChar"/>
    <w:qFormat/>
    <w:rsid w:val="0050396A"/>
    <w:pPr>
      <w:autoSpaceDE w:val="0"/>
      <w:autoSpaceDN w:val="0"/>
      <w:adjustRightInd w:val="0"/>
      <w:spacing w:before="240" w:after="60"/>
      <w:jc w:val="center"/>
    </w:pPr>
    <w:rPr>
      <w:rFonts w:ascii="Times New Roman" w:eastAsia="Times New Roman" w:hAnsi="Times New Roman"/>
      <w:noProof/>
      <w:szCs w:val="24"/>
      <w:lang w:eastAsia="cs-CZ"/>
    </w:rPr>
  </w:style>
  <w:style w:type="character" w:customStyle="1" w:styleId="obazekChar">
    <w:name w:val="obazek Char"/>
    <w:basedOn w:val="Standardnpsmoodstavce"/>
    <w:link w:val="obazek"/>
    <w:rsid w:val="0050396A"/>
    <w:rPr>
      <w:rFonts w:ascii="Times New Roman" w:eastAsia="Times New Roman" w:hAnsi="Times New Roman"/>
      <w:noProof/>
      <w:sz w:val="24"/>
      <w:szCs w:val="24"/>
      <w:lang w:eastAsia="cs-CZ"/>
    </w:rPr>
  </w:style>
  <w:style w:type="paragraph" w:customStyle="1" w:styleId="kola">
    <w:name w:val="Škola"/>
    <w:basedOn w:val="Normln"/>
    <w:rsid w:val="0050396A"/>
    <w:pPr>
      <w:autoSpaceDE w:val="0"/>
      <w:autoSpaceDN w:val="0"/>
      <w:adjustRightInd w:val="0"/>
      <w:spacing w:after="0" w:line="360" w:lineRule="auto"/>
      <w:ind w:firstLine="851"/>
      <w:jc w:val="center"/>
    </w:pPr>
    <w:rPr>
      <w:rFonts w:ascii="Times New Roman" w:eastAsia="Times New Roman" w:hAnsi="Times New Roman"/>
      <w:b/>
      <w:bCs/>
      <w:sz w:val="36"/>
      <w:szCs w:val="24"/>
      <w:lang w:eastAsia="cs-CZ"/>
    </w:rPr>
  </w:style>
  <w:style w:type="table" w:customStyle="1" w:styleId="Svtlseznam1">
    <w:name w:val="Světlý seznam1"/>
    <w:basedOn w:val="Normlntabulka"/>
    <w:uiPriority w:val="61"/>
    <w:rsid w:val="0050396A"/>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Jmnoapjmen">
    <w:name w:val="Jméno a příjmení"/>
    <w:basedOn w:val="Normln"/>
    <w:rsid w:val="0050396A"/>
    <w:pPr>
      <w:autoSpaceDE w:val="0"/>
      <w:autoSpaceDN w:val="0"/>
      <w:adjustRightInd w:val="0"/>
      <w:spacing w:after="0" w:line="360" w:lineRule="auto"/>
      <w:ind w:firstLine="851"/>
      <w:jc w:val="center"/>
    </w:pPr>
    <w:rPr>
      <w:rFonts w:ascii="Times New Roman" w:eastAsia="Times New Roman" w:hAnsi="Times New Roman"/>
      <w:b/>
      <w:bCs/>
      <w:sz w:val="40"/>
      <w:szCs w:val="24"/>
      <w:lang w:eastAsia="cs-CZ"/>
    </w:rPr>
  </w:style>
  <w:style w:type="paragraph" w:customStyle="1" w:styleId="stitle-article-norm">
    <w:name w:val="stitle-article-norm"/>
    <w:basedOn w:val="Normln"/>
    <w:rsid w:val="0050396A"/>
    <w:pPr>
      <w:spacing w:before="240"/>
      <w:jc w:val="center"/>
    </w:pPr>
    <w:rPr>
      <w:rFonts w:ascii="Times New Roman" w:eastAsia="Times New Roman" w:hAnsi="Times New Roman"/>
      <w:b/>
      <w:bCs/>
      <w:szCs w:val="24"/>
      <w:lang w:eastAsia="cs-CZ"/>
    </w:rPr>
  </w:style>
  <w:style w:type="paragraph" w:customStyle="1" w:styleId="title-article-norm">
    <w:name w:val="title-article-norm"/>
    <w:basedOn w:val="Normln"/>
    <w:rsid w:val="0050396A"/>
    <w:pPr>
      <w:spacing w:before="240"/>
      <w:jc w:val="center"/>
    </w:pPr>
    <w:rPr>
      <w:rFonts w:ascii="Times New Roman" w:eastAsia="Times New Roman" w:hAnsi="Times New Roman"/>
      <w:i/>
      <w:iCs/>
      <w:szCs w:val="24"/>
      <w:lang w:eastAsia="cs-CZ"/>
    </w:rPr>
  </w:style>
  <w:style w:type="paragraph" w:customStyle="1" w:styleId="title-division-1">
    <w:name w:val="title-division-1"/>
    <w:basedOn w:val="Normln"/>
    <w:rsid w:val="0050396A"/>
    <w:pPr>
      <w:jc w:val="center"/>
    </w:pPr>
    <w:rPr>
      <w:rFonts w:ascii="Times New Roman" w:eastAsia="Times New Roman" w:hAnsi="Times New Roman"/>
      <w:szCs w:val="24"/>
      <w:lang w:eastAsia="cs-CZ"/>
    </w:rPr>
  </w:style>
  <w:style w:type="paragraph" w:customStyle="1" w:styleId="title-division-2">
    <w:name w:val="title-division-2"/>
    <w:basedOn w:val="Normln"/>
    <w:rsid w:val="0050396A"/>
    <w:pPr>
      <w:jc w:val="center"/>
    </w:pPr>
    <w:rPr>
      <w:rFonts w:ascii="Times New Roman" w:eastAsia="Times New Roman" w:hAnsi="Times New Roman"/>
      <w:b/>
      <w:bCs/>
      <w:szCs w:val="24"/>
      <w:lang w:eastAsia="cs-CZ"/>
    </w:rPr>
  </w:style>
  <w:style w:type="character" w:customStyle="1" w:styleId="boldface">
    <w:name w:val="boldface"/>
    <w:basedOn w:val="Standardnpsmoodstavce"/>
    <w:rsid w:val="0050396A"/>
    <w:rPr>
      <w:b/>
      <w:bCs/>
    </w:rPr>
  </w:style>
  <w:style w:type="character" w:customStyle="1" w:styleId="italics">
    <w:name w:val="italics"/>
    <w:basedOn w:val="Standardnpsmoodstavce"/>
    <w:rsid w:val="0050396A"/>
    <w:rPr>
      <w:i/>
      <w:iCs/>
    </w:rPr>
  </w:style>
  <w:style w:type="character" w:customStyle="1" w:styleId="h1a5">
    <w:name w:val="h1a5"/>
    <w:basedOn w:val="Standardnpsmoodstavce"/>
    <w:rsid w:val="0050396A"/>
    <w:rPr>
      <w:rFonts w:ascii="Arial" w:hAnsi="Arial" w:cs="Arial" w:hint="default"/>
      <w:i/>
      <w:iCs/>
      <w:vanish w:val="0"/>
      <w:webHidden w:val="0"/>
      <w:sz w:val="26"/>
      <w:szCs w:val="26"/>
      <w:specVanish w:val="0"/>
    </w:rPr>
  </w:style>
  <w:style w:type="table" w:customStyle="1" w:styleId="Svtlstnovnzvraznn12">
    <w:name w:val="Světlé stínování – zvýraznění 12"/>
    <w:basedOn w:val="Normlntabulka"/>
    <w:uiPriority w:val="60"/>
    <w:rsid w:val="0050396A"/>
    <w:rPr>
      <w:rFonts w:asciiTheme="minorHAnsi" w:eastAsiaTheme="minorHAnsi" w:hAnsiTheme="minorHAnsi" w:cstheme="minorBidi"/>
      <w:color w:val="888301" w:themeColor="accent1" w:themeShade="BF"/>
      <w:sz w:val="22"/>
      <w:szCs w:val="22"/>
    </w:rPr>
    <w:tblPr>
      <w:tblStyleRowBandSize w:val="1"/>
      <w:tblStyleColBandSize w:val="1"/>
      <w:tblInd w:w="0" w:type="dxa"/>
      <w:tblBorders>
        <w:top w:val="single" w:sz="8" w:space="0" w:color="B6B002" w:themeColor="accent1"/>
        <w:bottom w:val="single" w:sz="8" w:space="0" w:color="B6B00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6B002" w:themeColor="accent1"/>
          <w:left w:val="nil"/>
          <w:bottom w:val="single" w:sz="8" w:space="0" w:color="B6B002" w:themeColor="accent1"/>
          <w:right w:val="nil"/>
          <w:insideH w:val="nil"/>
          <w:insideV w:val="nil"/>
        </w:tcBorders>
      </w:tcPr>
    </w:tblStylePr>
    <w:tblStylePr w:type="lastRow">
      <w:pPr>
        <w:spacing w:before="0" w:after="0" w:line="240" w:lineRule="auto"/>
      </w:pPr>
      <w:rPr>
        <w:b/>
        <w:bCs/>
      </w:rPr>
      <w:tblPr/>
      <w:tcPr>
        <w:tcBorders>
          <w:top w:val="single" w:sz="8" w:space="0" w:color="B6B002" w:themeColor="accent1"/>
          <w:left w:val="nil"/>
          <w:bottom w:val="single" w:sz="8" w:space="0" w:color="B6B00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BAF" w:themeFill="accent1" w:themeFillTint="3F"/>
      </w:tcPr>
    </w:tblStylePr>
    <w:tblStylePr w:type="band1Horz">
      <w:tblPr/>
      <w:tcPr>
        <w:tcBorders>
          <w:left w:val="nil"/>
          <w:right w:val="nil"/>
          <w:insideH w:val="nil"/>
          <w:insideV w:val="nil"/>
        </w:tcBorders>
        <w:shd w:val="clear" w:color="auto" w:fill="FEFBAF" w:themeFill="accent1" w:themeFillTint="3F"/>
      </w:tcPr>
    </w:tblStylePr>
  </w:style>
  <w:style w:type="paragraph" w:customStyle="1" w:styleId="textMPSV">
    <w:name w:val="text_MPSV"/>
    <w:basedOn w:val="Normln"/>
    <w:link w:val="textMPSVChar"/>
    <w:rsid w:val="0050396A"/>
    <w:pPr>
      <w:spacing w:after="200" w:line="360" w:lineRule="auto"/>
      <w:ind w:firstLine="709"/>
    </w:pPr>
    <w:rPr>
      <w:rFonts w:asciiTheme="majorHAnsi" w:eastAsiaTheme="minorHAnsi" w:hAnsiTheme="majorHAnsi"/>
      <w:noProof/>
      <w:lang w:val="en-GB"/>
    </w:rPr>
  </w:style>
  <w:style w:type="character" w:customStyle="1" w:styleId="textMPSVChar">
    <w:name w:val="text_MPSV Char"/>
    <w:basedOn w:val="Standardnpsmoodstavce"/>
    <w:link w:val="textMPSV"/>
    <w:rsid w:val="0050396A"/>
    <w:rPr>
      <w:rFonts w:asciiTheme="majorHAnsi" w:eastAsiaTheme="minorHAnsi" w:hAnsiTheme="majorHAnsi"/>
      <w:noProof/>
      <w:sz w:val="24"/>
      <w:szCs w:val="22"/>
      <w:lang w:val="en-GB"/>
    </w:rPr>
  </w:style>
  <w:style w:type="paragraph" w:customStyle="1" w:styleId="BIBLIO2">
    <w:name w:val="BIBLIO2"/>
    <w:basedOn w:val="Normln"/>
    <w:rsid w:val="0050396A"/>
    <w:pPr>
      <w:autoSpaceDE w:val="0"/>
      <w:autoSpaceDN w:val="0"/>
      <w:spacing w:after="20"/>
      <w:ind w:left="709" w:hanging="709"/>
    </w:pPr>
    <w:rPr>
      <w:rFonts w:ascii="Times New Roman" w:eastAsia="Times New Roman" w:hAnsi="Times New Roman"/>
      <w:sz w:val="22"/>
      <w:lang w:eastAsia="cs-CZ"/>
    </w:rPr>
  </w:style>
  <w:style w:type="table" w:customStyle="1" w:styleId="Prosttabulka41">
    <w:name w:val="Prostá tabulka 41"/>
    <w:basedOn w:val="Normlntabulka"/>
    <w:uiPriority w:val="44"/>
    <w:rsid w:val="0050396A"/>
    <w:rPr>
      <w:rFonts w:asciiTheme="minorHAnsi" w:eastAsiaTheme="minorHAnsi"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pcrhlvpravouhpozn">
    <w:name w:val="upcrhlvpravouhpozn"/>
    <w:basedOn w:val="Standardnpsmoodstavce"/>
    <w:rsid w:val="0050396A"/>
  </w:style>
  <w:style w:type="character" w:customStyle="1" w:styleId="odkaz-style-wrapper">
    <w:name w:val="odkaz-style-wrapper"/>
    <w:basedOn w:val="Standardnpsmoodstavce"/>
    <w:rsid w:val="0050396A"/>
  </w:style>
  <w:style w:type="paragraph" w:customStyle="1" w:styleId="CE-StandardText">
    <w:name w:val="CE-StandardText"/>
    <w:basedOn w:val="Normln"/>
    <w:link w:val="CE-StandardTextZchn"/>
    <w:rsid w:val="0050396A"/>
    <w:pPr>
      <w:spacing w:after="0" w:line="276" w:lineRule="auto"/>
    </w:pPr>
    <w:rPr>
      <w:rFonts w:ascii="Trebuchet MS" w:eastAsia="Times New Roman" w:hAnsi="Trebuchet MS"/>
      <w:color w:val="B6B002" w:themeColor="text2"/>
      <w:sz w:val="20"/>
      <w:szCs w:val="18"/>
      <w:lang w:val="en-GB"/>
    </w:rPr>
  </w:style>
  <w:style w:type="character" w:customStyle="1" w:styleId="CE-StandardTextZchn">
    <w:name w:val="CE-StandardText Zchn"/>
    <w:basedOn w:val="Standardnpsmoodstavce"/>
    <w:link w:val="CE-StandardText"/>
    <w:rsid w:val="0050396A"/>
    <w:rPr>
      <w:rFonts w:ascii="Trebuchet MS" w:eastAsia="Times New Roman" w:hAnsi="Trebuchet MS"/>
      <w:color w:val="B6B002" w:themeColor="text2"/>
      <w:szCs w:val="18"/>
      <w:lang w:val="en-GB"/>
    </w:rPr>
  </w:style>
  <w:style w:type="table" w:customStyle="1" w:styleId="TableGrid">
    <w:name w:val="TableGrid"/>
    <w:rsid w:val="0050396A"/>
    <w:rPr>
      <w:rFonts w:asciiTheme="minorHAnsi" w:eastAsiaTheme="minorEastAsia" w:hAnsiTheme="minorHAnsi" w:cstheme="minorBidi"/>
      <w:sz w:val="22"/>
      <w:szCs w:val="22"/>
      <w:lang w:eastAsia="cs-CZ"/>
    </w:rPr>
    <w:tblPr>
      <w:tblCellMar>
        <w:top w:w="0" w:type="dxa"/>
        <w:left w:w="0" w:type="dxa"/>
        <w:bottom w:w="0" w:type="dxa"/>
        <w:right w:w="0" w:type="dxa"/>
      </w:tblCellMar>
    </w:tblPr>
  </w:style>
  <w:style w:type="character" w:styleId="Odkazjemn">
    <w:name w:val="Subtle Reference"/>
    <w:basedOn w:val="Standardnpsmoodstavce"/>
    <w:uiPriority w:val="31"/>
    <w:qFormat/>
    <w:rsid w:val="0050396A"/>
    <w:rPr>
      <w:smallCaps/>
      <w:color w:val="5A5A5A" w:themeColor="text1" w:themeTint="A5"/>
    </w:rPr>
  </w:style>
  <w:style w:type="character" w:customStyle="1" w:styleId="Nevyeenzmnka4">
    <w:name w:val="Nevyřešená zmínka4"/>
    <w:basedOn w:val="Standardnpsmoodstavce"/>
    <w:uiPriority w:val="99"/>
    <w:semiHidden/>
    <w:unhideWhenUsed/>
    <w:rsid w:val="0050396A"/>
    <w:rPr>
      <w:color w:val="605E5C"/>
      <w:shd w:val="clear" w:color="auto" w:fill="E1DFDD"/>
    </w:rPr>
  </w:style>
  <w:style w:type="paragraph" w:customStyle="1" w:styleId="Pa16">
    <w:name w:val="Pa16"/>
    <w:basedOn w:val="Default"/>
    <w:next w:val="Default"/>
    <w:uiPriority w:val="99"/>
    <w:rsid w:val="0050396A"/>
    <w:pPr>
      <w:spacing w:line="255" w:lineRule="atLeast"/>
    </w:pPr>
    <w:rPr>
      <w:rFonts w:ascii="Source Sans Pro" w:eastAsia="Calibri" w:hAnsi="Source Sans Pro" w:cs="Times New Roman"/>
      <w:color w:val="auto"/>
    </w:rPr>
  </w:style>
  <w:style w:type="character" w:customStyle="1" w:styleId="tooltip">
    <w:name w:val="tooltip"/>
    <w:basedOn w:val="Standardnpsmoodstavce"/>
    <w:rsid w:val="0050396A"/>
  </w:style>
  <w:style w:type="character" w:customStyle="1" w:styleId="Nevyeenzmnka5">
    <w:name w:val="Nevyřešená zmínka5"/>
    <w:basedOn w:val="Standardnpsmoodstavce"/>
    <w:uiPriority w:val="99"/>
    <w:semiHidden/>
    <w:unhideWhenUsed/>
    <w:rsid w:val="0050396A"/>
    <w:rPr>
      <w:color w:val="605E5C"/>
      <w:shd w:val="clear" w:color="auto" w:fill="E1DFDD"/>
    </w:rPr>
  </w:style>
  <w:style w:type="table" w:customStyle="1" w:styleId="Tabulkaseznamu21">
    <w:name w:val="Tabulka seznamu 21"/>
    <w:basedOn w:val="Normlntabulka"/>
    <w:uiPriority w:val="47"/>
    <w:rsid w:val="00BF2B5E"/>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tltabulkaseznamu11">
    <w:name w:val="Světlá tabulka seznamu 11"/>
    <w:basedOn w:val="Normlntabulka"/>
    <w:uiPriority w:val="46"/>
    <w:rsid w:val="00BF2B5E"/>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adpis2A0">
    <w:name w:val="Nadpis 2 (A.)"/>
    <w:basedOn w:val="Nadpis2"/>
    <w:next w:val="Normln"/>
    <w:autoRedefine/>
    <w:qFormat/>
    <w:rsid w:val="007076C8"/>
    <w:pPr>
      <w:numPr>
        <w:ilvl w:val="0"/>
        <w:numId w:val="0"/>
      </w:numPr>
      <w:tabs>
        <w:tab w:val="num" w:pos="851"/>
        <w:tab w:val="left" w:pos="1134"/>
      </w:tabs>
      <w:ind w:left="851" w:hanging="567"/>
    </w:pPr>
    <w:rPr>
      <w:rFonts w:ascii="Times New Roman" w:hAnsi="Times New Roman" w:cs="Arial"/>
      <w:iCs/>
      <w:smallCaps/>
      <w:color w:val="auto"/>
      <w:sz w:val="24"/>
      <w:szCs w:val="28"/>
    </w:rPr>
  </w:style>
  <w:style w:type="paragraph" w:customStyle="1" w:styleId="Nadpis31">
    <w:name w:val="Nadpis 3 (1.)"/>
    <w:basedOn w:val="Nadpis3"/>
    <w:next w:val="Text1-11-111"/>
    <w:autoRedefine/>
    <w:qFormat/>
    <w:rsid w:val="007076C8"/>
    <w:pPr>
      <w:numPr>
        <w:ilvl w:val="0"/>
        <w:numId w:val="0"/>
      </w:numPr>
      <w:tabs>
        <w:tab w:val="num" w:pos="1276"/>
        <w:tab w:val="left" w:pos="1843"/>
      </w:tabs>
      <w:ind w:left="1276" w:hanging="425"/>
    </w:pPr>
    <w:rPr>
      <w:rFonts w:ascii="Times New Roman" w:hAnsi="Times New Roman" w:cs="Arial"/>
      <w:color w:val="auto"/>
      <w:szCs w:val="26"/>
    </w:rPr>
  </w:style>
  <w:style w:type="paragraph" w:customStyle="1" w:styleId="Text1-11-111">
    <w:name w:val="Text 1.-1.1-1.1.1"/>
    <w:basedOn w:val="Normln"/>
    <w:link w:val="Text1-11-111Char"/>
    <w:qFormat/>
    <w:rsid w:val="007076C8"/>
    <w:pPr>
      <w:ind w:left="1276"/>
    </w:pPr>
    <w:rPr>
      <w:rFonts w:ascii="Times New Roman" w:eastAsia="Times New Roman" w:hAnsi="Times New Roman"/>
      <w:szCs w:val="20"/>
    </w:rPr>
  </w:style>
  <w:style w:type="character" w:customStyle="1" w:styleId="Text1-11-111Char">
    <w:name w:val="Text 1.-1.1-1.1.1 Char"/>
    <w:basedOn w:val="Standardnpsmoodstavce"/>
    <w:link w:val="Text1-11-111"/>
    <w:rsid w:val="007076C8"/>
    <w:rPr>
      <w:rFonts w:ascii="Times New Roman" w:eastAsia="Times New Roman" w:hAnsi="Times New Roman"/>
      <w:sz w:val="24"/>
    </w:rPr>
  </w:style>
  <w:style w:type="paragraph" w:customStyle="1" w:styleId="Nadpis411">
    <w:name w:val="Nadpis 4 (1.1)"/>
    <w:basedOn w:val="Nadpis4"/>
    <w:link w:val="Nadpis411Char"/>
    <w:autoRedefine/>
    <w:qFormat/>
    <w:rsid w:val="007076C8"/>
    <w:pPr>
      <w:keepLines w:val="0"/>
      <w:numPr>
        <w:ilvl w:val="0"/>
        <w:numId w:val="0"/>
      </w:numPr>
      <w:tabs>
        <w:tab w:val="num" w:pos="1843"/>
      </w:tabs>
      <w:spacing w:before="120" w:after="120"/>
      <w:ind w:left="1843" w:hanging="567"/>
    </w:pPr>
    <w:rPr>
      <w:rFonts w:ascii="Times New Roman" w:hAnsi="Times New Roman"/>
      <w:i w:val="0"/>
      <w:iCs w:val="0"/>
      <w:color w:val="auto"/>
      <w:sz w:val="24"/>
      <w:szCs w:val="28"/>
    </w:rPr>
  </w:style>
  <w:style w:type="character" w:customStyle="1" w:styleId="Nadpis411Char">
    <w:name w:val="Nadpis 4 (1.1) Char"/>
    <w:basedOn w:val="Standardnpsmoodstavce"/>
    <w:link w:val="Nadpis411"/>
    <w:rsid w:val="007076C8"/>
    <w:rPr>
      <w:rFonts w:ascii="Times New Roman" w:eastAsia="Times New Roman" w:hAnsi="Times New Roman"/>
      <w:b/>
      <w:bCs/>
      <w:sz w:val="24"/>
      <w:szCs w:val="28"/>
    </w:rPr>
  </w:style>
  <w:style w:type="paragraph" w:customStyle="1" w:styleId="Nadpis5111">
    <w:name w:val="Nadpis 5 (1.1.1)"/>
    <w:basedOn w:val="Nadpis5"/>
    <w:autoRedefine/>
    <w:qFormat/>
    <w:rsid w:val="007076C8"/>
    <w:pPr>
      <w:keepNext/>
      <w:numPr>
        <w:ilvl w:val="0"/>
        <w:numId w:val="0"/>
      </w:numPr>
      <w:tabs>
        <w:tab w:val="num" w:pos="1843"/>
      </w:tabs>
      <w:spacing w:before="120" w:after="120"/>
      <w:ind w:left="1843" w:hanging="567"/>
    </w:pPr>
    <w:rPr>
      <w:rFonts w:ascii="Times New Roman" w:hAnsi="Times New Roman"/>
      <w:i w:val="0"/>
      <w:sz w:val="24"/>
    </w:rPr>
  </w:style>
  <w:style w:type="paragraph" w:customStyle="1" w:styleId="Nadpis61111">
    <w:name w:val="Nadpis 6 (1.1.1.1)"/>
    <w:basedOn w:val="Nadpis6"/>
    <w:qFormat/>
    <w:rsid w:val="007076C8"/>
    <w:pPr>
      <w:keepNext/>
      <w:numPr>
        <w:ilvl w:val="0"/>
        <w:numId w:val="0"/>
      </w:numPr>
      <w:tabs>
        <w:tab w:val="num" w:pos="2126"/>
      </w:tabs>
      <w:spacing w:before="120" w:after="120"/>
      <w:ind w:left="2126" w:hanging="850"/>
    </w:pPr>
    <w:rPr>
      <w:rFonts w:ascii="Times New Roman" w:hAnsi="Times New Roman"/>
      <w:b/>
      <w:i/>
      <w:color w:val="000000" w:themeColor="text1"/>
      <w:szCs w:val="24"/>
    </w:rPr>
  </w:style>
  <w:style w:type="paragraph" w:customStyle="1" w:styleId="Odrazka11">
    <w:name w:val="Odrazka 1.1"/>
    <w:basedOn w:val="Normln"/>
    <w:link w:val="Odrazka11Char"/>
    <w:qFormat/>
    <w:rsid w:val="00A06010"/>
    <w:pPr>
      <w:numPr>
        <w:numId w:val="61"/>
      </w:numPr>
      <w:spacing w:line="276" w:lineRule="auto"/>
      <w:ind w:left="1701" w:hanging="425"/>
    </w:pPr>
    <w:rPr>
      <w:rFonts w:ascii="Times New Roman" w:eastAsia="Times New Roman" w:hAnsi="Times New Roman"/>
      <w:color w:val="000000" w:themeColor="text1"/>
      <w:szCs w:val="24"/>
    </w:rPr>
  </w:style>
  <w:style w:type="character" w:customStyle="1" w:styleId="Odrazka11Char">
    <w:name w:val="Odrazka 1.1 Char"/>
    <w:basedOn w:val="Standardnpsmoodstavce"/>
    <w:link w:val="Odrazka11"/>
    <w:rsid w:val="00A06010"/>
    <w:rPr>
      <w:rFonts w:ascii="Times New Roman" w:eastAsia="Times New Roman" w:hAnsi="Times New Roman"/>
      <w:color w:val="000000" w:themeColor="text1"/>
      <w:sz w:val="24"/>
      <w:szCs w:val="24"/>
    </w:rPr>
  </w:style>
  <w:style w:type="paragraph" w:customStyle="1" w:styleId="Text1">
    <w:name w:val="Text 1"/>
    <w:basedOn w:val="Normln"/>
    <w:link w:val="Text1Char"/>
    <w:qFormat/>
    <w:rsid w:val="00A3474F"/>
    <w:pPr>
      <w:ind w:left="567"/>
    </w:pPr>
    <w:rPr>
      <w:rFonts w:ascii="Times New Roman" w:eastAsia="Times New Roman" w:hAnsi="Times New Roman"/>
      <w:szCs w:val="20"/>
    </w:rPr>
  </w:style>
  <w:style w:type="character" w:customStyle="1" w:styleId="Text1Char">
    <w:name w:val="Text 1 Char"/>
    <w:basedOn w:val="Standardnpsmoodstavce"/>
    <w:link w:val="Text1"/>
    <w:rsid w:val="00A3474F"/>
    <w:rPr>
      <w:rFonts w:ascii="Times New Roman" w:eastAsia="Times New Roman" w:hAnsi="Times New Roman"/>
      <w:sz w:val="24"/>
    </w:rPr>
  </w:style>
  <w:style w:type="character" w:customStyle="1" w:styleId="preformatted">
    <w:name w:val="preformatted"/>
    <w:basedOn w:val="Standardnpsmoodstavce"/>
    <w:rsid w:val="00A311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1927">
      <w:bodyDiv w:val="1"/>
      <w:marLeft w:val="0"/>
      <w:marRight w:val="0"/>
      <w:marTop w:val="0"/>
      <w:marBottom w:val="0"/>
      <w:divBdr>
        <w:top w:val="none" w:sz="0" w:space="0" w:color="auto"/>
        <w:left w:val="none" w:sz="0" w:space="0" w:color="auto"/>
        <w:bottom w:val="none" w:sz="0" w:space="0" w:color="auto"/>
        <w:right w:val="none" w:sz="0" w:space="0" w:color="auto"/>
      </w:divBdr>
    </w:div>
    <w:div w:id="22050179">
      <w:bodyDiv w:val="1"/>
      <w:marLeft w:val="0"/>
      <w:marRight w:val="0"/>
      <w:marTop w:val="0"/>
      <w:marBottom w:val="0"/>
      <w:divBdr>
        <w:top w:val="none" w:sz="0" w:space="0" w:color="auto"/>
        <w:left w:val="none" w:sz="0" w:space="0" w:color="auto"/>
        <w:bottom w:val="none" w:sz="0" w:space="0" w:color="auto"/>
        <w:right w:val="none" w:sz="0" w:space="0" w:color="auto"/>
      </w:divBdr>
      <w:divsChild>
        <w:div w:id="519127644">
          <w:marLeft w:val="475"/>
          <w:marRight w:val="0"/>
          <w:marTop w:val="168"/>
          <w:marBottom w:val="0"/>
          <w:divBdr>
            <w:top w:val="none" w:sz="0" w:space="0" w:color="auto"/>
            <w:left w:val="none" w:sz="0" w:space="0" w:color="auto"/>
            <w:bottom w:val="none" w:sz="0" w:space="0" w:color="auto"/>
            <w:right w:val="none" w:sz="0" w:space="0" w:color="auto"/>
          </w:divBdr>
        </w:div>
        <w:div w:id="537593191">
          <w:marLeft w:val="475"/>
          <w:marRight w:val="0"/>
          <w:marTop w:val="168"/>
          <w:marBottom w:val="0"/>
          <w:divBdr>
            <w:top w:val="none" w:sz="0" w:space="0" w:color="auto"/>
            <w:left w:val="none" w:sz="0" w:space="0" w:color="auto"/>
            <w:bottom w:val="none" w:sz="0" w:space="0" w:color="auto"/>
            <w:right w:val="none" w:sz="0" w:space="0" w:color="auto"/>
          </w:divBdr>
        </w:div>
        <w:div w:id="540484739">
          <w:marLeft w:val="1181"/>
          <w:marRight w:val="0"/>
          <w:marTop w:val="168"/>
          <w:marBottom w:val="0"/>
          <w:divBdr>
            <w:top w:val="none" w:sz="0" w:space="0" w:color="auto"/>
            <w:left w:val="none" w:sz="0" w:space="0" w:color="auto"/>
            <w:bottom w:val="none" w:sz="0" w:space="0" w:color="auto"/>
            <w:right w:val="none" w:sz="0" w:space="0" w:color="auto"/>
          </w:divBdr>
        </w:div>
        <w:div w:id="595746670">
          <w:marLeft w:val="1181"/>
          <w:marRight w:val="0"/>
          <w:marTop w:val="168"/>
          <w:marBottom w:val="0"/>
          <w:divBdr>
            <w:top w:val="none" w:sz="0" w:space="0" w:color="auto"/>
            <w:left w:val="none" w:sz="0" w:space="0" w:color="auto"/>
            <w:bottom w:val="none" w:sz="0" w:space="0" w:color="auto"/>
            <w:right w:val="none" w:sz="0" w:space="0" w:color="auto"/>
          </w:divBdr>
        </w:div>
        <w:div w:id="720401287">
          <w:marLeft w:val="475"/>
          <w:marRight w:val="0"/>
          <w:marTop w:val="168"/>
          <w:marBottom w:val="0"/>
          <w:divBdr>
            <w:top w:val="none" w:sz="0" w:space="0" w:color="auto"/>
            <w:left w:val="none" w:sz="0" w:space="0" w:color="auto"/>
            <w:bottom w:val="none" w:sz="0" w:space="0" w:color="auto"/>
            <w:right w:val="none" w:sz="0" w:space="0" w:color="auto"/>
          </w:divBdr>
        </w:div>
        <w:div w:id="976028945">
          <w:marLeft w:val="475"/>
          <w:marRight w:val="0"/>
          <w:marTop w:val="168"/>
          <w:marBottom w:val="0"/>
          <w:divBdr>
            <w:top w:val="none" w:sz="0" w:space="0" w:color="auto"/>
            <w:left w:val="none" w:sz="0" w:space="0" w:color="auto"/>
            <w:bottom w:val="none" w:sz="0" w:space="0" w:color="auto"/>
            <w:right w:val="none" w:sz="0" w:space="0" w:color="auto"/>
          </w:divBdr>
        </w:div>
        <w:div w:id="1289239323">
          <w:marLeft w:val="1181"/>
          <w:marRight w:val="0"/>
          <w:marTop w:val="168"/>
          <w:marBottom w:val="0"/>
          <w:divBdr>
            <w:top w:val="none" w:sz="0" w:space="0" w:color="auto"/>
            <w:left w:val="none" w:sz="0" w:space="0" w:color="auto"/>
            <w:bottom w:val="none" w:sz="0" w:space="0" w:color="auto"/>
            <w:right w:val="none" w:sz="0" w:space="0" w:color="auto"/>
          </w:divBdr>
        </w:div>
        <w:div w:id="1297568985">
          <w:marLeft w:val="475"/>
          <w:marRight w:val="0"/>
          <w:marTop w:val="168"/>
          <w:marBottom w:val="0"/>
          <w:divBdr>
            <w:top w:val="none" w:sz="0" w:space="0" w:color="auto"/>
            <w:left w:val="none" w:sz="0" w:space="0" w:color="auto"/>
            <w:bottom w:val="none" w:sz="0" w:space="0" w:color="auto"/>
            <w:right w:val="none" w:sz="0" w:space="0" w:color="auto"/>
          </w:divBdr>
        </w:div>
        <w:div w:id="1438603952">
          <w:marLeft w:val="1181"/>
          <w:marRight w:val="0"/>
          <w:marTop w:val="168"/>
          <w:marBottom w:val="0"/>
          <w:divBdr>
            <w:top w:val="none" w:sz="0" w:space="0" w:color="auto"/>
            <w:left w:val="none" w:sz="0" w:space="0" w:color="auto"/>
            <w:bottom w:val="none" w:sz="0" w:space="0" w:color="auto"/>
            <w:right w:val="none" w:sz="0" w:space="0" w:color="auto"/>
          </w:divBdr>
        </w:div>
        <w:div w:id="1464499034">
          <w:marLeft w:val="475"/>
          <w:marRight w:val="0"/>
          <w:marTop w:val="168"/>
          <w:marBottom w:val="0"/>
          <w:divBdr>
            <w:top w:val="none" w:sz="0" w:space="0" w:color="auto"/>
            <w:left w:val="none" w:sz="0" w:space="0" w:color="auto"/>
            <w:bottom w:val="none" w:sz="0" w:space="0" w:color="auto"/>
            <w:right w:val="none" w:sz="0" w:space="0" w:color="auto"/>
          </w:divBdr>
        </w:div>
        <w:div w:id="1538158024">
          <w:marLeft w:val="475"/>
          <w:marRight w:val="0"/>
          <w:marTop w:val="168"/>
          <w:marBottom w:val="0"/>
          <w:divBdr>
            <w:top w:val="none" w:sz="0" w:space="0" w:color="auto"/>
            <w:left w:val="none" w:sz="0" w:space="0" w:color="auto"/>
            <w:bottom w:val="none" w:sz="0" w:space="0" w:color="auto"/>
            <w:right w:val="none" w:sz="0" w:space="0" w:color="auto"/>
          </w:divBdr>
        </w:div>
        <w:div w:id="1815681702">
          <w:marLeft w:val="1181"/>
          <w:marRight w:val="0"/>
          <w:marTop w:val="168"/>
          <w:marBottom w:val="0"/>
          <w:divBdr>
            <w:top w:val="none" w:sz="0" w:space="0" w:color="auto"/>
            <w:left w:val="none" w:sz="0" w:space="0" w:color="auto"/>
            <w:bottom w:val="none" w:sz="0" w:space="0" w:color="auto"/>
            <w:right w:val="none" w:sz="0" w:space="0" w:color="auto"/>
          </w:divBdr>
        </w:div>
      </w:divsChild>
    </w:div>
    <w:div w:id="22482221">
      <w:bodyDiv w:val="1"/>
      <w:marLeft w:val="0"/>
      <w:marRight w:val="0"/>
      <w:marTop w:val="0"/>
      <w:marBottom w:val="0"/>
      <w:divBdr>
        <w:top w:val="none" w:sz="0" w:space="0" w:color="auto"/>
        <w:left w:val="none" w:sz="0" w:space="0" w:color="auto"/>
        <w:bottom w:val="none" w:sz="0" w:space="0" w:color="auto"/>
        <w:right w:val="none" w:sz="0" w:space="0" w:color="auto"/>
      </w:divBdr>
    </w:div>
    <w:div w:id="25178917">
      <w:bodyDiv w:val="1"/>
      <w:marLeft w:val="0"/>
      <w:marRight w:val="0"/>
      <w:marTop w:val="0"/>
      <w:marBottom w:val="0"/>
      <w:divBdr>
        <w:top w:val="none" w:sz="0" w:space="0" w:color="auto"/>
        <w:left w:val="none" w:sz="0" w:space="0" w:color="auto"/>
        <w:bottom w:val="none" w:sz="0" w:space="0" w:color="auto"/>
        <w:right w:val="none" w:sz="0" w:space="0" w:color="auto"/>
      </w:divBdr>
    </w:div>
    <w:div w:id="26490653">
      <w:bodyDiv w:val="1"/>
      <w:marLeft w:val="0"/>
      <w:marRight w:val="0"/>
      <w:marTop w:val="0"/>
      <w:marBottom w:val="0"/>
      <w:divBdr>
        <w:top w:val="none" w:sz="0" w:space="0" w:color="auto"/>
        <w:left w:val="none" w:sz="0" w:space="0" w:color="auto"/>
        <w:bottom w:val="none" w:sz="0" w:space="0" w:color="auto"/>
        <w:right w:val="none" w:sz="0" w:space="0" w:color="auto"/>
      </w:divBdr>
    </w:div>
    <w:div w:id="43526892">
      <w:bodyDiv w:val="1"/>
      <w:marLeft w:val="0"/>
      <w:marRight w:val="0"/>
      <w:marTop w:val="0"/>
      <w:marBottom w:val="0"/>
      <w:divBdr>
        <w:top w:val="none" w:sz="0" w:space="0" w:color="auto"/>
        <w:left w:val="none" w:sz="0" w:space="0" w:color="auto"/>
        <w:bottom w:val="none" w:sz="0" w:space="0" w:color="auto"/>
        <w:right w:val="none" w:sz="0" w:space="0" w:color="auto"/>
      </w:divBdr>
    </w:div>
    <w:div w:id="51122483">
      <w:bodyDiv w:val="1"/>
      <w:marLeft w:val="0"/>
      <w:marRight w:val="0"/>
      <w:marTop w:val="0"/>
      <w:marBottom w:val="0"/>
      <w:divBdr>
        <w:top w:val="none" w:sz="0" w:space="0" w:color="auto"/>
        <w:left w:val="none" w:sz="0" w:space="0" w:color="auto"/>
        <w:bottom w:val="none" w:sz="0" w:space="0" w:color="auto"/>
        <w:right w:val="none" w:sz="0" w:space="0" w:color="auto"/>
      </w:divBdr>
      <w:divsChild>
        <w:div w:id="117066248">
          <w:marLeft w:val="1829"/>
          <w:marRight w:val="0"/>
          <w:marTop w:val="144"/>
          <w:marBottom w:val="0"/>
          <w:divBdr>
            <w:top w:val="none" w:sz="0" w:space="0" w:color="auto"/>
            <w:left w:val="none" w:sz="0" w:space="0" w:color="auto"/>
            <w:bottom w:val="none" w:sz="0" w:space="0" w:color="auto"/>
            <w:right w:val="none" w:sz="0" w:space="0" w:color="auto"/>
          </w:divBdr>
        </w:div>
        <w:div w:id="190998781">
          <w:marLeft w:val="1181"/>
          <w:marRight w:val="0"/>
          <w:marTop w:val="168"/>
          <w:marBottom w:val="0"/>
          <w:divBdr>
            <w:top w:val="none" w:sz="0" w:space="0" w:color="auto"/>
            <w:left w:val="none" w:sz="0" w:space="0" w:color="auto"/>
            <w:bottom w:val="none" w:sz="0" w:space="0" w:color="auto"/>
            <w:right w:val="none" w:sz="0" w:space="0" w:color="auto"/>
          </w:divBdr>
        </w:div>
        <w:div w:id="290748698">
          <w:marLeft w:val="1181"/>
          <w:marRight w:val="0"/>
          <w:marTop w:val="168"/>
          <w:marBottom w:val="0"/>
          <w:divBdr>
            <w:top w:val="none" w:sz="0" w:space="0" w:color="auto"/>
            <w:left w:val="none" w:sz="0" w:space="0" w:color="auto"/>
            <w:bottom w:val="none" w:sz="0" w:space="0" w:color="auto"/>
            <w:right w:val="none" w:sz="0" w:space="0" w:color="auto"/>
          </w:divBdr>
        </w:div>
        <w:div w:id="496578643">
          <w:marLeft w:val="1829"/>
          <w:marRight w:val="0"/>
          <w:marTop w:val="144"/>
          <w:marBottom w:val="0"/>
          <w:divBdr>
            <w:top w:val="none" w:sz="0" w:space="0" w:color="auto"/>
            <w:left w:val="none" w:sz="0" w:space="0" w:color="auto"/>
            <w:bottom w:val="none" w:sz="0" w:space="0" w:color="auto"/>
            <w:right w:val="none" w:sz="0" w:space="0" w:color="auto"/>
          </w:divBdr>
        </w:div>
        <w:div w:id="578489154">
          <w:marLeft w:val="1181"/>
          <w:marRight w:val="0"/>
          <w:marTop w:val="168"/>
          <w:marBottom w:val="0"/>
          <w:divBdr>
            <w:top w:val="none" w:sz="0" w:space="0" w:color="auto"/>
            <w:left w:val="none" w:sz="0" w:space="0" w:color="auto"/>
            <w:bottom w:val="none" w:sz="0" w:space="0" w:color="auto"/>
            <w:right w:val="none" w:sz="0" w:space="0" w:color="auto"/>
          </w:divBdr>
        </w:div>
        <w:div w:id="808787917">
          <w:marLeft w:val="1829"/>
          <w:marRight w:val="0"/>
          <w:marTop w:val="144"/>
          <w:marBottom w:val="0"/>
          <w:divBdr>
            <w:top w:val="none" w:sz="0" w:space="0" w:color="auto"/>
            <w:left w:val="none" w:sz="0" w:space="0" w:color="auto"/>
            <w:bottom w:val="none" w:sz="0" w:space="0" w:color="auto"/>
            <w:right w:val="none" w:sz="0" w:space="0" w:color="auto"/>
          </w:divBdr>
        </w:div>
        <w:div w:id="1581718149">
          <w:marLeft w:val="1829"/>
          <w:marRight w:val="0"/>
          <w:marTop w:val="144"/>
          <w:marBottom w:val="0"/>
          <w:divBdr>
            <w:top w:val="none" w:sz="0" w:space="0" w:color="auto"/>
            <w:left w:val="none" w:sz="0" w:space="0" w:color="auto"/>
            <w:bottom w:val="none" w:sz="0" w:space="0" w:color="auto"/>
            <w:right w:val="none" w:sz="0" w:space="0" w:color="auto"/>
          </w:divBdr>
        </w:div>
        <w:div w:id="1725829919">
          <w:marLeft w:val="1181"/>
          <w:marRight w:val="0"/>
          <w:marTop w:val="168"/>
          <w:marBottom w:val="0"/>
          <w:divBdr>
            <w:top w:val="none" w:sz="0" w:space="0" w:color="auto"/>
            <w:left w:val="none" w:sz="0" w:space="0" w:color="auto"/>
            <w:bottom w:val="none" w:sz="0" w:space="0" w:color="auto"/>
            <w:right w:val="none" w:sz="0" w:space="0" w:color="auto"/>
          </w:divBdr>
        </w:div>
        <w:div w:id="1813251851">
          <w:marLeft w:val="1829"/>
          <w:marRight w:val="0"/>
          <w:marTop w:val="144"/>
          <w:marBottom w:val="0"/>
          <w:divBdr>
            <w:top w:val="none" w:sz="0" w:space="0" w:color="auto"/>
            <w:left w:val="none" w:sz="0" w:space="0" w:color="auto"/>
            <w:bottom w:val="none" w:sz="0" w:space="0" w:color="auto"/>
            <w:right w:val="none" w:sz="0" w:space="0" w:color="auto"/>
          </w:divBdr>
        </w:div>
        <w:div w:id="1888294092">
          <w:marLeft w:val="475"/>
          <w:marRight w:val="0"/>
          <w:marTop w:val="168"/>
          <w:marBottom w:val="0"/>
          <w:divBdr>
            <w:top w:val="none" w:sz="0" w:space="0" w:color="auto"/>
            <w:left w:val="none" w:sz="0" w:space="0" w:color="auto"/>
            <w:bottom w:val="none" w:sz="0" w:space="0" w:color="auto"/>
            <w:right w:val="none" w:sz="0" w:space="0" w:color="auto"/>
          </w:divBdr>
        </w:div>
        <w:div w:id="1965381654">
          <w:marLeft w:val="1829"/>
          <w:marRight w:val="0"/>
          <w:marTop w:val="144"/>
          <w:marBottom w:val="0"/>
          <w:divBdr>
            <w:top w:val="none" w:sz="0" w:space="0" w:color="auto"/>
            <w:left w:val="none" w:sz="0" w:space="0" w:color="auto"/>
            <w:bottom w:val="none" w:sz="0" w:space="0" w:color="auto"/>
            <w:right w:val="none" w:sz="0" w:space="0" w:color="auto"/>
          </w:divBdr>
        </w:div>
        <w:div w:id="2060543180">
          <w:marLeft w:val="1829"/>
          <w:marRight w:val="0"/>
          <w:marTop w:val="144"/>
          <w:marBottom w:val="0"/>
          <w:divBdr>
            <w:top w:val="none" w:sz="0" w:space="0" w:color="auto"/>
            <w:left w:val="none" w:sz="0" w:space="0" w:color="auto"/>
            <w:bottom w:val="none" w:sz="0" w:space="0" w:color="auto"/>
            <w:right w:val="none" w:sz="0" w:space="0" w:color="auto"/>
          </w:divBdr>
        </w:div>
      </w:divsChild>
    </w:div>
    <w:div w:id="54133276">
      <w:bodyDiv w:val="1"/>
      <w:marLeft w:val="0"/>
      <w:marRight w:val="0"/>
      <w:marTop w:val="0"/>
      <w:marBottom w:val="0"/>
      <w:divBdr>
        <w:top w:val="none" w:sz="0" w:space="0" w:color="auto"/>
        <w:left w:val="none" w:sz="0" w:space="0" w:color="auto"/>
        <w:bottom w:val="none" w:sz="0" w:space="0" w:color="auto"/>
        <w:right w:val="none" w:sz="0" w:space="0" w:color="auto"/>
      </w:divBdr>
    </w:div>
    <w:div w:id="74523692">
      <w:bodyDiv w:val="1"/>
      <w:marLeft w:val="0"/>
      <w:marRight w:val="0"/>
      <w:marTop w:val="0"/>
      <w:marBottom w:val="0"/>
      <w:divBdr>
        <w:top w:val="none" w:sz="0" w:space="0" w:color="auto"/>
        <w:left w:val="none" w:sz="0" w:space="0" w:color="auto"/>
        <w:bottom w:val="none" w:sz="0" w:space="0" w:color="auto"/>
        <w:right w:val="none" w:sz="0" w:space="0" w:color="auto"/>
      </w:divBdr>
    </w:div>
    <w:div w:id="79915201">
      <w:bodyDiv w:val="1"/>
      <w:marLeft w:val="0"/>
      <w:marRight w:val="0"/>
      <w:marTop w:val="0"/>
      <w:marBottom w:val="0"/>
      <w:divBdr>
        <w:top w:val="none" w:sz="0" w:space="0" w:color="auto"/>
        <w:left w:val="none" w:sz="0" w:space="0" w:color="auto"/>
        <w:bottom w:val="none" w:sz="0" w:space="0" w:color="auto"/>
        <w:right w:val="none" w:sz="0" w:space="0" w:color="auto"/>
      </w:divBdr>
    </w:div>
    <w:div w:id="83696470">
      <w:bodyDiv w:val="1"/>
      <w:marLeft w:val="0"/>
      <w:marRight w:val="0"/>
      <w:marTop w:val="0"/>
      <w:marBottom w:val="0"/>
      <w:divBdr>
        <w:top w:val="none" w:sz="0" w:space="0" w:color="auto"/>
        <w:left w:val="none" w:sz="0" w:space="0" w:color="auto"/>
        <w:bottom w:val="none" w:sz="0" w:space="0" w:color="auto"/>
        <w:right w:val="none" w:sz="0" w:space="0" w:color="auto"/>
      </w:divBdr>
    </w:div>
    <w:div w:id="84498368">
      <w:bodyDiv w:val="1"/>
      <w:marLeft w:val="0"/>
      <w:marRight w:val="0"/>
      <w:marTop w:val="0"/>
      <w:marBottom w:val="0"/>
      <w:divBdr>
        <w:top w:val="none" w:sz="0" w:space="0" w:color="auto"/>
        <w:left w:val="none" w:sz="0" w:space="0" w:color="auto"/>
        <w:bottom w:val="none" w:sz="0" w:space="0" w:color="auto"/>
        <w:right w:val="none" w:sz="0" w:space="0" w:color="auto"/>
      </w:divBdr>
    </w:div>
    <w:div w:id="86276256">
      <w:bodyDiv w:val="1"/>
      <w:marLeft w:val="0"/>
      <w:marRight w:val="0"/>
      <w:marTop w:val="0"/>
      <w:marBottom w:val="0"/>
      <w:divBdr>
        <w:top w:val="none" w:sz="0" w:space="0" w:color="auto"/>
        <w:left w:val="none" w:sz="0" w:space="0" w:color="auto"/>
        <w:bottom w:val="none" w:sz="0" w:space="0" w:color="auto"/>
        <w:right w:val="none" w:sz="0" w:space="0" w:color="auto"/>
      </w:divBdr>
    </w:div>
    <w:div w:id="86780143">
      <w:bodyDiv w:val="1"/>
      <w:marLeft w:val="0"/>
      <w:marRight w:val="0"/>
      <w:marTop w:val="0"/>
      <w:marBottom w:val="0"/>
      <w:divBdr>
        <w:top w:val="none" w:sz="0" w:space="0" w:color="auto"/>
        <w:left w:val="none" w:sz="0" w:space="0" w:color="auto"/>
        <w:bottom w:val="none" w:sz="0" w:space="0" w:color="auto"/>
        <w:right w:val="none" w:sz="0" w:space="0" w:color="auto"/>
      </w:divBdr>
    </w:div>
    <w:div w:id="88160967">
      <w:bodyDiv w:val="1"/>
      <w:marLeft w:val="0"/>
      <w:marRight w:val="0"/>
      <w:marTop w:val="0"/>
      <w:marBottom w:val="0"/>
      <w:divBdr>
        <w:top w:val="none" w:sz="0" w:space="0" w:color="auto"/>
        <w:left w:val="none" w:sz="0" w:space="0" w:color="auto"/>
        <w:bottom w:val="none" w:sz="0" w:space="0" w:color="auto"/>
        <w:right w:val="none" w:sz="0" w:space="0" w:color="auto"/>
      </w:divBdr>
    </w:div>
    <w:div w:id="90708147">
      <w:bodyDiv w:val="1"/>
      <w:marLeft w:val="0"/>
      <w:marRight w:val="0"/>
      <w:marTop w:val="0"/>
      <w:marBottom w:val="0"/>
      <w:divBdr>
        <w:top w:val="none" w:sz="0" w:space="0" w:color="auto"/>
        <w:left w:val="none" w:sz="0" w:space="0" w:color="auto"/>
        <w:bottom w:val="none" w:sz="0" w:space="0" w:color="auto"/>
        <w:right w:val="none" w:sz="0" w:space="0" w:color="auto"/>
      </w:divBdr>
    </w:div>
    <w:div w:id="97721149">
      <w:bodyDiv w:val="1"/>
      <w:marLeft w:val="0"/>
      <w:marRight w:val="0"/>
      <w:marTop w:val="0"/>
      <w:marBottom w:val="0"/>
      <w:divBdr>
        <w:top w:val="none" w:sz="0" w:space="0" w:color="auto"/>
        <w:left w:val="none" w:sz="0" w:space="0" w:color="auto"/>
        <w:bottom w:val="none" w:sz="0" w:space="0" w:color="auto"/>
        <w:right w:val="none" w:sz="0" w:space="0" w:color="auto"/>
      </w:divBdr>
    </w:div>
    <w:div w:id="106773288">
      <w:bodyDiv w:val="1"/>
      <w:marLeft w:val="0"/>
      <w:marRight w:val="0"/>
      <w:marTop w:val="0"/>
      <w:marBottom w:val="0"/>
      <w:divBdr>
        <w:top w:val="none" w:sz="0" w:space="0" w:color="auto"/>
        <w:left w:val="none" w:sz="0" w:space="0" w:color="auto"/>
        <w:bottom w:val="none" w:sz="0" w:space="0" w:color="auto"/>
        <w:right w:val="none" w:sz="0" w:space="0" w:color="auto"/>
      </w:divBdr>
    </w:div>
    <w:div w:id="115954164">
      <w:bodyDiv w:val="1"/>
      <w:marLeft w:val="0"/>
      <w:marRight w:val="0"/>
      <w:marTop w:val="0"/>
      <w:marBottom w:val="0"/>
      <w:divBdr>
        <w:top w:val="none" w:sz="0" w:space="0" w:color="auto"/>
        <w:left w:val="none" w:sz="0" w:space="0" w:color="auto"/>
        <w:bottom w:val="none" w:sz="0" w:space="0" w:color="auto"/>
        <w:right w:val="none" w:sz="0" w:space="0" w:color="auto"/>
      </w:divBdr>
      <w:divsChild>
        <w:div w:id="257564304">
          <w:marLeft w:val="475"/>
          <w:marRight w:val="0"/>
          <w:marTop w:val="168"/>
          <w:marBottom w:val="0"/>
          <w:divBdr>
            <w:top w:val="none" w:sz="0" w:space="0" w:color="auto"/>
            <w:left w:val="none" w:sz="0" w:space="0" w:color="auto"/>
            <w:bottom w:val="none" w:sz="0" w:space="0" w:color="auto"/>
            <w:right w:val="none" w:sz="0" w:space="0" w:color="auto"/>
          </w:divBdr>
        </w:div>
        <w:div w:id="397822011">
          <w:marLeft w:val="1181"/>
          <w:marRight w:val="0"/>
          <w:marTop w:val="168"/>
          <w:marBottom w:val="0"/>
          <w:divBdr>
            <w:top w:val="none" w:sz="0" w:space="0" w:color="auto"/>
            <w:left w:val="none" w:sz="0" w:space="0" w:color="auto"/>
            <w:bottom w:val="none" w:sz="0" w:space="0" w:color="auto"/>
            <w:right w:val="none" w:sz="0" w:space="0" w:color="auto"/>
          </w:divBdr>
        </w:div>
        <w:div w:id="415858223">
          <w:marLeft w:val="1181"/>
          <w:marRight w:val="0"/>
          <w:marTop w:val="168"/>
          <w:marBottom w:val="0"/>
          <w:divBdr>
            <w:top w:val="none" w:sz="0" w:space="0" w:color="auto"/>
            <w:left w:val="none" w:sz="0" w:space="0" w:color="auto"/>
            <w:bottom w:val="none" w:sz="0" w:space="0" w:color="auto"/>
            <w:right w:val="none" w:sz="0" w:space="0" w:color="auto"/>
          </w:divBdr>
        </w:div>
        <w:div w:id="636378111">
          <w:marLeft w:val="1181"/>
          <w:marRight w:val="0"/>
          <w:marTop w:val="168"/>
          <w:marBottom w:val="0"/>
          <w:divBdr>
            <w:top w:val="none" w:sz="0" w:space="0" w:color="auto"/>
            <w:left w:val="none" w:sz="0" w:space="0" w:color="auto"/>
            <w:bottom w:val="none" w:sz="0" w:space="0" w:color="auto"/>
            <w:right w:val="none" w:sz="0" w:space="0" w:color="auto"/>
          </w:divBdr>
        </w:div>
        <w:div w:id="1018265523">
          <w:marLeft w:val="475"/>
          <w:marRight w:val="0"/>
          <w:marTop w:val="168"/>
          <w:marBottom w:val="0"/>
          <w:divBdr>
            <w:top w:val="none" w:sz="0" w:space="0" w:color="auto"/>
            <w:left w:val="none" w:sz="0" w:space="0" w:color="auto"/>
            <w:bottom w:val="none" w:sz="0" w:space="0" w:color="auto"/>
            <w:right w:val="none" w:sz="0" w:space="0" w:color="auto"/>
          </w:divBdr>
        </w:div>
        <w:div w:id="1323267862">
          <w:marLeft w:val="475"/>
          <w:marRight w:val="0"/>
          <w:marTop w:val="168"/>
          <w:marBottom w:val="0"/>
          <w:divBdr>
            <w:top w:val="none" w:sz="0" w:space="0" w:color="auto"/>
            <w:left w:val="none" w:sz="0" w:space="0" w:color="auto"/>
            <w:bottom w:val="none" w:sz="0" w:space="0" w:color="auto"/>
            <w:right w:val="none" w:sz="0" w:space="0" w:color="auto"/>
          </w:divBdr>
        </w:div>
        <w:div w:id="1814522541">
          <w:marLeft w:val="1181"/>
          <w:marRight w:val="0"/>
          <w:marTop w:val="168"/>
          <w:marBottom w:val="0"/>
          <w:divBdr>
            <w:top w:val="none" w:sz="0" w:space="0" w:color="auto"/>
            <w:left w:val="none" w:sz="0" w:space="0" w:color="auto"/>
            <w:bottom w:val="none" w:sz="0" w:space="0" w:color="auto"/>
            <w:right w:val="none" w:sz="0" w:space="0" w:color="auto"/>
          </w:divBdr>
        </w:div>
        <w:div w:id="2062249358">
          <w:marLeft w:val="1181"/>
          <w:marRight w:val="0"/>
          <w:marTop w:val="168"/>
          <w:marBottom w:val="0"/>
          <w:divBdr>
            <w:top w:val="none" w:sz="0" w:space="0" w:color="auto"/>
            <w:left w:val="none" w:sz="0" w:space="0" w:color="auto"/>
            <w:bottom w:val="none" w:sz="0" w:space="0" w:color="auto"/>
            <w:right w:val="none" w:sz="0" w:space="0" w:color="auto"/>
          </w:divBdr>
        </w:div>
      </w:divsChild>
    </w:div>
    <w:div w:id="120727707">
      <w:bodyDiv w:val="1"/>
      <w:marLeft w:val="0"/>
      <w:marRight w:val="0"/>
      <w:marTop w:val="0"/>
      <w:marBottom w:val="0"/>
      <w:divBdr>
        <w:top w:val="none" w:sz="0" w:space="0" w:color="auto"/>
        <w:left w:val="none" w:sz="0" w:space="0" w:color="auto"/>
        <w:bottom w:val="none" w:sz="0" w:space="0" w:color="auto"/>
        <w:right w:val="none" w:sz="0" w:space="0" w:color="auto"/>
      </w:divBdr>
    </w:div>
    <w:div w:id="135339021">
      <w:bodyDiv w:val="1"/>
      <w:marLeft w:val="0"/>
      <w:marRight w:val="0"/>
      <w:marTop w:val="0"/>
      <w:marBottom w:val="0"/>
      <w:divBdr>
        <w:top w:val="none" w:sz="0" w:space="0" w:color="auto"/>
        <w:left w:val="none" w:sz="0" w:space="0" w:color="auto"/>
        <w:bottom w:val="none" w:sz="0" w:space="0" w:color="auto"/>
        <w:right w:val="none" w:sz="0" w:space="0" w:color="auto"/>
      </w:divBdr>
    </w:div>
    <w:div w:id="135924953">
      <w:bodyDiv w:val="1"/>
      <w:marLeft w:val="0"/>
      <w:marRight w:val="0"/>
      <w:marTop w:val="0"/>
      <w:marBottom w:val="0"/>
      <w:divBdr>
        <w:top w:val="none" w:sz="0" w:space="0" w:color="auto"/>
        <w:left w:val="none" w:sz="0" w:space="0" w:color="auto"/>
        <w:bottom w:val="none" w:sz="0" w:space="0" w:color="auto"/>
        <w:right w:val="none" w:sz="0" w:space="0" w:color="auto"/>
      </w:divBdr>
      <w:divsChild>
        <w:div w:id="161050522">
          <w:marLeft w:val="475"/>
          <w:marRight w:val="0"/>
          <w:marTop w:val="168"/>
          <w:marBottom w:val="0"/>
          <w:divBdr>
            <w:top w:val="none" w:sz="0" w:space="0" w:color="auto"/>
            <w:left w:val="none" w:sz="0" w:space="0" w:color="auto"/>
            <w:bottom w:val="none" w:sz="0" w:space="0" w:color="auto"/>
            <w:right w:val="none" w:sz="0" w:space="0" w:color="auto"/>
          </w:divBdr>
        </w:div>
        <w:div w:id="193469641">
          <w:marLeft w:val="475"/>
          <w:marRight w:val="0"/>
          <w:marTop w:val="168"/>
          <w:marBottom w:val="0"/>
          <w:divBdr>
            <w:top w:val="none" w:sz="0" w:space="0" w:color="auto"/>
            <w:left w:val="none" w:sz="0" w:space="0" w:color="auto"/>
            <w:bottom w:val="none" w:sz="0" w:space="0" w:color="auto"/>
            <w:right w:val="none" w:sz="0" w:space="0" w:color="auto"/>
          </w:divBdr>
        </w:div>
        <w:div w:id="424614677">
          <w:marLeft w:val="1181"/>
          <w:marRight w:val="0"/>
          <w:marTop w:val="168"/>
          <w:marBottom w:val="0"/>
          <w:divBdr>
            <w:top w:val="none" w:sz="0" w:space="0" w:color="auto"/>
            <w:left w:val="none" w:sz="0" w:space="0" w:color="auto"/>
            <w:bottom w:val="none" w:sz="0" w:space="0" w:color="auto"/>
            <w:right w:val="none" w:sz="0" w:space="0" w:color="auto"/>
          </w:divBdr>
        </w:div>
        <w:div w:id="455224489">
          <w:marLeft w:val="475"/>
          <w:marRight w:val="0"/>
          <w:marTop w:val="168"/>
          <w:marBottom w:val="0"/>
          <w:divBdr>
            <w:top w:val="none" w:sz="0" w:space="0" w:color="auto"/>
            <w:left w:val="none" w:sz="0" w:space="0" w:color="auto"/>
            <w:bottom w:val="none" w:sz="0" w:space="0" w:color="auto"/>
            <w:right w:val="none" w:sz="0" w:space="0" w:color="auto"/>
          </w:divBdr>
        </w:div>
        <w:div w:id="1039665315">
          <w:marLeft w:val="1181"/>
          <w:marRight w:val="0"/>
          <w:marTop w:val="168"/>
          <w:marBottom w:val="0"/>
          <w:divBdr>
            <w:top w:val="none" w:sz="0" w:space="0" w:color="auto"/>
            <w:left w:val="none" w:sz="0" w:space="0" w:color="auto"/>
            <w:bottom w:val="none" w:sz="0" w:space="0" w:color="auto"/>
            <w:right w:val="none" w:sz="0" w:space="0" w:color="auto"/>
          </w:divBdr>
        </w:div>
        <w:div w:id="1472557136">
          <w:marLeft w:val="475"/>
          <w:marRight w:val="0"/>
          <w:marTop w:val="168"/>
          <w:marBottom w:val="0"/>
          <w:divBdr>
            <w:top w:val="none" w:sz="0" w:space="0" w:color="auto"/>
            <w:left w:val="none" w:sz="0" w:space="0" w:color="auto"/>
            <w:bottom w:val="none" w:sz="0" w:space="0" w:color="auto"/>
            <w:right w:val="none" w:sz="0" w:space="0" w:color="auto"/>
          </w:divBdr>
        </w:div>
        <w:div w:id="1508207825">
          <w:marLeft w:val="475"/>
          <w:marRight w:val="0"/>
          <w:marTop w:val="168"/>
          <w:marBottom w:val="0"/>
          <w:divBdr>
            <w:top w:val="none" w:sz="0" w:space="0" w:color="auto"/>
            <w:left w:val="none" w:sz="0" w:space="0" w:color="auto"/>
            <w:bottom w:val="none" w:sz="0" w:space="0" w:color="auto"/>
            <w:right w:val="none" w:sz="0" w:space="0" w:color="auto"/>
          </w:divBdr>
        </w:div>
        <w:div w:id="1521820378">
          <w:marLeft w:val="475"/>
          <w:marRight w:val="0"/>
          <w:marTop w:val="168"/>
          <w:marBottom w:val="0"/>
          <w:divBdr>
            <w:top w:val="none" w:sz="0" w:space="0" w:color="auto"/>
            <w:left w:val="none" w:sz="0" w:space="0" w:color="auto"/>
            <w:bottom w:val="none" w:sz="0" w:space="0" w:color="auto"/>
            <w:right w:val="none" w:sz="0" w:space="0" w:color="auto"/>
          </w:divBdr>
        </w:div>
        <w:div w:id="1742097917">
          <w:marLeft w:val="1181"/>
          <w:marRight w:val="0"/>
          <w:marTop w:val="168"/>
          <w:marBottom w:val="0"/>
          <w:divBdr>
            <w:top w:val="none" w:sz="0" w:space="0" w:color="auto"/>
            <w:left w:val="none" w:sz="0" w:space="0" w:color="auto"/>
            <w:bottom w:val="none" w:sz="0" w:space="0" w:color="auto"/>
            <w:right w:val="none" w:sz="0" w:space="0" w:color="auto"/>
          </w:divBdr>
        </w:div>
        <w:div w:id="1789926691">
          <w:marLeft w:val="475"/>
          <w:marRight w:val="0"/>
          <w:marTop w:val="168"/>
          <w:marBottom w:val="0"/>
          <w:divBdr>
            <w:top w:val="none" w:sz="0" w:space="0" w:color="auto"/>
            <w:left w:val="none" w:sz="0" w:space="0" w:color="auto"/>
            <w:bottom w:val="none" w:sz="0" w:space="0" w:color="auto"/>
            <w:right w:val="none" w:sz="0" w:space="0" w:color="auto"/>
          </w:divBdr>
        </w:div>
        <w:div w:id="1914125727">
          <w:marLeft w:val="1181"/>
          <w:marRight w:val="0"/>
          <w:marTop w:val="168"/>
          <w:marBottom w:val="0"/>
          <w:divBdr>
            <w:top w:val="none" w:sz="0" w:space="0" w:color="auto"/>
            <w:left w:val="none" w:sz="0" w:space="0" w:color="auto"/>
            <w:bottom w:val="none" w:sz="0" w:space="0" w:color="auto"/>
            <w:right w:val="none" w:sz="0" w:space="0" w:color="auto"/>
          </w:divBdr>
        </w:div>
      </w:divsChild>
    </w:div>
    <w:div w:id="138499657">
      <w:bodyDiv w:val="1"/>
      <w:marLeft w:val="0"/>
      <w:marRight w:val="0"/>
      <w:marTop w:val="0"/>
      <w:marBottom w:val="0"/>
      <w:divBdr>
        <w:top w:val="none" w:sz="0" w:space="0" w:color="auto"/>
        <w:left w:val="none" w:sz="0" w:space="0" w:color="auto"/>
        <w:bottom w:val="none" w:sz="0" w:space="0" w:color="auto"/>
        <w:right w:val="none" w:sz="0" w:space="0" w:color="auto"/>
      </w:divBdr>
    </w:div>
    <w:div w:id="149030581">
      <w:bodyDiv w:val="1"/>
      <w:marLeft w:val="0"/>
      <w:marRight w:val="0"/>
      <w:marTop w:val="0"/>
      <w:marBottom w:val="0"/>
      <w:divBdr>
        <w:top w:val="none" w:sz="0" w:space="0" w:color="auto"/>
        <w:left w:val="none" w:sz="0" w:space="0" w:color="auto"/>
        <w:bottom w:val="none" w:sz="0" w:space="0" w:color="auto"/>
        <w:right w:val="none" w:sz="0" w:space="0" w:color="auto"/>
      </w:divBdr>
      <w:divsChild>
        <w:div w:id="514458798">
          <w:marLeft w:val="259"/>
          <w:marRight w:val="0"/>
          <w:marTop w:val="132"/>
          <w:marBottom w:val="0"/>
          <w:divBdr>
            <w:top w:val="none" w:sz="0" w:space="0" w:color="auto"/>
            <w:left w:val="none" w:sz="0" w:space="0" w:color="auto"/>
            <w:bottom w:val="none" w:sz="0" w:space="0" w:color="auto"/>
            <w:right w:val="none" w:sz="0" w:space="0" w:color="auto"/>
          </w:divBdr>
        </w:div>
        <w:div w:id="716663000">
          <w:marLeft w:val="259"/>
          <w:marRight w:val="0"/>
          <w:marTop w:val="132"/>
          <w:marBottom w:val="0"/>
          <w:divBdr>
            <w:top w:val="none" w:sz="0" w:space="0" w:color="auto"/>
            <w:left w:val="none" w:sz="0" w:space="0" w:color="auto"/>
            <w:bottom w:val="none" w:sz="0" w:space="0" w:color="auto"/>
            <w:right w:val="none" w:sz="0" w:space="0" w:color="auto"/>
          </w:divBdr>
        </w:div>
        <w:div w:id="755244749">
          <w:marLeft w:val="259"/>
          <w:marRight w:val="0"/>
          <w:marTop w:val="132"/>
          <w:marBottom w:val="0"/>
          <w:divBdr>
            <w:top w:val="none" w:sz="0" w:space="0" w:color="auto"/>
            <w:left w:val="none" w:sz="0" w:space="0" w:color="auto"/>
            <w:bottom w:val="none" w:sz="0" w:space="0" w:color="auto"/>
            <w:right w:val="none" w:sz="0" w:space="0" w:color="auto"/>
          </w:divBdr>
        </w:div>
        <w:div w:id="768238089">
          <w:marLeft w:val="259"/>
          <w:marRight w:val="0"/>
          <w:marTop w:val="132"/>
          <w:marBottom w:val="0"/>
          <w:divBdr>
            <w:top w:val="none" w:sz="0" w:space="0" w:color="auto"/>
            <w:left w:val="none" w:sz="0" w:space="0" w:color="auto"/>
            <w:bottom w:val="none" w:sz="0" w:space="0" w:color="auto"/>
            <w:right w:val="none" w:sz="0" w:space="0" w:color="auto"/>
          </w:divBdr>
        </w:div>
        <w:div w:id="775103635">
          <w:marLeft w:val="259"/>
          <w:marRight w:val="0"/>
          <w:marTop w:val="132"/>
          <w:marBottom w:val="0"/>
          <w:divBdr>
            <w:top w:val="none" w:sz="0" w:space="0" w:color="auto"/>
            <w:left w:val="none" w:sz="0" w:space="0" w:color="auto"/>
            <w:bottom w:val="none" w:sz="0" w:space="0" w:color="auto"/>
            <w:right w:val="none" w:sz="0" w:space="0" w:color="auto"/>
          </w:divBdr>
        </w:div>
        <w:div w:id="1144272946">
          <w:marLeft w:val="259"/>
          <w:marRight w:val="0"/>
          <w:marTop w:val="132"/>
          <w:marBottom w:val="0"/>
          <w:divBdr>
            <w:top w:val="none" w:sz="0" w:space="0" w:color="auto"/>
            <w:left w:val="none" w:sz="0" w:space="0" w:color="auto"/>
            <w:bottom w:val="none" w:sz="0" w:space="0" w:color="auto"/>
            <w:right w:val="none" w:sz="0" w:space="0" w:color="auto"/>
          </w:divBdr>
        </w:div>
        <w:div w:id="1261179906">
          <w:marLeft w:val="259"/>
          <w:marRight w:val="0"/>
          <w:marTop w:val="132"/>
          <w:marBottom w:val="0"/>
          <w:divBdr>
            <w:top w:val="none" w:sz="0" w:space="0" w:color="auto"/>
            <w:left w:val="none" w:sz="0" w:space="0" w:color="auto"/>
            <w:bottom w:val="none" w:sz="0" w:space="0" w:color="auto"/>
            <w:right w:val="none" w:sz="0" w:space="0" w:color="auto"/>
          </w:divBdr>
        </w:div>
        <w:div w:id="1392575539">
          <w:marLeft w:val="259"/>
          <w:marRight w:val="0"/>
          <w:marTop w:val="132"/>
          <w:marBottom w:val="0"/>
          <w:divBdr>
            <w:top w:val="none" w:sz="0" w:space="0" w:color="auto"/>
            <w:left w:val="none" w:sz="0" w:space="0" w:color="auto"/>
            <w:bottom w:val="none" w:sz="0" w:space="0" w:color="auto"/>
            <w:right w:val="none" w:sz="0" w:space="0" w:color="auto"/>
          </w:divBdr>
        </w:div>
        <w:div w:id="1573080567">
          <w:marLeft w:val="259"/>
          <w:marRight w:val="0"/>
          <w:marTop w:val="132"/>
          <w:marBottom w:val="0"/>
          <w:divBdr>
            <w:top w:val="none" w:sz="0" w:space="0" w:color="auto"/>
            <w:left w:val="none" w:sz="0" w:space="0" w:color="auto"/>
            <w:bottom w:val="none" w:sz="0" w:space="0" w:color="auto"/>
            <w:right w:val="none" w:sz="0" w:space="0" w:color="auto"/>
          </w:divBdr>
        </w:div>
        <w:div w:id="1724135053">
          <w:marLeft w:val="259"/>
          <w:marRight w:val="0"/>
          <w:marTop w:val="132"/>
          <w:marBottom w:val="0"/>
          <w:divBdr>
            <w:top w:val="none" w:sz="0" w:space="0" w:color="auto"/>
            <w:left w:val="none" w:sz="0" w:space="0" w:color="auto"/>
            <w:bottom w:val="none" w:sz="0" w:space="0" w:color="auto"/>
            <w:right w:val="none" w:sz="0" w:space="0" w:color="auto"/>
          </w:divBdr>
        </w:div>
        <w:div w:id="1772434701">
          <w:marLeft w:val="259"/>
          <w:marRight w:val="0"/>
          <w:marTop w:val="132"/>
          <w:marBottom w:val="0"/>
          <w:divBdr>
            <w:top w:val="none" w:sz="0" w:space="0" w:color="auto"/>
            <w:left w:val="none" w:sz="0" w:space="0" w:color="auto"/>
            <w:bottom w:val="none" w:sz="0" w:space="0" w:color="auto"/>
            <w:right w:val="none" w:sz="0" w:space="0" w:color="auto"/>
          </w:divBdr>
        </w:div>
        <w:div w:id="2145852654">
          <w:marLeft w:val="259"/>
          <w:marRight w:val="0"/>
          <w:marTop w:val="132"/>
          <w:marBottom w:val="0"/>
          <w:divBdr>
            <w:top w:val="none" w:sz="0" w:space="0" w:color="auto"/>
            <w:left w:val="none" w:sz="0" w:space="0" w:color="auto"/>
            <w:bottom w:val="none" w:sz="0" w:space="0" w:color="auto"/>
            <w:right w:val="none" w:sz="0" w:space="0" w:color="auto"/>
          </w:divBdr>
        </w:div>
      </w:divsChild>
    </w:div>
    <w:div w:id="150412241">
      <w:bodyDiv w:val="1"/>
      <w:marLeft w:val="0"/>
      <w:marRight w:val="0"/>
      <w:marTop w:val="0"/>
      <w:marBottom w:val="0"/>
      <w:divBdr>
        <w:top w:val="none" w:sz="0" w:space="0" w:color="auto"/>
        <w:left w:val="none" w:sz="0" w:space="0" w:color="auto"/>
        <w:bottom w:val="none" w:sz="0" w:space="0" w:color="auto"/>
        <w:right w:val="none" w:sz="0" w:space="0" w:color="auto"/>
      </w:divBdr>
    </w:div>
    <w:div w:id="156771322">
      <w:bodyDiv w:val="1"/>
      <w:marLeft w:val="0"/>
      <w:marRight w:val="0"/>
      <w:marTop w:val="0"/>
      <w:marBottom w:val="0"/>
      <w:divBdr>
        <w:top w:val="none" w:sz="0" w:space="0" w:color="auto"/>
        <w:left w:val="none" w:sz="0" w:space="0" w:color="auto"/>
        <w:bottom w:val="none" w:sz="0" w:space="0" w:color="auto"/>
        <w:right w:val="none" w:sz="0" w:space="0" w:color="auto"/>
      </w:divBdr>
    </w:div>
    <w:div w:id="157233954">
      <w:bodyDiv w:val="1"/>
      <w:marLeft w:val="0"/>
      <w:marRight w:val="0"/>
      <w:marTop w:val="0"/>
      <w:marBottom w:val="0"/>
      <w:divBdr>
        <w:top w:val="none" w:sz="0" w:space="0" w:color="auto"/>
        <w:left w:val="none" w:sz="0" w:space="0" w:color="auto"/>
        <w:bottom w:val="none" w:sz="0" w:space="0" w:color="auto"/>
        <w:right w:val="none" w:sz="0" w:space="0" w:color="auto"/>
      </w:divBdr>
    </w:div>
    <w:div w:id="160128313">
      <w:bodyDiv w:val="1"/>
      <w:marLeft w:val="0"/>
      <w:marRight w:val="0"/>
      <w:marTop w:val="0"/>
      <w:marBottom w:val="0"/>
      <w:divBdr>
        <w:top w:val="none" w:sz="0" w:space="0" w:color="auto"/>
        <w:left w:val="none" w:sz="0" w:space="0" w:color="auto"/>
        <w:bottom w:val="none" w:sz="0" w:space="0" w:color="auto"/>
        <w:right w:val="none" w:sz="0" w:space="0" w:color="auto"/>
      </w:divBdr>
    </w:div>
    <w:div w:id="164982857">
      <w:bodyDiv w:val="1"/>
      <w:marLeft w:val="0"/>
      <w:marRight w:val="0"/>
      <w:marTop w:val="0"/>
      <w:marBottom w:val="0"/>
      <w:divBdr>
        <w:top w:val="none" w:sz="0" w:space="0" w:color="auto"/>
        <w:left w:val="none" w:sz="0" w:space="0" w:color="auto"/>
        <w:bottom w:val="none" w:sz="0" w:space="0" w:color="auto"/>
        <w:right w:val="none" w:sz="0" w:space="0" w:color="auto"/>
      </w:divBdr>
    </w:div>
    <w:div w:id="167184295">
      <w:bodyDiv w:val="1"/>
      <w:marLeft w:val="0"/>
      <w:marRight w:val="0"/>
      <w:marTop w:val="0"/>
      <w:marBottom w:val="0"/>
      <w:divBdr>
        <w:top w:val="none" w:sz="0" w:space="0" w:color="auto"/>
        <w:left w:val="none" w:sz="0" w:space="0" w:color="auto"/>
        <w:bottom w:val="none" w:sz="0" w:space="0" w:color="auto"/>
        <w:right w:val="none" w:sz="0" w:space="0" w:color="auto"/>
      </w:divBdr>
    </w:div>
    <w:div w:id="172379763">
      <w:bodyDiv w:val="1"/>
      <w:marLeft w:val="0"/>
      <w:marRight w:val="0"/>
      <w:marTop w:val="0"/>
      <w:marBottom w:val="0"/>
      <w:divBdr>
        <w:top w:val="none" w:sz="0" w:space="0" w:color="auto"/>
        <w:left w:val="none" w:sz="0" w:space="0" w:color="auto"/>
        <w:bottom w:val="none" w:sz="0" w:space="0" w:color="auto"/>
        <w:right w:val="none" w:sz="0" w:space="0" w:color="auto"/>
      </w:divBdr>
      <w:divsChild>
        <w:div w:id="1991403157">
          <w:marLeft w:val="475"/>
          <w:marRight w:val="0"/>
          <w:marTop w:val="168"/>
          <w:marBottom w:val="0"/>
          <w:divBdr>
            <w:top w:val="none" w:sz="0" w:space="0" w:color="auto"/>
            <w:left w:val="none" w:sz="0" w:space="0" w:color="auto"/>
            <w:bottom w:val="none" w:sz="0" w:space="0" w:color="auto"/>
            <w:right w:val="none" w:sz="0" w:space="0" w:color="auto"/>
          </w:divBdr>
        </w:div>
      </w:divsChild>
    </w:div>
    <w:div w:id="176625146">
      <w:bodyDiv w:val="1"/>
      <w:marLeft w:val="0"/>
      <w:marRight w:val="0"/>
      <w:marTop w:val="0"/>
      <w:marBottom w:val="0"/>
      <w:divBdr>
        <w:top w:val="none" w:sz="0" w:space="0" w:color="auto"/>
        <w:left w:val="none" w:sz="0" w:space="0" w:color="auto"/>
        <w:bottom w:val="none" w:sz="0" w:space="0" w:color="auto"/>
        <w:right w:val="none" w:sz="0" w:space="0" w:color="auto"/>
      </w:divBdr>
    </w:div>
    <w:div w:id="183205532">
      <w:bodyDiv w:val="1"/>
      <w:marLeft w:val="0"/>
      <w:marRight w:val="0"/>
      <w:marTop w:val="0"/>
      <w:marBottom w:val="0"/>
      <w:divBdr>
        <w:top w:val="none" w:sz="0" w:space="0" w:color="auto"/>
        <w:left w:val="none" w:sz="0" w:space="0" w:color="auto"/>
        <w:bottom w:val="none" w:sz="0" w:space="0" w:color="auto"/>
        <w:right w:val="none" w:sz="0" w:space="0" w:color="auto"/>
      </w:divBdr>
      <w:divsChild>
        <w:div w:id="480931467">
          <w:marLeft w:val="0"/>
          <w:marRight w:val="0"/>
          <w:marTop w:val="0"/>
          <w:marBottom w:val="0"/>
          <w:divBdr>
            <w:top w:val="none" w:sz="0" w:space="0" w:color="auto"/>
            <w:left w:val="none" w:sz="0" w:space="0" w:color="auto"/>
            <w:bottom w:val="none" w:sz="0" w:space="0" w:color="auto"/>
            <w:right w:val="none" w:sz="0" w:space="0" w:color="auto"/>
          </w:divBdr>
        </w:div>
        <w:div w:id="578711047">
          <w:marLeft w:val="-115"/>
          <w:marRight w:val="-115"/>
          <w:marTop w:val="0"/>
          <w:marBottom w:val="0"/>
          <w:divBdr>
            <w:top w:val="none" w:sz="0" w:space="0" w:color="auto"/>
            <w:left w:val="none" w:sz="0" w:space="0" w:color="auto"/>
            <w:bottom w:val="none" w:sz="0" w:space="0" w:color="auto"/>
            <w:right w:val="none" w:sz="0" w:space="0" w:color="auto"/>
          </w:divBdr>
        </w:div>
        <w:div w:id="612438370">
          <w:marLeft w:val="0"/>
          <w:marRight w:val="0"/>
          <w:marTop w:val="0"/>
          <w:marBottom w:val="0"/>
          <w:divBdr>
            <w:top w:val="none" w:sz="0" w:space="0" w:color="auto"/>
            <w:left w:val="none" w:sz="0" w:space="0" w:color="auto"/>
            <w:bottom w:val="none" w:sz="0" w:space="0" w:color="auto"/>
            <w:right w:val="none" w:sz="0" w:space="0" w:color="auto"/>
          </w:divBdr>
        </w:div>
        <w:div w:id="638148607">
          <w:marLeft w:val="0"/>
          <w:marRight w:val="0"/>
          <w:marTop w:val="0"/>
          <w:marBottom w:val="0"/>
          <w:divBdr>
            <w:top w:val="none" w:sz="0" w:space="0" w:color="auto"/>
            <w:left w:val="none" w:sz="0" w:space="0" w:color="auto"/>
            <w:bottom w:val="none" w:sz="0" w:space="0" w:color="auto"/>
            <w:right w:val="none" w:sz="0" w:space="0" w:color="auto"/>
          </w:divBdr>
        </w:div>
        <w:div w:id="731469182">
          <w:marLeft w:val="0"/>
          <w:marRight w:val="0"/>
          <w:marTop w:val="0"/>
          <w:marBottom w:val="0"/>
          <w:divBdr>
            <w:top w:val="none" w:sz="0" w:space="0" w:color="auto"/>
            <w:left w:val="none" w:sz="0" w:space="0" w:color="auto"/>
            <w:bottom w:val="none" w:sz="0" w:space="0" w:color="auto"/>
            <w:right w:val="none" w:sz="0" w:space="0" w:color="auto"/>
          </w:divBdr>
        </w:div>
        <w:div w:id="880631824">
          <w:marLeft w:val="-115"/>
          <w:marRight w:val="-115"/>
          <w:marTop w:val="0"/>
          <w:marBottom w:val="0"/>
          <w:divBdr>
            <w:top w:val="none" w:sz="0" w:space="0" w:color="auto"/>
            <w:left w:val="none" w:sz="0" w:space="0" w:color="auto"/>
            <w:bottom w:val="none" w:sz="0" w:space="0" w:color="auto"/>
            <w:right w:val="none" w:sz="0" w:space="0" w:color="auto"/>
          </w:divBdr>
        </w:div>
        <w:div w:id="894781162">
          <w:marLeft w:val="-115"/>
          <w:marRight w:val="-115"/>
          <w:marTop w:val="0"/>
          <w:marBottom w:val="0"/>
          <w:divBdr>
            <w:top w:val="none" w:sz="0" w:space="0" w:color="auto"/>
            <w:left w:val="none" w:sz="0" w:space="0" w:color="auto"/>
            <w:bottom w:val="none" w:sz="0" w:space="0" w:color="auto"/>
            <w:right w:val="none" w:sz="0" w:space="0" w:color="auto"/>
          </w:divBdr>
        </w:div>
        <w:div w:id="1346899735">
          <w:marLeft w:val="-115"/>
          <w:marRight w:val="-115"/>
          <w:marTop w:val="0"/>
          <w:marBottom w:val="0"/>
          <w:divBdr>
            <w:top w:val="none" w:sz="0" w:space="0" w:color="auto"/>
            <w:left w:val="none" w:sz="0" w:space="0" w:color="auto"/>
            <w:bottom w:val="none" w:sz="0" w:space="0" w:color="auto"/>
            <w:right w:val="none" w:sz="0" w:space="0" w:color="auto"/>
          </w:divBdr>
        </w:div>
        <w:div w:id="1488937110">
          <w:marLeft w:val="-115"/>
          <w:marRight w:val="-115"/>
          <w:marTop w:val="0"/>
          <w:marBottom w:val="0"/>
          <w:divBdr>
            <w:top w:val="none" w:sz="0" w:space="0" w:color="auto"/>
            <w:left w:val="none" w:sz="0" w:space="0" w:color="auto"/>
            <w:bottom w:val="none" w:sz="0" w:space="0" w:color="auto"/>
            <w:right w:val="none" w:sz="0" w:space="0" w:color="auto"/>
          </w:divBdr>
        </w:div>
        <w:div w:id="1586721014">
          <w:marLeft w:val="-115"/>
          <w:marRight w:val="-115"/>
          <w:marTop w:val="0"/>
          <w:marBottom w:val="0"/>
          <w:divBdr>
            <w:top w:val="none" w:sz="0" w:space="0" w:color="auto"/>
            <w:left w:val="none" w:sz="0" w:space="0" w:color="auto"/>
            <w:bottom w:val="none" w:sz="0" w:space="0" w:color="auto"/>
            <w:right w:val="none" w:sz="0" w:space="0" w:color="auto"/>
          </w:divBdr>
        </w:div>
        <w:div w:id="1640039828">
          <w:marLeft w:val="-115"/>
          <w:marRight w:val="-115"/>
          <w:marTop w:val="0"/>
          <w:marBottom w:val="0"/>
          <w:divBdr>
            <w:top w:val="none" w:sz="0" w:space="0" w:color="auto"/>
            <w:left w:val="none" w:sz="0" w:space="0" w:color="auto"/>
            <w:bottom w:val="none" w:sz="0" w:space="0" w:color="auto"/>
            <w:right w:val="none" w:sz="0" w:space="0" w:color="auto"/>
          </w:divBdr>
        </w:div>
        <w:div w:id="1650481572">
          <w:marLeft w:val="-115"/>
          <w:marRight w:val="-115"/>
          <w:marTop w:val="0"/>
          <w:marBottom w:val="0"/>
          <w:divBdr>
            <w:top w:val="none" w:sz="0" w:space="0" w:color="auto"/>
            <w:left w:val="none" w:sz="0" w:space="0" w:color="auto"/>
            <w:bottom w:val="none" w:sz="0" w:space="0" w:color="auto"/>
            <w:right w:val="none" w:sz="0" w:space="0" w:color="auto"/>
          </w:divBdr>
        </w:div>
        <w:div w:id="1669095283">
          <w:marLeft w:val="0"/>
          <w:marRight w:val="0"/>
          <w:marTop w:val="0"/>
          <w:marBottom w:val="0"/>
          <w:divBdr>
            <w:top w:val="none" w:sz="0" w:space="0" w:color="auto"/>
            <w:left w:val="none" w:sz="0" w:space="0" w:color="auto"/>
            <w:bottom w:val="none" w:sz="0" w:space="0" w:color="auto"/>
            <w:right w:val="none" w:sz="0" w:space="0" w:color="auto"/>
          </w:divBdr>
        </w:div>
        <w:div w:id="1856528896">
          <w:marLeft w:val="0"/>
          <w:marRight w:val="0"/>
          <w:marTop w:val="0"/>
          <w:marBottom w:val="0"/>
          <w:divBdr>
            <w:top w:val="none" w:sz="0" w:space="0" w:color="auto"/>
            <w:left w:val="none" w:sz="0" w:space="0" w:color="auto"/>
            <w:bottom w:val="none" w:sz="0" w:space="0" w:color="auto"/>
            <w:right w:val="none" w:sz="0" w:space="0" w:color="auto"/>
          </w:divBdr>
        </w:div>
        <w:div w:id="1964461305">
          <w:marLeft w:val="-115"/>
          <w:marRight w:val="-115"/>
          <w:marTop w:val="0"/>
          <w:marBottom w:val="0"/>
          <w:divBdr>
            <w:top w:val="none" w:sz="0" w:space="0" w:color="auto"/>
            <w:left w:val="none" w:sz="0" w:space="0" w:color="auto"/>
            <w:bottom w:val="none" w:sz="0" w:space="0" w:color="auto"/>
            <w:right w:val="none" w:sz="0" w:space="0" w:color="auto"/>
          </w:divBdr>
        </w:div>
        <w:div w:id="1979914630">
          <w:marLeft w:val="0"/>
          <w:marRight w:val="0"/>
          <w:marTop w:val="0"/>
          <w:marBottom w:val="0"/>
          <w:divBdr>
            <w:top w:val="none" w:sz="0" w:space="0" w:color="auto"/>
            <w:left w:val="none" w:sz="0" w:space="0" w:color="auto"/>
            <w:bottom w:val="none" w:sz="0" w:space="0" w:color="auto"/>
            <w:right w:val="none" w:sz="0" w:space="0" w:color="auto"/>
          </w:divBdr>
        </w:div>
        <w:div w:id="2044859122">
          <w:marLeft w:val="0"/>
          <w:marRight w:val="0"/>
          <w:marTop w:val="0"/>
          <w:marBottom w:val="0"/>
          <w:divBdr>
            <w:top w:val="none" w:sz="0" w:space="0" w:color="auto"/>
            <w:left w:val="none" w:sz="0" w:space="0" w:color="auto"/>
            <w:bottom w:val="none" w:sz="0" w:space="0" w:color="auto"/>
            <w:right w:val="none" w:sz="0" w:space="0" w:color="auto"/>
          </w:divBdr>
        </w:div>
      </w:divsChild>
    </w:div>
    <w:div w:id="187570716">
      <w:bodyDiv w:val="1"/>
      <w:marLeft w:val="0"/>
      <w:marRight w:val="0"/>
      <w:marTop w:val="0"/>
      <w:marBottom w:val="0"/>
      <w:divBdr>
        <w:top w:val="none" w:sz="0" w:space="0" w:color="auto"/>
        <w:left w:val="none" w:sz="0" w:space="0" w:color="auto"/>
        <w:bottom w:val="none" w:sz="0" w:space="0" w:color="auto"/>
        <w:right w:val="none" w:sz="0" w:space="0" w:color="auto"/>
      </w:divBdr>
    </w:div>
    <w:div w:id="216016598">
      <w:bodyDiv w:val="1"/>
      <w:marLeft w:val="0"/>
      <w:marRight w:val="0"/>
      <w:marTop w:val="0"/>
      <w:marBottom w:val="0"/>
      <w:divBdr>
        <w:top w:val="none" w:sz="0" w:space="0" w:color="auto"/>
        <w:left w:val="none" w:sz="0" w:space="0" w:color="auto"/>
        <w:bottom w:val="none" w:sz="0" w:space="0" w:color="auto"/>
        <w:right w:val="none" w:sz="0" w:space="0" w:color="auto"/>
      </w:divBdr>
    </w:div>
    <w:div w:id="217863360">
      <w:bodyDiv w:val="1"/>
      <w:marLeft w:val="0"/>
      <w:marRight w:val="0"/>
      <w:marTop w:val="0"/>
      <w:marBottom w:val="0"/>
      <w:divBdr>
        <w:top w:val="none" w:sz="0" w:space="0" w:color="auto"/>
        <w:left w:val="none" w:sz="0" w:space="0" w:color="auto"/>
        <w:bottom w:val="none" w:sz="0" w:space="0" w:color="auto"/>
        <w:right w:val="none" w:sz="0" w:space="0" w:color="auto"/>
      </w:divBdr>
    </w:div>
    <w:div w:id="224754428">
      <w:bodyDiv w:val="1"/>
      <w:marLeft w:val="0"/>
      <w:marRight w:val="0"/>
      <w:marTop w:val="0"/>
      <w:marBottom w:val="0"/>
      <w:divBdr>
        <w:top w:val="none" w:sz="0" w:space="0" w:color="auto"/>
        <w:left w:val="none" w:sz="0" w:space="0" w:color="auto"/>
        <w:bottom w:val="none" w:sz="0" w:space="0" w:color="auto"/>
        <w:right w:val="none" w:sz="0" w:space="0" w:color="auto"/>
      </w:divBdr>
    </w:div>
    <w:div w:id="225841842">
      <w:bodyDiv w:val="1"/>
      <w:marLeft w:val="0"/>
      <w:marRight w:val="0"/>
      <w:marTop w:val="0"/>
      <w:marBottom w:val="0"/>
      <w:divBdr>
        <w:top w:val="none" w:sz="0" w:space="0" w:color="auto"/>
        <w:left w:val="none" w:sz="0" w:space="0" w:color="auto"/>
        <w:bottom w:val="none" w:sz="0" w:space="0" w:color="auto"/>
        <w:right w:val="none" w:sz="0" w:space="0" w:color="auto"/>
      </w:divBdr>
    </w:div>
    <w:div w:id="230699643">
      <w:bodyDiv w:val="1"/>
      <w:marLeft w:val="0"/>
      <w:marRight w:val="0"/>
      <w:marTop w:val="0"/>
      <w:marBottom w:val="0"/>
      <w:divBdr>
        <w:top w:val="none" w:sz="0" w:space="0" w:color="auto"/>
        <w:left w:val="none" w:sz="0" w:space="0" w:color="auto"/>
        <w:bottom w:val="none" w:sz="0" w:space="0" w:color="auto"/>
        <w:right w:val="none" w:sz="0" w:space="0" w:color="auto"/>
      </w:divBdr>
      <w:divsChild>
        <w:div w:id="1668284576">
          <w:marLeft w:val="0"/>
          <w:marRight w:val="0"/>
          <w:marTop w:val="0"/>
          <w:marBottom w:val="81"/>
          <w:divBdr>
            <w:top w:val="none" w:sz="0" w:space="0" w:color="auto"/>
            <w:left w:val="none" w:sz="0" w:space="0" w:color="auto"/>
            <w:bottom w:val="none" w:sz="0" w:space="0" w:color="auto"/>
            <w:right w:val="none" w:sz="0" w:space="0" w:color="auto"/>
          </w:divBdr>
          <w:divsChild>
            <w:div w:id="893538733">
              <w:marLeft w:val="0"/>
              <w:marRight w:val="0"/>
              <w:marTop w:val="0"/>
              <w:marBottom w:val="81"/>
              <w:divBdr>
                <w:top w:val="none" w:sz="0" w:space="0" w:color="auto"/>
                <w:left w:val="none" w:sz="0" w:space="0" w:color="auto"/>
                <w:bottom w:val="none" w:sz="0" w:space="0" w:color="auto"/>
                <w:right w:val="none" w:sz="0" w:space="0" w:color="auto"/>
              </w:divBdr>
            </w:div>
            <w:div w:id="2109152577">
              <w:marLeft w:val="0"/>
              <w:marRight w:val="0"/>
              <w:marTop w:val="0"/>
              <w:marBottom w:val="0"/>
              <w:divBdr>
                <w:top w:val="none" w:sz="0" w:space="0" w:color="auto"/>
                <w:left w:val="none" w:sz="0" w:space="0" w:color="auto"/>
                <w:bottom w:val="none" w:sz="0" w:space="0" w:color="auto"/>
                <w:right w:val="none" w:sz="0" w:space="0" w:color="auto"/>
              </w:divBdr>
              <w:divsChild>
                <w:div w:id="17598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45481">
      <w:bodyDiv w:val="1"/>
      <w:marLeft w:val="0"/>
      <w:marRight w:val="0"/>
      <w:marTop w:val="0"/>
      <w:marBottom w:val="0"/>
      <w:divBdr>
        <w:top w:val="none" w:sz="0" w:space="0" w:color="auto"/>
        <w:left w:val="none" w:sz="0" w:space="0" w:color="auto"/>
        <w:bottom w:val="none" w:sz="0" w:space="0" w:color="auto"/>
        <w:right w:val="none" w:sz="0" w:space="0" w:color="auto"/>
      </w:divBdr>
    </w:div>
    <w:div w:id="239221472">
      <w:bodyDiv w:val="1"/>
      <w:marLeft w:val="0"/>
      <w:marRight w:val="0"/>
      <w:marTop w:val="0"/>
      <w:marBottom w:val="0"/>
      <w:divBdr>
        <w:top w:val="none" w:sz="0" w:space="0" w:color="auto"/>
        <w:left w:val="none" w:sz="0" w:space="0" w:color="auto"/>
        <w:bottom w:val="none" w:sz="0" w:space="0" w:color="auto"/>
        <w:right w:val="none" w:sz="0" w:space="0" w:color="auto"/>
      </w:divBdr>
    </w:div>
    <w:div w:id="259870917">
      <w:bodyDiv w:val="1"/>
      <w:marLeft w:val="0"/>
      <w:marRight w:val="0"/>
      <w:marTop w:val="0"/>
      <w:marBottom w:val="0"/>
      <w:divBdr>
        <w:top w:val="none" w:sz="0" w:space="0" w:color="auto"/>
        <w:left w:val="none" w:sz="0" w:space="0" w:color="auto"/>
        <w:bottom w:val="none" w:sz="0" w:space="0" w:color="auto"/>
        <w:right w:val="none" w:sz="0" w:space="0" w:color="auto"/>
      </w:divBdr>
    </w:div>
    <w:div w:id="260453537">
      <w:bodyDiv w:val="1"/>
      <w:marLeft w:val="0"/>
      <w:marRight w:val="0"/>
      <w:marTop w:val="0"/>
      <w:marBottom w:val="0"/>
      <w:divBdr>
        <w:top w:val="none" w:sz="0" w:space="0" w:color="auto"/>
        <w:left w:val="none" w:sz="0" w:space="0" w:color="auto"/>
        <w:bottom w:val="none" w:sz="0" w:space="0" w:color="auto"/>
        <w:right w:val="none" w:sz="0" w:space="0" w:color="auto"/>
      </w:divBdr>
    </w:div>
    <w:div w:id="272248394">
      <w:bodyDiv w:val="1"/>
      <w:marLeft w:val="0"/>
      <w:marRight w:val="0"/>
      <w:marTop w:val="0"/>
      <w:marBottom w:val="0"/>
      <w:divBdr>
        <w:top w:val="none" w:sz="0" w:space="0" w:color="auto"/>
        <w:left w:val="none" w:sz="0" w:space="0" w:color="auto"/>
        <w:bottom w:val="none" w:sz="0" w:space="0" w:color="auto"/>
        <w:right w:val="none" w:sz="0" w:space="0" w:color="auto"/>
      </w:divBdr>
    </w:div>
    <w:div w:id="279460530">
      <w:bodyDiv w:val="1"/>
      <w:marLeft w:val="0"/>
      <w:marRight w:val="0"/>
      <w:marTop w:val="0"/>
      <w:marBottom w:val="0"/>
      <w:divBdr>
        <w:top w:val="none" w:sz="0" w:space="0" w:color="auto"/>
        <w:left w:val="none" w:sz="0" w:space="0" w:color="auto"/>
        <w:bottom w:val="none" w:sz="0" w:space="0" w:color="auto"/>
        <w:right w:val="none" w:sz="0" w:space="0" w:color="auto"/>
      </w:divBdr>
      <w:divsChild>
        <w:div w:id="1001468545">
          <w:marLeft w:val="0"/>
          <w:marRight w:val="0"/>
          <w:marTop w:val="0"/>
          <w:marBottom w:val="81"/>
          <w:divBdr>
            <w:top w:val="none" w:sz="0" w:space="0" w:color="auto"/>
            <w:left w:val="none" w:sz="0" w:space="0" w:color="auto"/>
            <w:bottom w:val="none" w:sz="0" w:space="0" w:color="auto"/>
            <w:right w:val="none" w:sz="0" w:space="0" w:color="auto"/>
          </w:divBdr>
          <w:divsChild>
            <w:div w:id="242449939">
              <w:marLeft w:val="0"/>
              <w:marRight w:val="0"/>
              <w:marTop w:val="0"/>
              <w:marBottom w:val="0"/>
              <w:divBdr>
                <w:top w:val="none" w:sz="0" w:space="0" w:color="auto"/>
                <w:left w:val="none" w:sz="0" w:space="0" w:color="auto"/>
                <w:bottom w:val="none" w:sz="0" w:space="0" w:color="auto"/>
                <w:right w:val="none" w:sz="0" w:space="0" w:color="auto"/>
              </w:divBdr>
              <w:divsChild>
                <w:div w:id="116067853">
                  <w:marLeft w:val="0"/>
                  <w:marRight w:val="0"/>
                  <w:marTop w:val="0"/>
                  <w:marBottom w:val="0"/>
                  <w:divBdr>
                    <w:top w:val="none" w:sz="0" w:space="0" w:color="auto"/>
                    <w:left w:val="none" w:sz="0" w:space="0" w:color="auto"/>
                    <w:bottom w:val="none" w:sz="0" w:space="0" w:color="auto"/>
                    <w:right w:val="none" w:sz="0" w:space="0" w:color="auto"/>
                  </w:divBdr>
                </w:div>
              </w:divsChild>
            </w:div>
            <w:div w:id="1506746721">
              <w:marLeft w:val="0"/>
              <w:marRight w:val="0"/>
              <w:marTop w:val="0"/>
              <w:marBottom w:val="81"/>
              <w:divBdr>
                <w:top w:val="none" w:sz="0" w:space="0" w:color="auto"/>
                <w:left w:val="none" w:sz="0" w:space="0" w:color="auto"/>
                <w:bottom w:val="none" w:sz="0" w:space="0" w:color="auto"/>
                <w:right w:val="none" w:sz="0" w:space="0" w:color="auto"/>
              </w:divBdr>
            </w:div>
          </w:divsChild>
        </w:div>
        <w:div w:id="1348947475">
          <w:marLeft w:val="0"/>
          <w:marRight w:val="0"/>
          <w:marTop w:val="0"/>
          <w:marBottom w:val="0"/>
          <w:divBdr>
            <w:top w:val="none" w:sz="0" w:space="0" w:color="auto"/>
            <w:left w:val="none" w:sz="0" w:space="0" w:color="auto"/>
            <w:bottom w:val="none" w:sz="0" w:space="0" w:color="auto"/>
            <w:right w:val="none" w:sz="0" w:space="0" w:color="auto"/>
          </w:divBdr>
        </w:div>
      </w:divsChild>
    </w:div>
    <w:div w:id="279919621">
      <w:bodyDiv w:val="1"/>
      <w:marLeft w:val="0"/>
      <w:marRight w:val="0"/>
      <w:marTop w:val="0"/>
      <w:marBottom w:val="0"/>
      <w:divBdr>
        <w:top w:val="none" w:sz="0" w:space="0" w:color="auto"/>
        <w:left w:val="none" w:sz="0" w:space="0" w:color="auto"/>
        <w:bottom w:val="none" w:sz="0" w:space="0" w:color="auto"/>
        <w:right w:val="none" w:sz="0" w:space="0" w:color="auto"/>
      </w:divBdr>
    </w:div>
    <w:div w:id="280501026">
      <w:bodyDiv w:val="1"/>
      <w:marLeft w:val="0"/>
      <w:marRight w:val="0"/>
      <w:marTop w:val="0"/>
      <w:marBottom w:val="0"/>
      <w:divBdr>
        <w:top w:val="none" w:sz="0" w:space="0" w:color="auto"/>
        <w:left w:val="none" w:sz="0" w:space="0" w:color="auto"/>
        <w:bottom w:val="none" w:sz="0" w:space="0" w:color="auto"/>
        <w:right w:val="none" w:sz="0" w:space="0" w:color="auto"/>
      </w:divBdr>
    </w:div>
    <w:div w:id="283852160">
      <w:bodyDiv w:val="1"/>
      <w:marLeft w:val="0"/>
      <w:marRight w:val="0"/>
      <w:marTop w:val="0"/>
      <w:marBottom w:val="0"/>
      <w:divBdr>
        <w:top w:val="none" w:sz="0" w:space="0" w:color="auto"/>
        <w:left w:val="none" w:sz="0" w:space="0" w:color="auto"/>
        <w:bottom w:val="none" w:sz="0" w:space="0" w:color="auto"/>
        <w:right w:val="none" w:sz="0" w:space="0" w:color="auto"/>
      </w:divBdr>
    </w:div>
    <w:div w:id="290092275">
      <w:bodyDiv w:val="1"/>
      <w:marLeft w:val="0"/>
      <w:marRight w:val="0"/>
      <w:marTop w:val="0"/>
      <w:marBottom w:val="0"/>
      <w:divBdr>
        <w:top w:val="none" w:sz="0" w:space="0" w:color="auto"/>
        <w:left w:val="none" w:sz="0" w:space="0" w:color="auto"/>
        <w:bottom w:val="none" w:sz="0" w:space="0" w:color="auto"/>
        <w:right w:val="none" w:sz="0" w:space="0" w:color="auto"/>
      </w:divBdr>
    </w:div>
    <w:div w:id="293873128">
      <w:bodyDiv w:val="1"/>
      <w:marLeft w:val="0"/>
      <w:marRight w:val="0"/>
      <w:marTop w:val="0"/>
      <w:marBottom w:val="0"/>
      <w:divBdr>
        <w:top w:val="none" w:sz="0" w:space="0" w:color="auto"/>
        <w:left w:val="none" w:sz="0" w:space="0" w:color="auto"/>
        <w:bottom w:val="none" w:sz="0" w:space="0" w:color="auto"/>
        <w:right w:val="none" w:sz="0" w:space="0" w:color="auto"/>
      </w:divBdr>
    </w:div>
    <w:div w:id="297221692">
      <w:bodyDiv w:val="1"/>
      <w:marLeft w:val="0"/>
      <w:marRight w:val="0"/>
      <w:marTop w:val="0"/>
      <w:marBottom w:val="0"/>
      <w:divBdr>
        <w:top w:val="none" w:sz="0" w:space="0" w:color="auto"/>
        <w:left w:val="none" w:sz="0" w:space="0" w:color="auto"/>
        <w:bottom w:val="none" w:sz="0" w:space="0" w:color="auto"/>
        <w:right w:val="none" w:sz="0" w:space="0" w:color="auto"/>
      </w:divBdr>
      <w:divsChild>
        <w:div w:id="38939684">
          <w:marLeft w:val="1181"/>
          <w:marRight w:val="0"/>
          <w:marTop w:val="168"/>
          <w:marBottom w:val="0"/>
          <w:divBdr>
            <w:top w:val="none" w:sz="0" w:space="0" w:color="auto"/>
            <w:left w:val="none" w:sz="0" w:space="0" w:color="auto"/>
            <w:bottom w:val="none" w:sz="0" w:space="0" w:color="auto"/>
            <w:right w:val="none" w:sz="0" w:space="0" w:color="auto"/>
          </w:divBdr>
        </w:div>
        <w:div w:id="259683500">
          <w:marLeft w:val="475"/>
          <w:marRight w:val="0"/>
          <w:marTop w:val="168"/>
          <w:marBottom w:val="0"/>
          <w:divBdr>
            <w:top w:val="none" w:sz="0" w:space="0" w:color="auto"/>
            <w:left w:val="none" w:sz="0" w:space="0" w:color="auto"/>
            <w:bottom w:val="none" w:sz="0" w:space="0" w:color="auto"/>
            <w:right w:val="none" w:sz="0" w:space="0" w:color="auto"/>
          </w:divBdr>
        </w:div>
        <w:div w:id="297731300">
          <w:marLeft w:val="475"/>
          <w:marRight w:val="0"/>
          <w:marTop w:val="168"/>
          <w:marBottom w:val="0"/>
          <w:divBdr>
            <w:top w:val="none" w:sz="0" w:space="0" w:color="auto"/>
            <w:left w:val="none" w:sz="0" w:space="0" w:color="auto"/>
            <w:bottom w:val="none" w:sz="0" w:space="0" w:color="auto"/>
            <w:right w:val="none" w:sz="0" w:space="0" w:color="auto"/>
          </w:divBdr>
        </w:div>
        <w:div w:id="778840931">
          <w:marLeft w:val="475"/>
          <w:marRight w:val="0"/>
          <w:marTop w:val="168"/>
          <w:marBottom w:val="0"/>
          <w:divBdr>
            <w:top w:val="none" w:sz="0" w:space="0" w:color="auto"/>
            <w:left w:val="none" w:sz="0" w:space="0" w:color="auto"/>
            <w:bottom w:val="none" w:sz="0" w:space="0" w:color="auto"/>
            <w:right w:val="none" w:sz="0" w:space="0" w:color="auto"/>
          </w:divBdr>
        </w:div>
        <w:div w:id="1594051793">
          <w:marLeft w:val="475"/>
          <w:marRight w:val="0"/>
          <w:marTop w:val="168"/>
          <w:marBottom w:val="0"/>
          <w:divBdr>
            <w:top w:val="none" w:sz="0" w:space="0" w:color="auto"/>
            <w:left w:val="none" w:sz="0" w:space="0" w:color="auto"/>
            <w:bottom w:val="none" w:sz="0" w:space="0" w:color="auto"/>
            <w:right w:val="none" w:sz="0" w:space="0" w:color="auto"/>
          </w:divBdr>
        </w:div>
        <w:div w:id="1908107795">
          <w:marLeft w:val="1181"/>
          <w:marRight w:val="0"/>
          <w:marTop w:val="168"/>
          <w:marBottom w:val="0"/>
          <w:divBdr>
            <w:top w:val="none" w:sz="0" w:space="0" w:color="auto"/>
            <w:left w:val="none" w:sz="0" w:space="0" w:color="auto"/>
            <w:bottom w:val="none" w:sz="0" w:space="0" w:color="auto"/>
            <w:right w:val="none" w:sz="0" w:space="0" w:color="auto"/>
          </w:divBdr>
        </w:div>
      </w:divsChild>
    </w:div>
    <w:div w:id="304043471">
      <w:bodyDiv w:val="1"/>
      <w:marLeft w:val="0"/>
      <w:marRight w:val="0"/>
      <w:marTop w:val="0"/>
      <w:marBottom w:val="0"/>
      <w:divBdr>
        <w:top w:val="none" w:sz="0" w:space="0" w:color="auto"/>
        <w:left w:val="none" w:sz="0" w:space="0" w:color="auto"/>
        <w:bottom w:val="none" w:sz="0" w:space="0" w:color="auto"/>
        <w:right w:val="none" w:sz="0" w:space="0" w:color="auto"/>
      </w:divBdr>
    </w:div>
    <w:div w:id="307125901">
      <w:bodyDiv w:val="1"/>
      <w:marLeft w:val="0"/>
      <w:marRight w:val="0"/>
      <w:marTop w:val="0"/>
      <w:marBottom w:val="0"/>
      <w:divBdr>
        <w:top w:val="none" w:sz="0" w:space="0" w:color="auto"/>
        <w:left w:val="none" w:sz="0" w:space="0" w:color="auto"/>
        <w:bottom w:val="none" w:sz="0" w:space="0" w:color="auto"/>
        <w:right w:val="none" w:sz="0" w:space="0" w:color="auto"/>
      </w:divBdr>
    </w:div>
    <w:div w:id="314918103">
      <w:bodyDiv w:val="1"/>
      <w:marLeft w:val="0"/>
      <w:marRight w:val="0"/>
      <w:marTop w:val="0"/>
      <w:marBottom w:val="0"/>
      <w:divBdr>
        <w:top w:val="none" w:sz="0" w:space="0" w:color="auto"/>
        <w:left w:val="none" w:sz="0" w:space="0" w:color="auto"/>
        <w:bottom w:val="none" w:sz="0" w:space="0" w:color="auto"/>
        <w:right w:val="none" w:sz="0" w:space="0" w:color="auto"/>
      </w:divBdr>
    </w:div>
    <w:div w:id="320886358">
      <w:bodyDiv w:val="1"/>
      <w:marLeft w:val="0"/>
      <w:marRight w:val="0"/>
      <w:marTop w:val="0"/>
      <w:marBottom w:val="0"/>
      <w:divBdr>
        <w:top w:val="none" w:sz="0" w:space="0" w:color="auto"/>
        <w:left w:val="none" w:sz="0" w:space="0" w:color="auto"/>
        <w:bottom w:val="none" w:sz="0" w:space="0" w:color="auto"/>
        <w:right w:val="none" w:sz="0" w:space="0" w:color="auto"/>
      </w:divBdr>
    </w:div>
    <w:div w:id="321587812">
      <w:bodyDiv w:val="1"/>
      <w:marLeft w:val="0"/>
      <w:marRight w:val="0"/>
      <w:marTop w:val="0"/>
      <w:marBottom w:val="0"/>
      <w:divBdr>
        <w:top w:val="none" w:sz="0" w:space="0" w:color="auto"/>
        <w:left w:val="none" w:sz="0" w:space="0" w:color="auto"/>
        <w:bottom w:val="none" w:sz="0" w:space="0" w:color="auto"/>
        <w:right w:val="none" w:sz="0" w:space="0" w:color="auto"/>
      </w:divBdr>
    </w:div>
    <w:div w:id="322900126">
      <w:bodyDiv w:val="1"/>
      <w:marLeft w:val="0"/>
      <w:marRight w:val="0"/>
      <w:marTop w:val="0"/>
      <w:marBottom w:val="0"/>
      <w:divBdr>
        <w:top w:val="none" w:sz="0" w:space="0" w:color="auto"/>
        <w:left w:val="none" w:sz="0" w:space="0" w:color="auto"/>
        <w:bottom w:val="none" w:sz="0" w:space="0" w:color="auto"/>
        <w:right w:val="none" w:sz="0" w:space="0" w:color="auto"/>
      </w:divBdr>
    </w:div>
    <w:div w:id="323632796">
      <w:bodyDiv w:val="1"/>
      <w:marLeft w:val="0"/>
      <w:marRight w:val="0"/>
      <w:marTop w:val="0"/>
      <w:marBottom w:val="0"/>
      <w:divBdr>
        <w:top w:val="none" w:sz="0" w:space="0" w:color="auto"/>
        <w:left w:val="none" w:sz="0" w:space="0" w:color="auto"/>
        <w:bottom w:val="none" w:sz="0" w:space="0" w:color="auto"/>
        <w:right w:val="none" w:sz="0" w:space="0" w:color="auto"/>
      </w:divBdr>
      <w:divsChild>
        <w:div w:id="672874820">
          <w:marLeft w:val="475"/>
          <w:marRight w:val="0"/>
          <w:marTop w:val="168"/>
          <w:marBottom w:val="0"/>
          <w:divBdr>
            <w:top w:val="none" w:sz="0" w:space="0" w:color="auto"/>
            <w:left w:val="none" w:sz="0" w:space="0" w:color="auto"/>
            <w:bottom w:val="none" w:sz="0" w:space="0" w:color="auto"/>
            <w:right w:val="none" w:sz="0" w:space="0" w:color="auto"/>
          </w:divBdr>
        </w:div>
        <w:div w:id="1151598951">
          <w:marLeft w:val="475"/>
          <w:marRight w:val="0"/>
          <w:marTop w:val="168"/>
          <w:marBottom w:val="0"/>
          <w:divBdr>
            <w:top w:val="none" w:sz="0" w:space="0" w:color="auto"/>
            <w:left w:val="none" w:sz="0" w:space="0" w:color="auto"/>
            <w:bottom w:val="none" w:sz="0" w:space="0" w:color="auto"/>
            <w:right w:val="none" w:sz="0" w:space="0" w:color="auto"/>
          </w:divBdr>
        </w:div>
        <w:div w:id="1716273751">
          <w:marLeft w:val="1181"/>
          <w:marRight w:val="0"/>
          <w:marTop w:val="168"/>
          <w:marBottom w:val="0"/>
          <w:divBdr>
            <w:top w:val="none" w:sz="0" w:space="0" w:color="auto"/>
            <w:left w:val="none" w:sz="0" w:space="0" w:color="auto"/>
            <w:bottom w:val="none" w:sz="0" w:space="0" w:color="auto"/>
            <w:right w:val="none" w:sz="0" w:space="0" w:color="auto"/>
          </w:divBdr>
        </w:div>
        <w:div w:id="2064408393">
          <w:marLeft w:val="475"/>
          <w:marRight w:val="0"/>
          <w:marTop w:val="168"/>
          <w:marBottom w:val="0"/>
          <w:divBdr>
            <w:top w:val="none" w:sz="0" w:space="0" w:color="auto"/>
            <w:left w:val="none" w:sz="0" w:space="0" w:color="auto"/>
            <w:bottom w:val="none" w:sz="0" w:space="0" w:color="auto"/>
            <w:right w:val="none" w:sz="0" w:space="0" w:color="auto"/>
          </w:divBdr>
        </w:div>
      </w:divsChild>
    </w:div>
    <w:div w:id="325211883">
      <w:bodyDiv w:val="1"/>
      <w:marLeft w:val="0"/>
      <w:marRight w:val="0"/>
      <w:marTop w:val="0"/>
      <w:marBottom w:val="0"/>
      <w:divBdr>
        <w:top w:val="none" w:sz="0" w:space="0" w:color="auto"/>
        <w:left w:val="none" w:sz="0" w:space="0" w:color="auto"/>
        <w:bottom w:val="none" w:sz="0" w:space="0" w:color="auto"/>
        <w:right w:val="none" w:sz="0" w:space="0" w:color="auto"/>
      </w:divBdr>
    </w:div>
    <w:div w:id="329598005">
      <w:bodyDiv w:val="1"/>
      <w:marLeft w:val="0"/>
      <w:marRight w:val="0"/>
      <w:marTop w:val="0"/>
      <w:marBottom w:val="0"/>
      <w:divBdr>
        <w:top w:val="none" w:sz="0" w:space="0" w:color="auto"/>
        <w:left w:val="none" w:sz="0" w:space="0" w:color="auto"/>
        <w:bottom w:val="none" w:sz="0" w:space="0" w:color="auto"/>
        <w:right w:val="none" w:sz="0" w:space="0" w:color="auto"/>
      </w:divBdr>
    </w:div>
    <w:div w:id="340203928">
      <w:bodyDiv w:val="1"/>
      <w:marLeft w:val="0"/>
      <w:marRight w:val="0"/>
      <w:marTop w:val="0"/>
      <w:marBottom w:val="0"/>
      <w:divBdr>
        <w:top w:val="none" w:sz="0" w:space="0" w:color="auto"/>
        <w:left w:val="none" w:sz="0" w:space="0" w:color="auto"/>
        <w:bottom w:val="none" w:sz="0" w:space="0" w:color="auto"/>
        <w:right w:val="none" w:sz="0" w:space="0" w:color="auto"/>
      </w:divBdr>
    </w:div>
    <w:div w:id="348333183">
      <w:bodyDiv w:val="1"/>
      <w:marLeft w:val="0"/>
      <w:marRight w:val="0"/>
      <w:marTop w:val="0"/>
      <w:marBottom w:val="0"/>
      <w:divBdr>
        <w:top w:val="none" w:sz="0" w:space="0" w:color="auto"/>
        <w:left w:val="none" w:sz="0" w:space="0" w:color="auto"/>
        <w:bottom w:val="none" w:sz="0" w:space="0" w:color="auto"/>
        <w:right w:val="none" w:sz="0" w:space="0" w:color="auto"/>
      </w:divBdr>
    </w:div>
    <w:div w:id="353462066">
      <w:bodyDiv w:val="1"/>
      <w:marLeft w:val="0"/>
      <w:marRight w:val="0"/>
      <w:marTop w:val="0"/>
      <w:marBottom w:val="0"/>
      <w:divBdr>
        <w:top w:val="none" w:sz="0" w:space="0" w:color="auto"/>
        <w:left w:val="none" w:sz="0" w:space="0" w:color="auto"/>
        <w:bottom w:val="none" w:sz="0" w:space="0" w:color="auto"/>
        <w:right w:val="none" w:sz="0" w:space="0" w:color="auto"/>
      </w:divBdr>
    </w:div>
    <w:div w:id="359933590">
      <w:bodyDiv w:val="1"/>
      <w:marLeft w:val="0"/>
      <w:marRight w:val="0"/>
      <w:marTop w:val="0"/>
      <w:marBottom w:val="0"/>
      <w:divBdr>
        <w:top w:val="none" w:sz="0" w:space="0" w:color="auto"/>
        <w:left w:val="none" w:sz="0" w:space="0" w:color="auto"/>
        <w:bottom w:val="none" w:sz="0" w:space="0" w:color="auto"/>
        <w:right w:val="none" w:sz="0" w:space="0" w:color="auto"/>
      </w:divBdr>
    </w:div>
    <w:div w:id="366566216">
      <w:bodyDiv w:val="1"/>
      <w:marLeft w:val="0"/>
      <w:marRight w:val="0"/>
      <w:marTop w:val="0"/>
      <w:marBottom w:val="0"/>
      <w:divBdr>
        <w:top w:val="none" w:sz="0" w:space="0" w:color="auto"/>
        <w:left w:val="none" w:sz="0" w:space="0" w:color="auto"/>
        <w:bottom w:val="none" w:sz="0" w:space="0" w:color="auto"/>
        <w:right w:val="none" w:sz="0" w:space="0" w:color="auto"/>
      </w:divBdr>
    </w:div>
    <w:div w:id="367418226">
      <w:bodyDiv w:val="1"/>
      <w:marLeft w:val="0"/>
      <w:marRight w:val="0"/>
      <w:marTop w:val="0"/>
      <w:marBottom w:val="0"/>
      <w:divBdr>
        <w:top w:val="none" w:sz="0" w:space="0" w:color="auto"/>
        <w:left w:val="none" w:sz="0" w:space="0" w:color="auto"/>
        <w:bottom w:val="none" w:sz="0" w:space="0" w:color="auto"/>
        <w:right w:val="none" w:sz="0" w:space="0" w:color="auto"/>
      </w:divBdr>
    </w:div>
    <w:div w:id="371463242">
      <w:bodyDiv w:val="1"/>
      <w:marLeft w:val="0"/>
      <w:marRight w:val="0"/>
      <w:marTop w:val="0"/>
      <w:marBottom w:val="0"/>
      <w:divBdr>
        <w:top w:val="none" w:sz="0" w:space="0" w:color="auto"/>
        <w:left w:val="none" w:sz="0" w:space="0" w:color="auto"/>
        <w:bottom w:val="none" w:sz="0" w:space="0" w:color="auto"/>
        <w:right w:val="none" w:sz="0" w:space="0" w:color="auto"/>
      </w:divBdr>
    </w:div>
    <w:div w:id="375394017">
      <w:bodyDiv w:val="1"/>
      <w:marLeft w:val="0"/>
      <w:marRight w:val="0"/>
      <w:marTop w:val="0"/>
      <w:marBottom w:val="0"/>
      <w:divBdr>
        <w:top w:val="none" w:sz="0" w:space="0" w:color="auto"/>
        <w:left w:val="none" w:sz="0" w:space="0" w:color="auto"/>
        <w:bottom w:val="none" w:sz="0" w:space="0" w:color="auto"/>
        <w:right w:val="none" w:sz="0" w:space="0" w:color="auto"/>
      </w:divBdr>
    </w:div>
    <w:div w:id="377510636">
      <w:bodyDiv w:val="1"/>
      <w:marLeft w:val="0"/>
      <w:marRight w:val="0"/>
      <w:marTop w:val="0"/>
      <w:marBottom w:val="0"/>
      <w:divBdr>
        <w:top w:val="none" w:sz="0" w:space="0" w:color="auto"/>
        <w:left w:val="none" w:sz="0" w:space="0" w:color="auto"/>
        <w:bottom w:val="none" w:sz="0" w:space="0" w:color="auto"/>
        <w:right w:val="none" w:sz="0" w:space="0" w:color="auto"/>
      </w:divBdr>
    </w:div>
    <w:div w:id="379214223">
      <w:bodyDiv w:val="1"/>
      <w:marLeft w:val="0"/>
      <w:marRight w:val="0"/>
      <w:marTop w:val="0"/>
      <w:marBottom w:val="0"/>
      <w:divBdr>
        <w:top w:val="none" w:sz="0" w:space="0" w:color="auto"/>
        <w:left w:val="none" w:sz="0" w:space="0" w:color="auto"/>
        <w:bottom w:val="none" w:sz="0" w:space="0" w:color="auto"/>
        <w:right w:val="none" w:sz="0" w:space="0" w:color="auto"/>
      </w:divBdr>
    </w:div>
    <w:div w:id="379322891">
      <w:bodyDiv w:val="1"/>
      <w:marLeft w:val="0"/>
      <w:marRight w:val="0"/>
      <w:marTop w:val="0"/>
      <w:marBottom w:val="0"/>
      <w:divBdr>
        <w:top w:val="none" w:sz="0" w:space="0" w:color="auto"/>
        <w:left w:val="none" w:sz="0" w:space="0" w:color="auto"/>
        <w:bottom w:val="none" w:sz="0" w:space="0" w:color="auto"/>
        <w:right w:val="none" w:sz="0" w:space="0" w:color="auto"/>
      </w:divBdr>
      <w:divsChild>
        <w:div w:id="222833447">
          <w:marLeft w:val="0"/>
          <w:marRight w:val="0"/>
          <w:marTop w:val="0"/>
          <w:marBottom w:val="81"/>
          <w:divBdr>
            <w:top w:val="none" w:sz="0" w:space="0" w:color="auto"/>
            <w:left w:val="none" w:sz="0" w:space="0" w:color="auto"/>
            <w:bottom w:val="none" w:sz="0" w:space="0" w:color="auto"/>
            <w:right w:val="none" w:sz="0" w:space="0" w:color="auto"/>
          </w:divBdr>
          <w:divsChild>
            <w:div w:id="816653203">
              <w:marLeft w:val="0"/>
              <w:marRight w:val="0"/>
              <w:marTop w:val="0"/>
              <w:marBottom w:val="81"/>
              <w:divBdr>
                <w:top w:val="none" w:sz="0" w:space="0" w:color="auto"/>
                <w:left w:val="none" w:sz="0" w:space="0" w:color="auto"/>
                <w:bottom w:val="none" w:sz="0" w:space="0" w:color="auto"/>
                <w:right w:val="none" w:sz="0" w:space="0" w:color="auto"/>
              </w:divBdr>
            </w:div>
            <w:div w:id="1788811066">
              <w:marLeft w:val="0"/>
              <w:marRight w:val="0"/>
              <w:marTop w:val="0"/>
              <w:marBottom w:val="0"/>
              <w:divBdr>
                <w:top w:val="none" w:sz="0" w:space="0" w:color="auto"/>
                <w:left w:val="none" w:sz="0" w:space="0" w:color="auto"/>
                <w:bottom w:val="none" w:sz="0" w:space="0" w:color="auto"/>
                <w:right w:val="none" w:sz="0" w:space="0" w:color="auto"/>
              </w:divBdr>
              <w:divsChild>
                <w:div w:id="11835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0793">
      <w:bodyDiv w:val="1"/>
      <w:marLeft w:val="0"/>
      <w:marRight w:val="0"/>
      <w:marTop w:val="0"/>
      <w:marBottom w:val="0"/>
      <w:divBdr>
        <w:top w:val="none" w:sz="0" w:space="0" w:color="auto"/>
        <w:left w:val="none" w:sz="0" w:space="0" w:color="auto"/>
        <w:bottom w:val="none" w:sz="0" w:space="0" w:color="auto"/>
        <w:right w:val="none" w:sz="0" w:space="0" w:color="auto"/>
      </w:divBdr>
    </w:div>
    <w:div w:id="391931334">
      <w:bodyDiv w:val="1"/>
      <w:marLeft w:val="0"/>
      <w:marRight w:val="0"/>
      <w:marTop w:val="0"/>
      <w:marBottom w:val="0"/>
      <w:divBdr>
        <w:top w:val="none" w:sz="0" w:space="0" w:color="auto"/>
        <w:left w:val="none" w:sz="0" w:space="0" w:color="auto"/>
        <w:bottom w:val="none" w:sz="0" w:space="0" w:color="auto"/>
        <w:right w:val="none" w:sz="0" w:space="0" w:color="auto"/>
      </w:divBdr>
    </w:div>
    <w:div w:id="396244943">
      <w:bodyDiv w:val="1"/>
      <w:marLeft w:val="0"/>
      <w:marRight w:val="0"/>
      <w:marTop w:val="0"/>
      <w:marBottom w:val="0"/>
      <w:divBdr>
        <w:top w:val="none" w:sz="0" w:space="0" w:color="auto"/>
        <w:left w:val="none" w:sz="0" w:space="0" w:color="auto"/>
        <w:bottom w:val="none" w:sz="0" w:space="0" w:color="auto"/>
        <w:right w:val="none" w:sz="0" w:space="0" w:color="auto"/>
      </w:divBdr>
    </w:div>
    <w:div w:id="399333868">
      <w:bodyDiv w:val="1"/>
      <w:marLeft w:val="0"/>
      <w:marRight w:val="0"/>
      <w:marTop w:val="0"/>
      <w:marBottom w:val="0"/>
      <w:divBdr>
        <w:top w:val="none" w:sz="0" w:space="0" w:color="auto"/>
        <w:left w:val="none" w:sz="0" w:space="0" w:color="auto"/>
        <w:bottom w:val="none" w:sz="0" w:space="0" w:color="auto"/>
        <w:right w:val="none" w:sz="0" w:space="0" w:color="auto"/>
      </w:divBdr>
    </w:div>
    <w:div w:id="400258219">
      <w:bodyDiv w:val="1"/>
      <w:marLeft w:val="0"/>
      <w:marRight w:val="0"/>
      <w:marTop w:val="0"/>
      <w:marBottom w:val="0"/>
      <w:divBdr>
        <w:top w:val="none" w:sz="0" w:space="0" w:color="auto"/>
        <w:left w:val="none" w:sz="0" w:space="0" w:color="auto"/>
        <w:bottom w:val="none" w:sz="0" w:space="0" w:color="auto"/>
        <w:right w:val="none" w:sz="0" w:space="0" w:color="auto"/>
      </w:divBdr>
      <w:divsChild>
        <w:div w:id="1090587119">
          <w:marLeft w:val="0"/>
          <w:marRight w:val="0"/>
          <w:marTop w:val="0"/>
          <w:marBottom w:val="81"/>
          <w:divBdr>
            <w:top w:val="none" w:sz="0" w:space="0" w:color="auto"/>
            <w:left w:val="none" w:sz="0" w:space="0" w:color="auto"/>
            <w:bottom w:val="none" w:sz="0" w:space="0" w:color="auto"/>
            <w:right w:val="none" w:sz="0" w:space="0" w:color="auto"/>
          </w:divBdr>
          <w:divsChild>
            <w:div w:id="50420560">
              <w:marLeft w:val="0"/>
              <w:marRight w:val="0"/>
              <w:marTop w:val="0"/>
              <w:marBottom w:val="0"/>
              <w:divBdr>
                <w:top w:val="none" w:sz="0" w:space="0" w:color="auto"/>
                <w:left w:val="none" w:sz="0" w:space="0" w:color="auto"/>
                <w:bottom w:val="none" w:sz="0" w:space="0" w:color="auto"/>
                <w:right w:val="none" w:sz="0" w:space="0" w:color="auto"/>
              </w:divBdr>
              <w:divsChild>
                <w:div w:id="573196970">
                  <w:marLeft w:val="0"/>
                  <w:marRight w:val="0"/>
                  <w:marTop w:val="0"/>
                  <w:marBottom w:val="0"/>
                  <w:divBdr>
                    <w:top w:val="none" w:sz="0" w:space="0" w:color="auto"/>
                    <w:left w:val="none" w:sz="0" w:space="0" w:color="auto"/>
                    <w:bottom w:val="none" w:sz="0" w:space="0" w:color="auto"/>
                    <w:right w:val="none" w:sz="0" w:space="0" w:color="auto"/>
                  </w:divBdr>
                  <w:divsChild>
                    <w:div w:id="13513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4958">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404959631">
      <w:bodyDiv w:val="1"/>
      <w:marLeft w:val="0"/>
      <w:marRight w:val="0"/>
      <w:marTop w:val="0"/>
      <w:marBottom w:val="0"/>
      <w:divBdr>
        <w:top w:val="none" w:sz="0" w:space="0" w:color="auto"/>
        <w:left w:val="none" w:sz="0" w:space="0" w:color="auto"/>
        <w:bottom w:val="none" w:sz="0" w:space="0" w:color="auto"/>
        <w:right w:val="none" w:sz="0" w:space="0" w:color="auto"/>
      </w:divBdr>
      <w:divsChild>
        <w:div w:id="794760187">
          <w:marLeft w:val="0"/>
          <w:marRight w:val="0"/>
          <w:marTop w:val="0"/>
          <w:marBottom w:val="0"/>
          <w:divBdr>
            <w:top w:val="none" w:sz="0" w:space="0" w:color="auto"/>
            <w:left w:val="none" w:sz="0" w:space="0" w:color="auto"/>
            <w:bottom w:val="none" w:sz="0" w:space="0" w:color="auto"/>
            <w:right w:val="none" w:sz="0" w:space="0" w:color="auto"/>
          </w:divBdr>
          <w:divsChild>
            <w:div w:id="2129081155">
              <w:marLeft w:val="0"/>
              <w:marRight w:val="0"/>
              <w:marTop w:val="0"/>
              <w:marBottom w:val="0"/>
              <w:divBdr>
                <w:top w:val="none" w:sz="0" w:space="0" w:color="auto"/>
                <w:left w:val="none" w:sz="0" w:space="0" w:color="auto"/>
                <w:bottom w:val="none" w:sz="0" w:space="0" w:color="auto"/>
                <w:right w:val="none" w:sz="0" w:space="0" w:color="auto"/>
              </w:divBdr>
              <w:divsChild>
                <w:div w:id="1063210997">
                  <w:marLeft w:val="0"/>
                  <w:marRight w:val="0"/>
                  <w:marTop w:val="0"/>
                  <w:marBottom w:val="0"/>
                  <w:divBdr>
                    <w:top w:val="none" w:sz="0" w:space="0" w:color="auto"/>
                    <w:left w:val="none" w:sz="0" w:space="0" w:color="auto"/>
                    <w:bottom w:val="none" w:sz="0" w:space="0" w:color="auto"/>
                    <w:right w:val="none" w:sz="0" w:space="0" w:color="auto"/>
                  </w:divBdr>
                  <w:divsChild>
                    <w:div w:id="1394085086">
                      <w:marLeft w:val="0"/>
                      <w:marRight w:val="0"/>
                      <w:marTop w:val="0"/>
                      <w:marBottom w:val="0"/>
                      <w:divBdr>
                        <w:top w:val="none" w:sz="0" w:space="0" w:color="auto"/>
                        <w:left w:val="none" w:sz="0" w:space="0" w:color="auto"/>
                        <w:bottom w:val="none" w:sz="0" w:space="0" w:color="auto"/>
                        <w:right w:val="none" w:sz="0" w:space="0" w:color="auto"/>
                      </w:divBdr>
                      <w:divsChild>
                        <w:div w:id="6659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770412">
      <w:bodyDiv w:val="1"/>
      <w:marLeft w:val="0"/>
      <w:marRight w:val="0"/>
      <w:marTop w:val="0"/>
      <w:marBottom w:val="0"/>
      <w:divBdr>
        <w:top w:val="none" w:sz="0" w:space="0" w:color="auto"/>
        <w:left w:val="none" w:sz="0" w:space="0" w:color="auto"/>
        <w:bottom w:val="none" w:sz="0" w:space="0" w:color="auto"/>
        <w:right w:val="none" w:sz="0" w:space="0" w:color="auto"/>
      </w:divBdr>
    </w:div>
    <w:div w:id="414205750">
      <w:bodyDiv w:val="1"/>
      <w:marLeft w:val="0"/>
      <w:marRight w:val="0"/>
      <w:marTop w:val="0"/>
      <w:marBottom w:val="0"/>
      <w:divBdr>
        <w:top w:val="none" w:sz="0" w:space="0" w:color="auto"/>
        <w:left w:val="none" w:sz="0" w:space="0" w:color="auto"/>
        <w:bottom w:val="none" w:sz="0" w:space="0" w:color="auto"/>
        <w:right w:val="none" w:sz="0" w:space="0" w:color="auto"/>
      </w:divBdr>
    </w:div>
    <w:div w:id="419907671">
      <w:bodyDiv w:val="1"/>
      <w:marLeft w:val="0"/>
      <w:marRight w:val="0"/>
      <w:marTop w:val="0"/>
      <w:marBottom w:val="0"/>
      <w:divBdr>
        <w:top w:val="none" w:sz="0" w:space="0" w:color="auto"/>
        <w:left w:val="none" w:sz="0" w:space="0" w:color="auto"/>
        <w:bottom w:val="none" w:sz="0" w:space="0" w:color="auto"/>
        <w:right w:val="none" w:sz="0" w:space="0" w:color="auto"/>
      </w:divBdr>
    </w:div>
    <w:div w:id="421412770">
      <w:bodyDiv w:val="1"/>
      <w:marLeft w:val="0"/>
      <w:marRight w:val="0"/>
      <w:marTop w:val="0"/>
      <w:marBottom w:val="0"/>
      <w:divBdr>
        <w:top w:val="none" w:sz="0" w:space="0" w:color="auto"/>
        <w:left w:val="none" w:sz="0" w:space="0" w:color="auto"/>
        <w:bottom w:val="none" w:sz="0" w:space="0" w:color="auto"/>
        <w:right w:val="none" w:sz="0" w:space="0" w:color="auto"/>
      </w:divBdr>
    </w:div>
    <w:div w:id="424225451">
      <w:bodyDiv w:val="1"/>
      <w:marLeft w:val="0"/>
      <w:marRight w:val="0"/>
      <w:marTop w:val="0"/>
      <w:marBottom w:val="0"/>
      <w:divBdr>
        <w:top w:val="none" w:sz="0" w:space="0" w:color="auto"/>
        <w:left w:val="none" w:sz="0" w:space="0" w:color="auto"/>
        <w:bottom w:val="none" w:sz="0" w:space="0" w:color="auto"/>
        <w:right w:val="none" w:sz="0" w:space="0" w:color="auto"/>
      </w:divBdr>
    </w:div>
    <w:div w:id="425342305">
      <w:bodyDiv w:val="1"/>
      <w:marLeft w:val="0"/>
      <w:marRight w:val="0"/>
      <w:marTop w:val="0"/>
      <w:marBottom w:val="0"/>
      <w:divBdr>
        <w:top w:val="none" w:sz="0" w:space="0" w:color="auto"/>
        <w:left w:val="none" w:sz="0" w:space="0" w:color="auto"/>
        <w:bottom w:val="none" w:sz="0" w:space="0" w:color="auto"/>
        <w:right w:val="none" w:sz="0" w:space="0" w:color="auto"/>
      </w:divBdr>
      <w:divsChild>
        <w:div w:id="209154302">
          <w:marLeft w:val="418"/>
          <w:marRight w:val="0"/>
          <w:marTop w:val="192"/>
          <w:marBottom w:val="58"/>
          <w:divBdr>
            <w:top w:val="none" w:sz="0" w:space="0" w:color="auto"/>
            <w:left w:val="none" w:sz="0" w:space="0" w:color="auto"/>
            <w:bottom w:val="none" w:sz="0" w:space="0" w:color="auto"/>
            <w:right w:val="none" w:sz="0" w:space="0" w:color="auto"/>
          </w:divBdr>
        </w:div>
        <w:div w:id="2082287336">
          <w:marLeft w:val="418"/>
          <w:marRight w:val="0"/>
          <w:marTop w:val="192"/>
          <w:marBottom w:val="58"/>
          <w:divBdr>
            <w:top w:val="none" w:sz="0" w:space="0" w:color="auto"/>
            <w:left w:val="none" w:sz="0" w:space="0" w:color="auto"/>
            <w:bottom w:val="none" w:sz="0" w:space="0" w:color="auto"/>
            <w:right w:val="none" w:sz="0" w:space="0" w:color="auto"/>
          </w:divBdr>
        </w:div>
      </w:divsChild>
    </w:div>
    <w:div w:id="426460230">
      <w:bodyDiv w:val="1"/>
      <w:marLeft w:val="0"/>
      <w:marRight w:val="0"/>
      <w:marTop w:val="0"/>
      <w:marBottom w:val="0"/>
      <w:divBdr>
        <w:top w:val="none" w:sz="0" w:space="0" w:color="auto"/>
        <w:left w:val="none" w:sz="0" w:space="0" w:color="auto"/>
        <w:bottom w:val="none" w:sz="0" w:space="0" w:color="auto"/>
        <w:right w:val="none" w:sz="0" w:space="0" w:color="auto"/>
      </w:divBdr>
    </w:div>
    <w:div w:id="427312427">
      <w:bodyDiv w:val="1"/>
      <w:marLeft w:val="0"/>
      <w:marRight w:val="0"/>
      <w:marTop w:val="0"/>
      <w:marBottom w:val="0"/>
      <w:divBdr>
        <w:top w:val="none" w:sz="0" w:space="0" w:color="auto"/>
        <w:left w:val="none" w:sz="0" w:space="0" w:color="auto"/>
        <w:bottom w:val="none" w:sz="0" w:space="0" w:color="auto"/>
        <w:right w:val="none" w:sz="0" w:space="0" w:color="auto"/>
      </w:divBdr>
    </w:div>
    <w:div w:id="429618025">
      <w:bodyDiv w:val="1"/>
      <w:marLeft w:val="0"/>
      <w:marRight w:val="0"/>
      <w:marTop w:val="0"/>
      <w:marBottom w:val="0"/>
      <w:divBdr>
        <w:top w:val="none" w:sz="0" w:space="0" w:color="auto"/>
        <w:left w:val="none" w:sz="0" w:space="0" w:color="auto"/>
        <w:bottom w:val="none" w:sz="0" w:space="0" w:color="auto"/>
        <w:right w:val="none" w:sz="0" w:space="0" w:color="auto"/>
      </w:divBdr>
    </w:div>
    <w:div w:id="430274127">
      <w:bodyDiv w:val="1"/>
      <w:marLeft w:val="0"/>
      <w:marRight w:val="0"/>
      <w:marTop w:val="0"/>
      <w:marBottom w:val="0"/>
      <w:divBdr>
        <w:top w:val="none" w:sz="0" w:space="0" w:color="auto"/>
        <w:left w:val="none" w:sz="0" w:space="0" w:color="auto"/>
        <w:bottom w:val="none" w:sz="0" w:space="0" w:color="auto"/>
        <w:right w:val="none" w:sz="0" w:space="0" w:color="auto"/>
      </w:divBdr>
    </w:div>
    <w:div w:id="431559795">
      <w:bodyDiv w:val="1"/>
      <w:marLeft w:val="0"/>
      <w:marRight w:val="0"/>
      <w:marTop w:val="0"/>
      <w:marBottom w:val="0"/>
      <w:divBdr>
        <w:top w:val="none" w:sz="0" w:space="0" w:color="auto"/>
        <w:left w:val="none" w:sz="0" w:space="0" w:color="auto"/>
        <w:bottom w:val="none" w:sz="0" w:space="0" w:color="auto"/>
        <w:right w:val="none" w:sz="0" w:space="0" w:color="auto"/>
      </w:divBdr>
    </w:div>
    <w:div w:id="434522122">
      <w:bodyDiv w:val="1"/>
      <w:marLeft w:val="0"/>
      <w:marRight w:val="0"/>
      <w:marTop w:val="0"/>
      <w:marBottom w:val="0"/>
      <w:divBdr>
        <w:top w:val="none" w:sz="0" w:space="0" w:color="auto"/>
        <w:left w:val="none" w:sz="0" w:space="0" w:color="auto"/>
        <w:bottom w:val="none" w:sz="0" w:space="0" w:color="auto"/>
        <w:right w:val="none" w:sz="0" w:space="0" w:color="auto"/>
      </w:divBdr>
      <w:divsChild>
        <w:div w:id="1483237180">
          <w:marLeft w:val="0"/>
          <w:marRight w:val="0"/>
          <w:marTop w:val="0"/>
          <w:marBottom w:val="0"/>
          <w:divBdr>
            <w:top w:val="none" w:sz="0" w:space="0" w:color="auto"/>
            <w:left w:val="none" w:sz="0" w:space="0" w:color="auto"/>
            <w:bottom w:val="none" w:sz="0" w:space="0" w:color="auto"/>
            <w:right w:val="none" w:sz="0" w:space="0" w:color="auto"/>
          </w:divBdr>
        </w:div>
      </w:divsChild>
    </w:div>
    <w:div w:id="446893259">
      <w:bodyDiv w:val="1"/>
      <w:marLeft w:val="0"/>
      <w:marRight w:val="0"/>
      <w:marTop w:val="0"/>
      <w:marBottom w:val="0"/>
      <w:divBdr>
        <w:top w:val="none" w:sz="0" w:space="0" w:color="auto"/>
        <w:left w:val="none" w:sz="0" w:space="0" w:color="auto"/>
        <w:bottom w:val="none" w:sz="0" w:space="0" w:color="auto"/>
        <w:right w:val="none" w:sz="0" w:space="0" w:color="auto"/>
      </w:divBdr>
    </w:div>
    <w:div w:id="450055966">
      <w:bodyDiv w:val="1"/>
      <w:marLeft w:val="0"/>
      <w:marRight w:val="0"/>
      <w:marTop w:val="0"/>
      <w:marBottom w:val="0"/>
      <w:divBdr>
        <w:top w:val="none" w:sz="0" w:space="0" w:color="auto"/>
        <w:left w:val="none" w:sz="0" w:space="0" w:color="auto"/>
        <w:bottom w:val="none" w:sz="0" w:space="0" w:color="auto"/>
        <w:right w:val="none" w:sz="0" w:space="0" w:color="auto"/>
      </w:divBdr>
      <w:divsChild>
        <w:div w:id="38434015">
          <w:marLeft w:val="475"/>
          <w:marRight w:val="0"/>
          <w:marTop w:val="168"/>
          <w:marBottom w:val="0"/>
          <w:divBdr>
            <w:top w:val="none" w:sz="0" w:space="0" w:color="auto"/>
            <w:left w:val="none" w:sz="0" w:space="0" w:color="auto"/>
            <w:bottom w:val="none" w:sz="0" w:space="0" w:color="auto"/>
            <w:right w:val="none" w:sz="0" w:space="0" w:color="auto"/>
          </w:divBdr>
        </w:div>
        <w:div w:id="92747359">
          <w:marLeft w:val="475"/>
          <w:marRight w:val="0"/>
          <w:marTop w:val="168"/>
          <w:marBottom w:val="0"/>
          <w:divBdr>
            <w:top w:val="none" w:sz="0" w:space="0" w:color="auto"/>
            <w:left w:val="none" w:sz="0" w:space="0" w:color="auto"/>
            <w:bottom w:val="none" w:sz="0" w:space="0" w:color="auto"/>
            <w:right w:val="none" w:sz="0" w:space="0" w:color="auto"/>
          </w:divBdr>
        </w:div>
        <w:div w:id="159272163">
          <w:marLeft w:val="1181"/>
          <w:marRight w:val="0"/>
          <w:marTop w:val="168"/>
          <w:marBottom w:val="0"/>
          <w:divBdr>
            <w:top w:val="none" w:sz="0" w:space="0" w:color="auto"/>
            <w:left w:val="none" w:sz="0" w:space="0" w:color="auto"/>
            <w:bottom w:val="none" w:sz="0" w:space="0" w:color="auto"/>
            <w:right w:val="none" w:sz="0" w:space="0" w:color="auto"/>
          </w:divBdr>
        </w:div>
        <w:div w:id="163401151">
          <w:marLeft w:val="1181"/>
          <w:marRight w:val="0"/>
          <w:marTop w:val="168"/>
          <w:marBottom w:val="0"/>
          <w:divBdr>
            <w:top w:val="none" w:sz="0" w:space="0" w:color="auto"/>
            <w:left w:val="none" w:sz="0" w:space="0" w:color="auto"/>
            <w:bottom w:val="none" w:sz="0" w:space="0" w:color="auto"/>
            <w:right w:val="none" w:sz="0" w:space="0" w:color="auto"/>
          </w:divBdr>
        </w:div>
        <w:div w:id="187375538">
          <w:marLeft w:val="1181"/>
          <w:marRight w:val="0"/>
          <w:marTop w:val="168"/>
          <w:marBottom w:val="0"/>
          <w:divBdr>
            <w:top w:val="none" w:sz="0" w:space="0" w:color="auto"/>
            <w:left w:val="none" w:sz="0" w:space="0" w:color="auto"/>
            <w:bottom w:val="none" w:sz="0" w:space="0" w:color="auto"/>
            <w:right w:val="none" w:sz="0" w:space="0" w:color="auto"/>
          </w:divBdr>
        </w:div>
        <w:div w:id="841775349">
          <w:marLeft w:val="475"/>
          <w:marRight w:val="0"/>
          <w:marTop w:val="168"/>
          <w:marBottom w:val="0"/>
          <w:divBdr>
            <w:top w:val="none" w:sz="0" w:space="0" w:color="auto"/>
            <w:left w:val="none" w:sz="0" w:space="0" w:color="auto"/>
            <w:bottom w:val="none" w:sz="0" w:space="0" w:color="auto"/>
            <w:right w:val="none" w:sz="0" w:space="0" w:color="auto"/>
          </w:divBdr>
        </w:div>
        <w:div w:id="841814791">
          <w:marLeft w:val="1181"/>
          <w:marRight w:val="0"/>
          <w:marTop w:val="168"/>
          <w:marBottom w:val="0"/>
          <w:divBdr>
            <w:top w:val="none" w:sz="0" w:space="0" w:color="auto"/>
            <w:left w:val="none" w:sz="0" w:space="0" w:color="auto"/>
            <w:bottom w:val="none" w:sz="0" w:space="0" w:color="auto"/>
            <w:right w:val="none" w:sz="0" w:space="0" w:color="auto"/>
          </w:divBdr>
        </w:div>
        <w:div w:id="876047260">
          <w:marLeft w:val="475"/>
          <w:marRight w:val="0"/>
          <w:marTop w:val="168"/>
          <w:marBottom w:val="0"/>
          <w:divBdr>
            <w:top w:val="none" w:sz="0" w:space="0" w:color="auto"/>
            <w:left w:val="none" w:sz="0" w:space="0" w:color="auto"/>
            <w:bottom w:val="none" w:sz="0" w:space="0" w:color="auto"/>
            <w:right w:val="none" w:sz="0" w:space="0" w:color="auto"/>
          </w:divBdr>
        </w:div>
        <w:div w:id="954168785">
          <w:marLeft w:val="1181"/>
          <w:marRight w:val="0"/>
          <w:marTop w:val="168"/>
          <w:marBottom w:val="0"/>
          <w:divBdr>
            <w:top w:val="none" w:sz="0" w:space="0" w:color="auto"/>
            <w:left w:val="none" w:sz="0" w:space="0" w:color="auto"/>
            <w:bottom w:val="none" w:sz="0" w:space="0" w:color="auto"/>
            <w:right w:val="none" w:sz="0" w:space="0" w:color="auto"/>
          </w:divBdr>
        </w:div>
        <w:div w:id="1024674101">
          <w:marLeft w:val="1181"/>
          <w:marRight w:val="0"/>
          <w:marTop w:val="168"/>
          <w:marBottom w:val="0"/>
          <w:divBdr>
            <w:top w:val="none" w:sz="0" w:space="0" w:color="auto"/>
            <w:left w:val="none" w:sz="0" w:space="0" w:color="auto"/>
            <w:bottom w:val="none" w:sz="0" w:space="0" w:color="auto"/>
            <w:right w:val="none" w:sz="0" w:space="0" w:color="auto"/>
          </w:divBdr>
        </w:div>
        <w:div w:id="1227449792">
          <w:marLeft w:val="1181"/>
          <w:marRight w:val="0"/>
          <w:marTop w:val="168"/>
          <w:marBottom w:val="0"/>
          <w:divBdr>
            <w:top w:val="none" w:sz="0" w:space="0" w:color="auto"/>
            <w:left w:val="none" w:sz="0" w:space="0" w:color="auto"/>
            <w:bottom w:val="none" w:sz="0" w:space="0" w:color="auto"/>
            <w:right w:val="none" w:sz="0" w:space="0" w:color="auto"/>
          </w:divBdr>
        </w:div>
        <w:div w:id="1470050193">
          <w:marLeft w:val="1181"/>
          <w:marRight w:val="0"/>
          <w:marTop w:val="168"/>
          <w:marBottom w:val="0"/>
          <w:divBdr>
            <w:top w:val="none" w:sz="0" w:space="0" w:color="auto"/>
            <w:left w:val="none" w:sz="0" w:space="0" w:color="auto"/>
            <w:bottom w:val="none" w:sz="0" w:space="0" w:color="auto"/>
            <w:right w:val="none" w:sz="0" w:space="0" w:color="auto"/>
          </w:divBdr>
        </w:div>
        <w:div w:id="1744181560">
          <w:marLeft w:val="1181"/>
          <w:marRight w:val="0"/>
          <w:marTop w:val="168"/>
          <w:marBottom w:val="0"/>
          <w:divBdr>
            <w:top w:val="none" w:sz="0" w:space="0" w:color="auto"/>
            <w:left w:val="none" w:sz="0" w:space="0" w:color="auto"/>
            <w:bottom w:val="none" w:sz="0" w:space="0" w:color="auto"/>
            <w:right w:val="none" w:sz="0" w:space="0" w:color="auto"/>
          </w:divBdr>
        </w:div>
        <w:div w:id="1932855074">
          <w:marLeft w:val="1181"/>
          <w:marRight w:val="0"/>
          <w:marTop w:val="168"/>
          <w:marBottom w:val="0"/>
          <w:divBdr>
            <w:top w:val="none" w:sz="0" w:space="0" w:color="auto"/>
            <w:left w:val="none" w:sz="0" w:space="0" w:color="auto"/>
            <w:bottom w:val="none" w:sz="0" w:space="0" w:color="auto"/>
            <w:right w:val="none" w:sz="0" w:space="0" w:color="auto"/>
          </w:divBdr>
        </w:div>
        <w:div w:id="2086609140">
          <w:marLeft w:val="1181"/>
          <w:marRight w:val="0"/>
          <w:marTop w:val="168"/>
          <w:marBottom w:val="0"/>
          <w:divBdr>
            <w:top w:val="none" w:sz="0" w:space="0" w:color="auto"/>
            <w:left w:val="none" w:sz="0" w:space="0" w:color="auto"/>
            <w:bottom w:val="none" w:sz="0" w:space="0" w:color="auto"/>
            <w:right w:val="none" w:sz="0" w:space="0" w:color="auto"/>
          </w:divBdr>
        </w:div>
      </w:divsChild>
    </w:div>
    <w:div w:id="452139608">
      <w:bodyDiv w:val="1"/>
      <w:marLeft w:val="0"/>
      <w:marRight w:val="0"/>
      <w:marTop w:val="0"/>
      <w:marBottom w:val="0"/>
      <w:divBdr>
        <w:top w:val="none" w:sz="0" w:space="0" w:color="auto"/>
        <w:left w:val="none" w:sz="0" w:space="0" w:color="auto"/>
        <w:bottom w:val="none" w:sz="0" w:space="0" w:color="auto"/>
        <w:right w:val="none" w:sz="0" w:space="0" w:color="auto"/>
      </w:divBdr>
    </w:div>
    <w:div w:id="455489039">
      <w:bodyDiv w:val="1"/>
      <w:marLeft w:val="0"/>
      <w:marRight w:val="0"/>
      <w:marTop w:val="0"/>
      <w:marBottom w:val="0"/>
      <w:divBdr>
        <w:top w:val="none" w:sz="0" w:space="0" w:color="auto"/>
        <w:left w:val="none" w:sz="0" w:space="0" w:color="auto"/>
        <w:bottom w:val="none" w:sz="0" w:space="0" w:color="auto"/>
        <w:right w:val="none" w:sz="0" w:space="0" w:color="auto"/>
      </w:divBdr>
    </w:div>
    <w:div w:id="461580739">
      <w:bodyDiv w:val="1"/>
      <w:marLeft w:val="0"/>
      <w:marRight w:val="0"/>
      <w:marTop w:val="0"/>
      <w:marBottom w:val="0"/>
      <w:divBdr>
        <w:top w:val="none" w:sz="0" w:space="0" w:color="auto"/>
        <w:left w:val="none" w:sz="0" w:space="0" w:color="auto"/>
        <w:bottom w:val="none" w:sz="0" w:space="0" w:color="auto"/>
        <w:right w:val="none" w:sz="0" w:space="0" w:color="auto"/>
      </w:divBdr>
    </w:div>
    <w:div w:id="465241286">
      <w:bodyDiv w:val="1"/>
      <w:marLeft w:val="0"/>
      <w:marRight w:val="0"/>
      <w:marTop w:val="0"/>
      <w:marBottom w:val="0"/>
      <w:divBdr>
        <w:top w:val="none" w:sz="0" w:space="0" w:color="auto"/>
        <w:left w:val="none" w:sz="0" w:space="0" w:color="auto"/>
        <w:bottom w:val="none" w:sz="0" w:space="0" w:color="auto"/>
        <w:right w:val="none" w:sz="0" w:space="0" w:color="auto"/>
      </w:divBdr>
    </w:div>
    <w:div w:id="466170648">
      <w:bodyDiv w:val="1"/>
      <w:marLeft w:val="0"/>
      <w:marRight w:val="0"/>
      <w:marTop w:val="0"/>
      <w:marBottom w:val="0"/>
      <w:divBdr>
        <w:top w:val="none" w:sz="0" w:space="0" w:color="auto"/>
        <w:left w:val="none" w:sz="0" w:space="0" w:color="auto"/>
        <w:bottom w:val="none" w:sz="0" w:space="0" w:color="auto"/>
        <w:right w:val="none" w:sz="0" w:space="0" w:color="auto"/>
      </w:divBdr>
    </w:div>
    <w:div w:id="468479088">
      <w:bodyDiv w:val="1"/>
      <w:marLeft w:val="0"/>
      <w:marRight w:val="0"/>
      <w:marTop w:val="0"/>
      <w:marBottom w:val="0"/>
      <w:divBdr>
        <w:top w:val="none" w:sz="0" w:space="0" w:color="auto"/>
        <w:left w:val="none" w:sz="0" w:space="0" w:color="auto"/>
        <w:bottom w:val="none" w:sz="0" w:space="0" w:color="auto"/>
        <w:right w:val="none" w:sz="0" w:space="0" w:color="auto"/>
      </w:divBdr>
    </w:div>
    <w:div w:id="469985131">
      <w:bodyDiv w:val="1"/>
      <w:marLeft w:val="0"/>
      <w:marRight w:val="0"/>
      <w:marTop w:val="0"/>
      <w:marBottom w:val="0"/>
      <w:divBdr>
        <w:top w:val="none" w:sz="0" w:space="0" w:color="auto"/>
        <w:left w:val="none" w:sz="0" w:space="0" w:color="auto"/>
        <w:bottom w:val="none" w:sz="0" w:space="0" w:color="auto"/>
        <w:right w:val="none" w:sz="0" w:space="0" w:color="auto"/>
      </w:divBdr>
    </w:div>
    <w:div w:id="470489299">
      <w:bodyDiv w:val="1"/>
      <w:marLeft w:val="0"/>
      <w:marRight w:val="0"/>
      <w:marTop w:val="0"/>
      <w:marBottom w:val="0"/>
      <w:divBdr>
        <w:top w:val="none" w:sz="0" w:space="0" w:color="auto"/>
        <w:left w:val="none" w:sz="0" w:space="0" w:color="auto"/>
        <w:bottom w:val="none" w:sz="0" w:space="0" w:color="auto"/>
        <w:right w:val="none" w:sz="0" w:space="0" w:color="auto"/>
      </w:divBdr>
      <w:divsChild>
        <w:div w:id="397476728">
          <w:marLeft w:val="184"/>
          <w:marRight w:val="-1843"/>
          <w:marTop w:val="0"/>
          <w:marBottom w:val="184"/>
          <w:divBdr>
            <w:top w:val="none" w:sz="0" w:space="0" w:color="auto"/>
            <w:left w:val="none" w:sz="0" w:space="0" w:color="auto"/>
            <w:bottom w:val="none" w:sz="0" w:space="0" w:color="auto"/>
            <w:right w:val="none" w:sz="0" w:space="0" w:color="auto"/>
          </w:divBdr>
          <w:divsChild>
            <w:div w:id="5439047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8976">
      <w:bodyDiv w:val="1"/>
      <w:marLeft w:val="0"/>
      <w:marRight w:val="0"/>
      <w:marTop w:val="0"/>
      <w:marBottom w:val="0"/>
      <w:divBdr>
        <w:top w:val="none" w:sz="0" w:space="0" w:color="auto"/>
        <w:left w:val="none" w:sz="0" w:space="0" w:color="auto"/>
        <w:bottom w:val="none" w:sz="0" w:space="0" w:color="auto"/>
        <w:right w:val="none" w:sz="0" w:space="0" w:color="auto"/>
      </w:divBdr>
    </w:div>
    <w:div w:id="474294413">
      <w:bodyDiv w:val="1"/>
      <w:marLeft w:val="0"/>
      <w:marRight w:val="0"/>
      <w:marTop w:val="0"/>
      <w:marBottom w:val="0"/>
      <w:divBdr>
        <w:top w:val="none" w:sz="0" w:space="0" w:color="auto"/>
        <w:left w:val="none" w:sz="0" w:space="0" w:color="auto"/>
        <w:bottom w:val="none" w:sz="0" w:space="0" w:color="auto"/>
        <w:right w:val="none" w:sz="0" w:space="0" w:color="auto"/>
      </w:divBdr>
    </w:div>
    <w:div w:id="476144263">
      <w:bodyDiv w:val="1"/>
      <w:marLeft w:val="0"/>
      <w:marRight w:val="0"/>
      <w:marTop w:val="0"/>
      <w:marBottom w:val="0"/>
      <w:divBdr>
        <w:top w:val="none" w:sz="0" w:space="0" w:color="auto"/>
        <w:left w:val="none" w:sz="0" w:space="0" w:color="auto"/>
        <w:bottom w:val="none" w:sz="0" w:space="0" w:color="auto"/>
        <w:right w:val="none" w:sz="0" w:space="0" w:color="auto"/>
      </w:divBdr>
    </w:div>
    <w:div w:id="476340719">
      <w:bodyDiv w:val="1"/>
      <w:marLeft w:val="0"/>
      <w:marRight w:val="0"/>
      <w:marTop w:val="0"/>
      <w:marBottom w:val="0"/>
      <w:divBdr>
        <w:top w:val="none" w:sz="0" w:space="0" w:color="auto"/>
        <w:left w:val="none" w:sz="0" w:space="0" w:color="auto"/>
        <w:bottom w:val="none" w:sz="0" w:space="0" w:color="auto"/>
        <w:right w:val="none" w:sz="0" w:space="0" w:color="auto"/>
      </w:divBdr>
    </w:div>
    <w:div w:id="477773211">
      <w:bodyDiv w:val="1"/>
      <w:marLeft w:val="0"/>
      <w:marRight w:val="0"/>
      <w:marTop w:val="0"/>
      <w:marBottom w:val="0"/>
      <w:divBdr>
        <w:top w:val="none" w:sz="0" w:space="0" w:color="auto"/>
        <w:left w:val="none" w:sz="0" w:space="0" w:color="auto"/>
        <w:bottom w:val="none" w:sz="0" w:space="0" w:color="auto"/>
        <w:right w:val="none" w:sz="0" w:space="0" w:color="auto"/>
      </w:divBdr>
    </w:div>
    <w:div w:id="479882711">
      <w:bodyDiv w:val="1"/>
      <w:marLeft w:val="0"/>
      <w:marRight w:val="0"/>
      <w:marTop w:val="0"/>
      <w:marBottom w:val="0"/>
      <w:divBdr>
        <w:top w:val="none" w:sz="0" w:space="0" w:color="auto"/>
        <w:left w:val="none" w:sz="0" w:space="0" w:color="auto"/>
        <w:bottom w:val="none" w:sz="0" w:space="0" w:color="auto"/>
        <w:right w:val="none" w:sz="0" w:space="0" w:color="auto"/>
      </w:divBdr>
    </w:div>
    <w:div w:id="481242930">
      <w:bodyDiv w:val="1"/>
      <w:marLeft w:val="0"/>
      <w:marRight w:val="0"/>
      <w:marTop w:val="0"/>
      <w:marBottom w:val="0"/>
      <w:divBdr>
        <w:top w:val="none" w:sz="0" w:space="0" w:color="auto"/>
        <w:left w:val="none" w:sz="0" w:space="0" w:color="auto"/>
        <w:bottom w:val="none" w:sz="0" w:space="0" w:color="auto"/>
        <w:right w:val="none" w:sz="0" w:space="0" w:color="auto"/>
      </w:divBdr>
    </w:div>
    <w:div w:id="482432967">
      <w:bodyDiv w:val="1"/>
      <w:marLeft w:val="0"/>
      <w:marRight w:val="0"/>
      <w:marTop w:val="0"/>
      <w:marBottom w:val="0"/>
      <w:divBdr>
        <w:top w:val="none" w:sz="0" w:space="0" w:color="auto"/>
        <w:left w:val="none" w:sz="0" w:space="0" w:color="auto"/>
        <w:bottom w:val="none" w:sz="0" w:space="0" w:color="auto"/>
        <w:right w:val="none" w:sz="0" w:space="0" w:color="auto"/>
      </w:divBdr>
    </w:div>
    <w:div w:id="483813667">
      <w:bodyDiv w:val="1"/>
      <w:marLeft w:val="0"/>
      <w:marRight w:val="0"/>
      <w:marTop w:val="0"/>
      <w:marBottom w:val="0"/>
      <w:divBdr>
        <w:top w:val="none" w:sz="0" w:space="0" w:color="auto"/>
        <w:left w:val="none" w:sz="0" w:space="0" w:color="auto"/>
        <w:bottom w:val="none" w:sz="0" w:space="0" w:color="auto"/>
        <w:right w:val="none" w:sz="0" w:space="0" w:color="auto"/>
      </w:divBdr>
    </w:div>
    <w:div w:id="485513935">
      <w:bodyDiv w:val="1"/>
      <w:marLeft w:val="0"/>
      <w:marRight w:val="0"/>
      <w:marTop w:val="0"/>
      <w:marBottom w:val="0"/>
      <w:divBdr>
        <w:top w:val="none" w:sz="0" w:space="0" w:color="auto"/>
        <w:left w:val="none" w:sz="0" w:space="0" w:color="auto"/>
        <w:bottom w:val="none" w:sz="0" w:space="0" w:color="auto"/>
        <w:right w:val="none" w:sz="0" w:space="0" w:color="auto"/>
      </w:divBdr>
    </w:div>
    <w:div w:id="488710618">
      <w:bodyDiv w:val="1"/>
      <w:marLeft w:val="0"/>
      <w:marRight w:val="0"/>
      <w:marTop w:val="0"/>
      <w:marBottom w:val="0"/>
      <w:divBdr>
        <w:top w:val="none" w:sz="0" w:space="0" w:color="auto"/>
        <w:left w:val="none" w:sz="0" w:space="0" w:color="auto"/>
        <w:bottom w:val="none" w:sz="0" w:space="0" w:color="auto"/>
        <w:right w:val="none" w:sz="0" w:space="0" w:color="auto"/>
      </w:divBdr>
    </w:div>
    <w:div w:id="498008119">
      <w:bodyDiv w:val="1"/>
      <w:marLeft w:val="0"/>
      <w:marRight w:val="0"/>
      <w:marTop w:val="0"/>
      <w:marBottom w:val="0"/>
      <w:divBdr>
        <w:top w:val="none" w:sz="0" w:space="0" w:color="auto"/>
        <w:left w:val="none" w:sz="0" w:space="0" w:color="auto"/>
        <w:bottom w:val="none" w:sz="0" w:space="0" w:color="auto"/>
        <w:right w:val="none" w:sz="0" w:space="0" w:color="auto"/>
      </w:divBdr>
    </w:div>
    <w:div w:id="505361160">
      <w:bodyDiv w:val="1"/>
      <w:marLeft w:val="0"/>
      <w:marRight w:val="0"/>
      <w:marTop w:val="0"/>
      <w:marBottom w:val="0"/>
      <w:divBdr>
        <w:top w:val="none" w:sz="0" w:space="0" w:color="auto"/>
        <w:left w:val="none" w:sz="0" w:space="0" w:color="auto"/>
        <w:bottom w:val="none" w:sz="0" w:space="0" w:color="auto"/>
        <w:right w:val="none" w:sz="0" w:space="0" w:color="auto"/>
      </w:divBdr>
    </w:div>
    <w:div w:id="505754883">
      <w:bodyDiv w:val="1"/>
      <w:marLeft w:val="0"/>
      <w:marRight w:val="0"/>
      <w:marTop w:val="0"/>
      <w:marBottom w:val="0"/>
      <w:divBdr>
        <w:top w:val="none" w:sz="0" w:space="0" w:color="auto"/>
        <w:left w:val="none" w:sz="0" w:space="0" w:color="auto"/>
        <w:bottom w:val="none" w:sz="0" w:space="0" w:color="auto"/>
        <w:right w:val="none" w:sz="0" w:space="0" w:color="auto"/>
      </w:divBdr>
    </w:div>
    <w:div w:id="508642070">
      <w:bodyDiv w:val="1"/>
      <w:marLeft w:val="0"/>
      <w:marRight w:val="0"/>
      <w:marTop w:val="0"/>
      <w:marBottom w:val="0"/>
      <w:divBdr>
        <w:top w:val="none" w:sz="0" w:space="0" w:color="auto"/>
        <w:left w:val="none" w:sz="0" w:space="0" w:color="auto"/>
        <w:bottom w:val="none" w:sz="0" w:space="0" w:color="auto"/>
        <w:right w:val="none" w:sz="0" w:space="0" w:color="auto"/>
      </w:divBdr>
    </w:div>
    <w:div w:id="510948183">
      <w:bodyDiv w:val="1"/>
      <w:marLeft w:val="0"/>
      <w:marRight w:val="0"/>
      <w:marTop w:val="0"/>
      <w:marBottom w:val="0"/>
      <w:divBdr>
        <w:top w:val="none" w:sz="0" w:space="0" w:color="auto"/>
        <w:left w:val="none" w:sz="0" w:space="0" w:color="auto"/>
        <w:bottom w:val="none" w:sz="0" w:space="0" w:color="auto"/>
        <w:right w:val="none" w:sz="0" w:space="0" w:color="auto"/>
      </w:divBdr>
    </w:div>
    <w:div w:id="512645105">
      <w:bodyDiv w:val="1"/>
      <w:marLeft w:val="0"/>
      <w:marRight w:val="0"/>
      <w:marTop w:val="0"/>
      <w:marBottom w:val="0"/>
      <w:divBdr>
        <w:top w:val="none" w:sz="0" w:space="0" w:color="auto"/>
        <w:left w:val="none" w:sz="0" w:space="0" w:color="auto"/>
        <w:bottom w:val="none" w:sz="0" w:space="0" w:color="auto"/>
        <w:right w:val="none" w:sz="0" w:space="0" w:color="auto"/>
      </w:divBdr>
    </w:div>
    <w:div w:id="516623068">
      <w:bodyDiv w:val="1"/>
      <w:marLeft w:val="0"/>
      <w:marRight w:val="0"/>
      <w:marTop w:val="0"/>
      <w:marBottom w:val="0"/>
      <w:divBdr>
        <w:top w:val="none" w:sz="0" w:space="0" w:color="auto"/>
        <w:left w:val="none" w:sz="0" w:space="0" w:color="auto"/>
        <w:bottom w:val="none" w:sz="0" w:space="0" w:color="auto"/>
        <w:right w:val="none" w:sz="0" w:space="0" w:color="auto"/>
      </w:divBdr>
    </w:div>
    <w:div w:id="523713394">
      <w:bodyDiv w:val="1"/>
      <w:marLeft w:val="0"/>
      <w:marRight w:val="0"/>
      <w:marTop w:val="0"/>
      <w:marBottom w:val="0"/>
      <w:divBdr>
        <w:top w:val="none" w:sz="0" w:space="0" w:color="auto"/>
        <w:left w:val="none" w:sz="0" w:space="0" w:color="auto"/>
        <w:bottom w:val="none" w:sz="0" w:space="0" w:color="auto"/>
        <w:right w:val="none" w:sz="0" w:space="0" w:color="auto"/>
      </w:divBdr>
    </w:div>
    <w:div w:id="524102178">
      <w:bodyDiv w:val="1"/>
      <w:marLeft w:val="0"/>
      <w:marRight w:val="0"/>
      <w:marTop w:val="0"/>
      <w:marBottom w:val="0"/>
      <w:divBdr>
        <w:top w:val="none" w:sz="0" w:space="0" w:color="auto"/>
        <w:left w:val="none" w:sz="0" w:space="0" w:color="auto"/>
        <w:bottom w:val="none" w:sz="0" w:space="0" w:color="auto"/>
        <w:right w:val="none" w:sz="0" w:space="0" w:color="auto"/>
      </w:divBdr>
    </w:div>
    <w:div w:id="528179745">
      <w:bodyDiv w:val="1"/>
      <w:marLeft w:val="0"/>
      <w:marRight w:val="0"/>
      <w:marTop w:val="0"/>
      <w:marBottom w:val="0"/>
      <w:divBdr>
        <w:top w:val="none" w:sz="0" w:space="0" w:color="auto"/>
        <w:left w:val="none" w:sz="0" w:space="0" w:color="auto"/>
        <w:bottom w:val="none" w:sz="0" w:space="0" w:color="auto"/>
        <w:right w:val="none" w:sz="0" w:space="0" w:color="auto"/>
      </w:divBdr>
    </w:div>
    <w:div w:id="533078260">
      <w:bodyDiv w:val="1"/>
      <w:marLeft w:val="0"/>
      <w:marRight w:val="0"/>
      <w:marTop w:val="0"/>
      <w:marBottom w:val="0"/>
      <w:divBdr>
        <w:top w:val="none" w:sz="0" w:space="0" w:color="auto"/>
        <w:left w:val="none" w:sz="0" w:space="0" w:color="auto"/>
        <w:bottom w:val="none" w:sz="0" w:space="0" w:color="auto"/>
        <w:right w:val="none" w:sz="0" w:space="0" w:color="auto"/>
      </w:divBdr>
      <w:divsChild>
        <w:div w:id="1102650529">
          <w:marLeft w:val="0"/>
          <w:marRight w:val="0"/>
          <w:marTop w:val="0"/>
          <w:marBottom w:val="0"/>
          <w:divBdr>
            <w:top w:val="none" w:sz="0" w:space="0" w:color="auto"/>
            <w:left w:val="none" w:sz="0" w:space="0" w:color="auto"/>
            <w:bottom w:val="none" w:sz="0" w:space="0" w:color="auto"/>
            <w:right w:val="none" w:sz="0" w:space="0" w:color="auto"/>
          </w:divBdr>
        </w:div>
        <w:div w:id="1324548771">
          <w:marLeft w:val="0"/>
          <w:marRight w:val="0"/>
          <w:marTop w:val="0"/>
          <w:marBottom w:val="81"/>
          <w:divBdr>
            <w:top w:val="none" w:sz="0" w:space="0" w:color="auto"/>
            <w:left w:val="none" w:sz="0" w:space="0" w:color="auto"/>
            <w:bottom w:val="none" w:sz="0" w:space="0" w:color="auto"/>
            <w:right w:val="none" w:sz="0" w:space="0" w:color="auto"/>
          </w:divBdr>
          <w:divsChild>
            <w:div w:id="1335256051">
              <w:marLeft w:val="0"/>
              <w:marRight w:val="0"/>
              <w:marTop w:val="0"/>
              <w:marBottom w:val="81"/>
              <w:divBdr>
                <w:top w:val="none" w:sz="0" w:space="0" w:color="auto"/>
                <w:left w:val="none" w:sz="0" w:space="0" w:color="auto"/>
                <w:bottom w:val="none" w:sz="0" w:space="0" w:color="auto"/>
                <w:right w:val="none" w:sz="0" w:space="0" w:color="auto"/>
              </w:divBdr>
            </w:div>
            <w:div w:id="1852252901">
              <w:marLeft w:val="0"/>
              <w:marRight w:val="0"/>
              <w:marTop w:val="0"/>
              <w:marBottom w:val="0"/>
              <w:divBdr>
                <w:top w:val="none" w:sz="0" w:space="0" w:color="auto"/>
                <w:left w:val="none" w:sz="0" w:space="0" w:color="auto"/>
                <w:bottom w:val="none" w:sz="0" w:space="0" w:color="auto"/>
                <w:right w:val="none" w:sz="0" w:space="0" w:color="auto"/>
              </w:divBdr>
              <w:divsChild>
                <w:div w:id="2975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6791">
      <w:bodyDiv w:val="1"/>
      <w:marLeft w:val="0"/>
      <w:marRight w:val="0"/>
      <w:marTop w:val="0"/>
      <w:marBottom w:val="0"/>
      <w:divBdr>
        <w:top w:val="none" w:sz="0" w:space="0" w:color="auto"/>
        <w:left w:val="none" w:sz="0" w:space="0" w:color="auto"/>
        <w:bottom w:val="none" w:sz="0" w:space="0" w:color="auto"/>
        <w:right w:val="none" w:sz="0" w:space="0" w:color="auto"/>
      </w:divBdr>
    </w:div>
    <w:div w:id="543561805">
      <w:bodyDiv w:val="1"/>
      <w:marLeft w:val="0"/>
      <w:marRight w:val="0"/>
      <w:marTop w:val="0"/>
      <w:marBottom w:val="0"/>
      <w:divBdr>
        <w:top w:val="none" w:sz="0" w:space="0" w:color="auto"/>
        <w:left w:val="none" w:sz="0" w:space="0" w:color="auto"/>
        <w:bottom w:val="none" w:sz="0" w:space="0" w:color="auto"/>
        <w:right w:val="none" w:sz="0" w:space="0" w:color="auto"/>
      </w:divBdr>
    </w:div>
    <w:div w:id="545677181">
      <w:bodyDiv w:val="1"/>
      <w:marLeft w:val="0"/>
      <w:marRight w:val="0"/>
      <w:marTop w:val="0"/>
      <w:marBottom w:val="0"/>
      <w:divBdr>
        <w:top w:val="none" w:sz="0" w:space="0" w:color="auto"/>
        <w:left w:val="none" w:sz="0" w:space="0" w:color="auto"/>
        <w:bottom w:val="none" w:sz="0" w:space="0" w:color="auto"/>
        <w:right w:val="none" w:sz="0" w:space="0" w:color="auto"/>
      </w:divBdr>
    </w:div>
    <w:div w:id="548035941">
      <w:bodyDiv w:val="1"/>
      <w:marLeft w:val="0"/>
      <w:marRight w:val="0"/>
      <w:marTop w:val="0"/>
      <w:marBottom w:val="0"/>
      <w:divBdr>
        <w:top w:val="none" w:sz="0" w:space="0" w:color="auto"/>
        <w:left w:val="none" w:sz="0" w:space="0" w:color="auto"/>
        <w:bottom w:val="none" w:sz="0" w:space="0" w:color="auto"/>
        <w:right w:val="none" w:sz="0" w:space="0" w:color="auto"/>
      </w:divBdr>
    </w:div>
    <w:div w:id="554321719">
      <w:bodyDiv w:val="1"/>
      <w:marLeft w:val="0"/>
      <w:marRight w:val="0"/>
      <w:marTop w:val="0"/>
      <w:marBottom w:val="0"/>
      <w:divBdr>
        <w:top w:val="none" w:sz="0" w:space="0" w:color="auto"/>
        <w:left w:val="none" w:sz="0" w:space="0" w:color="auto"/>
        <w:bottom w:val="none" w:sz="0" w:space="0" w:color="auto"/>
        <w:right w:val="none" w:sz="0" w:space="0" w:color="auto"/>
      </w:divBdr>
    </w:div>
    <w:div w:id="554777550">
      <w:bodyDiv w:val="1"/>
      <w:marLeft w:val="0"/>
      <w:marRight w:val="0"/>
      <w:marTop w:val="0"/>
      <w:marBottom w:val="0"/>
      <w:divBdr>
        <w:top w:val="none" w:sz="0" w:space="0" w:color="auto"/>
        <w:left w:val="none" w:sz="0" w:space="0" w:color="auto"/>
        <w:bottom w:val="none" w:sz="0" w:space="0" w:color="auto"/>
        <w:right w:val="none" w:sz="0" w:space="0" w:color="auto"/>
      </w:divBdr>
      <w:divsChild>
        <w:div w:id="1965308562">
          <w:marLeft w:val="418"/>
          <w:marRight w:val="0"/>
          <w:marTop w:val="192"/>
          <w:marBottom w:val="0"/>
          <w:divBdr>
            <w:top w:val="none" w:sz="0" w:space="0" w:color="auto"/>
            <w:left w:val="none" w:sz="0" w:space="0" w:color="auto"/>
            <w:bottom w:val="none" w:sz="0" w:space="0" w:color="auto"/>
            <w:right w:val="none" w:sz="0" w:space="0" w:color="auto"/>
          </w:divBdr>
        </w:div>
        <w:div w:id="2075155470">
          <w:marLeft w:val="1123"/>
          <w:marRight w:val="0"/>
          <w:marTop w:val="192"/>
          <w:marBottom w:val="0"/>
          <w:divBdr>
            <w:top w:val="none" w:sz="0" w:space="0" w:color="auto"/>
            <w:left w:val="none" w:sz="0" w:space="0" w:color="auto"/>
            <w:bottom w:val="none" w:sz="0" w:space="0" w:color="auto"/>
            <w:right w:val="none" w:sz="0" w:space="0" w:color="auto"/>
          </w:divBdr>
        </w:div>
      </w:divsChild>
    </w:div>
    <w:div w:id="555705544">
      <w:bodyDiv w:val="1"/>
      <w:marLeft w:val="0"/>
      <w:marRight w:val="0"/>
      <w:marTop w:val="0"/>
      <w:marBottom w:val="0"/>
      <w:divBdr>
        <w:top w:val="none" w:sz="0" w:space="0" w:color="auto"/>
        <w:left w:val="none" w:sz="0" w:space="0" w:color="auto"/>
        <w:bottom w:val="none" w:sz="0" w:space="0" w:color="auto"/>
        <w:right w:val="none" w:sz="0" w:space="0" w:color="auto"/>
      </w:divBdr>
    </w:div>
    <w:div w:id="559290801">
      <w:bodyDiv w:val="1"/>
      <w:marLeft w:val="0"/>
      <w:marRight w:val="0"/>
      <w:marTop w:val="0"/>
      <w:marBottom w:val="0"/>
      <w:divBdr>
        <w:top w:val="none" w:sz="0" w:space="0" w:color="auto"/>
        <w:left w:val="none" w:sz="0" w:space="0" w:color="auto"/>
        <w:bottom w:val="none" w:sz="0" w:space="0" w:color="auto"/>
        <w:right w:val="none" w:sz="0" w:space="0" w:color="auto"/>
      </w:divBdr>
    </w:div>
    <w:div w:id="575940075">
      <w:bodyDiv w:val="1"/>
      <w:marLeft w:val="0"/>
      <w:marRight w:val="0"/>
      <w:marTop w:val="0"/>
      <w:marBottom w:val="0"/>
      <w:divBdr>
        <w:top w:val="none" w:sz="0" w:space="0" w:color="auto"/>
        <w:left w:val="none" w:sz="0" w:space="0" w:color="auto"/>
        <w:bottom w:val="none" w:sz="0" w:space="0" w:color="auto"/>
        <w:right w:val="none" w:sz="0" w:space="0" w:color="auto"/>
      </w:divBdr>
    </w:div>
    <w:div w:id="576330716">
      <w:bodyDiv w:val="1"/>
      <w:marLeft w:val="0"/>
      <w:marRight w:val="0"/>
      <w:marTop w:val="0"/>
      <w:marBottom w:val="0"/>
      <w:divBdr>
        <w:top w:val="none" w:sz="0" w:space="0" w:color="auto"/>
        <w:left w:val="none" w:sz="0" w:space="0" w:color="auto"/>
        <w:bottom w:val="none" w:sz="0" w:space="0" w:color="auto"/>
        <w:right w:val="none" w:sz="0" w:space="0" w:color="auto"/>
      </w:divBdr>
    </w:div>
    <w:div w:id="576789739">
      <w:bodyDiv w:val="1"/>
      <w:marLeft w:val="0"/>
      <w:marRight w:val="0"/>
      <w:marTop w:val="0"/>
      <w:marBottom w:val="0"/>
      <w:divBdr>
        <w:top w:val="none" w:sz="0" w:space="0" w:color="auto"/>
        <w:left w:val="none" w:sz="0" w:space="0" w:color="auto"/>
        <w:bottom w:val="none" w:sz="0" w:space="0" w:color="auto"/>
        <w:right w:val="none" w:sz="0" w:space="0" w:color="auto"/>
      </w:divBdr>
    </w:div>
    <w:div w:id="582028658">
      <w:bodyDiv w:val="1"/>
      <w:marLeft w:val="0"/>
      <w:marRight w:val="0"/>
      <w:marTop w:val="0"/>
      <w:marBottom w:val="0"/>
      <w:divBdr>
        <w:top w:val="none" w:sz="0" w:space="0" w:color="auto"/>
        <w:left w:val="none" w:sz="0" w:space="0" w:color="auto"/>
        <w:bottom w:val="none" w:sz="0" w:space="0" w:color="auto"/>
        <w:right w:val="none" w:sz="0" w:space="0" w:color="auto"/>
      </w:divBdr>
      <w:divsChild>
        <w:div w:id="407507824">
          <w:marLeft w:val="0"/>
          <w:marRight w:val="0"/>
          <w:marTop w:val="0"/>
          <w:marBottom w:val="0"/>
          <w:divBdr>
            <w:top w:val="none" w:sz="0" w:space="0" w:color="auto"/>
            <w:left w:val="none" w:sz="0" w:space="0" w:color="auto"/>
            <w:bottom w:val="none" w:sz="0" w:space="0" w:color="auto"/>
            <w:right w:val="none" w:sz="0" w:space="0" w:color="auto"/>
          </w:divBdr>
        </w:div>
        <w:div w:id="769393962">
          <w:marLeft w:val="0"/>
          <w:marRight w:val="0"/>
          <w:marTop w:val="0"/>
          <w:marBottom w:val="81"/>
          <w:divBdr>
            <w:top w:val="none" w:sz="0" w:space="0" w:color="auto"/>
            <w:left w:val="none" w:sz="0" w:space="0" w:color="auto"/>
            <w:bottom w:val="none" w:sz="0" w:space="0" w:color="auto"/>
            <w:right w:val="none" w:sz="0" w:space="0" w:color="auto"/>
          </w:divBdr>
          <w:divsChild>
            <w:div w:id="836193425">
              <w:marLeft w:val="0"/>
              <w:marRight w:val="0"/>
              <w:marTop w:val="0"/>
              <w:marBottom w:val="81"/>
              <w:divBdr>
                <w:top w:val="none" w:sz="0" w:space="0" w:color="auto"/>
                <w:left w:val="none" w:sz="0" w:space="0" w:color="auto"/>
                <w:bottom w:val="none" w:sz="0" w:space="0" w:color="auto"/>
                <w:right w:val="none" w:sz="0" w:space="0" w:color="auto"/>
              </w:divBdr>
            </w:div>
            <w:div w:id="1736321768">
              <w:marLeft w:val="0"/>
              <w:marRight w:val="0"/>
              <w:marTop w:val="0"/>
              <w:marBottom w:val="0"/>
              <w:divBdr>
                <w:top w:val="none" w:sz="0" w:space="0" w:color="auto"/>
                <w:left w:val="none" w:sz="0" w:space="0" w:color="auto"/>
                <w:bottom w:val="none" w:sz="0" w:space="0" w:color="auto"/>
                <w:right w:val="none" w:sz="0" w:space="0" w:color="auto"/>
              </w:divBdr>
              <w:divsChild>
                <w:div w:id="21389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272739">
      <w:bodyDiv w:val="1"/>
      <w:marLeft w:val="0"/>
      <w:marRight w:val="0"/>
      <w:marTop w:val="0"/>
      <w:marBottom w:val="0"/>
      <w:divBdr>
        <w:top w:val="none" w:sz="0" w:space="0" w:color="auto"/>
        <w:left w:val="none" w:sz="0" w:space="0" w:color="auto"/>
        <w:bottom w:val="none" w:sz="0" w:space="0" w:color="auto"/>
        <w:right w:val="none" w:sz="0" w:space="0" w:color="auto"/>
      </w:divBdr>
    </w:div>
    <w:div w:id="605039575">
      <w:bodyDiv w:val="1"/>
      <w:marLeft w:val="0"/>
      <w:marRight w:val="0"/>
      <w:marTop w:val="0"/>
      <w:marBottom w:val="0"/>
      <w:divBdr>
        <w:top w:val="none" w:sz="0" w:space="0" w:color="auto"/>
        <w:left w:val="none" w:sz="0" w:space="0" w:color="auto"/>
        <w:bottom w:val="none" w:sz="0" w:space="0" w:color="auto"/>
        <w:right w:val="none" w:sz="0" w:space="0" w:color="auto"/>
      </w:divBdr>
    </w:div>
    <w:div w:id="608196916">
      <w:bodyDiv w:val="1"/>
      <w:marLeft w:val="0"/>
      <w:marRight w:val="0"/>
      <w:marTop w:val="0"/>
      <w:marBottom w:val="0"/>
      <w:divBdr>
        <w:top w:val="none" w:sz="0" w:space="0" w:color="auto"/>
        <w:left w:val="none" w:sz="0" w:space="0" w:color="auto"/>
        <w:bottom w:val="none" w:sz="0" w:space="0" w:color="auto"/>
        <w:right w:val="none" w:sz="0" w:space="0" w:color="auto"/>
      </w:divBdr>
      <w:divsChild>
        <w:div w:id="519316540">
          <w:marLeft w:val="0"/>
          <w:marRight w:val="0"/>
          <w:marTop w:val="0"/>
          <w:marBottom w:val="0"/>
          <w:divBdr>
            <w:top w:val="none" w:sz="0" w:space="0" w:color="auto"/>
            <w:left w:val="none" w:sz="0" w:space="0" w:color="auto"/>
            <w:bottom w:val="none" w:sz="0" w:space="0" w:color="auto"/>
            <w:right w:val="none" w:sz="0" w:space="0" w:color="auto"/>
          </w:divBdr>
        </w:div>
        <w:div w:id="811869558">
          <w:marLeft w:val="0"/>
          <w:marRight w:val="0"/>
          <w:marTop w:val="0"/>
          <w:marBottom w:val="81"/>
          <w:divBdr>
            <w:top w:val="none" w:sz="0" w:space="0" w:color="auto"/>
            <w:left w:val="none" w:sz="0" w:space="0" w:color="auto"/>
            <w:bottom w:val="none" w:sz="0" w:space="0" w:color="auto"/>
            <w:right w:val="none" w:sz="0" w:space="0" w:color="auto"/>
          </w:divBdr>
          <w:divsChild>
            <w:div w:id="484665723">
              <w:marLeft w:val="0"/>
              <w:marRight w:val="0"/>
              <w:marTop w:val="0"/>
              <w:marBottom w:val="81"/>
              <w:divBdr>
                <w:top w:val="none" w:sz="0" w:space="0" w:color="auto"/>
                <w:left w:val="none" w:sz="0" w:space="0" w:color="auto"/>
                <w:bottom w:val="none" w:sz="0" w:space="0" w:color="auto"/>
                <w:right w:val="none" w:sz="0" w:space="0" w:color="auto"/>
              </w:divBdr>
            </w:div>
            <w:div w:id="1776243662">
              <w:marLeft w:val="0"/>
              <w:marRight w:val="0"/>
              <w:marTop w:val="0"/>
              <w:marBottom w:val="0"/>
              <w:divBdr>
                <w:top w:val="none" w:sz="0" w:space="0" w:color="auto"/>
                <w:left w:val="none" w:sz="0" w:space="0" w:color="auto"/>
                <w:bottom w:val="none" w:sz="0" w:space="0" w:color="auto"/>
                <w:right w:val="none" w:sz="0" w:space="0" w:color="auto"/>
              </w:divBdr>
              <w:divsChild>
                <w:div w:id="8204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4532">
      <w:bodyDiv w:val="1"/>
      <w:marLeft w:val="0"/>
      <w:marRight w:val="0"/>
      <w:marTop w:val="0"/>
      <w:marBottom w:val="0"/>
      <w:divBdr>
        <w:top w:val="none" w:sz="0" w:space="0" w:color="auto"/>
        <w:left w:val="none" w:sz="0" w:space="0" w:color="auto"/>
        <w:bottom w:val="none" w:sz="0" w:space="0" w:color="auto"/>
        <w:right w:val="none" w:sz="0" w:space="0" w:color="auto"/>
      </w:divBdr>
    </w:div>
    <w:div w:id="625281991">
      <w:bodyDiv w:val="1"/>
      <w:marLeft w:val="0"/>
      <w:marRight w:val="0"/>
      <w:marTop w:val="0"/>
      <w:marBottom w:val="0"/>
      <w:divBdr>
        <w:top w:val="none" w:sz="0" w:space="0" w:color="auto"/>
        <w:left w:val="none" w:sz="0" w:space="0" w:color="auto"/>
        <w:bottom w:val="none" w:sz="0" w:space="0" w:color="auto"/>
        <w:right w:val="none" w:sz="0" w:space="0" w:color="auto"/>
      </w:divBdr>
    </w:div>
    <w:div w:id="628979983">
      <w:bodyDiv w:val="1"/>
      <w:marLeft w:val="0"/>
      <w:marRight w:val="0"/>
      <w:marTop w:val="0"/>
      <w:marBottom w:val="0"/>
      <w:divBdr>
        <w:top w:val="none" w:sz="0" w:space="0" w:color="auto"/>
        <w:left w:val="none" w:sz="0" w:space="0" w:color="auto"/>
        <w:bottom w:val="none" w:sz="0" w:space="0" w:color="auto"/>
        <w:right w:val="none" w:sz="0" w:space="0" w:color="auto"/>
      </w:divBdr>
    </w:div>
    <w:div w:id="632637793">
      <w:bodyDiv w:val="1"/>
      <w:marLeft w:val="0"/>
      <w:marRight w:val="0"/>
      <w:marTop w:val="0"/>
      <w:marBottom w:val="0"/>
      <w:divBdr>
        <w:top w:val="none" w:sz="0" w:space="0" w:color="auto"/>
        <w:left w:val="none" w:sz="0" w:space="0" w:color="auto"/>
        <w:bottom w:val="none" w:sz="0" w:space="0" w:color="auto"/>
        <w:right w:val="none" w:sz="0" w:space="0" w:color="auto"/>
      </w:divBdr>
    </w:div>
    <w:div w:id="655034241">
      <w:bodyDiv w:val="1"/>
      <w:marLeft w:val="0"/>
      <w:marRight w:val="0"/>
      <w:marTop w:val="0"/>
      <w:marBottom w:val="0"/>
      <w:divBdr>
        <w:top w:val="none" w:sz="0" w:space="0" w:color="auto"/>
        <w:left w:val="none" w:sz="0" w:space="0" w:color="auto"/>
        <w:bottom w:val="none" w:sz="0" w:space="0" w:color="auto"/>
        <w:right w:val="none" w:sz="0" w:space="0" w:color="auto"/>
      </w:divBdr>
      <w:divsChild>
        <w:div w:id="45374018">
          <w:marLeft w:val="0"/>
          <w:marRight w:val="240"/>
          <w:marTop w:val="96"/>
          <w:marBottom w:val="240"/>
          <w:divBdr>
            <w:top w:val="none" w:sz="0" w:space="0" w:color="auto"/>
            <w:left w:val="none" w:sz="0" w:space="0" w:color="auto"/>
            <w:bottom w:val="none" w:sz="0" w:space="0" w:color="auto"/>
            <w:right w:val="none" w:sz="0" w:space="0" w:color="auto"/>
          </w:divBdr>
          <w:divsChild>
            <w:div w:id="1781100428">
              <w:marLeft w:val="0"/>
              <w:marRight w:val="0"/>
              <w:marTop w:val="0"/>
              <w:marBottom w:val="0"/>
              <w:divBdr>
                <w:top w:val="none" w:sz="0" w:space="0" w:color="auto"/>
                <w:left w:val="none" w:sz="0" w:space="0" w:color="auto"/>
                <w:bottom w:val="single" w:sz="4" w:space="1" w:color="D1D1D1"/>
                <w:right w:val="none" w:sz="0" w:space="0" w:color="auto"/>
              </w:divBdr>
            </w:div>
          </w:divsChild>
        </w:div>
        <w:div w:id="414598073">
          <w:marLeft w:val="0"/>
          <w:marRight w:val="240"/>
          <w:marTop w:val="96"/>
          <w:marBottom w:val="240"/>
          <w:divBdr>
            <w:top w:val="none" w:sz="0" w:space="0" w:color="auto"/>
            <w:left w:val="none" w:sz="0" w:space="0" w:color="auto"/>
            <w:bottom w:val="none" w:sz="0" w:space="0" w:color="auto"/>
            <w:right w:val="none" w:sz="0" w:space="0" w:color="auto"/>
          </w:divBdr>
          <w:divsChild>
            <w:div w:id="1198588889">
              <w:marLeft w:val="0"/>
              <w:marRight w:val="0"/>
              <w:marTop w:val="0"/>
              <w:marBottom w:val="0"/>
              <w:divBdr>
                <w:top w:val="none" w:sz="0" w:space="0" w:color="auto"/>
                <w:left w:val="none" w:sz="0" w:space="0" w:color="auto"/>
                <w:bottom w:val="single" w:sz="4" w:space="1" w:color="D1D1D1"/>
                <w:right w:val="none" w:sz="0" w:space="0" w:color="auto"/>
              </w:divBdr>
            </w:div>
          </w:divsChild>
        </w:div>
        <w:div w:id="463275367">
          <w:marLeft w:val="0"/>
          <w:marRight w:val="240"/>
          <w:marTop w:val="96"/>
          <w:marBottom w:val="240"/>
          <w:divBdr>
            <w:top w:val="none" w:sz="0" w:space="0" w:color="auto"/>
            <w:left w:val="none" w:sz="0" w:space="0" w:color="auto"/>
            <w:bottom w:val="none" w:sz="0" w:space="0" w:color="auto"/>
            <w:right w:val="none" w:sz="0" w:space="0" w:color="auto"/>
          </w:divBdr>
          <w:divsChild>
            <w:div w:id="549147825">
              <w:marLeft w:val="0"/>
              <w:marRight w:val="0"/>
              <w:marTop w:val="0"/>
              <w:marBottom w:val="0"/>
              <w:divBdr>
                <w:top w:val="none" w:sz="0" w:space="0" w:color="auto"/>
                <w:left w:val="none" w:sz="0" w:space="0" w:color="auto"/>
                <w:bottom w:val="single" w:sz="4" w:space="1" w:color="D1D1D1"/>
                <w:right w:val="none" w:sz="0" w:space="0" w:color="auto"/>
              </w:divBdr>
            </w:div>
          </w:divsChild>
        </w:div>
        <w:div w:id="787742770">
          <w:marLeft w:val="0"/>
          <w:marRight w:val="240"/>
          <w:marTop w:val="96"/>
          <w:marBottom w:val="240"/>
          <w:divBdr>
            <w:top w:val="none" w:sz="0" w:space="0" w:color="auto"/>
            <w:left w:val="none" w:sz="0" w:space="0" w:color="auto"/>
            <w:bottom w:val="none" w:sz="0" w:space="0" w:color="auto"/>
            <w:right w:val="none" w:sz="0" w:space="0" w:color="auto"/>
          </w:divBdr>
          <w:divsChild>
            <w:div w:id="1812674004">
              <w:marLeft w:val="0"/>
              <w:marRight w:val="0"/>
              <w:marTop w:val="0"/>
              <w:marBottom w:val="0"/>
              <w:divBdr>
                <w:top w:val="none" w:sz="0" w:space="0" w:color="auto"/>
                <w:left w:val="none" w:sz="0" w:space="0" w:color="auto"/>
                <w:bottom w:val="single" w:sz="4" w:space="1" w:color="D1D1D1"/>
                <w:right w:val="none" w:sz="0" w:space="0" w:color="auto"/>
              </w:divBdr>
            </w:div>
          </w:divsChild>
        </w:div>
        <w:div w:id="874318058">
          <w:marLeft w:val="0"/>
          <w:marRight w:val="240"/>
          <w:marTop w:val="96"/>
          <w:marBottom w:val="240"/>
          <w:divBdr>
            <w:top w:val="none" w:sz="0" w:space="0" w:color="auto"/>
            <w:left w:val="none" w:sz="0" w:space="0" w:color="auto"/>
            <w:bottom w:val="none" w:sz="0" w:space="0" w:color="auto"/>
            <w:right w:val="none" w:sz="0" w:space="0" w:color="auto"/>
          </w:divBdr>
          <w:divsChild>
            <w:div w:id="2110150663">
              <w:marLeft w:val="0"/>
              <w:marRight w:val="0"/>
              <w:marTop w:val="0"/>
              <w:marBottom w:val="0"/>
              <w:divBdr>
                <w:top w:val="none" w:sz="0" w:space="0" w:color="auto"/>
                <w:left w:val="none" w:sz="0" w:space="0" w:color="auto"/>
                <w:bottom w:val="single" w:sz="4" w:space="1" w:color="D1D1D1"/>
                <w:right w:val="none" w:sz="0" w:space="0" w:color="auto"/>
              </w:divBdr>
            </w:div>
          </w:divsChild>
        </w:div>
        <w:div w:id="902446933">
          <w:marLeft w:val="0"/>
          <w:marRight w:val="240"/>
          <w:marTop w:val="96"/>
          <w:marBottom w:val="240"/>
          <w:divBdr>
            <w:top w:val="none" w:sz="0" w:space="0" w:color="auto"/>
            <w:left w:val="none" w:sz="0" w:space="0" w:color="auto"/>
            <w:bottom w:val="none" w:sz="0" w:space="0" w:color="auto"/>
            <w:right w:val="none" w:sz="0" w:space="0" w:color="auto"/>
          </w:divBdr>
          <w:divsChild>
            <w:div w:id="2137479099">
              <w:marLeft w:val="0"/>
              <w:marRight w:val="0"/>
              <w:marTop w:val="0"/>
              <w:marBottom w:val="0"/>
              <w:divBdr>
                <w:top w:val="none" w:sz="0" w:space="0" w:color="auto"/>
                <w:left w:val="none" w:sz="0" w:space="0" w:color="auto"/>
                <w:bottom w:val="single" w:sz="4" w:space="1" w:color="D1D1D1"/>
                <w:right w:val="none" w:sz="0" w:space="0" w:color="auto"/>
              </w:divBdr>
            </w:div>
          </w:divsChild>
        </w:div>
        <w:div w:id="1091468287">
          <w:marLeft w:val="0"/>
          <w:marRight w:val="240"/>
          <w:marTop w:val="96"/>
          <w:marBottom w:val="240"/>
          <w:divBdr>
            <w:top w:val="none" w:sz="0" w:space="0" w:color="auto"/>
            <w:left w:val="none" w:sz="0" w:space="0" w:color="auto"/>
            <w:bottom w:val="none" w:sz="0" w:space="0" w:color="auto"/>
            <w:right w:val="none" w:sz="0" w:space="0" w:color="auto"/>
          </w:divBdr>
          <w:divsChild>
            <w:div w:id="1176577128">
              <w:marLeft w:val="0"/>
              <w:marRight w:val="0"/>
              <w:marTop w:val="0"/>
              <w:marBottom w:val="0"/>
              <w:divBdr>
                <w:top w:val="none" w:sz="0" w:space="0" w:color="auto"/>
                <w:left w:val="none" w:sz="0" w:space="0" w:color="auto"/>
                <w:bottom w:val="single" w:sz="4" w:space="1" w:color="D1D1D1"/>
                <w:right w:val="none" w:sz="0" w:space="0" w:color="auto"/>
              </w:divBdr>
            </w:div>
          </w:divsChild>
        </w:div>
        <w:div w:id="1148208866">
          <w:marLeft w:val="0"/>
          <w:marRight w:val="240"/>
          <w:marTop w:val="96"/>
          <w:marBottom w:val="240"/>
          <w:divBdr>
            <w:top w:val="none" w:sz="0" w:space="0" w:color="auto"/>
            <w:left w:val="none" w:sz="0" w:space="0" w:color="auto"/>
            <w:bottom w:val="none" w:sz="0" w:space="0" w:color="auto"/>
            <w:right w:val="none" w:sz="0" w:space="0" w:color="auto"/>
          </w:divBdr>
          <w:divsChild>
            <w:div w:id="169299652">
              <w:marLeft w:val="0"/>
              <w:marRight w:val="0"/>
              <w:marTop w:val="0"/>
              <w:marBottom w:val="0"/>
              <w:divBdr>
                <w:top w:val="none" w:sz="0" w:space="0" w:color="auto"/>
                <w:left w:val="none" w:sz="0" w:space="0" w:color="auto"/>
                <w:bottom w:val="single" w:sz="4" w:space="1" w:color="D1D1D1"/>
                <w:right w:val="none" w:sz="0" w:space="0" w:color="auto"/>
              </w:divBdr>
            </w:div>
          </w:divsChild>
        </w:div>
        <w:div w:id="1228883042">
          <w:marLeft w:val="0"/>
          <w:marRight w:val="240"/>
          <w:marTop w:val="96"/>
          <w:marBottom w:val="240"/>
          <w:divBdr>
            <w:top w:val="none" w:sz="0" w:space="0" w:color="auto"/>
            <w:left w:val="none" w:sz="0" w:space="0" w:color="auto"/>
            <w:bottom w:val="none" w:sz="0" w:space="0" w:color="auto"/>
            <w:right w:val="none" w:sz="0" w:space="0" w:color="auto"/>
          </w:divBdr>
          <w:divsChild>
            <w:div w:id="315303423">
              <w:marLeft w:val="0"/>
              <w:marRight w:val="0"/>
              <w:marTop w:val="0"/>
              <w:marBottom w:val="0"/>
              <w:divBdr>
                <w:top w:val="none" w:sz="0" w:space="0" w:color="auto"/>
                <w:left w:val="none" w:sz="0" w:space="0" w:color="auto"/>
                <w:bottom w:val="single" w:sz="4" w:space="1" w:color="D1D1D1"/>
                <w:right w:val="none" w:sz="0" w:space="0" w:color="auto"/>
              </w:divBdr>
            </w:div>
          </w:divsChild>
        </w:div>
        <w:div w:id="1334457425">
          <w:marLeft w:val="0"/>
          <w:marRight w:val="240"/>
          <w:marTop w:val="96"/>
          <w:marBottom w:val="240"/>
          <w:divBdr>
            <w:top w:val="none" w:sz="0" w:space="0" w:color="auto"/>
            <w:left w:val="none" w:sz="0" w:space="0" w:color="auto"/>
            <w:bottom w:val="none" w:sz="0" w:space="0" w:color="auto"/>
            <w:right w:val="none" w:sz="0" w:space="0" w:color="auto"/>
          </w:divBdr>
          <w:divsChild>
            <w:div w:id="1477450682">
              <w:marLeft w:val="0"/>
              <w:marRight w:val="0"/>
              <w:marTop w:val="0"/>
              <w:marBottom w:val="0"/>
              <w:divBdr>
                <w:top w:val="none" w:sz="0" w:space="0" w:color="auto"/>
                <w:left w:val="none" w:sz="0" w:space="0" w:color="auto"/>
                <w:bottom w:val="single" w:sz="4" w:space="1" w:color="D1D1D1"/>
                <w:right w:val="none" w:sz="0" w:space="0" w:color="auto"/>
              </w:divBdr>
            </w:div>
          </w:divsChild>
        </w:div>
        <w:div w:id="1613054238">
          <w:marLeft w:val="0"/>
          <w:marRight w:val="240"/>
          <w:marTop w:val="96"/>
          <w:marBottom w:val="240"/>
          <w:divBdr>
            <w:top w:val="none" w:sz="0" w:space="0" w:color="auto"/>
            <w:left w:val="none" w:sz="0" w:space="0" w:color="auto"/>
            <w:bottom w:val="none" w:sz="0" w:space="0" w:color="auto"/>
            <w:right w:val="none" w:sz="0" w:space="0" w:color="auto"/>
          </w:divBdr>
          <w:divsChild>
            <w:div w:id="1862166351">
              <w:marLeft w:val="0"/>
              <w:marRight w:val="0"/>
              <w:marTop w:val="0"/>
              <w:marBottom w:val="0"/>
              <w:divBdr>
                <w:top w:val="none" w:sz="0" w:space="0" w:color="auto"/>
                <w:left w:val="none" w:sz="0" w:space="0" w:color="auto"/>
                <w:bottom w:val="single" w:sz="4" w:space="1" w:color="D1D1D1"/>
                <w:right w:val="none" w:sz="0" w:space="0" w:color="auto"/>
              </w:divBdr>
            </w:div>
          </w:divsChild>
        </w:div>
        <w:div w:id="1988047010">
          <w:marLeft w:val="0"/>
          <w:marRight w:val="240"/>
          <w:marTop w:val="96"/>
          <w:marBottom w:val="240"/>
          <w:divBdr>
            <w:top w:val="none" w:sz="0" w:space="0" w:color="auto"/>
            <w:left w:val="none" w:sz="0" w:space="0" w:color="auto"/>
            <w:bottom w:val="none" w:sz="0" w:space="0" w:color="auto"/>
            <w:right w:val="none" w:sz="0" w:space="0" w:color="auto"/>
          </w:divBdr>
          <w:divsChild>
            <w:div w:id="1462067647">
              <w:marLeft w:val="0"/>
              <w:marRight w:val="0"/>
              <w:marTop w:val="0"/>
              <w:marBottom w:val="0"/>
              <w:divBdr>
                <w:top w:val="none" w:sz="0" w:space="0" w:color="auto"/>
                <w:left w:val="none" w:sz="0" w:space="0" w:color="auto"/>
                <w:bottom w:val="single" w:sz="4" w:space="1" w:color="D1D1D1"/>
                <w:right w:val="none" w:sz="0" w:space="0" w:color="auto"/>
              </w:divBdr>
            </w:div>
          </w:divsChild>
        </w:div>
        <w:div w:id="2130472453">
          <w:marLeft w:val="0"/>
          <w:marRight w:val="240"/>
          <w:marTop w:val="96"/>
          <w:marBottom w:val="240"/>
          <w:divBdr>
            <w:top w:val="none" w:sz="0" w:space="0" w:color="auto"/>
            <w:left w:val="none" w:sz="0" w:space="0" w:color="auto"/>
            <w:bottom w:val="none" w:sz="0" w:space="0" w:color="auto"/>
            <w:right w:val="none" w:sz="0" w:space="0" w:color="auto"/>
          </w:divBdr>
          <w:divsChild>
            <w:div w:id="1441334983">
              <w:marLeft w:val="0"/>
              <w:marRight w:val="0"/>
              <w:marTop w:val="0"/>
              <w:marBottom w:val="0"/>
              <w:divBdr>
                <w:top w:val="none" w:sz="0" w:space="0" w:color="auto"/>
                <w:left w:val="none" w:sz="0" w:space="0" w:color="auto"/>
                <w:bottom w:val="single" w:sz="4" w:space="1" w:color="D1D1D1"/>
                <w:right w:val="none" w:sz="0" w:space="0" w:color="auto"/>
              </w:divBdr>
            </w:div>
          </w:divsChild>
        </w:div>
      </w:divsChild>
    </w:div>
    <w:div w:id="679354158">
      <w:bodyDiv w:val="1"/>
      <w:marLeft w:val="0"/>
      <w:marRight w:val="0"/>
      <w:marTop w:val="0"/>
      <w:marBottom w:val="0"/>
      <w:divBdr>
        <w:top w:val="none" w:sz="0" w:space="0" w:color="auto"/>
        <w:left w:val="none" w:sz="0" w:space="0" w:color="auto"/>
        <w:bottom w:val="none" w:sz="0" w:space="0" w:color="auto"/>
        <w:right w:val="none" w:sz="0" w:space="0" w:color="auto"/>
      </w:divBdr>
    </w:div>
    <w:div w:id="680275781">
      <w:bodyDiv w:val="1"/>
      <w:marLeft w:val="0"/>
      <w:marRight w:val="0"/>
      <w:marTop w:val="0"/>
      <w:marBottom w:val="0"/>
      <w:divBdr>
        <w:top w:val="none" w:sz="0" w:space="0" w:color="auto"/>
        <w:left w:val="none" w:sz="0" w:space="0" w:color="auto"/>
        <w:bottom w:val="none" w:sz="0" w:space="0" w:color="auto"/>
        <w:right w:val="none" w:sz="0" w:space="0" w:color="auto"/>
      </w:divBdr>
    </w:div>
    <w:div w:id="684210762">
      <w:bodyDiv w:val="1"/>
      <w:marLeft w:val="0"/>
      <w:marRight w:val="0"/>
      <w:marTop w:val="0"/>
      <w:marBottom w:val="0"/>
      <w:divBdr>
        <w:top w:val="none" w:sz="0" w:space="0" w:color="auto"/>
        <w:left w:val="none" w:sz="0" w:space="0" w:color="auto"/>
        <w:bottom w:val="none" w:sz="0" w:space="0" w:color="auto"/>
        <w:right w:val="none" w:sz="0" w:space="0" w:color="auto"/>
      </w:divBdr>
    </w:div>
    <w:div w:id="692389386">
      <w:bodyDiv w:val="1"/>
      <w:marLeft w:val="0"/>
      <w:marRight w:val="0"/>
      <w:marTop w:val="0"/>
      <w:marBottom w:val="0"/>
      <w:divBdr>
        <w:top w:val="none" w:sz="0" w:space="0" w:color="auto"/>
        <w:left w:val="none" w:sz="0" w:space="0" w:color="auto"/>
        <w:bottom w:val="none" w:sz="0" w:space="0" w:color="auto"/>
        <w:right w:val="none" w:sz="0" w:space="0" w:color="auto"/>
      </w:divBdr>
    </w:div>
    <w:div w:id="704184865">
      <w:bodyDiv w:val="1"/>
      <w:marLeft w:val="0"/>
      <w:marRight w:val="0"/>
      <w:marTop w:val="0"/>
      <w:marBottom w:val="0"/>
      <w:divBdr>
        <w:top w:val="none" w:sz="0" w:space="0" w:color="auto"/>
        <w:left w:val="none" w:sz="0" w:space="0" w:color="auto"/>
        <w:bottom w:val="none" w:sz="0" w:space="0" w:color="auto"/>
        <w:right w:val="none" w:sz="0" w:space="0" w:color="auto"/>
      </w:divBdr>
    </w:div>
    <w:div w:id="715619014">
      <w:bodyDiv w:val="1"/>
      <w:marLeft w:val="0"/>
      <w:marRight w:val="0"/>
      <w:marTop w:val="0"/>
      <w:marBottom w:val="0"/>
      <w:divBdr>
        <w:top w:val="none" w:sz="0" w:space="0" w:color="auto"/>
        <w:left w:val="none" w:sz="0" w:space="0" w:color="auto"/>
        <w:bottom w:val="none" w:sz="0" w:space="0" w:color="auto"/>
        <w:right w:val="none" w:sz="0" w:space="0" w:color="auto"/>
      </w:divBdr>
    </w:div>
    <w:div w:id="716397080">
      <w:bodyDiv w:val="1"/>
      <w:marLeft w:val="0"/>
      <w:marRight w:val="0"/>
      <w:marTop w:val="0"/>
      <w:marBottom w:val="0"/>
      <w:divBdr>
        <w:top w:val="none" w:sz="0" w:space="0" w:color="auto"/>
        <w:left w:val="none" w:sz="0" w:space="0" w:color="auto"/>
        <w:bottom w:val="none" w:sz="0" w:space="0" w:color="auto"/>
        <w:right w:val="none" w:sz="0" w:space="0" w:color="auto"/>
      </w:divBdr>
    </w:div>
    <w:div w:id="722368291">
      <w:bodyDiv w:val="1"/>
      <w:marLeft w:val="0"/>
      <w:marRight w:val="0"/>
      <w:marTop w:val="0"/>
      <w:marBottom w:val="0"/>
      <w:divBdr>
        <w:top w:val="none" w:sz="0" w:space="0" w:color="auto"/>
        <w:left w:val="none" w:sz="0" w:space="0" w:color="auto"/>
        <w:bottom w:val="none" w:sz="0" w:space="0" w:color="auto"/>
        <w:right w:val="none" w:sz="0" w:space="0" w:color="auto"/>
      </w:divBdr>
    </w:div>
    <w:div w:id="739140452">
      <w:bodyDiv w:val="1"/>
      <w:marLeft w:val="0"/>
      <w:marRight w:val="0"/>
      <w:marTop w:val="0"/>
      <w:marBottom w:val="0"/>
      <w:divBdr>
        <w:top w:val="none" w:sz="0" w:space="0" w:color="auto"/>
        <w:left w:val="none" w:sz="0" w:space="0" w:color="auto"/>
        <w:bottom w:val="none" w:sz="0" w:space="0" w:color="auto"/>
        <w:right w:val="none" w:sz="0" w:space="0" w:color="auto"/>
      </w:divBdr>
      <w:divsChild>
        <w:div w:id="66268140">
          <w:marLeft w:val="475"/>
          <w:marRight w:val="0"/>
          <w:marTop w:val="168"/>
          <w:marBottom w:val="0"/>
          <w:divBdr>
            <w:top w:val="none" w:sz="0" w:space="0" w:color="auto"/>
            <w:left w:val="none" w:sz="0" w:space="0" w:color="auto"/>
            <w:bottom w:val="none" w:sz="0" w:space="0" w:color="auto"/>
            <w:right w:val="none" w:sz="0" w:space="0" w:color="auto"/>
          </w:divBdr>
        </w:div>
        <w:div w:id="252323941">
          <w:marLeft w:val="475"/>
          <w:marRight w:val="0"/>
          <w:marTop w:val="168"/>
          <w:marBottom w:val="0"/>
          <w:divBdr>
            <w:top w:val="none" w:sz="0" w:space="0" w:color="auto"/>
            <w:left w:val="none" w:sz="0" w:space="0" w:color="auto"/>
            <w:bottom w:val="none" w:sz="0" w:space="0" w:color="auto"/>
            <w:right w:val="none" w:sz="0" w:space="0" w:color="auto"/>
          </w:divBdr>
        </w:div>
        <w:div w:id="380977648">
          <w:marLeft w:val="1181"/>
          <w:marRight w:val="0"/>
          <w:marTop w:val="168"/>
          <w:marBottom w:val="0"/>
          <w:divBdr>
            <w:top w:val="none" w:sz="0" w:space="0" w:color="auto"/>
            <w:left w:val="none" w:sz="0" w:space="0" w:color="auto"/>
            <w:bottom w:val="none" w:sz="0" w:space="0" w:color="auto"/>
            <w:right w:val="none" w:sz="0" w:space="0" w:color="auto"/>
          </w:divBdr>
        </w:div>
        <w:div w:id="761414420">
          <w:marLeft w:val="475"/>
          <w:marRight w:val="0"/>
          <w:marTop w:val="168"/>
          <w:marBottom w:val="0"/>
          <w:divBdr>
            <w:top w:val="none" w:sz="0" w:space="0" w:color="auto"/>
            <w:left w:val="none" w:sz="0" w:space="0" w:color="auto"/>
            <w:bottom w:val="none" w:sz="0" w:space="0" w:color="auto"/>
            <w:right w:val="none" w:sz="0" w:space="0" w:color="auto"/>
          </w:divBdr>
        </w:div>
        <w:div w:id="932972916">
          <w:marLeft w:val="475"/>
          <w:marRight w:val="0"/>
          <w:marTop w:val="168"/>
          <w:marBottom w:val="0"/>
          <w:divBdr>
            <w:top w:val="none" w:sz="0" w:space="0" w:color="auto"/>
            <w:left w:val="none" w:sz="0" w:space="0" w:color="auto"/>
            <w:bottom w:val="none" w:sz="0" w:space="0" w:color="auto"/>
            <w:right w:val="none" w:sz="0" w:space="0" w:color="auto"/>
          </w:divBdr>
        </w:div>
        <w:div w:id="952905458">
          <w:marLeft w:val="475"/>
          <w:marRight w:val="0"/>
          <w:marTop w:val="168"/>
          <w:marBottom w:val="0"/>
          <w:divBdr>
            <w:top w:val="none" w:sz="0" w:space="0" w:color="auto"/>
            <w:left w:val="none" w:sz="0" w:space="0" w:color="auto"/>
            <w:bottom w:val="none" w:sz="0" w:space="0" w:color="auto"/>
            <w:right w:val="none" w:sz="0" w:space="0" w:color="auto"/>
          </w:divBdr>
        </w:div>
        <w:div w:id="1325940265">
          <w:marLeft w:val="475"/>
          <w:marRight w:val="0"/>
          <w:marTop w:val="168"/>
          <w:marBottom w:val="0"/>
          <w:divBdr>
            <w:top w:val="none" w:sz="0" w:space="0" w:color="auto"/>
            <w:left w:val="none" w:sz="0" w:space="0" w:color="auto"/>
            <w:bottom w:val="none" w:sz="0" w:space="0" w:color="auto"/>
            <w:right w:val="none" w:sz="0" w:space="0" w:color="auto"/>
          </w:divBdr>
        </w:div>
        <w:div w:id="2011568078">
          <w:marLeft w:val="475"/>
          <w:marRight w:val="0"/>
          <w:marTop w:val="168"/>
          <w:marBottom w:val="0"/>
          <w:divBdr>
            <w:top w:val="none" w:sz="0" w:space="0" w:color="auto"/>
            <w:left w:val="none" w:sz="0" w:space="0" w:color="auto"/>
            <w:bottom w:val="none" w:sz="0" w:space="0" w:color="auto"/>
            <w:right w:val="none" w:sz="0" w:space="0" w:color="auto"/>
          </w:divBdr>
        </w:div>
      </w:divsChild>
    </w:div>
    <w:div w:id="757098157">
      <w:bodyDiv w:val="1"/>
      <w:marLeft w:val="0"/>
      <w:marRight w:val="0"/>
      <w:marTop w:val="0"/>
      <w:marBottom w:val="0"/>
      <w:divBdr>
        <w:top w:val="none" w:sz="0" w:space="0" w:color="auto"/>
        <w:left w:val="none" w:sz="0" w:space="0" w:color="auto"/>
        <w:bottom w:val="none" w:sz="0" w:space="0" w:color="auto"/>
        <w:right w:val="none" w:sz="0" w:space="0" w:color="auto"/>
      </w:divBdr>
      <w:divsChild>
        <w:div w:id="598491823">
          <w:marLeft w:val="1181"/>
          <w:marRight w:val="0"/>
          <w:marTop w:val="168"/>
          <w:marBottom w:val="0"/>
          <w:divBdr>
            <w:top w:val="none" w:sz="0" w:space="0" w:color="auto"/>
            <w:left w:val="none" w:sz="0" w:space="0" w:color="auto"/>
            <w:bottom w:val="none" w:sz="0" w:space="0" w:color="auto"/>
            <w:right w:val="none" w:sz="0" w:space="0" w:color="auto"/>
          </w:divBdr>
        </w:div>
        <w:div w:id="827012523">
          <w:marLeft w:val="475"/>
          <w:marRight w:val="0"/>
          <w:marTop w:val="168"/>
          <w:marBottom w:val="0"/>
          <w:divBdr>
            <w:top w:val="none" w:sz="0" w:space="0" w:color="auto"/>
            <w:left w:val="none" w:sz="0" w:space="0" w:color="auto"/>
            <w:bottom w:val="none" w:sz="0" w:space="0" w:color="auto"/>
            <w:right w:val="none" w:sz="0" w:space="0" w:color="auto"/>
          </w:divBdr>
        </w:div>
        <w:div w:id="1085541775">
          <w:marLeft w:val="1181"/>
          <w:marRight w:val="0"/>
          <w:marTop w:val="168"/>
          <w:marBottom w:val="0"/>
          <w:divBdr>
            <w:top w:val="none" w:sz="0" w:space="0" w:color="auto"/>
            <w:left w:val="none" w:sz="0" w:space="0" w:color="auto"/>
            <w:bottom w:val="none" w:sz="0" w:space="0" w:color="auto"/>
            <w:right w:val="none" w:sz="0" w:space="0" w:color="auto"/>
          </w:divBdr>
        </w:div>
        <w:div w:id="1379669528">
          <w:marLeft w:val="475"/>
          <w:marRight w:val="0"/>
          <w:marTop w:val="168"/>
          <w:marBottom w:val="0"/>
          <w:divBdr>
            <w:top w:val="none" w:sz="0" w:space="0" w:color="auto"/>
            <w:left w:val="none" w:sz="0" w:space="0" w:color="auto"/>
            <w:bottom w:val="none" w:sz="0" w:space="0" w:color="auto"/>
            <w:right w:val="none" w:sz="0" w:space="0" w:color="auto"/>
          </w:divBdr>
        </w:div>
        <w:div w:id="1584988471">
          <w:marLeft w:val="475"/>
          <w:marRight w:val="0"/>
          <w:marTop w:val="168"/>
          <w:marBottom w:val="0"/>
          <w:divBdr>
            <w:top w:val="none" w:sz="0" w:space="0" w:color="auto"/>
            <w:left w:val="none" w:sz="0" w:space="0" w:color="auto"/>
            <w:bottom w:val="none" w:sz="0" w:space="0" w:color="auto"/>
            <w:right w:val="none" w:sz="0" w:space="0" w:color="auto"/>
          </w:divBdr>
        </w:div>
        <w:div w:id="1888683711">
          <w:marLeft w:val="475"/>
          <w:marRight w:val="0"/>
          <w:marTop w:val="168"/>
          <w:marBottom w:val="0"/>
          <w:divBdr>
            <w:top w:val="none" w:sz="0" w:space="0" w:color="auto"/>
            <w:left w:val="none" w:sz="0" w:space="0" w:color="auto"/>
            <w:bottom w:val="none" w:sz="0" w:space="0" w:color="auto"/>
            <w:right w:val="none" w:sz="0" w:space="0" w:color="auto"/>
          </w:divBdr>
        </w:div>
        <w:div w:id="2025397518">
          <w:marLeft w:val="475"/>
          <w:marRight w:val="0"/>
          <w:marTop w:val="168"/>
          <w:marBottom w:val="0"/>
          <w:divBdr>
            <w:top w:val="none" w:sz="0" w:space="0" w:color="auto"/>
            <w:left w:val="none" w:sz="0" w:space="0" w:color="auto"/>
            <w:bottom w:val="none" w:sz="0" w:space="0" w:color="auto"/>
            <w:right w:val="none" w:sz="0" w:space="0" w:color="auto"/>
          </w:divBdr>
        </w:div>
      </w:divsChild>
    </w:div>
    <w:div w:id="759064153">
      <w:bodyDiv w:val="1"/>
      <w:marLeft w:val="0"/>
      <w:marRight w:val="0"/>
      <w:marTop w:val="0"/>
      <w:marBottom w:val="0"/>
      <w:divBdr>
        <w:top w:val="none" w:sz="0" w:space="0" w:color="auto"/>
        <w:left w:val="none" w:sz="0" w:space="0" w:color="auto"/>
        <w:bottom w:val="none" w:sz="0" w:space="0" w:color="auto"/>
        <w:right w:val="none" w:sz="0" w:space="0" w:color="auto"/>
      </w:divBdr>
    </w:div>
    <w:div w:id="766774900">
      <w:bodyDiv w:val="1"/>
      <w:marLeft w:val="0"/>
      <w:marRight w:val="0"/>
      <w:marTop w:val="0"/>
      <w:marBottom w:val="0"/>
      <w:divBdr>
        <w:top w:val="none" w:sz="0" w:space="0" w:color="auto"/>
        <w:left w:val="none" w:sz="0" w:space="0" w:color="auto"/>
        <w:bottom w:val="none" w:sz="0" w:space="0" w:color="auto"/>
        <w:right w:val="none" w:sz="0" w:space="0" w:color="auto"/>
      </w:divBdr>
      <w:divsChild>
        <w:div w:id="50812158">
          <w:marLeft w:val="0"/>
          <w:marRight w:val="0"/>
          <w:marTop w:val="67"/>
          <w:marBottom w:val="0"/>
          <w:divBdr>
            <w:top w:val="none" w:sz="0" w:space="0" w:color="auto"/>
            <w:left w:val="none" w:sz="0" w:space="0" w:color="auto"/>
            <w:bottom w:val="none" w:sz="0" w:space="0" w:color="auto"/>
            <w:right w:val="none" w:sz="0" w:space="0" w:color="auto"/>
          </w:divBdr>
        </w:div>
        <w:div w:id="155997475">
          <w:marLeft w:val="0"/>
          <w:marRight w:val="0"/>
          <w:marTop w:val="67"/>
          <w:marBottom w:val="0"/>
          <w:divBdr>
            <w:top w:val="none" w:sz="0" w:space="0" w:color="auto"/>
            <w:left w:val="none" w:sz="0" w:space="0" w:color="auto"/>
            <w:bottom w:val="none" w:sz="0" w:space="0" w:color="auto"/>
            <w:right w:val="none" w:sz="0" w:space="0" w:color="auto"/>
          </w:divBdr>
        </w:div>
        <w:div w:id="595482168">
          <w:marLeft w:val="0"/>
          <w:marRight w:val="0"/>
          <w:marTop w:val="67"/>
          <w:marBottom w:val="0"/>
          <w:divBdr>
            <w:top w:val="none" w:sz="0" w:space="0" w:color="auto"/>
            <w:left w:val="none" w:sz="0" w:space="0" w:color="auto"/>
            <w:bottom w:val="none" w:sz="0" w:space="0" w:color="auto"/>
            <w:right w:val="none" w:sz="0" w:space="0" w:color="auto"/>
          </w:divBdr>
        </w:div>
        <w:div w:id="821503222">
          <w:marLeft w:val="0"/>
          <w:marRight w:val="0"/>
          <w:marTop w:val="67"/>
          <w:marBottom w:val="0"/>
          <w:divBdr>
            <w:top w:val="none" w:sz="0" w:space="0" w:color="auto"/>
            <w:left w:val="none" w:sz="0" w:space="0" w:color="auto"/>
            <w:bottom w:val="none" w:sz="0" w:space="0" w:color="auto"/>
            <w:right w:val="none" w:sz="0" w:space="0" w:color="auto"/>
          </w:divBdr>
        </w:div>
        <w:div w:id="832648564">
          <w:marLeft w:val="0"/>
          <w:marRight w:val="0"/>
          <w:marTop w:val="67"/>
          <w:marBottom w:val="0"/>
          <w:divBdr>
            <w:top w:val="none" w:sz="0" w:space="0" w:color="auto"/>
            <w:left w:val="none" w:sz="0" w:space="0" w:color="auto"/>
            <w:bottom w:val="none" w:sz="0" w:space="0" w:color="auto"/>
            <w:right w:val="none" w:sz="0" w:space="0" w:color="auto"/>
          </w:divBdr>
        </w:div>
        <w:div w:id="969552779">
          <w:marLeft w:val="0"/>
          <w:marRight w:val="0"/>
          <w:marTop w:val="67"/>
          <w:marBottom w:val="0"/>
          <w:divBdr>
            <w:top w:val="none" w:sz="0" w:space="0" w:color="auto"/>
            <w:left w:val="none" w:sz="0" w:space="0" w:color="auto"/>
            <w:bottom w:val="none" w:sz="0" w:space="0" w:color="auto"/>
            <w:right w:val="none" w:sz="0" w:space="0" w:color="auto"/>
          </w:divBdr>
        </w:div>
        <w:div w:id="1217207325">
          <w:marLeft w:val="0"/>
          <w:marRight w:val="0"/>
          <w:marTop w:val="67"/>
          <w:marBottom w:val="0"/>
          <w:divBdr>
            <w:top w:val="none" w:sz="0" w:space="0" w:color="auto"/>
            <w:left w:val="none" w:sz="0" w:space="0" w:color="auto"/>
            <w:bottom w:val="none" w:sz="0" w:space="0" w:color="auto"/>
            <w:right w:val="none" w:sz="0" w:space="0" w:color="auto"/>
          </w:divBdr>
        </w:div>
        <w:div w:id="1316449012">
          <w:marLeft w:val="0"/>
          <w:marRight w:val="0"/>
          <w:marTop w:val="67"/>
          <w:marBottom w:val="0"/>
          <w:divBdr>
            <w:top w:val="none" w:sz="0" w:space="0" w:color="auto"/>
            <w:left w:val="none" w:sz="0" w:space="0" w:color="auto"/>
            <w:bottom w:val="none" w:sz="0" w:space="0" w:color="auto"/>
            <w:right w:val="none" w:sz="0" w:space="0" w:color="auto"/>
          </w:divBdr>
        </w:div>
        <w:div w:id="1687441310">
          <w:marLeft w:val="0"/>
          <w:marRight w:val="0"/>
          <w:marTop w:val="67"/>
          <w:marBottom w:val="0"/>
          <w:divBdr>
            <w:top w:val="none" w:sz="0" w:space="0" w:color="auto"/>
            <w:left w:val="none" w:sz="0" w:space="0" w:color="auto"/>
            <w:bottom w:val="none" w:sz="0" w:space="0" w:color="auto"/>
            <w:right w:val="none" w:sz="0" w:space="0" w:color="auto"/>
          </w:divBdr>
        </w:div>
        <w:div w:id="2010407251">
          <w:marLeft w:val="0"/>
          <w:marRight w:val="0"/>
          <w:marTop w:val="67"/>
          <w:marBottom w:val="0"/>
          <w:divBdr>
            <w:top w:val="none" w:sz="0" w:space="0" w:color="auto"/>
            <w:left w:val="none" w:sz="0" w:space="0" w:color="auto"/>
            <w:bottom w:val="none" w:sz="0" w:space="0" w:color="auto"/>
            <w:right w:val="none" w:sz="0" w:space="0" w:color="auto"/>
          </w:divBdr>
        </w:div>
      </w:divsChild>
    </w:div>
    <w:div w:id="766923715">
      <w:bodyDiv w:val="1"/>
      <w:marLeft w:val="0"/>
      <w:marRight w:val="0"/>
      <w:marTop w:val="0"/>
      <w:marBottom w:val="0"/>
      <w:divBdr>
        <w:top w:val="none" w:sz="0" w:space="0" w:color="auto"/>
        <w:left w:val="none" w:sz="0" w:space="0" w:color="auto"/>
        <w:bottom w:val="none" w:sz="0" w:space="0" w:color="auto"/>
        <w:right w:val="none" w:sz="0" w:space="0" w:color="auto"/>
      </w:divBdr>
      <w:divsChild>
        <w:div w:id="931741808">
          <w:marLeft w:val="0"/>
          <w:marRight w:val="0"/>
          <w:marTop w:val="0"/>
          <w:marBottom w:val="115"/>
          <w:divBdr>
            <w:top w:val="none" w:sz="0" w:space="0" w:color="auto"/>
            <w:left w:val="none" w:sz="0" w:space="0" w:color="auto"/>
            <w:bottom w:val="none" w:sz="0" w:space="0" w:color="auto"/>
            <w:right w:val="none" w:sz="0" w:space="0" w:color="auto"/>
          </w:divBdr>
          <w:divsChild>
            <w:div w:id="128204088">
              <w:marLeft w:val="0"/>
              <w:marRight w:val="0"/>
              <w:marTop w:val="0"/>
              <w:marBottom w:val="0"/>
              <w:divBdr>
                <w:top w:val="none" w:sz="0" w:space="0" w:color="auto"/>
                <w:left w:val="none" w:sz="0" w:space="0" w:color="auto"/>
                <w:bottom w:val="none" w:sz="0" w:space="0" w:color="auto"/>
                <w:right w:val="none" w:sz="0" w:space="0" w:color="auto"/>
              </w:divBdr>
            </w:div>
            <w:div w:id="594024618">
              <w:marLeft w:val="0"/>
              <w:marRight w:val="0"/>
              <w:marTop w:val="0"/>
              <w:marBottom w:val="0"/>
              <w:divBdr>
                <w:top w:val="none" w:sz="0" w:space="0" w:color="auto"/>
                <w:left w:val="none" w:sz="0" w:space="0" w:color="auto"/>
                <w:bottom w:val="none" w:sz="0" w:space="0" w:color="auto"/>
                <w:right w:val="none" w:sz="0" w:space="0" w:color="auto"/>
              </w:divBdr>
              <w:divsChild>
                <w:div w:id="444153623">
                  <w:marLeft w:val="0"/>
                  <w:marRight w:val="0"/>
                  <w:marTop w:val="0"/>
                  <w:marBottom w:val="0"/>
                  <w:divBdr>
                    <w:top w:val="none" w:sz="0" w:space="0" w:color="auto"/>
                    <w:left w:val="none" w:sz="0" w:space="0" w:color="auto"/>
                    <w:bottom w:val="none" w:sz="0" w:space="0" w:color="auto"/>
                    <w:right w:val="none" w:sz="0" w:space="0" w:color="auto"/>
                  </w:divBdr>
                </w:div>
                <w:div w:id="607855386">
                  <w:marLeft w:val="0"/>
                  <w:marRight w:val="0"/>
                  <w:marTop w:val="0"/>
                  <w:marBottom w:val="0"/>
                  <w:divBdr>
                    <w:top w:val="none" w:sz="0" w:space="0" w:color="auto"/>
                    <w:left w:val="none" w:sz="0" w:space="0" w:color="auto"/>
                    <w:bottom w:val="none" w:sz="0" w:space="0" w:color="auto"/>
                    <w:right w:val="none" w:sz="0" w:space="0" w:color="auto"/>
                  </w:divBdr>
                </w:div>
                <w:div w:id="662200433">
                  <w:marLeft w:val="0"/>
                  <w:marRight w:val="0"/>
                  <w:marTop w:val="0"/>
                  <w:marBottom w:val="0"/>
                  <w:divBdr>
                    <w:top w:val="none" w:sz="0" w:space="0" w:color="auto"/>
                    <w:left w:val="none" w:sz="0" w:space="0" w:color="auto"/>
                    <w:bottom w:val="none" w:sz="0" w:space="0" w:color="auto"/>
                    <w:right w:val="none" w:sz="0" w:space="0" w:color="auto"/>
                  </w:divBdr>
                </w:div>
                <w:div w:id="1040938296">
                  <w:marLeft w:val="0"/>
                  <w:marRight w:val="0"/>
                  <w:marTop w:val="0"/>
                  <w:marBottom w:val="0"/>
                  <w:divBdr>
                    <w:top w:val="none" w:sz="0" w:space="0" w:color="auto"/>
                    <w:left w:val="none" w:sz="0" w:space="0" w:color="auto"/>
                    <w:bottom w:val="none" w:sz="0" w:space="0" w:color="auto"/>
                    <w:right w:val="none" w:sz="0" w:space="0" w:color="auto"/>
                  </w:divBdr>
                </w:div>
                <w:div w:id="1103065397">
                  <w:marLeft w:val="0"/>
                  <w:marRight w:val="0"/>
                  <w:marTop w:val="0"/>
                  <w:marBottom w:val="0"/>
                  <w:divBdr>
                    <w:top w:val="none" w:sz="0" w:space="0" w:color="auto"/>
                    <w:left w:val="none" w:sz="0" w:space="0" w:color="auto"/>
                    <w:bottom w:val="none" w:sz="0" w:space="0" w:color="auto"/>
                    <w:right w:val="none" w:sz="0" w:space="0" w:color="auto"/>
                  </w:divBdr>
                </w:div>
                <w:div w:id="1687440307">
                  <w:marLeft w:val="0"/>
                  <w:marRight w:val="0"/>
                  <w:marTop w:val="0"/>
                  <w:marBottom w:val="0"/>
                  <w:divBdr>
                    <w:top w:val="none" w:sz="0" w:space="0" w:color="auto"/>
                    <w:left w:val="none" w:sz="0" w:space="0" w:color="auto"/>
                    <w:bottom w:val="none" w:sz="0" w:space="0" w:color="auto"/>
                    <w:right w:val="none" w:sz="0" w:space="0" w:color="auto"/>
                  </w:divBdr>
                </w:div>
                <w:div w:id="1956474145">
                  <w:marLeft w:val="0"/>
                  <w:marRight w:val="0"/>
                  <w:marTop w:val="0"/>
                  <w:marBottom w:val="0"/>
                  <w:divBdr>
                    <w:top w:val="none" w:sz="0" w:space="0" w:color="auto"/>
                    <w:left w:val="none" w:sz="0" w:space="0" w:color="auto"/>
                    <w:bottom w:val="none" w:sz="0" w:space="0" w:color="auto"/>
                    <w:right w:val="none" w:sz="0" w:space="0" w:color="auto"/>
                  </w:divBdr>
                </w:div>
                <w:div w:id="208564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7127">
          <w:marLeft w:val="0"/>
          <w:marRight w:val="0"/>
          <w:marTop w:val="0"/>
          <w:marBottom w:val="115"/>
          <w:divBdr>
            <w:top w:val="none" w:sz="0" w:space="0" w:color="auto"/>
            <w:left w:val="none" w:sz="0" w:space="0" w:color="auto"/>
            <w:bottom w:val="none" w:sz="0" w:space="0" w:color="auto"/>
            <w:right w:val="none" w:sz="0" w:space="0" w:color="auto"/>
          </w:divBdr>
          <w:divsChild>
            <w:div w:id="889728562">
              <w:marLeft w:val="0"/>
              <w:marRight w:val="0"/>
              <w:marTop w:val="0"/>
              <w:marBottom w:val="0"/>
              <w:divBdr>
                <w:top w:val="none" w:sz="0" w:space="0" w:color="auto"/>
                <w:left w:val="none" w:sz="0" w:space="0" w:color="auto"/>
                <w:bottom w:val="none" w:sz="0" w:space="0" w:color="auto"/>
                <w:right w:val="none" w:sz="0" w:space="0" w:color="auto"/>
              </w:divBdr>
            </w:div>
            <w:div w:id="1791820636">
              <w:marLeft w:val="0"/>
              <w:marRight w:val="0"/>
              <w:marTop w:val="0"/>
              <w:marBottom w:val="0"/>
              <w:divBdr>
                <w:top w:val="none" w:sz="0" w:space="0" w:color="auto"/>
                <w:left w:val="none" w:sz="0" w:space="0" w:color="auto"/>
                <w:bottom w:val="none" w:sz="0" w:space="0" w:color="auto"/>
                <w:right w:val="none" w:sz="0" w:space="0" w:color="auto"/>
              </w:divBdr>
              <w:divsChild>
                <w:div w:id="23023751">
                  <w:marLeft w:val="0"/>
                  <w:marRight w:val="0"/>
                  <w:marTop w:val="0"/>
                  <w:marBottom w:val="0"/>
                  <w:divBdr>
                    <w:top w:val="none" w:sz="0" w:space="0" w:color="auto"/>
                    <w:left w:val="none" w:sz="0" w:space="0" w:color="auto"/>
                    <w:bottom w:val="none" w:sz="0" w:space="0" w:color="auto"/>
                    <w:right w:val="none" w:sz="0" w:space="0" w:color="auto"/>
                  </w:divBdr>
                </w:div>
                <w:div w:id="286743510">
                  <w:marLeft w:val="0"/>
                  <w:marRight w:val="0"/>
                  <w:marTop w:val="0"/>
                  <w:marBottom w:val="0"/>
                  <w:divBdr>
                    <w:top w:val="none" w:sz="0" w:space="0" w:color="auto"/>
                    <w:left w:val="none" w:sz="0" w:space="0" w:color="auto"/>
                    <w:bottom w:val="none" w:sz="0" w:space="0" w:color="auto"/>
                    <w:right w:val="none" w:sz="0" w:space="0" w:color="auto"/>
                  </w:divBdr>
                </w:div>
                <w:div w:id="411244551">
                  <w:marLeft w:val="0"/>
                  <w:marRight w:val="0"/>
                  <w:marTop w:val="0"/>
                  <w:marBottom w:val="0"/>
                  <w:divBdr>
                    <w:top w:val="none" w:sz="0" w:space="0" w:color="auto"/>
                    <w:left w:val="none" w:sz="0" w:space="0" w:color="auto"/>
                    <w:bottom w:val="none" w:sz="0" w:space="0" w:color="auto"/>
                    <w:right w:val="none" w:sz="0" w:space="0" w:color="auto"/>
                  </w:divBdr>
                </w:div>
                <w:div w:id="671446960">
                  <w:marLeft w:val="0"/>
                  <w:marRight w:val="0"/>
                  <w:marTop w:val="0"/>
                  <w:marBottom w:val="0"/>
                  <w:divBdr>
                    <w:top w:val="none" w:sz="0" w:space="0" w:color="auto"/>
                    <w:left w:val="none" w:sz="0" w:space="0" w:color="auto"/>
                    <w:bottom w:val="none" w:sz="0" w:space="0" w:color="auto"/>
                    <w:right w:val="none" w:sz="0" w:space="0" w:color="auto"/>
                  </w:divBdr>
                </w:div>
                <w:div w:id="716903652">
                  <w:marLeft w:val="0"/>
                  <w:marRight w:val="0"/>
                  <w:marTop w:val="0"/>
                  <w:marBottom w:val="0"/>
                  <w:divBdr>
                    <w:top w:val="none" w:sz="0" w:space="0" w:color="auto"/>
                    <w:left w:val="none" w:sz="0" w:space="0" w:color="auto"/>
                    <w:bottom w:val="none" w:sz="0" w:space="0" w:color="auto"/>
                    <w:right w:val="none" w:sz="0" w:space="0" w:color="auto"/>
                  </w:divBdr>
                </w:div>
                <w:div w:id="1033385424">
                  <w:marLeft w:val="0"/>
                  <w:marRight w:val="0"/>
                  <w:marTop w:val="0"/>
                  <w:marBottom w:val="0"/>
                  <w:divBdr>
                    <w:top w:val="none" w:sz="0" w:space="0" w:color="auto"/>
                    <w:left w:val="none" w:sz="0" w:space="0" w:color="auto"/>
                    <w:bottom w:val="none" w:sz="0" w:space="0" w:color="auto"/>
                    <w:right w:val="none" w:sz="0" w:space="0" w:color="auto"/>
                  </w:divBdr>
                </w:div>
                <w:div w:id="1138180000">
                  <w:marLeft w:val="0"/>
                  <w:marRight w:val="0"/>
                  <w:marTop w:val="0"/>
                  <w:marBottom w:val="0"/>
                  <w:divBdr>
                    <w:top w:val="none" w:sz="0" w:space="0" w:color="auto"/>
                    <w:left w:val="none" w:sz="0" w:space="0" w:color="auto"/>
                    <w:bottom w:val="none" w:sz="0" w:space="0" w:color="auto"/>
                    <w:right w:val="none" w:sz="0" w:space="0" w:color="auto"/>
                  </w:divBdr>
                </w:div>
                <w:div w:id="1154491848">
                  <w:marLeft w:val="0"/>
                  <w:marRight w:val="0"/>
                  <w:marTop w:val="0"/>
                  <w:marBottom w:val="0"/>
                  <w:divBdr>
                    <w:top w:val="none" w:sz="0" w:space="0" w:color="auto"/>
                    <w:left w:val="none" w:sz="0" w:space="0" w:color="auto"/>
                    <w:bottom w:val="none" w:sz="0" w:space="0" w:color="auto"/>
                    <w:right w:val="none" w:sz="0" w:space="0" w:color="auto"/>
                  </w:divBdr>
                </w:div>
                <w:div w:id="1206866958">
                  <w:marLeft w:val="0"/>
                  <w:marRight w:val="0"/>
                  <w:marTop w:val="0"/>
                  <w:marBottom w:val="0"/>
                  <w:divBdr>
                    <w:top w:val="none" w:sz="0" w:space="0" w:color="auto"/>
                    <w:left w:val="none" w:sz="0" w:space="0" w:color="auto"/>
                    <w:bottom w:val="none" w:sz="0" w:space="0" w:color="auto"/>
                    <w:right w:val="none" w:sz="0" w:space="0" w:color="auto"/>
                  </w:divBdr>
                </w:div>
                <w:div w:id="1280409137">
                  <w:marLeft w:val="0"/>
                  <w:marRight w:val="0"/>
                  <w:marTop w:val="0"/>
                  <w:marBottom w:val="0"/>
                  <w:divBdr>
                    <w:top w:val="none" w:sz="0" w:space="0" w:color="auto"/>
                    <w:left w:val="none" w:sz="0" w:space="0" w:color="auto"/>
                    <w:bottom w:val="none" w:sz="0" w:space="0" w:color="auto"/>
                    <w:right w:val="none" w:sz="0" w:space="0" w:color="auto"/>
                  </w:divBdr>
                </w:div>
                <w:div w:id="1362435273">
                  <w:marLeft w:val="0"/>
                  <w:marRight w:val="0"/>
                  <w:marTop w:val="0"/>
                  <w:marBottom w:val="0"/>
                  <w:divBdr>
                    <w:top w:val="none" w:sz="0" w:space="0" w:color="auto"/>
                    <w:left w:val="none" w:sz="0" w:space="0" w:color="auto"/>
                    <w:bottom w:val="none" w:sz="0" w:space="0" w:color="auto"/>
                    <w:right w:val="none" w:sz="0" w:space="0" w:color="auto"/>
                  </w:divBdr>
                </w:div>
                <w:div w:id="1551335074">
                  <w:marLeft w:val="0"/>
                  <w:marRight w:val="0"/>
                  <w:marTop w:val="0"/>
                  <w:marBottom w:val="0"/>
                  <w:divBdr>
                    <w:top w:val="none" w:sz="0" w:space="0" w:color="auto"/>
                    <w:left w:val="none" w:sz="0" w:space="0" w:color="auto"/>
                    <w:bottom w:val="none" w:sz="0" w:space="0" w:color="auto"/>
                    <w:right w:val="none" w:sz="0" w:space="0" w:color="auto"/>
                  </w:divBdr>
                </w:div>
                <w:div w:id="17059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0412">
      <w:bodyDiv w:val="1"/>
      <w:marLeft w:val="0"/>
      <w:marRight w:val="0"/>
      <w:marTop w:val="0"/>
      <w:marBottom w:val="0"/>
      <w:divBdr>
        <w:top w:val="none" w:sz="0" w:space="0" w:color="auto"/>
        <w:left w:val="none" w:sz="0" w:space="0" w:color="auto"/>
        <w:bottom w:val="none" w:sz="0" w:space="0" w:color="auto"/>
        <w:right w:val="none" w:sz="0" w:space="0" w:color="auto"/>
      </w:divBdr>
    </w:div>
    <w:div w:id="775176387">
      <w:bodyDiv w:val="1"/>
      <w:marLeft w:val="0"/>
      <w:marRight w:val="0"/>
      <w:marTop w:val="0"/>
      <w:marBottom w:val="0"/>
      <w:divBdr>
        <w:top w:val="none" w:sz="0" w:space="0" w:color="auto"/>
        <w:left w:val="none" w:sz="0" w:space="0" w:color="auto"/>
        <w:bottom w:val="none" w:sz="0" w:space="0" w:color="auto"/>
        <w:right w:val="none" w:sz="0" w:space="0" w:color="auto"/>
      </w:divBdr>
    </w:div>
    <w:div w:id="776871959">
      <w:bodyDiv w:val="1"/>
      <w:marLeft w:val="0"/>
      <w:marRight w:val="0"/>
      <w:marTop w:val="0"/>
      <w:marBottom w:val="0"/>
      <w:divBdr>
        <w:top w:val="none" w:sz="0" w:space="0" w:color="auto"/>
        <w:left w:val="none" w:sz="0" w:space="0" w:color="auto"/>
        <w:bottom w:val="none" w:sz="0" w:space="0" w:color="auto"/>
        <w:right w:val="none" w:sz="0" w:space="0" w:color="auto"/>
      </w:divBdr>
    </w:div>
    <w:div w:id="797145160">
      <w:bodyDiv w:val="1"/>
      <w:marLeft w:val="0"/>
      <w:marRight w:val="0"/>
      <w:marTop w:val="0"/>
      <w:marBottom w:val="0"/>
      <w:divBdr>
        <w:top w:val="none" w:sz="0" w:space="0" w:color="auto"/>
        <w:left w:val="none" w:sz="0" w:space="0" w:color="auto"/>
        <w:bottom w:val="none" w:sz="0" w:space="0" w:color="auto"/>
        <w:right w:val="none" w:sz="0" w:space="0" w:color="auto"/>
      </w:divBdr>
    </w:div>
    <w:div w:id="797719407">
      <w:bodyDiv w:val="1"/>
      <w:marLeft w:val="0"/>
      <w:marRight w:val="0"/>
      <w:marTop w:val="0"/>
      <w:marBottom w:val="0"/>
      <w:divBdr>
        <w:top w:val="none" w:sz="0" w:space="0" w:color="auto"/>
        <w:left w:val="none" w:sz="0" w:space="0" w:color="auto"/>
        <w:bottom w:val="none" w:sz="0" w:space="0" w:color="auto"/>
        <w:right w:val="none" w:sz="0" w:space="0" w:color="auto"/>
      </w:divBdr>
    </w:div>
    <w:div w:id="814566900">
      <w:bodyDiv w:val="1"/>
      <w:marLeft w:val="0"/>
      <w:marRight w:val="0"/>
      <w:marTop w:val="0"/>
      <w:marBottom w:val="0"/>
      <w:divBdr>
        <w:top w:val="none" w:sz="0" w:space="0" w:color="auto"/>
        <w:left w:val="none" w:sz="0" w:space="0" w:color="auto"/>
        <w:bottom w:val="none" w:sz="0" w:space="0" w:color="auto"/>
        <w:right w:val="none" w:sz="0" w:space="0" w:color="auto"/>
      </w:divBdr>
    </w:div>
    <w:div w:id="828908672">
      <w:bodyDiv w:val="1"/>
      <w:marLeft w:val="0"/>
      <w:marRight w:val="0"/>
      <w:marTop w:val="0"/>
      <w:marBottom w:val="0"/>
      <w:divBdr>
        <w:top w:val="none" w:sz="0" w:space="0" w:color="auto"/>
        <w:left w:val="none" w:sz="0" w:space="0" w:color="auto"/>
        <w:bottom w:val="none" w:sz="0" w:space="0" w:color="auto"/>
        <w:right w:val="none" w:sz="0" w:space="0" w:color="auto"/>
      </w:divBdr>
      <w:divsChild>
        <w:div w:id="422066562">
          <w:marLeft w:val="1829"/>
          <w:marRight w:val="0"/>
          <w:marTop w:val="144"/>
          <w:marBottom w:val="0"/>
          <w:divBdr>
            <w:top w:val="none" w:sz="0" w:space="0" w:color="auto"/>
            <w:left w:val="none" w:sz="0" w:space="0" w:color="auto"/>
            <w:bottom w:val="none" w:sz="0" w:space="0" w:color="auto"/>
            <w:right w:val="none" w:sz="0" w:space="0" w:color="auto"/>
          </w:divBdr>
        </w:div>
        <w:div w:id="807358805">
          <w:marLeft w:val="1181"/>
          <w:marRight w:val="0"/>
          <w:marTop w:val="168"/>
          <w:marBottom w:val="0"/>
          <w:divBdr>
            <w:top w:val="none" w:sz="0" w:space="0" w:color="auto"/>
            <w:left w:val="none" w:sz="0" w:space="0" w:color="auto"/>
            <w:bottom w:val="none" w:sz="0" w:space="0" w:color="auto"/>
            <w:right w:val="none" w:sz="0" w:space="0" w:color="auto"/>
          </w:divBdr>
        </w:div>
        <w:div w:id="885336089">
          <w:marLeft w:val="1829"/>
          <w:marRight w:val="0"/>
          <w:marTop w:val="144"/>
          <w:marBottom w:val="0"/>
          <w:divBdr>
            <w:top w:val="none" w:sz="0" w:space="0" w:color="auto"/>
            <w:left w:val="none" w:sz="0" w:space="0" w:color="auto"/>
            <w:bottom w:val="none" w:sz="0" w:space="0" w:color="auto"/>
            <w:right w:val="none" w:sz="0" w:space="0" w:color="auto"/>
          </w:divBdr>
        </w:div>
        <w:div w:id="1179390451">
          <w:marLeft w:val="475"/>
          <w:marRight w:val="0"/>
          <w:marTop w:val="168"/>
          <w:marBottom w:val="0"/>
          <w:divBdr>
            <w:top w:val="none" w:sz="0" w:space="0" w:color="auto"/>
            <w:left w:val="none" w:sz="0" w:space="0" w:color="auto"/>
            <w:bottom w:val="none" w:sz="0" w:space="0" w:color="auto"/>
            <w:right w:val="none" w:sz="0" w:space="0" w:color="auto"/>
          </w:divBdr>
        </w:div>
        <w:div w:id="1210193337">
          <w:marLeft w:val="1829"/>
          <w:marRight w:val="0"/>
          <w:marTop w:val="144"/>
          <w:marBottom w:val="0"/>
          <w:divBdr>
            <w:top w:val="none" w:sz="0" w:space="0" w:color="auto"/>
            <w:left w:val="none" w:sz="0" w:space="0" w:color="auto"/>
            <w:bottom w:val="none" w:sz="0" w:space="0" w:color="auto"/>
            <w:right w:val="none" w:sz="0" w:space="0" w:color="auto"/>
          </w:divBdr>
        </w:div>
        <w:div w:id="1439330814">
          <w:marLeft w:val="1181"/>
          <w:marRight w:val="0"/>
          <w:marTop w:val="168"/>
          <w:marBottom w:val="0"/>
          <w:divBdr>
            <w:top w:val="none" w:sz="0" w:space="0" w:color="auto"/>
            <w:left w:val="none" w:sz="0" w:space="0" w:color="auto"/>
            <w:bottom w:val="none" w:sz="0" w:space="0" w:color="auto"/>
            <w:right w:val="none" w:sz="0" w:space="0" w:color="auto"/>
          </w:divBdr>
        </w:div>
        <w:div w:id="1560241033">
          <w:marLeft w:val="1181"/>
          <w:marRight w:val="0"/>
          <w:marTop w:val="168"/>
          <w:marBottom w:val="0"/>
          <w:divBdr>
            <w:top w:val="none" w:sz="0" w:space="0" w:color="auto"/>
            <w:left w:val="none" w:sz="0" w:space="0" w:color="auto"/>
            <w:bottom w:val="none" w:sz="0" w:space="0" w:color="auto"/>
            <w:right w:val="none" w:sz="0" w:space="0" w:color="auto"/>
          </w:divBdr>
        </w:div>
        <w:div w:id="1838035125">
          <w:marLeft w:val="1829"/>
          <w:marRight w:val="0"/>
          <w:marTop w:val="144"/>
          <w:marBottom w:val="0"/>
          <w:divBdr>
            <w:top w:val="none" w:sz="0" w:space="0" w:color="auto"/>
            <w:left w:val="none" w:sz="0" w:space="0" w:color="auto"/>
            <w:bottom w:val="none" w:sz="0" w:space="0" w:color="auto"/>
            <w:right w:val="none" w:sz="0" w:space="0" w:color="auto"/>
          </w:divBdr>
        </w:div>
        <w:div w:id="1912621340">
          <w:marLeft w:val="475"/>
          <w:marRight w:val="0"/>
          <w:marTop w:val="168"/>
          <w:marBottom w:val="0"/>
          <w:divBdr>
            <w:top w:val="none" w:sz="0" w:space="0" w:color="auto"/>
            <w:left w:val="none" w:sz="0" w:space="0" w:color="auto"/>
            <w:bottom w:val="none" w:sz="0" w:space="0" w:color="auto"/>
            <w:right w:val="none" w:sz="0" w:space="0" w:color="auto"/>
          </w:divBdr>
        </w:div>
      </w:divsChild>
    </w:div>
    <w:div w:id="829717492">
      <w:bodyDiv w:val="1"/>
      <w:marLeft w:val="0"/>
      <w:marRight w:val="0"/>
      <w:marTop w:val="0"/>
      <w:marBottom w:val="0"/>
      <w:divBdr>
        <w:top w:val="none" w:sz="0" w:space="0" w:color="auto"/>
        <w:left w:val="none" w:sz="0" w:space="0" w:color="auto"/>
        <w:bottom w:val="none" w:sz="0" w:space="0" w:color="auto"/>
        <w:right w:val="none" w:sz="0" w:space="0" w:color="auto"/>
      </w:divBdr>
    </w:div>
    <w:div w:id="830482204">
      <w:bodyDiv w:val="1"/>
      <w:marLeft w:val="0"/>
      <w:marRight w:val="0"/>
      <w:marTop w:val="0"/>
      <w:marBottom w:val="0"/>
      <w:divBdr>
        <w:top w:val="none" w:sz="0" w:space="0" w:color="auto"/>
        <w:left w:val="none" w:sz="0" w:space="0" w:color="auto"/>
        <w:bottom w:val="none" w:sz="0" w:space="0" w:color="auto"/>
        <w:right w:val="none" w:sz="0" w:space="0" w:color="auto"/>
      </w:divBdr>
    </w:div>
    <w:div w:id="833956026">
      <w:bodyDiv w:val="1"/>
      <w:marLeft w:val="0"/>
      <w:marRight w:val="0"/>
      <w:marTop w:val="0"/>
      <w:marBottom w:val="0"/>
      <w:divBdr>
        <w:top w:val="none" w:sz="0" w:space="0" w:color="auto"/>
        <w:left w:val="none" w:sz="0" w:space="0" w:color="auto"/>
        <w:bottom w:val="none" w:sz="0" w:space="0" w:color="auto"/>
        <w:right w:val="none" w:sz="0" w:space="0" w:color="auto"/>
      </w:divBdr>
    </w:div>
    <w:div w:id="836044631">
      <w:bodyDiv w:val="1"/>
      <w:marLeft w:val="0"/>
      <w:marRight w:val="0"/>
      <w:marTop w:val="0"/>
      <w:marBottom w:val="0"/>
      <w:divBdr>
        <w:top w:val="none" w:sz="0" w:space="0" w:color="auto"/>
        <w:left w:val="none" w:sz="0" w:space="0" w:color="auto"/>
        <w:bottom w:val="none" w:sz="0" w:space="0" w:color="auto"/>
        <w:right w:val="none" w:sz="0" w:space="0" w:color="auto"/>
      </w:divBdr>
    </w:div>
    <w:div w:id="837229658">
      <w:bodyDiv w:val="1"/>
      <w:marLeft w:val="0"/>
      <w:marRight w:val="0"/>
      <w:marTop w:val="0"/>
      <w:marBottom w:val="0"/>
      <w:divBdr>
        <w:top w:val="none" w:sz="0" w:space="0" w:color="auto"/>
        <w:left w:val="none" w:sz="0" w:space="0" w:color="auto"/>
        <w:bottom w:val="none" w:sz="0" w:space="0" w:color="auto"/>
        <w:right w:val="none" w:sz="0" w:space="0" w:color="auto"/>
      </w:divBdr>
    </w:div>
    <w:div w:id="837692392">
      <w:bodyDiv w:val="1"/>
      <w:marLeft w:val="0"/>
      <w:marRight w:val="0"/>
      <w:marTop w:val="0"/>
      <w:marBottom w:val="0"/>
      <w:divBdr>
        <w:top w:val="none" w:sz="0" w:space="0" w:color="auto"/>
        <w:left w:val="none" w:sz="0" w:space="0" w:color="auto"/>
        <w:bottom w:val="none" w:sz="0" w:space="0" w:color="auto"/>
        <w:right w:val="none" w:sz="0" w:space="0" w:color="auto"/>
      </w:divBdr>
      <w:divsChild>
        <w:div w:id="327834164">
          <w:marLeft w:val="0"/>
          <w:marRight w:val="0"/>
          <w:marTop w:val="0"/>
          <w:marBottom w:val="81"/>
          <w:divBdr>
            <w:top w:val="none" w:sz="0" w:space="0" w:color="auto"/>
            <w:left w:val="none" w:sz="0" w:space="0" w:color="auto"/>
            <w:bottom w:val="none" w:sz="0" w:space="0" w:color="auto"/>
            <w:right w:val="none" w:sz="0" w:space="0" w:color="auto"/>
          </w:divBdr>
          <w:divsChild>
            <w:div w:id="1116215485">
              <w:marLeft w:val="0"/>
              <w:marRight w:val="0"/>
              <w:marTop w:val="0"/>
              <w:marBottom w:val="0"/>
              <w:divBdr>
                <w:top w:val="none" w:sz="0" w:space="0" w:color="auto"/>
                <w:left w:val="none" w:sz="0" w:space="0" w:color="auto"/>
                <w:bottom w:val="none" w:sz="0" w:space="0" w:color="auto"/>
                <w:right w:val="none" w:sz="0" w:space="0" w:color="auto"/>
              </w:divBdr>
              <w:divsChild>
                <w:div w:id="861158">
                  <w:marLeft w:val="0"/>
                  <w:marRight w:val="0"/>
                  <w:marTop w:val="0"/>
                  <w:marBottom w:val="0"/>
                  <w:divBdr>
                    <w:top w:val="none" w:sz="0" w:space="0" w:color="auto"/>
                    <w:left w:val="none" w:sz="0" w:space="0" w:color="auto"/>
                    <w:bottom w:val="none" w:sz="0" w:space="0" w:color="auto"/>
                    <w:right w:val="none" w:sz="0" w:space="0" w:color="auto"/>
                  </w:divBdr>
                </w:div>
              </w:divsChild>
            </w:div>
            <w:div w:id="1152675651">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839076842">
      <w:bodyDiv w:val="1"/>
      <w:marLeft w:val="0"/>
      <w:marRight w:val="0"/>
      <w:marTop w:val="0"/>
      <w:marBottom w:val="0"/>
      <w:divBdr>
        <w:top w:val="none" w:sz="0" w:space="0" w:color="auto"/>
        <w:left w:val="none" w:sz="0" w:space="0" w:color="auto"/>
        <w:bottom w:val="none" w:sz="0" w:space="0" w:color="auto"/>
        <w:right w:val="none" w:sz="0" w:space="0" w:color="auto"/>
      </w:divBdr>
    </w:div>
    <w:div w:id="839391526">
      <w:bodyDiv w:val="1"/>
      <w:marLeft w:val="0"/>
      <w:marRight w:val="0"/>
      <w:marTop w:val="0"/>
      <w:marBottom w:val="0"/>
      <w:divBdr>
        <w:top w:val="none" w:sz="0" w:space="0" w:color="auto"/>
        <w:left w:val="none" w:sz="0" w:space="0" w:color="auto"/>
        <w:bottom w:val="none" w:sz="0" w:space="0" w:color="auto"/>
        <w:right w:val="none" w:sz="0" w:space="0" w:color="auto"/>
      </w:divBdr>
    </w:div>
    <w:div w:id="839395983">
      <w:bodyDiv w:val="1"/>
      <w:marLeft w:val="0"/>
      <w:marRight w:val="0"/>
      <w:marTop w:val="0"/>
      <w:marBottom w:val="0"/>
      <w:divBdr>
        <w:top w:val="none" w:sz="0" w:space="0" w:color="auto"/>
        <w:left w:val="none" w:sz="0" w:space="0" w:color="auto"/>
        <w:bottom w:val="none" w:sz="0" w:space="0" w:color="auto"/>
        <w:right w:val="none" w:sz="0" w:space="0" w:color="auto"/>
      </w:divBdr>
    </w:div>
    <w:div w:id="839732688">
      <w:bodyDiv w:val="1"/>
      <w:marLeft w:val="0"/>
      <w:marRight w:val="0"/>
      <w:marTop w:val="0"/>
      <w:marBottom w:val="0"/>
      <w:divBdr>
        <w:top w:val="none" w:sz="0" w:space="0" w:color="auto"/>
        <w:left w:val="none" w:sz="0" w:space="0" w:color="auto"/>
        <w:bottom w:val="none" w:sz="0" w:space="0" w:color="auto"/>
        <w:right w:val="none" w:sz="0" w:space="0" w:color="auto"/>
      </w:divBdr>
    </w:div>
    <w:div w:id="843282251">
      <w:bodyDiv w:val="1"/>
      <w:marLeft w:val="0"/>
      <w:marRight w:val="0"/>
      <w:marTop w:val="0"/>
      <w:marBottom w:val="0"/>
      <w:divBdr>
        <w:top w:val="none" w:sz="0" w:space="0" w:color="auto"/>
        <w:left w:val="none" w:sz="0" w:space="0" w:color="auto"/>
        <w:bottom w:val="none" w:sz="0" w:space="0" w:color="auto"/>
        <w:right w:val="none" w:sz="0" w:space="0" w:color="auto"/>
      </w:divBdr>
    </w:div>
    <w:div w:id="846753592">
      <w:bodyDiv w:val="1"/>
      <w:marLeft w:val="0"/>
      <w:marRight w:val="0"/>
      <w:marTop w:val="0"/>
      <w:marBottom w:val="0"/>
      <w:divBdr>
        <w:top w:val="none" w:sz="0" w:space="0" w:color="auto"/>
        <w:left w:val="none" w:sz="0" w:space="0" w:color="auto"/>
        <w:bottom w:val="none" w:sz="0" w:space="0" w:color="auto"/>
        <w:right w:val="none" w:sz="0" w:space="0" w:color="auto"/>
      </w:divBdr>
      <w:divsChild>
        <w:div w:id="745225518">
          <w:marLeft w:val="0"/>
          <w:marRight w:val="240"/>
          <w:marTop w:val="96"/>
          <w:marBottom w:val="240"/>
          <w:divBdr>
            <w:top w:val="none" w:sz="0" w:space="0" w:color="auto"/>
            <w:left w:val="none" w:sz="0" w:space="0" w:color="auto"/>
            <w:bottom w:val="none" w:sz="0" w:space="0" w:color="auto"/>
            <w:right w:val="none" w:sz="0" w:space="0" w:color="auto"/>
          </w:divBdr>
          <w:divsChild>
            <w:div w:id="613945877">
              <w:marLeft w:val="0"/>
              <w:marRight w:val="0"/>
              <w:marTop w:val="0"/>
              <w:marBottom w:val="0"/>
              <w:divBdr>
                <w:top w:val="none" w:sz="0" w:space="0" w:color="auto"/>
                <w:left w:val="none" w:sz="0" w:space="0" w:color="auto"/>
                <w:bottom w:val="single" w:sz="4" w:space="1" w:color="D1D1D1"/>
                <w:right w:val="none" w:sz="0" w:space="0" w:color="auto"/>
              </w:divBdr>
            </w:div>
          </w:divsChild>
        </w:div>
        <w:div w:id="1748110725">
          <w:marLeft w:val="0"/>
          <w:marRight w:val="240"/>
          <w:marTop w:val="96"/>
          <w:marBottom w:val="240"/>
          <w:divBdr>
            <w:top w:val="none" w:sz="0" w:space="0" w:color="auto"/>
            <w:left w:val="none" w:sz="0" w:space="0" w:color="auto"/>
            <w:bottom w:val="none" w:sz="0" w:space="0" w:color="auto"/>
            <w:right w:val="none" w:sz="0" w:space="0" w:color="auto"/>
          </w:divBdr>
          <w:divsChild>
            <w:div w:id="415051635">
              <w:marLeft w:val="0"/>
              <w:marRight w:val="0"/>
              <w:marTop w:val="0"/>
              <w:marBottom w:val="0"/>
              <w:divBdr>
                <w:top w:val="none" w:sz="0" w:space="0" w:color="auto"/>
                <w:left w:val="none" w:sz="0" w:space="0" w:color="auto"/>
                <w:bottom w:val="single" w:sz="4" w:space="1" w:color="D1D1D1"/>
                <w:right w:val="none" w:sz="0" w:space="0" w:color="auto"/>
              </w:divBdr>
            </w:div>
          </w:divsChild>
        </w:div>
      </w:divsChild>
    </w:div>
    <w:div w:id="857738197">
      <w:bodyDiv w:val="1"/>
      <w:marLeft w:val="0"/>
      <w:marRight w:val="0"/>
      <w:marTop w:val="0"/>
      <w:marBottom w:val="0"/>
      <w:divBdr>
        <w:top w:val="none" w:sz="0" w:space="0" w:color="auto"/>
        <w:left w:val="none" w:sz="0" w:space="0" w:color="auto"/>
        <w:bottom w:val="none" w:sz="0" w:space="0" w:color="auto"/>
        <w:right w:val="none" w:sz="0" w:space="0" w:color="auto"/>
      </w:divBdr>
    </w:div>
    <w:div w:id="857812244">
      <w:bodyDiv w:val="1"/>
      <w:marLeft w:val="0"/>
      <w:marRight w:val="0"/>
      <w:marTop w:val="0"/>
      <w:marBottom w:val="0"/>
      <w:divBdr>
        <w:top w:val="none" w:sz="0" w:space="0" w:color="auto"/>
        <w:left w:val="none" w:sz="0" w:space="0" w:color="auto"/>
        <w:bottom w:val="none" w:sz="0" w:space="0" w:color="auto"/>
        <w:right w:val="none" w:sz="0" w:space="0" w:color="auto"/>
      </w:divBdr>
    </w:div>
    <w:div w:id="858393110">
      <w:bodyDiv w:val="1"/>
      <w:marLeft w:val="0"/>
      <w:marRight w:val="0"/>
      <w:marTop w:val="0"/>
      <w:marBottom w:val="0"/>
      <w:divBdr>
        <w:top w:val="none" w:sz="0" w:space="0" w:color="auto"/>
        <w:left w:val="none" w:sz="0" w:space="0" w:color="auto"/>
        <w:bottom w:val="none" w:sz="0" w:space="0" w:color="auto"/>
        <w:right w:val="none" w:sz="0" w:space="0" w:color="auto"/>
      </w:divBdr>
    </w:div>
    <w:div w:id="867185141">
      <w:bodyDiv w:val="1"/>
      <w:marLeft w:val="0"/>
      <w:marRight w:val="0"/>
      <w:marTop w:val="0"/>
      <w:marBottom w:val="0"/>
      <w:divBdr>
        <w:top w:val="none" w:sz="0" w:space="0" w:color="auto"/>
        <w:left w:val="none" w:sz="0" w:space="0" w:color="auto"/>
        <w:bottom w:val="none" w:sz="0" w:space="0" w:color="auto"/>
        <w:right w:val="none" w:sz="0" w:space="0" w:color="auto"/>
      </w:divBdr>
      <w:divsChild>
        <w:div w:id="1344820978">
          <w:marLeft w:val="0"/>
          <w:marRight w:val="0"/>
          <w:marTop w:val="0"/>
          <w:marBottom w:val="0"/>
          <w:divBdr>
            <w:top w:val="none" w:sz="0" w:space="0" w:color="auto"/>
            <w:left w:val="none" w:sz="0" w:space="0" w:color="auto"/>
            <w:bottom w:val="none" w:sz="0" w:space="0" w:color="auto"/>
            <w:right w:val="none" w:sz="0" w:space="0" w:color="auto"/>
          </w:divBdr>
        </w:div>
        <w:div w:id="694039988">
          <w:marLeft w:val="0"/>
          <w:marRight w:val="0"/>
          <w:marTop w:val="0"/>
          <w:marBottom w:val="0"/>
          <w:divBdr>
            <w:top w:val="none" w:sz="0" w:space="0" w:color="auto"/>
            <w:left w:val="none" w:sz="0" w:space="0" w:color="auto"/>
            <w:bottom w:val="none" w:sz="0" w:space="0" w:color="auto"/>
            <w:right w:val="none" w:sz="0" w:space="0" w:color="auto"/>
          </w:divBdr>
        </w:div>
        <w:div w:id="1134443699">
          <w:marLeft w:val="0"/>
          <w:marRight w:val="0"/>
          <w:marTop w:val="0"/>
          <w:marBottom w:val="0"/>
          <w:divBdr>
            <w:top w:val="none" w:sz="0" w:space="0" w:color="auto"/>
            <w:left w:val="none" w:sz="0" w:space="0" w:color="auto"/>
            <w:bottom w:val="none" w:sz="0" w:space="0" w:color="auto"/>
            <w:right w:val="none" w:sz="0" w:space="0" w:color="auto"/>
          </w:divBdr>
        </w:div>
        <w:div w:id="1063454876">
          <w:marLeft w:val="0"/>
          <w:marRight w:val="0"/>
          <w:marTop w:val="0"/>
          <w:marBottom w:val="0"/>
          <w:divBdr>
            <w:top w:val="none" w:sz="0" w:space="0" w:color="auto"/>
            <w:left w:val="none" w:sz="0" w:space="0" w:color="auto"/>
            <w:bottom w:val="none" w:sz="0" w:space="0" w:color="auto"/>
            <w:right w:val="none" w:sz="0" w:space="0" w:color="auto"/>
          </w:divBdr>
        </w:div>
        <w:div w:id="1347437158">
          <w:marLeft w:val="0"/>
          <w:marRight w:val="0"/>
          <w:marTop w:val="0"/>
          <w:marBottom w:val="0"/>
          <w:divBdr>
            <w:top w:val="none" w:sz="0" w:space="0" w:color="auto"/>
            <w:left w:val="none" w:sz="0" w:space="0" w:color="auto"/>
            <w:bottom w:val="none" w:sz="0" w:space="0" w:color="auto"/>
            <w:right w:val="none" w:sz="0" w:space="0" w:color="auto"/>
          </w:divBdr>
        </w:div>
        <w:div w:id="1273781389">
          <w:marLeft w:val="0"/>
          <w:marRight w:val="0"/>
          <w:marTop w:val="0"/>
          <w:marBottom w:val="0"/>
          <w:divBdr>
            <w:top w:val="none" w:sz="0" w:space="0" w:color="auto"/>
            <w:left w:val="none" w:sz="0" w:space="0" w:color="auto"/>
            <w:bottom w:val="none" w:sz="0" w:space="0" w:color="auto"/>
            <w:right w:val="none" w:sz="0" w:space="0" w:color="auto"/>
          </w:divBdr>
        </w:div>
        <w:div w:id="573970651">
          <w:marLeft w:val="0"/>
          <w:marRight w:val="0"/>
          <w:marTop w:val="0"/>
          <w:marBottom w:val="0"/>
          <w:divBdr>
            <w:top w:val="none" w:sz="0" w:space="0" w:color="auto"/>
            <w:left w:val="none" w:sz="0" w:space="0" w:color="auto"/>
            <w:bottom w:val="none" w:sz="0" w:space="0" w:color="auto"/>
            <w:right w:val="none" w:sz="0" w:space="0" w:color="auto"/>
          </w:divBdr>
        </w:div>
        <w:div w:id="571892340">
          <w:marLeft w:val="0"/>
          <w:marRight w:val="0"/>
          <w:marTop w:val="0"/>
          <w:marBottom w:val="0"/>
          <w:divBdr>
            <w:top w:val="none" w:sz="0" w:space="0" w:color="auto"/>
            <w:left w:val="none" w:sz="0" w:space="0" w:color="auto"/>
            <w:bottom w:val="none" w:sz="0" w:space="0" w:color="auto"/>
            <w:right w:val="none" w:sz="0" w:space="0" w:color="auto"/>
          </w:divBdr>
        </w:div>
        <w:div w:id="374735995">
          <w:marLeft w:val="0"/>
          <w:marRight w:val="0"/>
          <w:marTop w:val="0"/>
          <w:marBottom w:val="0"/>
          <w:divBdr>
            <w:top w:val="none" w:sz="0" w:space="0" w:color="auto"/>
            <w:left w:val="none" w:sz="0" w:space="0" w:color="auto"/>
            <w:bottom w:val="none" w:sz="0" w:space="0" w:color="auto"/>
            <w:right w:val="none" w:sz="0" w:space="0" w:color="auto"/>
          </w:divBdr>
        </w:div>
        <w:div w:id="2020892318">
          <w:marLeft w:val="0"/>
          <w:marRight w:val="0"/>
          <w:marTop w:val="0"/>
          <w:marBottom w:val="0"/>
          <w:divBdr>
            <w:top w:val="none" w:sz="0" w:space="0" w:color="auto"/>
            <w:left w:val="none" w:sz="0" w:space="0" w:color="auto"/>
            <w:bottom w:val="none" w:sz="0" w:space="0" w:color="auto"/>
            <w:right w:val="none" w:sz="0" w:space="0" w:color="auto"/>
          </w:divBdr>
        </w:div>
        <w:div w:id="2001033848">
          <w:marLeft w:val="0"/>
          <w:marRight w:val="0"/>
          <w:marTop w:val="0"/>
          <w:marBottom w:val="0"/>
          <w:divBdr>
            <w:top w:val="none" w:sz="0" w:space="0" w:color="auto"/>
            <w:left w:val="none" w:sz="0" w:space="0" w:color="auto"/>
            <w:bottom w:val="none" w:sz="0" w:space="0" w:color="auto"/>
            <w:right w:val="none" w:sz="0" w:space="0" w:color="auto"/>
          </w:divBdr>
        </w:div>
        <w:div w:id="1395736215">
          <w:marLeft w:val="0"/>
          <w:marRight w:val="0"/>
          <w:marTop w:val="0"/>
          <w:marBottom w:val="0"/>
          <w:divBdr>
            <w:top w:val="none" w:sz="0" w:space="0" w:color="auto"/>
            <w:left w:val="none" w:sz="0" w:space="0" w:color="auto"/>
            <w:bottom w:val="none" w:sz="0" w:space="0" w:color="auto"/>
            <w:right w:val="none" w:sz="0" w:space="0" w:color="auto"/>
          </w:divBdr>
        </w:div>
        <w:div w:id="798495986">
          <w:marLeft w:val="0"/>
          <w:marRight w:val="0"/>
          <w:marTop w:val="0"/>
          <w:marBottom w:val="0"/>
          <w:divBdr>
            <w:top w:val="none" w:sz="0" w:space="0" w:color="auto"/>
            <w:left w:val="none" w:sz="0" w:space="0" w:color="auto"/>
            <w:bottom w:val="none" w:sz="0" w:space="0" w:color="auto"/>
            <w:right w:val="none" w:sz="0" w:space="0" w:color="auto"/>
          </w:divBdr>
        </w:div>
        <w:div w:id="685592519">
          <w:marLeft w:val="0"/>
          <w:marRight w:val="0"/>
          <w:marTop w:val="0"/>
          <w:marBottom w:val="0"/>
          <w:divBdr>
            <w:top w:val="none" w:sz="0" w:space="0" w:color="auto"/>
            <w:left w:val="none" w:sz="0" w:space="0" w:color="auto"/>
            <w:bottom w:val="none" w:sz="0" w:space="0" w:color="auto"/>
            <w:right w:val="none" w:sz="0" w:space="0" w:color="auto"/>
          </w:divBdr>
        </w:div>
        <w:div w:id="517040165">
          <w:marLeft w:val="0"/>
          <w:marRight w:val="0"/>
          <w:marTop w:val="0"/>
          <w:marBottom w:val="0"/>
          <w:divBdr>
            <w:top w:val="none" w:sz="0" w:space="0" w:color="auto"/>
            <w:left w:val="none" w:sz="0" w:space="0" w:color="auto"/>
            <w:bottom w:val="none" w:sz="0" w:space="0" w:color="auto"/>
            <w:right w:val="none" w:sz="0" w:space="0" w:color="auto"/>
          </w:divBdr>
        </w:div>
        <w:div w:id="43911356">
          <w:marLeft w:val="0"/>
          <w:marRight w:val="0"/>
          <w:marTop w:val="0"/>
          <w:marBottom w:val="0"/>
          <w:divBdr>
            <w:top w:val="none" w:sz="0" w:space="0" w:color="auto"/>
            <w:left w:val="none" w:sz="0" w:space="0" w:color="auto"/>
            <w:bottom w:val="none" w:sz="0" w:space="0" w:color="auto"/>
            <w:right w:val="none" w:sz="0" w:space="0" w:color="auto"/>
          </w:divBdr>
        </w:div>
        <w:div w:id="634877339">
          <w:marLeft w:val="0"/>
          <w:marRight w:val="0"/>
          <w:marTop w:val="0"/>
          <w:marBottom w:val="0"/>
          <w:divBdr>
            <w:top w:val="none" w:sz="0" w:space="0" w:color="auto"/>
            <w:left w:val="none" w:sz="0" w:space="0" w:color="auto"/>
            <w:bottom w:val="none" w:sz="0" w:space="0" w:color="auto"/>
            <w:right w:val="none" w:sz="0" w:space="0" w:color="auto"/>
          </w:divBdr>
        </w:div>
        <w:div w:id="1481313136">
          <w:marLeft w:val="0"/>
          <w:marRight w:val="0"/>
          <w:marTop w:val="0"/>
          <w:marBottom w:val="0"/>
          <w:divBdr>
            <w:top w:val="none" w:sz="0" w:space="0" w:color="auto"/>
            <w:left w:val="none" w:sz="0" w:space="0" w:color="auto"/>
            <w:bottom w:val="none" w:sz="0" w:space="0" w:color="auto"/>
            <w:right w:val="none" w:sz="0" w:space="0" w:color="auto"/>
          </w:divBdr>
        </w:div>
        <w:div w:id="1590044019">
          <w:marLeft w:val="0"/>
          <w:marRight w:val="0"/>
          <w:marTop w:val="0"/>
          <w:marBottom w:val="0"/>
          <w:divBdr>
            <w:top w:val="none" w:sz="0" w:space="0" w:color="auto"/>
            <w:left w:val="none" w:sz="0" w:space="0" w:color="auto"/>
            <w:bottom w:val="none" w:sz="0" w:space="0" w:color="auto"/>
            <w:right w:val="none" w:sz="0" w:space="0" w:color="auto"/>
          </w:divBdr>
        </w:div>
        <w:div w:id="1097288324">
          <w:marLeft w:val="0"/>
          <w:marRight w:val="0"/>
          <w:marTop w:val="0"/>
          <w:marBottom w:val="0"/>
          <w:divBdr>
            <w:top w:val="none" w:sz="0" w:space="0" w:color="auto"/>
            <w:left w:val="none" w:sz="0" w:space="0" w:color="auto"/>
            <w:bottom w:val="none" w:sz="0" w:space="0" w:color="auto"/>
            <w:right w:val="none" w:sz="0" w:space="0" w:color="auto"/>
          </w:divBdr>
        </w:div>
        <w:div w:id="1108352013">
          <w:marLeft w:val="0"/>
          <w:marRight w:val="0"/>
          <w:marTop w:val="0"/>
          <w:marBottom w:val="0"/>
          <w:divBdr>
            <w:top w:val="none" w:sz="0" w:space="0" w:color="auto"/>
            <w:left w:val="none" w:sz="0" w:space="0" w:color="auto"/>
            <w:bottom w:val="none" w:sz="0" w:space="0" w:color="auto"/>
            <w:right w:val="none" w:sz="0" w:space="0" w:color="auto"/>
          </w:divBdr>
        </w:div>
        <w:div w:id="1078133434">
          <w:marLeft w:val="0"/>
          <w:marRight w:val="0"/>
          <w:marTop w:val="0"/>
          <w:marBottom w:val="0"/>
          <w:divBdr>
            <w:top w:val="none" w:sz="0" w:space="0" w:color="auto"/>
            <w:left w:val="none" w:sz="0" w:space="0" w:color="auto"/>
            <w:bottom w:val="none" w:sz="0" w:space="0" w:color="auto"/>
            <w:right w:val="none" w:sz="0" w:space="0" w:color="auto"/>
          </w:divBdr>
        </w:div>
        <w:div w:id="586690490">
          <w:marLeft w:val="0"/>
          <w:marRight w:val="0"/>
          <w:marTop w:val="0"/>
          <w:marBottom w:val="0"/>
          <w:divBdr>
            <w:top w:val="none" w:sz="0" w:space="0" w:color="auto"/>
            <w:left w:val="none" w:sz="0" w:space="0" w:color="auto"/>
            <w:bottom w:val="none" w:sz="0" w:space="0" w:color="auto"/>
            <w:right w:val="none" w:sz="0" w:space="0" w:color="auto"/>
          </w:divBdr>
        </w:div>
        <w:div w:id="2063600356">
          <w:marLeft w:val="0"/>
          <w:marRight w:val="0"/>
          <w:marTop w:val="0"/>
          <w:marBottom w:val="0"/>
          <w:divBdr>
            <w:top w:val="none" w:sz="0" w:space="0" w:color="auto"/>
            <w:left w:val="none" w:sz="0" w:space="0" w:color="auto"/>
            <w:bottom w:val="none" w:sz="0" w:space="0" w:color="auto"/>
            <w:right w:val="none" w:sz="0" w:space="0" w:color="auto"/>
          </w:divBdr>
        </w:div>
        <w:div w:id="1591770238">
          <w:marLeft w:val="0"/>
          <w:marRight w:val="0"/>
          <w:marTop w:val="0"/>
          <w:marBottom w:val="0"/>
          <w:divBdr>
            <w:top w:val="none" w:sz="0" w:space="0" w:color="auto"/>
            <w:left w:val="none" w:sz="0" w:space="0" w:color="auto"/>
            <w:bottom w:val="none" w:sz="0" w:space="0" w:color="auto"/>
            <w:right w:val="none" w:sz="0" w:space="0" w:color="auto"/>
          </w:divBdr>
        </w:div>
        <w:div w:id="237790706">
          <w:marLeft w:val="0"/>
          <w:marRight w:val="0"/>
          <w:marTop w:val="0"/>
          <w:marBottom w:val="0"/>
          <w:divBdr>
            <w:top w:val="none" w:sz="0" w:space="0" w:color="auto"/>
            <w:left w:val="none" w:sz="0" w:space="0" w:color="auto"/>
            <w:bottom w:val="none" w:sz="0" w:space="0" w:color="auto"/>
            <w:right w:val="none" w:sz="0" w:space="0" w:color="auto"/>
          </w:divBdr>
        </w:div>
        <w:div w:id="380400014">
          <w:marLeft w:val="0"/>
          <w:marRight w:val="0"/>
          <w:marTop w:val="0"/>
          <w:marBottom w:val="0"/>
          <w:divBdr>
            <w:top w:val="none" w:sz="0" w:space="0" w:color="auto"/>
            <w:left w:val="none" w:sz="0" w:space="0" w:color="auto"/>
            <w:bottom w:val="none" w:sz="0" w:space="0" w:color="auto"/>
            <w:right w:val="none" w:sz="0" w:space="0" w:color="auto"/>
          </w:divBdr>
        </w:div>
        <w:div w:id="1965038449">
          <w:marLeft w:val="0"/>
          <w:marRight w:val="0"/>
          <w:marTop w:val="0"/>
          <w:marBottom w:val="0"/>
          <w:divBdr>
            <w:top w:val="none" w:sz="0" w:space="0" w:color="auto"/>
            <w:left w:val="none" w:sz="0" w:space="0" w:color="auto"/>
            <w:bottom w:val="none" w:sz="0" w:space="0" w:color="auto"/>
            <w:right w:val="none" w:sz="0" w:space="0" w:color="auto"/>
          </w:divBdr>
        </w:div>
        <w:div w:id="1421170826">
          <w:marLeft w:val="0"/>
          <w:marRight w:val="0"/>
          <w:marTop w:val="0"/>
          <w:marBottom w:val="0"/>
          <w:divBdr>
            <w:top w:val="none" w:sz="0" w:space="0" w:color="auto"/>
            <w:left w:val="none" w:sz="0" w:space="0" w:color="auto"/>
            <w:bottom w:val="none" w:sz="0" w:space="0" w:color="auto"/>
            <w:right w:val="none" w:sz="0" w:space="0" w:color="auto"/>
          </w:divBdr>
        </w:div>
        <w:div w:id="1383016488">
          <w:marLeft w:val="0"/>
          <w:marRight w:val="0"/>
          <w:marTop w:val="0"/>
          <w:marBottom w:val="0"/>
          <w:divBdr>
            <w:top w:val="none" w:sz="0" w:space="0" w:color="auto"/>
            <w:left w:val="none" w:sz="0" w:space="0" w:color="auto"/>
            <w:bottom w:val="none" w:sz="0" w:space="0" w:color="auto"/>
            <w:right w:val="none" w:sz="0" w:space="0" w:color="auto"/>
          </w:divBdr>
        </w:div>
        <w:div w:id="655257593">
          <w:marLeft w:val="0"/>
          <w:marRight w:val="0"/>
          <w:marTop w:val="0"/>
          <w:marBottom w:val="0"/>
          <w:divBdr>
            <w:top w:val="none" w:sz="0" w:space="0" w:color="auto"/>
            <w:left w:val="none" w:sz="0" w:space="0" w:color="auto"/>
            <w:bottom w:val="none" w:sz="0" w:space="0" w:color="auto"/>
            <w:right w:val="none" w:sz="0" w:space="0" w:color="auto"/>
          </w:divBdr>
        </w:div>
        <w:div w:id="1361395213">
          <w:marLeft w:val="0"/>
          <w:marRight w:val="0"/>
          <w:marTop w:val="0"/>
          <w:marBottom w:val="0"/>
          <w:divBdr>
            <w:top w:val="none" w:sz="0" w:space="0" w:color="auto"/>
            <w:left w:val="none" w:sz="0" w:space="0" w:color="auto"/>
            <w:bottom w:val="none" w:sz="0" w:space="0" w:color="auto"/>
            <w:right w:val="none" w:sz="0" w:space="0" w:color="auto"/>
          </w:divBdr>
        </w:div>
        <w:div w:id="637227637">
          <w:marLeft w:val="0"/>
          <w:marRight w:val="0"/>
          <w:marTop w:val="0"/>
          <w:marBottom w:val="0"/>
          <w:divBdr>
            <w:top w:val="none" w:sz="0" w:space="0" w:color="auto"/>
            <w:left w:val="none" w:sz="0" w:space="0" w:color="auto"/>
            <w:bottom w:val="none" w:sz="0" w:space="0" w:color="auto"/>
            <w:right w:val="none" w:sz="0" w:space="0" w:color="auto"/>
          </w:divBdr>
        </w:div>
        <w:div w:id="24596162">
          <w:marLeft w:val="0"/>
          <w:marRight w:val="0"/>
          <w:marTop w:val="0"/>
          <w:marBottom w:val="0"/>
          <w:divBdr>
            <w:top w:val="none" w:sz="0" w:space="0" w:color="auto"/>
            <w:left w:val="none" w:sz="0" w:space="0" w:color="auto"/>
            <w:bottom w:val="none" w:sz="0" w:space="0" w:color="auto"/>
            <w:right w:val="none" w:sz="0" w:space="0" w:color="auto"/>
          </w:divBdr>
        </w:div>
        <w:div w:id="395903410">
          <w:marLeft w:val="0"/>
          <w:marRight w:val="0"/>
          <w:marTop w:val="0"/>
          <w:marBottom w:val="0"/>
          <w:divBdr>
            <w:top w:val="none" w:sz="0" w:space="0" w:color="auto"/>
            <w:left w:val="none" w:sz="0" w:space="0" w:color="auto"/>
            <w:bottom w:val="none" w:sz="0" w:space="0" w:color="auto"/>
            <w:right w:val="none" w:sz="0" w:space="0" w:color="auto"/>
          </w:divBdr>
        </w:div>
        <w:div w:id="143743559">
          <w:marLeft w:val="0"/>
          <w:marRight w:val="0"/>
          <w:marTop w:val="0"/>
          <w:marBottom w:val="0"/>
          <w:divBdr>
            <w:top w:val="none" w:sz="0" w:space="0" w:color="auto"/>
            <w:left w:val="none" w:sz="0" w:space="0" w:color="auto"/>
            <w:bottom w:val="none" w:sz="0" w:space="0" w:color="auto"/>
            <w:right w:val="none" w:sz="0" w:space="0" w:color="auto"/>
          </w:divBdr>
        </w:div>
        <w:div w:id="1957903473">
          <w:marLeft w:val="0"/>
          <w:marRight w:val="0"/>
          <w:marTop w:val="0"/>
          <w:marBottom w:val="0"/>
          <w:divBdr>
            <w:top w:val="none" w:sz="0" w:space="0" w:color="auto"/>
            <w:left w:val="none" w:sz="0" w:space="0" w:color="auto"/>
            <w:bottom w:val="none" w:sz="0" w:space="0" w:color="auto"/>
            <w:right w:val="none" w:sz="0" w:space="0" w:color="auto"/>
          </w:divBdr>
        </w:div>
        <w:div w:id="1711539401">
          <w:marLeft w:val="0"/>
          <w:marRight w:val="0"/>
          <w:marTop w:val="0"/>
          <w:marBottom w:val="0"/>
          <w:divBdr>
            <w:top w:val="none" w:sz="0" w:space="0" w:color="auto"/>
            <w:left w:val="none" w:sz="0" w:space="0" w:color="auto"/>
            <w:bottom w:val="none" w:sz="0" w:space="0" w:color="auto"/>
            <w:right w:val="none" w:sz="0" w:space="0" w:color="auto"/>
          </w:divBdr>
        </w:div>
        <w:div w:id="564340277">
          <w:marLeft w:val="0"/>
          <w:marRight w:val="0"/>
          <w:marTop w:val="0"/>
          <w:marBottom w:val="0"/>
          <w:divBdr>
            <w:top w:val="none" w:sz="0" w:space="0" w:color="auto"/>
            <w:left w:val="none" w:sz="0" w:space="0" w:color="auto"/>
            <w:bottom w:val="none" w:sz="0" w:space="0" w:color="auto"/>
            <w:right w:val="none" w:sz="0" w:space="0" w:color="auto"/>
          </w:divBdr>
        </w:div>
        <w:div w:id="1176461627">
          <w:marLeft w:val="0"/>
          <w:marRight w:val="0"/>
          <w:marTop w:val="0"/>
          <w:marBottom w:val="0"/>
          <w:divBdr>
            <w:top w:val="none" w:sz="0" w:space="0" w:color="auto"/>
            <w:left w:val="none" w:sz="0" w:space="0" w:color="auto"/>
            <w:bottom w:val="none" w:sz="0" w:space="0" w:color="auto"/>
            <w:right w:val="none" w:sz="0" w:space="0" w:color="auto"/>
          </w:divBdr>
        </w:div>
        <w:div w:id="661391496">
          <w:marLeft w:val="0"/>
          <w:marRight w:val="0"/>
          <w:marTop w:val="0"/>
          <w:marBottom w:val="0"/>
          <w:divBdr>
            <w:top w:val="none" w:sz="0" w:space="0" w:color="auto"/>
            <w:left w:val="none" w:sz="0" w:space="0" w:color="auto"/>
            <w:bottom w:val="none" w:sz="0" w:space="0" w:color="auto"/>
            <w:right w:val="none" w:sz="0" w:space="0" w:color="auto"/>
          </w:divBdr>
        </w:div>
        <w:div w:id="1171406025">
          <w:marLeft w:val="0"/>
          <w:marRight w:val="0"/>
          <w:marTop w:val="0"/>
          <w:marBottom w:val="0"/>
          <w:divBdr>
            <w:top w:val="none" w:sz="0" w:space="0" w:color="auto"/>
            <w:left w:val="none" w:sz="0" w:space="0" w:color="auto"/>
            <w:bottom w:val="none" w:sz="0" w:space="0" w:color="auto"/>
            <w:right w:val="none" w:sz="0" w:space="0" w:color="auto"/>
          </w:divBdr>
        </w:div>
        <w:div w:id="259065890">
          <w:marLeft w:val="0"/>
          <w:marRight w:val="0"/>
          <w:marTop w:val="0"/>
          <w:marBottom w:val="0"/>
          <w:divBdr>
            <w:top w:val="none" w:sz="0" w:space="0" w:color="auto"/>
            <w:left w:val="none" w:sz="0" w:space="0" w:color="auto"/>
            <w:bottom w:val="none" w:sz="0" w:space="0" w:color="auto"/>
            <w:right w:val="none" w:sz="0" w:space="0" w:color="auto"/>
          </w:divBdr>
        </w:div>
        <w:div w:id="430008273">
          <w:marLeft w:val="0"/>
          <w:marRight w:val="0"/>
          <w:marTop w:val="0"/>
          <w:marBottom w:val="0"/>
          <w:divBdr>
            <w:top w:val="none" w:sz="0" w:space="0" w:color="auto"/>
            <w:left w:val="none" w:sz="0" w:space="0" w:color="auto"/>
            <w:bottom w:val="none" w:sz="0" w:space="0" w:color="auto"/>
            <w:right w:val="none" w:sz="0" w:space="0" w:color="auto"/>
          </w:divBdr>
        </w:div>
        <w:div w:id="1744569727">
          <w:marLeft w:val="0"/>
          <w:marRight w:val="0"/>
          <w:marTop w:val="0"/>
          <w:marBottom w:val="0"/>
          <w:divBdr>
            <w:top w:val="none" w:sz="0" w:space="0" w:color="auto"/>
            <w:left w:val="none" w:sz="0" w:space="0" w:color="auto"/>
            <w:bottom w:val="none" w:sz="0" w:space="0" w:color="auto"/>
            <w:right w:val="none" w:sz="0" w:space="0" w:color="auto"/>
          </w:divBdr>
        </w:div>
        <w:div w:id="1813595076">
          <w:marLeft w:val="0"/>
          <w:marRight w:val="0"/>
          <w:marTop w:val="0"/>
          <w:marBottom w:val="0"/>
          <w:divBdr>
            <w:top w:val="none" w:sz="0" w:space="0" w:color="auto"/>
            <w:left w:val="none" w:sz="0" w:space="0" w:color="auto"/>
            <w:bottom w:val="none" w:sz="0" w:space="0" w:color="auto"/>
            <w:right w:val="none" w:sz="0" w:space="0" w:color="auto"/>
          </w:divBdr>
        </w:div>
        <w:div w:id="1264147841">
          <w:marLeft w:val="0"/>
          <w:marRight w:val="0"/>
          <w:marTop w:val="0"/>
          <w:marBottom w:val="0"/>
          <w:divBdr>
            <w:top w:val="none" w:sz="0" w:space="0" w:color="auto"/>
            <w:left w:val="none" w:sz="0" w:space="0" w:color="auto"/>
            <w:bottom w:val="none" w:sz="0" w:space="0" w:color="auto"/>
            <w:right w:val="none" w:sz="0" w:space="0" w:color="auto"/>
          </w:divBdr>
        </w:div>
        <w:div w:id="818232334">
          <w:marLeft w:val="0"/>
          <w:marRight w:val="0"/>
          <w:marTop w:val="0"/>
          <w:marBottom w:val="0"/>
          <w:divBdr>
            <w:top w:val="none" w:sz="0" w:space="0" w:color="auto"/>
            <w:left w:val="none" w:sz="0" w:space="0" w:color="auto"/>
            <w:bottom w:val="none" w:sz="0" w:space="0" w:color="auto"/>
            <w:right w:val="none" w:sz="0" w:space="0" w:color="auto"/>
          </w:divBdr>
        </w:div>
        <w:div w:id="1898005516">
          <w:marLeft w:val="0"/>
          <w:marRight w:val="0"/>
          <w:marTop w:val="0"/>
          <w:marBottom w:val="0"/>
          <w:divBdr>
            <w:top w:val="none" w:sz="0" w:space="0" w:color="auto"/>
            <w:left w:val="none" w:sz="0" w:space="0" w:color="auto"/>
            <w:bottom w:val="none" w:sz="0" w:space="0" w:color="auto"/>
            <w:right w:val="none" w:sz="0" w:space="0" w:color="auto"/>
          </w:divBdr>
        </w:div>
        <w:div w:id="457843472">
          <w:marLeft w:val="0"/>
          <w:marRight w:val="0"/>
          <w:marTop w:val="0"/>
          <w:marBottom w:val="0"/>
          <w:divBdr>
            <w:top w:val="none" w:sz="0" w:space="0" w:color="auto"/>
            <w:left w:val="none" w:sz="0" w:space="0" w:color="auto"/>
            <w:bottom w:val="none" w:sz="0" w:space="0" w:color="auto"/>
            <w:right w:val="none" w:sz="0" w:space="0" w:color="auto"/>
          </w:divBdr>
        </w:div>
        <w:div w:id="508107888">
          <w:marLeft w:val="0"/>
          <w:marRight w:val="0"/>
          <w:marTop w:val="0"/>
          <w:marBottom w:val="0"/>
          <w:divBdr>
            <w:top w:val="none" w:sz="0" w:space="0" w:color="auto"/>
            <w:left w:val="none" w:sz="0" w:space="0" w:color="auto"/>
            <w:bottom w:val="none" w:sz="0" w:space="0" w:color="auto"/>
            <w:right w:val="none" w:sz="0" w:space="0" w:color="auto"/>
          </w:divBdr>
        </w:div>
        <w:div w:id="265042324">
          <w:marLeft w:val="0"/>
          <w:marRight w:val="0"/>
          <w:marTop w:val="0"/>
          <w:marBottom w:val="0"/>
          <w:divBdr>
            <w:top w:val="none" w:sz="0" w:space="0" w:color="auto"/>
            <w:left w:val="none" w:sz="0" w:space="0" w:color="auto"/>
            <w:bottom w:val="none" w:sz="0" w:space="0" w:color="auto"/>
            <w:right w:val="none" w:sz="0" w:space="0" w:color="auto"/>
          </w:divBdr>
        </w:div>
        <w:div w:id="2000963879">
          <w:marLeft w:val="0"/>
          <w:marRight w:val="0"/>
          <w:marTop w:val="0"/>
          <w:marBottom w:val="0"/>
          <w:divBdr>
            <w:top w:val="none" w:sz="0" w:space="0" w:color="auto"/>
            <w:left w:val="none" w:sz="0" w:space="0" w:color="auto"/>
            <w:bottom w:val="none" w:sz="0" w:space="0" w:color="auto"/>
            <w:right w:val="none" w:sz="0" w:space="0" w:color="auto"/>
          </w:divBdr>
        </w:div>
        <w:div w:id="2093892056">
          <w:marLeft w:val="0"/>
          <w:marRight w:val="0"/>
          <w:marTop w:val="0"/>
          <w:marBottom w:val="0"/>
          <w:divBdr>
            <w:top w:val="none" w:sz="0" w:space="0" w:color="auto"/>
            <w:left w:val="none" w:sz="0" w:space="0" w:color="auto"/>
            <w:bottom w:val="none" w:sz="0" w:space="0" w:color="auto"/>
            <w:right w:val="none" w:sz="0" w:space="0" w:color="auto"/>
          </w:divBdr>
        </w:div>
        <w:div w:id="600994828">
          <w:marLeft w:val="0"/>
          <w:marRight w:val="0"/>
          <w:marTop w:val="0"/>
          <w:marBottom w:val="0"/>
          <w:divBdr>
            <w:top w:val="none" w:sz="0" w:space="0" w:color="auto"/>
            <w:left w:val="none" w:sz="0" w:space="0" w:color="auto"/>
            <w:bottom w:val="none" w:sz="0" w:space="0" w:color="auto"/>
            <w:right w:val="none" w:sz="0" w:space="0" w:color="auto"/>
          </w:divBdr>
        </w:div>
        <w:div w:id="334502873">
          <w:marLeft w:val="0"/>
          <w:marRight w:val="0"/>
          <w:marTop w:val="0"/>
          <w:marBottom w:val="0"/>
          <w:divBdr>
            <w:top w:val="none" w:sz="0" w:space="0" w:color="auto"/>
            <w:left w:val="none" w:sz="0" w:space="0" w:color="auto"/>
            <w:bottom w:val="none" w:sz="0" w:space="0" w:color="auto"/>
            <w:right w:val="none" w:sz="0" w:space="0" w:color="auto"/>
          </w:divBdr>
        </w:div>
        <w:div w:id="1511675919">
          <w:marLeft w:val="0"/>
          <w:marRight w:val="0"/>
          <w:marTop w:val="0"/>
          <w:marBottom w:val="0"/>
          <w:divBdr>
            <w:top w:val="none" w:sz="0" w:space="0" w:color="auto"/>
            <w:left w:val="none" w:sz="0" w:space="0" w:color="auto"/>
            <w:bottom w:val="none" w:sz="0" w:space="0" w:color="auto"/>
            <w:right w:val="none" w:sz="0" w:space="0" w:color="auto"/>
          </w:divBdr>
        </w:div>
        <w:div w:id="1765682641">
          <w:marLeft w:val="0"/>
          <w:marRight w:val="0"/>
          <w:marTop w:val="0"/>
          <w:marBottom w:val="0"/>
          <w:divBdr>
            <w:top w:val="none" w:sz="0" w:space="0" w:color="auto"/>
            <w:left w:val="none" w:sz="0" w:space="0" w:color="auto"/>
            <w:bottom w:val="none" w:sz="0" w:space="0" w:color="auto"/>
            <w:right w:val="none" w:sz="0" w:space="0" w:color="auto"/>
          </w:divBdr>
        </w:div>
        <w:div w:id="792750580">
          <w:marLeft w:val="0"/>
          <w:marRight w:val="0"/>
          <w:marTop w:val="0"/>
          <w:marBottom w:val="0"/>
          <w:divBdr>
            <w:top w:val="none" w:sz="0" w:space="0" w:color="auto"/>
            <w:left w:val="none" w:sz="0" w:space="0" w:color="auto"/>
            <w:bottom w:val="none" w:sz="0" w:space="0" w:color="auto"/>
            <w:right w:val="none" w:sz="0" w:space="0" w:color="auto"/>
          </w:divBdr>
        </w:div>
        <w:div w:id="1791049695">
          <w:marLeft w:val="0"/>
          <w:marRight w:val="0"/>
          <w:marTop w:val="0"/>
          <w:marBottom w:val="0"/>
          <w:divBdr>
            <w:top w:val="none" w:sz="0" w:space="0" w:color="auto"/>
            <w:left w:val="none" w:sz="0" w:space="0" w:color="auto"/>
            <w:bottom w:val="none" w:sz="0" w:space="0" w:color="auto"/>
            <w:right w:val="none" w:sz="0" w:space="0" w:color="auto"/>
          </w:divBdr>
        </w:div>
        <w:div w:id="1721317764">
          <w:marLeft w:val="0"/>
          <w:marRight w:val="0"/>
          <w:marTop w:val="0"/>
          <w:marBottom w:val="0"/>
          <w:divBdr>
            <w:top w:val="none" w:sz="0" w:space="0" w:color="auto"/>
            <w:left w:val="none" w:sz="0" w:space="0" w:color="auto"/>
            <w:bottom w:val="none" w:sz="0" w:space="0" w:color="auto"/>
            <w:right w:val="none" w:sz="0" w:space="0" w:color="auto"/>
          </w:divBdr>
        </w:div>
        <w:div w:id="94792463">
          <w:marLeft w:val="0"/>
          <w:marRight w:val="0"/>
          <w:marTop w:val="0"/>
          <w:marBottom w:val="0"/>
          <w:divBdr>
            <w:top w:val="none" w:sz="0" w:space="0" w:color="auto"/>
            <w:left w:val="none" w:sz="0" w:space="0" w:color="auto"/>
            <w:bottom w:val="none" w:sz="0" w:space="0" w:color="auto"/>
            <w:right w:val="none" w:sz="0" w:space="0" w:color="auto"/>
          </w:divBdr>
        </w:div>
        <w:div w:id="1484929583">
          <w:marLeft w:val="0"/>
          <w:marRight w:val="0"/>
          <w:marTop w:val="0"/>
          <w:marBottom w:val="0"/>
          <w:divBdr>
            <w:top w:val="none" w:sz="0" w:space="0" w:color="auto"/>
            <w:left w:val="none" w:sz="0" w:space="0" w:color="auto"/>
            <w:bottom w:val="none" w:sz="0" w:space="0" w:color="auto"/>
            <w:right w:val="none" w:sz="0" w:space="0" w:color="auto"/>
          </w:divBdr>
        </w:div>
        <w:div w:id="659507736">
          <w:marLeft w:val="0"/>
          <w:marRight w:val="0"/>
          <w:marTop w:val="0"/>
          <w:marBottom w:val="0"/>
          <w:divBdr>
            <w:top w:val="none" w:sz="0" w:space="0" w:color="auto"/>
            <w:left w:val="none" w:sz="0" w:space="0" w:color="auto"/>
            <w:bottom w:val="none" w:sz="0" w:space="0" w:color="auto"/>
            <w:right w:val="none" w:sz="0" w:space="0" w:color="auto"/>
          </w:divBdr>
        </w:div>
        <w:div w:id="112752185">
          <w:marLeft w:val="0"/>
          <w:marRight w:val="0"/>
          <w:marTop w:val="0"/>
          <w:marBottom w:val="0"/>
          <w:divBdr>
            <w:top w:val="none" w:sz="0" w:space="0" w:color="auto"/>
            <w:left w:val="none" w:sz="0" w:space="0" w:color="auto"/>
            <w:bottom w:val="none" w:sz="0" w:space="0" w:color="auto"/>
            <w:right w:val="none" w:sz="0" w:space="0" w:color="auto"/>
          </w:divBdr>
        </w:div>
        <w:div w:id="103772833">
          <w:marLeft w:val="0"/>
          <w:marRight w:val="0"/>
          <w:marTop w:val="0"/>
          <w:marBottom w:val="0"/>
          <w:divBdr>
            <w:top w:val="none" w:sz="0" w:space="0" w:color="auto"/>
            <w:left w:val="none" w:sz="0" w:space="0" w:color="auto"/>
            <w:bottom w:val="none" w:sz="0" w:space="0" w:color="auto"/>
            <w:right w:val="none" w:sz="0" w:space="0" w:color="auto"/>
          </w:divBdr>
        </w:div>
        <w:div w:id="965964012">
          <w:marLeft w:val="0"/>
          <w:marRight w:val="0"/>
          <w:marTop w:val="0"/>
          <w:marBottom w:val="0"/>
          <w:divBdr>
            <w:top w:val="none" w:sz="0" w:space="0" w:color="auto"/>
            <w:left w:val="none" w:sz="0" w:space="0" w:color="auto"/>
            <w:bottom w:val="none" w:sz="0" w:space="0" w:color="auto"/>
            <w:right w:val="none" w:sz="0" w:space="0" w:color="auto"/>
          </w:divBdr>
        </w:div>
        <w:div w:id="1142426136">
          <w:marLeft w:val="0"/>
          <w:marRight w:val="0"/>
          <w:marTop w:val="0"/>
          <w:marBottom w:val="0"/>
          <w:divBdr>
            <w:top w:val="none" w:sz="0" w:space="0" w:color="auto"/>
            <w:left w:val="none" w:sz="0" w:space="0" w:color="auto"/>
            <w:bottom w:val="none" w:sz="0" w:space="0" w:color="auto"/>
            <w:right w:val="none" w:sz="0" w:space="0" w:color="auto"/>
          </w:divBdr>
        </w:div>
        <w:div w:id="962930003">
          <w:marLeft w:val="0"/>
          <w:marRight w:val="0"/>
          <w:marTop w:val="0"/>
          <w:marBottom w:val="0"/>
          <w:divBdr>
            <w:top w:val="none" w:sz="0" w:space="0" w:color="auto"/>
            <w:left w:val="none" w:sz="0" w:space="0" w:color="auto"/>
            <w:bottom w:val="none" w:sz="0" w:space="0" w:color="auto"/>
            <w:right w:val="none" w:sz="0" w:space="0" w:color="auto"/>
          </w:divBdr>
        </w:div>
        <w:div w:id="1660382205">
          <w:marLeft w:val="0"/>
          <w:marRight w:val="0"/>
          <w:marTop w:val="0"/>
          <w:marBottom w:val="0"/>
          <w:divBdr>
            <w:top w:val="none" w:sz="0" w:space="0" w:color="auto"/>
            <w:left w:val="none" w:sz="0" w:space="0" w:color="auto"/>
            <w:bottom w:val="none" w:sz="0" w:space="0" w:color="auto"/>
            <w:right w:val="none" w:sz="0" w:space="0" w:color="auto"/>
          </w:divBdr>
        </w:div>
        <w:div w:id="1734741464">
          <w:marLeft w:val="0"/>
          <w:marRight w:val="0"/>
          <w:marTop w:val="0"/>
          <w:marBottom w:val="0"/>
          <w:divBdr>
            <w:top w:val="none" w:sz="0" w:space="0" w:color="auto"/>
            <w:left w:val="none" w:sz="0" w:space="0" w:color="auto"/>
            <w:bottom w:val="none" w:sz="0" w:space="0" w:color="auto"/>
            <w:right w:val="none" w:sz="0" w:space="0" w:color="auto"/>
          </w:divBdr>
        </w:div>
        <w:div w:id="712000284">
          <w:marLeft w:val="0"/>
          <w:marRight w:val="0"/>
          <w:marTop w:val="0"/>
          <w:marBottom w:val="0"/>
          <w:divBdr>
            <w:top w:val="none" w:sz="0" w:space="0" w:color="auto"/>
            <w:left w:val="none" w:sz="0" w:space="0" w:color="auto"/>
            <w:bottom w:val="none" w:sz="0" w:space="0" w:color="auto"/>
            <w:right w:val="none" w:sz="0" w:space="0" w:color="auto"/>
          </w:divBdr>
        </w:div>
        <w:div w:id="608197997">
          <w:marLeft w:val="0"/>
          <w:marRight w:val="0"/>
          <w:marTop w:val="0"/>
          <w:marBottom w:val="0"/>
          <w:divBdr>
            <w:top w:val="none" w:sz="0" w:space="0" w:color="auto"/>
            <w:left w:val="none" w:sz="0" w:space="0" w:color="auto"/>
            <w:bottom w:val="none" w:sz="0" w:space="0" w:color="auto"/>
            <w:right w:val="none" w:sz="0" w:space="0" w:color="auto"/>
          </w:divBdr>
        </w:div>
        <w:div w:id="880626644">
          <w:marLeft w:val="0"/>
          <w:marRight w:val="0"/>
          <w:marTop w:val="0"/>
          <w:marBottom w:val="0"/>
          <w:divBdr>
            <w:top w:val="none" w:sz="0" w:space="0" w:color="auto"/>
            <w:left w:val="none" w:sz="0" w:space="0" w:color="auto"/>
            <w:bottom w:val="none" w:sz="0" w:space="0" w:color="auto"/>
            <w:right w:val="none" w:sz="0" w:space="0" w:color="auto"/>
          </w:divBdr>
        </w:div>
        <w:div w:id="518785218">
          <w:marLeft w:val="0"/>
          <w:marRight w:val="0"/>
          <w:marTop w:val="0"/>
          <w:marBottom w:val="0"/>
          <w:divBdr>
            <w:top w:val="none" w:sz="0" w:space="0" w:color="auto"/>
            <w:left w:val="none" w:sz="0" w:space="0" w:color="auto"/>
            <w:bottom w:val="none" w:sz="0" w:space="0" w:color="auto"/>
            <w:right w:val="none" w:sz="0" w:space="0" w:color="auto"/>
          </w:divBdr>
        </w:div>
        <w:div w:id="14505232">
          <w:marLeft w:val="0"/>
          <w:marRight w:val="0"/>
          <w:marTop w:val="0"/>
          <w:marBottom w:val="0"/>
          <w:divBdr>
            <w:top w:val="none" w:sz="0" w:space="0" w:color="auto"/>
            <w:left w:val="none" w:sz="0" w:space="0" w:color="auto"/>
            <w:bottom w:val="none" w:sz="0" w:space="0" w:color="auto"/>
            <w:right w:val="none" w:sz="0" w:space="0" w:color="auto"/>
          </w:divBdr>
        </w:div>
        <w:div w:id="1967197807">
          <w:marLeft w:val="0"/>
          <w:marRight w:val="0"/>
          <w:marTop w:val="0"/>
          <w:marBottom w:val="0"/>
          <w:divBdr>
            <w:top w:val="none" w:sz="0" w:space="0" w:color="auto"/>
            <w:left w:val="none" w:sz="0" w:space="0" w:color="auto"/>
            <w:bottom w:val="none" w:sz="0" w:space="0" w:color="auto"/>
            <w:right w:val="none" w:sz="0" w:space="0" w:color="auto"/>
          </w:divBdr>
        </w:div>
        <w:div w:id="1281492623">
          <w:marLeft w:val="0"/>
          <w:marRight w:val="0"/>
          <w:marTop w:val="0"/>
          <w:marBottom w:val="0"/>
          <w:divBdr>
            <w:top w:val="none" w:sz="0" w:space="0" w:color="auto"/>
            <w:left w:val="none" w:sz="0" w:space="0" w:color="auto"/>
            <w:bottom w:val="none" w:sz="0" w:space="0" w:color="auto"/>
            <w:right w:val="none" w:sz="0" w:space="0" w:color="auto"/>
          </w:divBdr>
        </w:div>
        <w:div w:id="413674775">
          <w:marLeft w:val="0"/>
          <w:marRight w:val="0"/>
          <w:marTop w:val="0"/>
          <w:marBottom w:val="0"/>
          <w:divBdr>
            <w:top w:val="none" w:sz="0" w:space="0" w:color="auto"/>
            <w:left w:val="none" w:sz="0" w:space="0" w:color="auto"/>
            <w:bottom w:val="none" w:sz="0" w:space="0" w:color="auto"/>
            <w:right w:val="none" w:sz="0" w:space="0" w:color="auto"/>
          </w:divBdr>
        </w:div>
        <w:div w:id="1312363774">
          <w:marLeft w:val="0"/>
          <w:marRight w:val="0"/>
          <w:marTop w:val="0"/>
          <w:marBottom w:val="0"/>
          <w:divBdr>
            <w:top w:val="none" w:sz="0" w:space="0" w:color="auto"/>
            <w:left w:val="none" w:sz="0" w:space="0" w:color="auto"/>
            <w:bottom w:val="none" w:sz="0" w:space="0" w:color="auto"/>
            <w:right w:val="none" w:sz="0" w:space="0" w:color="auto"/>
          </w:divBdr>
        </w:div>
        <w:div w:id="1941403937">
          <w:marLeft w:val="0"/>
          <w:marRight w:val="0"/>
          <w:marTop w:val="0"/>
          <w:marBottom w:val="0"/>
          <w:divBdr>
            <w:top w:val="none" w:sz="0" w:space="0" w:color="auto"/>
            <w:left w:val="none" w:sz="0" w:space="0" w:color="auto"/>
            <w:bottom w:val="none" w:sz="0" w:space="0" w:color="auto"/>
            <w:right w:val="none" w:sz="0" w:space="0" w:color="auto"/>
          </w:divBdr>
        </w:div>
        <w:div w:id="309403263">
          <w:marLeft w:val="0"/>
          <w:marRight w:val="0"/>
          <w:marTop w:val="0"/>
          <w:marBottom w:val="0"/>
          <w:divBdr>
            <w:top w:val="none" w:sz="0" w:space="0" w:color="auto"/>
            <w:left w:val="none" w:sz="0" w:space="0" w:color="auto"/>
            <w:bottom w:val="none" w:sz="0" w:space="0" w:color="auto"/>
            <w:right w:val="none" w:sz="0" w:space="0" w:color="auto"/>
          </w:divBdr>
        </w:div>
        <w:div w:id="277178643">
          <w:marLeft w:val="0"/>
          <w:marRight w:val="0"/>
          <w:marTop w:val="0"/>
          <w:marBottom w:val="0"/>
          <w:divBdr>
            <w:top w:val="none" w:sz="0" w:space="0" w:color="auto"/>
            <w:left w:val="none" w:sz="0" w:space="0" w:color="auto"/>
            <w:bottom w:val="none" w:sz="0" w:space="0" w:color="auto"/>
            <w:right w:val="none" w:sz="0" w:space="0" w:color="auto"/>
          </w:divBdr>
        </w:div>
        <w:div w:id="314378149">
          <w:marLeft w:val="0"/>
          <w:marRight w:val="0"/>
          <w:marTop w:val="0"/>
          <w:marBottom w:val="0"/>
          <w:divBdr>
            <w:top w:val="none" w:sz="0" w:space="0" w:color="auto"/>
            <w:left w:val="none" w:sz="0" w:space="0" w:color="auto"/>
            <w:bottom w:val="none" w:sz="0" w:space="0" w:color="auto"/>
            <w:right w:val="none" w:sz="0" w:space="0" w:color="auto"/>
          </w:divBdr>
        </w:div>
        <w:div w:id="1179003481">
          <w:marLeft w:val="0"/>
          <w:marRight w:val="0"/>
          <w:marTop w:val="0"/>
          <w:marBottom w:val="0"/>
          <w:divBdr>
            <w:top w:val="none" w:sz="0" w:space="0" w:color="auto"/>
            <w:left w:val="none" w:sz="0" w:space="0" w:color="auto"/>
            <w:bottom w:val="none" w:sz="0" w:space="0" w:color="auto"/>
            <w:right w:val="none" w:sz="0" w:space="0" w:color="auto"/>
          </w:divBdr>
        </w:div>
        <w:div w:id="911812596">
          <w:marLeft w:val="0"/>
          <w:marRight w:val="0"/>
          <w:marTop w:val="0"/>
          <w:marBottom w:val="0"/>
          <w:divBdr>
            <w:top w:val="none" w:sz="0" w:space="0" w:color="auto"/>
            <w:left w:val="none" w:sz="0" w:space="0" w:color="auto"/>
            <w:bottom w:val="none" w:sz="0" w:space="0" w:color="auto"/>
            <w:right w:val="none" w:sz="0" w:space="0" w:color="auto"/>
          </w:divBdr>
        </w:div>
        <w:div w:id="1037393473">
          <w:marLeft w:val="0"/>
          <w:marRight w:val="0"/>
          <w:marTop w:val="0"/>
          <w:marBottom w:val="0"/>
          <w:divBdr>
            <w:top w:val="none" w:sz="0" w:space="0" w:color="auto"/>
            <w:left w:val="none" w:sz="0" w:space="0" w:color="auto"/>
            <w:bottom w:val="none" w:sz="0" w:space="0" w:color="auto"/>
            <w:right w:val="none" w:sz="0" w:space="0" w:color="auto"/>
          </w:divBdr>
        </w:div>
        <w:div w:id="212734707">
          <w:marLeft w:val="0"/>
          <w:marRight w:val="0"/>
          <w:marTop w:val="0"/>
          <w:marBottom w:val="0"/>
          <w:divBdr>
            <w:top w:val="none" w:sz="0" w:space="0" w:color="auto"/>
            <w:left w:val="none" w:sz="0" w:space="0" w:color="auto"/>
            <w:bottom w:val="none" w:sz="0" w:space="0" w:color="auto"/>
            <w:right w:val="none" w:sz="0" w:space="0" w:color="auto"/>
          </w:divBdr>
        </w:div>
        <w:div w:id="80689550">
          <w:marLeft w:val="0"/>
          <w:marRight w:val="0"/>
          <w:marTop w:val="0"/>
          <w:marBottom w:val="0"/>
          <w:divBdr>
            <w:top w:val="none" w:sz="0" w:space="0" w:color="auto"/>
            <w:left w:val="none" w:sz="0" w:space="0" w:color="auto"/>
            <w:bottom w:val="none" w:sz="0" w:space="0" w:color="auto"/>
            <w:right w:val="none" w:sz="0" w:space="0" w:color="auto"/>
          </w:divBdr>
        </w:div>
        <w:div w:id="502664656">
          <w:marLeft w:val="0"/>
          <w:marRight w:val="0"/>
          <w:marTop w:val="0"/>
          <w:marBottom w:val="0"/>
          <w:divBdr>
            <w:top w:val="none" w:sz="0" w:space="0" w:color="auto"/>
            <w:left w:val="none" w:sz="0" w:space="0" w:color="auto"/>
            <w:bottom w:val="none" w:sz="0" w:space="0" w:color="auto"/>
            <w:right w:val="none" w:sz="0" w:space="0" w:color="auto"/>
          </w:divBdr>
        </w:div>
        <w:div w:id="1847331054">
          <w:marLeft w:val="0"/>
          <w:marRight w:val="0"/>
          <w:marTop w:val="0"/>
          <w:marBottom w:val="0"/>
          <w:divBdr>
            <w:top w:val="none" w:sz="0" w:space="0" w:color="auto"/>
            <w:left w:val="none" w:sz="0" w:space="0" w:color="auto"/>
            <w:bottom w:val="none" w:sz="0" w:space="0" w:color="auto"/>
            <w:right w:val="none" w:sz="0" w:space="0" w:color="auto"/>
          </w:divBdr>
        </w:div>
        <w:div w:id="304547120">
          <w:marLeft w:val="0"/>
          <w:marRight w:val="0"/>
          <w:marTop w:val="0"/>
          <w:marBottom w:val="0"/>
          <w:divBdr>
            <w:top w:val="none" w:sz="0" w:space="0" w:color="auto"/>
            <w:left w:val="none" w:sz="0" w:space="0" w:color="auto"/>
            <w:bottom w:val="none" w:sz="0" w:space="0" w:color="auto"/>
            <w:right w:val="none" w:sz="0" w:space="0" w:color="auto"/>
          </w:divBdr>
        </w:div>
        <w:div w:id="92866649">
          <w:marLeft w:val="0"/>
          <w:marRight w:val="0"/>
          <w:marTop w:val="0"/>
          <w:marBottom w:val="0"/>
          <w:divBdr>
            <w:top w:val="none" w:sz="0" w:space="0" w:color="auto"/>
            <w:left w:val="none" w:sz="0" w:space="0" w:color="auto"/>
            <w:bottom w:val="none" w:sz="0" w:space="0" w:color="auto"/>
            <w:right w:val="none" w:sz="0" w:space="0" w:color="auto"/>
          </w:divBdr>
        </w:div>
        <w:div w:id="1173031449">
          <w:marLeft w:val="0"/>
          <w:marRight w:val="0"/>
          <w:marTop w:val="0"/>
          <w:marBottom w:val="0"/>
          <w:divBdr>
            <w:top w:val="none" w:sz="0" w:space="0" w:color="auto"/>
            <w:left w:val="none" w:sz="0" w:space="0" w:color="auto"/>
            <w:bottom w:val="none" w:sz="0" w:space="0" w:color="auto"/>
            <w:right w:val="none" w:sz="0" w:space="0" w:color="auto"/>
          </w:divBdr>
        </w:div>
        <w:div w:id="1604725758">
          <w:marLeft w:val="0"/>
          <w:marRight w:val="0"/>
          <w:marTop w:val="0"/>
          <w:marBottom w:val="0"/>
          <w:divBdr>
            <w:top w:val="none" w:sz="0" w:space="0" w:color="auto"/>
            <w:left w:val="none" w:sz="0" w:space="0" w:color="auto"/>
            <w:bottom w:val="none" w:sz="0" w:space="0" w:color="auto"/>
            <w:right w:val="none" w:sz="0" w:space="0" w:color="auto"/>
          </w:divBdr>
        </w:div>
        <w:div w:id="1258172421">
          <w:marLeft w:val="0"/>
          <w:marRight w:val="0"/>
          <w:marTop w:val="0"/>
          <w:marBottom w:val="0"/>
          <w:divBdr>
            <w:top w:val="none" w:sz="0" w:space="0" w:color="auto"/>
            <w:left w:val="none" w:sz="0" w:space="0" w:color="auto"/>
            <w:bottom w:val="none" w:sz="0" w:space="0" w:color="auto"/>
            <w:right w:val="none" w:sz="0" w:space="0" w:color="auto"/>
          </w:divBdr>
        </w:div>
        <w:div w:id="1356881917">
          <w:marLeft w:val="0"/>
          <w:marRight w:val="0"/>
          <w:marTop w:val="0"/>
          <w:marBottom w:val="0"/>
          <w:divBdr>
            <w:top w:val="none" w:sz="0" w:space="0" w:color="auto"/>
            <w:left w:val="none" w:sz="0" w:space="0" w:color="auto"/>
            <w:bottom w:val="none" w:sz="0" w:space="0" w:color="auto"/>
            <w:right w:val="none" w:sz="0" w:space="0" w:color="auto"/>
          </w:divBdr>
        </w:div>
        <w:div w:id="411589633">
          <w:marLeft w:val="0"/>
          <w:marRight w:val="0"/>
          <w:marTop w:val="0"/>
          <w:marBottom w:val="0"/>
          <w:divBdr>
            <w:top w:val="none" w:sz="0" w:space="0" w:color="auto"/>
            <w:left w:val="none" w:sz="0" w:space="0" w:color="auto"/>
            <w:bottom w:val="none" w:sz="0" w:space="0" w:color="auto"/>
            <w:right w:val="none" w:sz="0" w:space="0" w:color="auto"/>
          </w:divBdr>
        </w:div>
        <w:div w:id="704914217">
          <w:marLeft w:val="0"/>
          <w:marRight w:val="0"/>
          <w:marTop w:val="0"/>
          <w:marBottom w:val="0"/>
          <w:divBdr>
            <w:top w:val="none" w:sz="0" w:space="0" w:color="auto"/>
            <w:left w:val="none" w:sz="0" w:space="0" w:color="auto"/>
            <w:bottom w:val="none" w:sz="0" w:space="0" w:color="auto"/>
            <w:right w:val="none" w:sz="0" w:space="0" w:color="auto"/>
          </w:divBdr>
        </w:div>
        <w:div w:id="1815103366">
          <w:marLeft w:val="0"/>
          <w:marRight w:val="0"/>
          <w:marTop w:val="0"/>
          <w:marBottom w:val="0"/>
          <w:divBdr>
            <w:top w:val="none" w:sz="0" w:space="0" w:color="auto"/>
            <w:left w:val="none" w:sz="0" w:space="0" w:color="auto"/>
            <w:bottom w:val="none" w:sz="0" w:space="0" w:color="auto"/>
            <w:right w:val="none" w:sz="0" w:space="0" w:color="auto"/>
          </w:divBdr>
        </w:div>
        <w:div w:id="180552826">
          <w:marLeft w:val="0"/>
          <w:marRight w:val="0"/>
          <w:marTop w:val="0"/>
          <w:marBottom w:val="0"/>
          <w:divBdr>
            <w:top w:val="none" w:sz="0" w:space="0" w:color="auto"/>
            <w:left w:val="none" w:sz="0" w:space="0" w:color="auto"/>
            <w:bottom w:val="none" w:sz="0" w:space="0" w:color="auto"/>
            <w:right w:val="none" w:sz="0" w:space="0" w:color="auto"/>
          </w:divBdr>
        </w:div>
        <w:div w:id="1125930351">
          <w:marLeft w:val="0"/>
          <w:marRight w:val="0"/>
          <w:marTop w:val="0"/>
          <w:marBottom w:val="0"/>
          <w:divBdr>
            <w:top w:val="none" w:sz="0" w:space="0" w:color="auto"/>
            <w:left w:val="none" w:sz="0" w:space="0" w:color="auto"/>
            <w:bottom w:val="none" w:sz="0" w:space="0" w:color="auto"/>
            <w:right w:val="none" w:sz="0" w:space="0" w:color="auto"/>
          </w:divBdr>
        </w:div>
        <w:div w:id="436565724">
          <w:marLeft w:val="0"/>
          <w:marRight w:val="0"/>
          <w:marTop w:val="0"/>
          <w:marBottom w:val="0"/>
          <w:divBdr>
            <w:top w:val="none" w:sz="0" w:space="0" w:color="auto"/>
            <w:left w:val="none" w:sz="0" w:space="0" w:color="auto"/>
            <w:bottom w:val="none" w:sz="0" w:space="0" w:color="auto"/>
            <w:right w:val="none" w:sz="0" w:space="0" w:color="auto"/>
          </w:divBdr>
        </w:div>
        <w:div w:id="203687172">
          <w:marLeft w:val="0"/>
          <w:marRight w:val="0"/>
          <w:marTop w:val="0"/>
          <w:marBottom w:val="0"/>
          <w:divBdr>
            <w:top w:val="none" w:sz="0" w:space="0" w:color="auto"/>
            <w:left w:val="none" w:sz="0" w:space="0" w:color="auto"/>
            <w:bottom w:val="none" w:sz="0" w:space="0" w:color="auto"/>
            <w:right w:val="none" w:sz="0" w:space="0" w:color="auto"/>
          </w:divBdr>
        </w:div>
        <w:div w:id="2063559261">
          <w:marLeft w:val="0"/>
          <w:marRight w:val="0"/>
          <w:marTop w:val="0"/>
          <w:marBottom w:val="0"/>
          <w:divBdr>
            <w:top w:val="none" w:sz="0" w:space="0" w:color="auto"/>
            <w:left w:val="none" w:sz="0" w:space="0" w:color="auto"/>
            <w:bottom w:val="none" w:sz="0" w:space="0" w:color="auto"/>
            <w:right w:val="none" w:sz="0" w:space="0" w:color="auto"/>
          </w:divBdr>
        </w:div>
        <w:div w:id="688675882">
          <w:marLeft w:val="0"/>
          <w:marRight w:val="0"/>
          <w:marTop w:val="0"/>
          <w:marBottom w:val="0"/>
          <w:divBdr>
            <w:top w:val="none" w:sz="0" w:space="0" w:color="auto"/>
            <w:left w:val="none" w:sz="0" w:space="0" w:color="auto"/>
            <w:bottom w:val="none" w:sz="0" w:space="0" w:color="auto"/>
            <w:right w:val="none" w:sz="0" w:space="0" w:color="auto"/>
          </w:divBdr>
        </w:div>
        <w:div w:id="1230262662">
          <w:marLeft w:val="0"/>
          <w:marRight w:val="0"/>
          <w:marTop w:val="0"/>
          <w:marBottom w:val="0"/>
          <w:divBdr>
            <w:top w:val="none" w:sz="0" w:space="0" w:color="auto"/>
            <w:left w:val="none" w:sz="0" w:space="0" w:color="auto"/>
            <w:bottom w:val="none" w:sz="0" w:space="0" w:color="auto"/>
            <w:right w:val="none" w:sz="0" w:space="0" w:color="auto"/>
          </w:divBdr>
        </w:div>
        <w:div w:id="619261409">
          <w:marLeft w:val="0"/>
          <w:marRight w:val="0"/>
          <w:marTop w:val="0"/>
          <w:marBottom w:val="0"/>
          <w:divBdr>
            <w:top w:val="none" w:sz="0" w:space="0" w:color="auto"/>
            <w:left w:val="none" w:sz="0" w:space="0" w:color="auto"/>
            <w:bottom w:val="none" w:sz="0" w:space="0" w:color="auto"/>
            <w:right w:val="none" w:sz="0" w:space="0" w:color="auto"/>
          </w:divBdr>
        </w:div>
        <w:div w:id="715736664">
          <w:marLeft w:val="0"/>
          <w:marRight w:val="0"/>
          <w:marTop w:val="0"/>
          <w:marBottom w:val="0"/>
          <w:divBdr>
            <w:top w:val="none" w:sz="0" w:space="0" w:color="auto"/>
            <w:left w:val="none" w:sz="0" w:space="0" w:color="auto"/>
            <w:bottom w:val="none" w:sz="0" w:space="0" w:color="auto"/>
            <w:right w:val="none" w:sz="0" w:space="0" w:color="auto"/>
          </w:divBdr>
        </w:div>
        <w:div w:id="757292206">
          <w:marLeft w:val="0"/>
          <w:marRight w:val="0"/>
          <w:marTop w:val="0"/>
          <w:marBottom w:val="0"/>
          <w:divBdr>
            <w:top w:val="none" w:sz="0" w:space="0" w:color="auto"/>
            <w:left w:val="none" w:sz="0" w:space="0" w:color="auto"/>
            <w:bottom w:val="none" w:sz="0" w:space="0" w:color="auto"/>
            <w:right w:val="none" w:sz="0" w:space="0" w:color="auto"/>
          </w:divBdr>
        </w:div>
        <w:div w:id="572397714">
          <w:marLeft w:val="0"/>
          <w:marRight w:val="0"/>
          <w:marTop w:val="0"/>
          <w:marBottom w:val="0"/>
          <w:divBdr>
            <w:top w:val="none" w:sz="0" w:space="0" w:color="auto"/>
            <w:left w:val="none" w:sz="0" w:space="0" w:color="auto"/>
            <w:bottom w:val="none" w:sz="0" w:space="0" w:color="auto"/>
            <w:right w:val="none" w:sz="0" w:space="0" w:color="auto"/>
          </w:divBdr>
        </w:div>
        <w:div w:id="705720871">
          <w:marLeft w:val="0"/>
          <w:marRight w:val="0"/>
          <w:marTop w:val="0"/>
          <w:marBottom w:val="0"/>
          <w:divBdr>
            <w:top w:val="none" w:sz="0" w:space="0" w:color="auto"/>
            <w:left w:val="none" w:sz="0" w:space="0" w:color="auto"/>
            <w:bottom w:val="none" w:sz="0" w:space="0" w:color="auto"/>
            <w:right w:val="none" w:sz="0" w:space="0" w:color="auto"/>
          </w:divBdr>
        </w:div>
        <w:div w:id="1959800519">
          <w:marLeft w:val="0"/>
          <w:marRight w:val="0"/>
          <w:marTop w:val="0"/>
          <w:marBottom w:val="0"/>
          <w:divBdr>
            <w:top w:val="none" w:sz="0" w:space="0" w:color="auto"/>
            <w:left w:val="none" w:sz="0" w:space="0" w:color="auto"/>
            <w:bottom w:val="none" w:sz="0" w:space="0" w:color="auto"/>
            <w:right w:val="none" w:sz="0" w:space="0" w:color="auto"/>
          </w:divBdr>
        </w:div>
        <w:div w:id="454376066">
          <w:marLeft w:val="0"/>
          <w:marRight w:val="0"/>
          <w:marTop w:val="0"/>
          <w:marBottom w:val="0"/>
          <w:divBdr>
            <w:top w:val="none" w:sz="0" w:space="0" w:color="auto"/>
            <w:left w:val="none" w:sz="0" w:space="0" w:color="auto"/>
            <w:bottom w:val="none" w:sz="0" w:space="0" w:color="auto"/>
            <w:right w:val="none" w:sz="0" w:space="0" w:color="auto"/>
          </w:divBdr>
        </w:div>
        <w:div w:id="943461778">
          <w:marLeft w:val="0"/>
          <w:marRight w:val="0"/>
          <w:marTop w:val="0"/>
          <w:marBottom w:val="0"/>
          <w:divBdr>
            <w:top w:val="none" w:sz="0" w:space="0" w:color="auto"/>
            <w:left w:val="none" w:sz="0" w:space="0" w:color="auto"/>
            <w:bottom w:val="none" w:sz="0" w:space="0" w:color="auto"/>
            <w:right w:val="none" w:sz="0" w:space="0" w:color="auto"/>
          </w:divBdr>
        </w:div>
        <w:div w:id="18165155">
          <w:marLeft w:val="0"/>
          <w:marRight w:val="0"/>
          <w:marTop w:val="0"/>
          <w:marBottom w:val="0"/>
          <w:divBdr>
            <w:top w:val="none" w:sz="0" w:space="0" w:color="auto"/>
            <w:left w:val="none" w:sz="0" w:space="0" w:color="auto"/>
            <w:bottom w:val="none" w:sz="0" w:space="0" w:color="auto"/>
            <w:right w:val="none" w:sz="0" w:space="0" w:color="auto"/>
          </w:divBdr>
        </w:div>
        <w:div w:id="1651980790">
          <w:marLeft w:val="0"/>
          <w:marRight w:val="0"/>
          <w:marTop w:val="0"/>
          <w:marBottom w:val="0"/>
          <w:divBdr>
            <w:top w:val="none" w:sz="0" w:space="0" w:color="auto"/>
            <w:left w:val="none" w:sz="0" w:space="0" w:color="auto"/>
            <w:bottom w:val="none" w:sz="0" w:space="0" w:color="auto"/>
            <w:right w:val="none" w:sz="0" w:space="0" w:color="auto"/>
          </w:divBdr>
        </w:div>
        <w:div w:id="846947972">
          <w:marLeft w:val="0"/>
          <w:marRight w:val="0"/>
          <w:marTop w:val="0"/>
          <w:marBottom w:val="0"/>
          <w:divBdr>
            <w:top w:val="none" w:sz="0" w:space="0" w:color="auto"/>
            <w:left w:val="none" w:sz="0" w:space="0" w:color="auto"/>
            <w:bottom w:val="none" w:sz="0" w:space="0" w:color="auto"/>
            <w:right w:val="none" w:sz="0" w:space="0" w:color="auto"/>
          </w:divBdr>
        </w:div>
        <w:div w:id="2016958855">
          <w:marLeft w:val="0"/>
          <w:marRight w:val="0"/>
          <w:marTop w:val="0"/>
          <w:marBottom w:val="0"/>
          <w:divBdr>
            <w:top w:val="none" w:sz="0" w:space="0" w:color="auto"/>
            <w:left w:val="none" w:sz="0" w:space="0" w:color="auto"/>
            <w:bottom w:val="none" w:sz="0" w:space="0" w:color="auto"/>
            <w:right w:val="none" w:sz="0" w:space="0" w:color="auto"/>
          </w:divBdr>
        </w:div>
      </w:divsChild>
    </w:div>
    <w:div w:id="871501053">
      <w:bodyDiv w:val="1"/>
      <w:marLeft w:val="0"/>
      <w:marRight w:val="0"/>
      <w:marTop w:val="0"/>
      <w:marBottom w:val="0"/>
      <w:divBdr>
        <w:top w:val="none" w:sz="0" w:space="0" w:color="auto"/>
        <w:left w:val="none" w:sz="0" w:space="0" w:color="auto"/>
        <w:bottom w:val="none" w:sz="0" w:space="0" w:color="auto"/>
        <w:right w:val="none" w:sz="0" w:space="0" w:color="auto"/>
      </w:divBdr>
    </w:div>
    <w:div w:id="871764669">
      <w:bodyDiv w:val="1"/>
      <w:marLeft w:val="0"/>
      <w:marRight w:val="0"/>
      <w:marTop w:val="0"/>
      <w:marBottom w:val="0"/>
      <w:divBdr>
        <w:top w:val="none" w:sz="0" w:space="0" w:color="auto"/>
        <w:left w:val="none" w:sz="0" w:space="0" w:color="auto"/>
        <w:bottom w:val="none" w:sz="0" w:space="0" w:color="auto"/>
        <w:right w:val="none" w:sz="0" w:space="0" w:color="auto"/>
      </w:divBdr>
      <w:divsChild>
        <w:div w:id="218790498">
          <w:marLeft w:val="0"/>
          <w:marRight w:val="0"/>
          <w:marTop w:val="0"/>
          <w:marBottom w:val="107"/>
          <w:divBdr>
            <w:top w:val="none" w:sz="0" w:space="0" w:color="auto"/>
            <w:left w:val="none" w:sz="0" w:space="0" w:color="auto"/>
            <w:bottom w:val="none" w:sz="0" w:space="0" w:color="auto"/>
            <w:right w:val="none" w:sz="0" w:space="0" w:color="auto"/>
          </w:divBdr>
        </w:div>
      </w:divsChild>
    </w:div>
    <w:div w:id="872691199">
      <w:bodyDiv w:val="1"/>
      <w:marLeft w:val="0"/>
      <w:marRight w:val="0"/>
      <w:marTop w:val="0"/>
      <w:marBottom w:val="0"/>
      <w:divBdr>
        <w:top w:val="none" w:sz="0" w:space="0" w:color="auto"/>
        <w:left w:val="none" w:sz="0" w:space="0" w:color="auto"/>
        <w:bottom w:val="none" w:sz="0" w:space="0" w:color="auto"/>
        <w:right w:val="none" w:sz="0" w:space="0" w:color="auto"/>
      </w:divBdr>
      <w:divsChild>
        <w:div w:id="1899632032">
          <w:marLeft w:val="0"/>
          <w:marRight w:val="0"/>
          <w:marTop w:val="0"/>
          <w:marBottom w:val="12"/>
          <w:divBdr>
            <w:top w:val="none" w:sz="0" w:space="0" w:color="auto"/>
            <w:left w:val="none" w:sz="0" w:space="0" w:color="auto"/>
            <w:bottom w:val="none" w:sz="0" w:space="0" w:color="auto"/>
            <w:right w:val="none" w:sz="0" w:space="0" w:color="auto"/>
          </w:divBdr>
          <w:divsChild>
            <w:div w:id="660962983">
              <w:marLeft w:val="35"/>
              <w:marRight w:val="35"/>
              <w:marTop w:val="0"/>
              <w:marBottom w:val="0"/>
              <w:divBdr>
                <w:top w:val="none" w:sz="0" w:space="0" w:color="auto"/>
                <w:left w:val="none" w:sz="0" w:space="0" w:color="auto"/>
                <w:bottom w:val="none" w:sz="0" w:space="0" w:color="auto"/>
                <w:right w:val="none" w:sz="0" w:space="0" w:color="auto"/>
              </w:divBdr>
              <w:divsChild>
                <w:div w:id="17544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27044">
      <w:bodyDiv w:val="1"/>
      <w:marLeft w:val="0"/>
      <w:marRight w:val="0"/>
      <w:marTop w:val="0"/>
      <w:marBottom w:val="0"/>
      <w:divBdr>
        <w:top w:val="none" w:sz="0" w:space="0" w:color="auto"/>
        <w:left w:val="none" w:sz="0" w:space="0" w:color="auto"/>
        <w:bottom w:val="none" w:sz="0" w:space="0" w:color="auto"/>
        <w:right w:val="none" w:sz="0" w:space="0" w:color="auto"/>
      </w:divBdr>
    </w:div>
    <w:div w:id="878468762">
      <w:bodyDiv w:val="1"/>
      <w:marLeft w:val="0"/>
      <w:marRight w:val="0"/>
      <w:marTop w:val="0"/>
      <w:marBottom w:val="0"/>
      <w:divBdr>
        <w:top w:val="none" w:sz="0" w:space="0" w:color="auto"/>
        <w:left w:val="none" w:sz="0" w:space="0" w:color="auto"/>
        <w:bottom w:val="none" w:sz="0" w:space="0" w:color="auto"/>
        <w:right w:val="none" w:sz="0" w:space="0" w:color="auto"/>
      </w:divBdr>
    </w:div>
    <w:div w:id="883250611">
      <w:bodyDiv w:val="1"/>
      <w:marLeft w:val="0"/>
      <w:marRight w:val="0"/>
      <w:marTop w:val="0"/>
      <w:marBottom w:val="0"/>
      <w:divBdr>
        <w:top w:val="none" w:sz="0" w:space="0" w:color="auto"/>
        <w:left w:val="none" w:sz="0" w:space="0" w:color="auto"/>
        <w:bottom w:val="none" w:sz="0" w:space="0" w:color="auto"/>
        <w:right w:val="none" w:sz="0" w:space="0" w:color="auto"/>
      </w:divBdr>
    </w:div>
    <w:div w:id="887110767">
      <w:bodyDiv w:val="1"/>
      <w:marLeft w:val="0"/>
      <w:marRight w:val="0"/>
      <w:marTop w:val="0"/>
      <w:marBottom w:val="0"/>
      <w:divBdr>
        <w:top w:val="none" w:sz="0" w:space="0" w:color="auto"/>
        <w:left w:val="none" w:sz="0" w:space="0" w:color="auto"/>
        <w:bottom w:val="none" w:sz="0" w:space="0" w:color="auto"/>
        <w:right w:val="none" w:sz="0" w:space="0" w:color="auto"/>
      </w:divBdr>
    </w:div>
    <w:div w:id="894967060">
      <w:bodyDiv w:val="1"/>
      <w:marLeft w:val="0"/>
      <w:marRight w:val="0"/>
      <w:marTop w:val="0"/>
      <w:marBottom w:val="0"/>
      <w:divBdr>
        <w:top w:val="none" w:sz="0" w:space="0" w:color="auto"/>
        <w:left w:val="none" w:sz="0" w:space="0" w:color="auto"/>
        <w:bottom w:val="none" w:sz="0" w:space="0" w:color="auto"/>
        <w:right w:val="none" w:sz="0" w:space="0" w:color="auto"/>
      </w:divBdr>
      <w:divsChild>
        <w:div w:id="71511826">
          <w:marLeft w:val="475"/>
          <w:marRight w:val="0"/>
          <w:marTop w:val="168"/>
          <w:marBottom w:val="0"/>
          <w:divBdr>
            <w:top w:val="none" w:sz="0" w:space="0" w:color="auto"/>
            <w:left w:val="none" w:sz="0" w:space="0" w:color="auto"/>
            <w:bottom w:val="none" w:sz="0" w:space="0" w:color="auto"/>
            <w:right w:val="none" w:sz="0" w:space="0" w:color="auto"/>
          </w:divBdr>
        </w:div>
        <w:div w:id="413548915">
          <w:marLeft w:val="475"/>
          <w:marRight w:val="0"/>
          <w:marTop w:val="168"/>
          <w:marBottom w:val="0"/>
          <w:divBdr>
            <w:top w:val="none" w:sz="0" w:space="0" w:color="auto"/>
            <w:left w:val="none" w:sz="0" w:space="0" w:color="auto"/>
            <w:bottom w:val="none" w:sz="0" w:space="0" w:color="auto"/>
            <w:right w:val="none" w:sz="0" w:space="0" w:color="auto"/>
          </w:divBdr>
        </w:div>
        <w:div w:id="513224356">
          <w:marLeft w:val="1181"/>
          <w:marRight w:val="0"/>
          <w:marTop w:val="168"/>
          <w:marBottom w:val="0"/>
          <w:divBdr>
            <w:top w:val="none" w:sz="0" w:space="0" w:color="auto"/>
            <w:left w:val="none" w:sz="0" w:space="0" w:color="auto"/>
            <w:bottom w:val="none" w:sz="0" w:space="0" w:color="auto"/>
            <w:right w:val="none" w:sz="0" w:space="0" w:color="auto"/>
          </w:divBdr>
        </w:div>
        <w:div w:id="1414621068">
          <w:marLeft w:val="475"/>
          <w:marRight w:val="0"/>
          <w:marTop w:val="168"/>
          <w:marBottom w:val="0"/>
          <w:divBdr>
            <w:top w:val="none" w:sz="0" w:space="0" w:color="auto"/>
            <w:left w:val="none" w:sz="0" w:space="0" w:color="auto"/>
            <w:bottom w:val="none" w:sz="0" w:space="0" w:color="auto"/>
            <w:right w:val="none" w:sz="0" w:space="0" w:color="auto"/>
          </w:divBdr>
        </w:div>
        <w:div w:id="1538464795">
          <w:marLeft w:val="475"/>
          <w:marRight w:val="0"/>
          <w:marTop w:val="168"/>
          <w:marBottom w:val="0"/>
          <w:divBdr>
            <w:top w:val="none" w:sz="0" w:space="0" w:color="auto"/>
            <w:left w:val="none" w:sz="0" w:space="0" w:color="auto"/>
            <w:bottom w:val="none" w:sz="0" w:space="0" w:color="auto"/>
            <w:right w:val="none" w:sz="0" w:space="0" w:color="auto"/>
          </w:divBdr>
        </w:div>
        <w:div w:id="1882866417">
          <w:marLeft w:val="475"/>
          <w:marRight w:val="0"/>
          <w:marTop w:val="168"/>
          <w:marBottom w:val="0"/>
          <w:divBdr>
            <w:top w:val="none" w:sz="0" w:space="0" w:color="auto"/>
            <w:left w:val="none" w:sz="0" w:space="0" w:color="auto"/>
            <w:bottom w:val="none" w:sz="0" w:space="0" w:color="auto"/>
            <w:right w:val="none" w:sz="0" w:space="0" w:color="auto"/>
          </w:divBdr>
        </w:div>
      </w:divsChild>
    </w:div>
    <w:div w:id="897011042">
      <w:bodyDiv w:val="1"/>
      <w:marLeft w:val="0"/>
      <w:marRight w:val="0"/>
      <w:marTop w:val="0"/>
      <w:marBottom w:val="0"/>
      <w:divBdr>
        <w:top w:val="none" w:sz="0" w:space="0" w:color="auto"/>
        <w:left w:val="none" w:sz="0" w:space="0" w:color="auto"/>
        <w:bottom w:val="none" w:sz="0" w:space="0" w:color="auto"/>
        <w:right w:val="none" w:sz="0" w:space="0" w:color="auto"/>
      </w:divBdr>
    </w:div>
    <w:div w:id="915673994">
      <w:bodyDiv w:val="1"/>
      <w:marLeft w:val="0"/>
      <w:marRight w:val="0"/>
      <w:marTop w:val="0"/>
      <w:marBottom w:val="0"/>
      <w:divBdr>
        <w:top w:val="none" w:sz="0" w:space="0" w:color="auto"/>
        <w:left w:val="none" w:sz="0" w:space="0" w:color="auto"/>
        <w:bottom w:val="none" w:sz="0" w:space="0" w:color="auto"/>
        <w:right w:val="none" w:sz="0" w:space="0" w:color="auto"/>
      </w:divBdr>
    </w:div>
    <w:div w:id="925188270">
      <w:bodyDiv w:val="1"/>
      <w:marLeft w:val="0"/>
      <w:marRight w:val="0"/>
      <w:marTop w:val="0"/>
      <w:marBottom w:val="0"/>
      <w:divBdr>
        <w:top w:val="none" w:sz="0" w:space="0" w:color="auto"/>
        <w:left w:val="none" w:sz="0" w:space="0" w:color="auto"/>
        <w:bottom w:val="none" w:sz="0" w:space="0" w:color="auto"/>
        <w:right w:val="none" w:sz="0" w:space="0" w:color="auto"/>
      </w:divBdr>
    </w:div>
    <w:div w:id="927616175">
      <w:bodyDiv w:val="1"/>
      <w:marLeft w:val="0"/>
      <w:marRight w:val="0"/>
      <w:marTop w:val="0"/>
      <w:marBottom w:val="0"/>
      <w:divBdr>
        <w:top w:val="none" w:sz="0" w:space="0" w:color="auto"/>
        <w:left w:val="none" w:sz="0" w:space="0" w:color="auto"/>
        <w:bottom w:val="none" w:sz="0" w:space="0" w:color="auto"/>
        <w:right w:val="none" w:sz="0" w:space="0" w:color="auto"/>
      </w:divBdr>
    </w:div>
    <w:div w:id="934441545">
      <w:bodyDiv w:val="1"/>
      <w:marLeft w:val="0"/>
      <w:marRight w:val="0"/>
      <w:marTop w:val="0"/>
      <w:marBottom w:val="0"/>
      <w:divBdr>
        <w:top w:val="none" w:sz="0" w:space="0" w:color="auto"/>
        <w:left w:val="none" w:sz="0" w:space="0" w:color="auto"/>
        <w:bottom w:val="none" w:sz="0" w:space="0" w:color="auto"/>
        <w:right w:val="none" w:sz="0" w:space="0" w:color="auto"/>
      </w:divBdr>
    </w:div>
    <w:div w:id="937062845">
      <w:bodyDiv w:val="1"/>
      <w:marLeft w:val="0"/>
      <w:marRight w:val="0"/>
      <w:marTop w:val="0"/>
      <w:marBottom w:val="0"/>
      <w:divBdr>
        <w:top w:val="none" w:sz="0" w:space="0" w:color="auto"/>
        <w:left w:val="none" w:sz="0" w:space="0" w:color="auto"/>
        <w:bottom w:val="none" w:sz="0" w:space="0" w:color="auto"/>
        <w:right w:val="none" w:sz="0" w:space="0" w:color="auto"/>
      </w:divBdr>
      <w:divsChild>
        <w:div w:id="237060342">
          <w:marLeft w:val="475"/>
          <w:marRight w:val="0"/>
          <w:marTop w:val="168"/>
          <w:marBottom w:val="0"/>
          <w:divBdr>
            <w:top w:val="none" w:sz="0" w:space="0" w:color="auto"/>
            <w:left w:val="none" w:sz="0" w:space="0" w:color="auto"/>
            <w:bottom w:val="none" w:sz="0" w:space="0" w:color="auto"/>
            <w:right w:val="none" w:sz="0" w:space="0" w:color="auto"/>
          </w:divBdr>
        </w:div>
        <w:div w:id="500513213">
          <w:marLeft w:val="475"/>
          <w:marRight w:val="0"/>
          <w:marTop w:val="168"/>
          <w:marBottom w:val="0"/>
          <w:divBdr>
            <w:top w:val="none" w:sz="0" w:space="0" w:color="auto"/>
            <w:left w:val="none" w:sz="0" w:space="0" w:color="auto"/>
            <w:bottom w:val="none" w:sz="0" w:space="0" w:color="auto"/>
            <w:right w:val="none" w:sz="0" w:space="0" w:color="auto"/>
          </w:divBdr>
        </w:div>
        <w:div w:id="664162160">
          <w:marLeft w:val="475"/>
          <w:marRight w:val="0"/>
          <w:marTop w:val="168"/>
          <w:marBottom w:val="0"/>
          <w:divBdr>
            <w:top w:val="none" w:sz="0" w:space="0" w:color="auto"/>
            <w:left w:val="none" w:sz="0" w:space="0" w:color="auto"/>
            <w:bottom w:val="none" w:sz="0" w:space="0" w:color="auto"/>
            <w:right w:val="none" w:sz="0" w:space="0" w:color="auto"/>
          </w:divBdr>
        </w:div>
        <w:div w:id="1286231785">
          <w:marLeft w:val="475"/>
          <w:marRight w:val="0"/>
          <w:marTop w:val="168"/>
          <w:marBottom w:val="0"/>
          <w:divBdr>
            <w:top w:val="none" w:sz="0" w:space="0" w:color="auto"/>
            <w:left w:val="none" w:sz="0" w:space="0" w:color="auto"/>
            <w:bottom w:val="none" w:sz="0" w:space="0" w:color="auto"/>
            <w:right w:val="none" w:sz="0" w:space="0" w:color="auto"/>
          </w:divBdr>
        </w:div>
        <w:div w:id="1475679995">
          <w:marLeft w:val="475"/>
          <w:marRight w:val="0"/>
          <w:marTop w:val="168"/>
          <w:marBottom w:val="0"/>
          <w:divBdr>
            <w:top w:val="none" w:sz="0" w:space="0" w:color="auto"/>
            <w:left w:val="none" w:sz="0" w:space="0" w:color="auto"/>
            <w:bottom w:val="none" w:sz="0" w:space="0" w:color="auto"/>
            <w:right w:val="none" w:sz="0" w:space="0" w:color="auto"/>
          </w:divBdr>
        </w:div>
      </w:divsChild>
    </w:div>
    <w:div w:id="938488698">
      <w:bodyDiv w:val="1"/>
      <w:marLeft w:val="0"/>
      <w:marRight w:val="0"/>
      <w:marTop w:val="0"/>
      <w:marBottom w:val="0"/>
      <w:divBdr>
        <w:top w:val="none" w:sz="0" w:space="0" w:color="auto"/>
        <w:left w:val="none" w:sz="0" w:space="0" w:color="auto"/>
        <w:bottom w:val="none" w:sz="0" w:space="0" w:color="auto"/>
        <w:right w:val="none" w:sz="0" w:space="0" w:color="auto"/>
      </w:divBdr>
    </w:div>
    <w:div w:id="939601427">
      <w:bodyDiv w:val="1"/>
      <w:marLeft w:val="0"/>
      <w:marRight w:val="0"/>
      <w:marTop w:val="0"/>
      <w:marBottom w:val="0"/>
      <w:divBdr>
        <w:top w:val="none" w:sz="0" w:space="0" w:color="auto"/>
        <w:left w:val="none" w:sz="0" w:space="0" w:color="auto"/>
        <w:bottom w:val="none" w:sz="0" w:space="0" w:color="auto"/>
        <w:right w:val="none" w:sz="0" w:space="0" w:color="auto"/>
      </w:divBdr>
      <w:divsChild>
        <w:div w:id="118764402">
          <w:marLeft w:val="475"/>
          <w:marRight w:val="0"/>
          <w:marTop w:val="168"/>
          <w:marBottom w:val="0"/>
          <w:divBdr>
            <w:top w:val="none" w:sz="0" w:space="0" w:color="auto"/>
            <w:left w:val="none" w:sz="0" w:space="0" w:color="auto"/>
            <w:bottom w:val="none" w:sz="0" w:space="0" w:color="auto"/>
            <w:right w:val="none" w:sz="0" w:space="0" w:color="auto"/>
          </w:divBdr>
        </w:div>
        <w:div w:id="173226243">
          <w:marLeft w:val="1181"/>
          <w:marRight w:val="0"/>
          <w:marTop w:val="168"/>
          <w:marBottom w:val="0"/>
          <w:divBdr>
            <w:top w:val="none" w:sz="0" w:space="0" w:color="auto"/>
            <w:left w:val="none" w:sz="0" w:space="0" w:color="auto"/>
            <w:bottom w:val="none" w:sz="0" w:space="0" w:color="auto"/>
            <w:right w:val="none" w:sz="0" w:space="0" w:color="auto"/>
          </w:divBdr>
        </w:div>
        <w:div w:id="629671640">
          <w:marLeft w:val="1829"/>
          <w:marRight w:val="0"/>
          <w:marTop w:val="144"/>
          <w:marBottom w:val="0"/>
          <w:divBdr>
            <w:top w:val="none" w:sz="0" w:space="0" w:color="auto"/>
            <w:left w:val="none" w:sz="0" w:space="0" w:color="auto"/>
            <w:bottom w:val="none" w:sz="0" w:space="0" w:color="auto"/>
            <w:right w:val="none" w:sz="0" w:space="0" w:color="auto"/>
          </w:divBdr>
        </w:div>
        <w:div w:id="759639850">
          <w:marLeft w:val="1181"/>
          <w:marRight w:val="0"/>
          <w:marTop w:val="168"/>
          <w:marBottom w:val="0"/>
          <w:divBdr>
            <w:top w:val="none" w:sz="0" w:space="0" w:color="auto"/>
            <w:left w:val="none" w:sz="0" w:space="0" w:color="auto"/>
            <w:bottom w:val="none" w:sz="0" w:space="0" w:color="auto"/>
            <w:right w:val="none" w:sz="0" w:space="0" w:color="auto"/>
          </w:divBdr>
        </w:div>
        <w:div w:id="1075250353">
          <w:marLeft w:val="1181"/>
          <w:marRight w:val="0"/>
          <w:marTop w:val="168"/>
          <w:marBottom w:val="0"/>
          <w:divBdr>
            <w:top w:val="none" w:sz="0" w:space="0" w:color="auto"/>
            <w:left w:val="none" w:sz="0" w:space="0" w:color="auto"/>
            <w:bottom w:val="none" w:sz="0" w:space="0" w:color="auto"/>
            <w:right w:val="none" w:sz="0" w:space="0" w:color="auto"/>
          </w:divBdr>
        </w:div>
        <w:div w:id="1802386143">
          <w:marLeft w:val="1181"/>
          <w:marRight w:val="0"/>
          <w:marTop w:val="168"/>
          <w:marBottom w:val="0"/>
          <w:divBdr>
            <w:top w:val="none" w:sz="0" w:space="0" w:color="auto"/>
            <w:left w:val="none" w:sz="0" w:space="0" w:color="auto"/>
            <w:bottom w:val="none" w:sz="0" w:space="0" w:color="auto"/>
            <w:right w:val="none" w:sz="0" w:space="0" w:color="auto"/>
          </w:divBdr>
        </w:div>
      </w:divsChild>
    </w:div>
    <w:div w:id="940725427">
      <w:bodyDiv w:val="1"/>
      <w:marLeft w:val="0"/>
      <w:marRight w:val="0"/>
      <w:marTop w:val="0"/>
      <w:marBottom w:val="0"/>
      <w:divBdr>
        <w:top w:val="none" w:sz="0" w:space="0" w:color="auto"/>
        <w:left w:val="none" w:sz="0" w:space="0" w:color="auto"/>
        <w:bottom w:val="none" w:sz="0" w:space="0" w:color="auto"/>
        <w:right w:val="none" w:sz="0" w:space="0" w:color="auto"/>
      </w:divBdr>
    </w:div>
    <w:div w:id="943072501">
      <w:bodyDiv w:val="1"/>
      <w:marLeft w:val="0"/>
      <w:marRight w:val="0"/>
      <w:marTop w:val="0"/>
      <w:marBottom w:val="0"/>
      <w:divBdr>
        <w:top w:val="none" w:sz="0" w:space="0" w:color="auto"/>
        <w:left w:val="none" w:sz="0" w:space="0" w:color="auto"/>
        <w:bottom w:val="none" w:sz="0" w:space="0" w:color="auto"/>
        <w:right w:val="none" w:sz="0" w:space="0" w:color="auto"/>
      </w:divBdr>
    </w:div>
    <w:div w:id="951202199">
      <w:bodyDiv w:val="1"/>
      <w:marLeft w:val="0"/>
      <w:marRight w:val="0"/>
      <w:marTop w:val="0"/>
      <w:marBottom w:val="0"/>
      <w:divBdr>
        <w:top w:val="none" w:sz="0" w:space="0" w:color="auto"/>
        <w:left w:val="none" w:sz="0" w:space="0" w:color="auto"/>
        <w:bottom w:val="none" w:sz="0" w:space="0" w:color="auto"/>
        <w:right w:val="none" w:sz="0" w:space="0" w:color="auto"/>
      </w:divBdr>
      <w:divsChild>
        <w:div w:id="56511403">
          <w:marLeft w:val="475"/>
          <w:marRight w:val="0"/>
          <w:marTop w:val="168"/>
          <w:marBottom w:val="0"/>
          <w:divBdr>
            <w:top w:val="none" w:sz="0" w:space="0" w:color="auto"/>
            <w:left w:val="none" w:sz="0" w:space="0" w:color="auto"/>
            <w:bottom w:val="none" w:sz="0" w:space="0" w:color="auto"/>
            <w:right w:val="none" w:sz="0" w:space="0" w:color="auto"/>
          </w:divBdr>
        </w:div>
        <w:div w:id="62992886">
          <w:marLeft w:val="475"/>
          <w:marRight w:val="0"/>
          <w:marTop w:val="168"/>
          <w:marBottom w:val="0"/>
          <w:divBdr>
            <w:top w:val="none" w:sz="0" w:space="0" w:color="auto"/>
            <w:left w:val="none" w:sz="0" w:space="0" w:color="auto"/>
            <w:bottom w:val="none" w:sz="0" w:space="0" w:color="auto"/>
            <w:right w:val="none" w:sz="0" w:space="0" w:color="auto"/>
          </w:divBdr>
        </w:div>
        <w:div w:id="351340640">
          <w:marLeft w:val="475"/>
          <w:marRight w:val="0"/>
          <w:marTop w:val="168"/>
          <w:marBottom w:val="0"/>
          <w:divBdr>
            <w:top w:val="none" w:sz="0" w:space="0" w:color="auto"/>
            <w:left w:val="none" w:sz="0" w:space="0" w:color="auto"/>
            <w:bottom w:val="none" w:sz="0" w:space="0" w:color="auto"/>
            <w:right w:val="none" w:sz="0" w:space="0" w:color="auto"/>
          </w:divBdr>
        </w:div>
        <w:div w:id="665062120">
          <w:marLeft w:val="475"/>
          <w:marRight w:val="0"/>
          <w:marTop w:val="168"/>
          <w:marBottom w:val="0"/>
          <w:divBdr>
            <w:top w:val="none" w:sz="0" w:space="0" w:color="auto"/>
            <w:left w:val="none" w:sz="0" w:space="0" w:color="auto"/>
            <w:bottom w:val="none" w:sz="0" w:space="0" w:color="auto"/>
            <w:right w:val="none" w:sz="0" w:space="0" w:color="auto"/>
          </w:divBdr>
        </w:div>
        <w:div w:id="1018235334">
          <w:marLeft w:val="475"/>
          <w:marRight w:val="0"/>
          <w:marTop w:val="168"/>
          <w:marBottom w:val="0"/>
          <w:divBdr>
            <w:top w:val="none" w:sz="0" w:space="0" w:color="auto"/>
            <w:left w:val="none" w:sz="0" w:space="0" w:color="auto"/>
            <w:bottom w:val="none" w:sz="0" w:space="0" w:color="auto"/>
            <w:right w:val="none" w:sz="0" w:space="0" w:color="auto"/>
          </w:divBdr>
        </w:div>
        <w:div w:id="1395084348">
          <w:marLeft w:val="475"/>
          <w:marRight w:val="0"/>
          <w:marTop w:val="168"/>
          <w:marBottom w:val="0"/>
          <w:divBdr>
            <w:top w:val="none" w:sz="0" w:space="0" w:color="auto"/>
            <w:left w:val="none" w:sz="0" w:space="0" w:color="auto"/>
            <w:bottom w:val="none" w:sz="0" w:space="0" w:color="auto"/>
            <w:right w:val="none" w:sz="0" w:space="0" w:color="auto"/>
          </w:divBdr>
        </w:div>
        <w:div w:id="1487355287">
          <w:marLeft w:val="475"/>
          <w:marRight w:val="0"/>
          <w:marTop w:val="168"/>
          <w:marBottom w:val="0"/>
          <w:divBdr>
            <w:top w:val="none" w:sz="0" w:space="0" w:color="auto"/>
            <w:left w:val="none" w:sz="0" w:space="0" w:color="auto"/>
            <w:bottom w:val="none" w:sz="0" w:space="0" w:color="auto"/>
            <w:right w:val="none" w:sz="0" w:space="0" w:color="auto"/>
          </w:divBdr>
        </w:div>
        <w:div w:id="1759985238">
          <w:marLeft w:val="475"/>
          <w:marRight w:val="0"/>
          <w:marTop w:val="168"/>
          <w:marBottom w:val="0"/>
          <w:divBdr>
            <w:top w:val="none" w:sz="0" w:space="0" w:color="auto"/>
            <w:left w:val="none" w:sz="0" w:space="0" w:color="auto"/>
            <w:bottom w:val="none" w:sz="0" w:space="0" w:color="auto"/>
            <w:right w:val="none" w:sz="0" w:space="0" w:color="auto"/>
          </w:divBdr>
        </w:div>
        <w:div w:id="1945569930">
          <w:marLeft w:val="475"/>
          <w:marRight w:val="0"/>
          <w:marTop w:val="168"/>
          <w:marBottom w:val="0"/>
          <w:divBdr>
            <w:top w:val="none" w:sz="0" w:space="0" w:color="auto"/>
            <w:left w:val="none" w:sz="0" w:space="0" w:color="auto"/>
            <w:bottom w:val="none" w:sz="0" w:space="0" w:color="auto"/>
            <w:right w:val="none" w:sz="0" w:space="0" w:color="auto"/>
          </w:divBdr>
        </w:div>
        <w:div w:id="2112117398">
          <w:marLeft w:val="475"/>
          <w:marRight w:val="0"/>
          <w:marTop w:val="168"/>
          <w:marBottom w:val="0"/>
          <w:divBdr>
            <w:top w:val="none" w:sz="0" w:space="0" w:color="auto"/>
            <w:left w:val="none" w:sz="0" w:space="0" w:color="auto"/>
            <w:bottom w:val="none" w:sz="0" w:space="0" w:color="auto"/>
            <w:right w:val="none" w:sz="0" w:space="0" w:color="auto"/>
          </w:divBdr>
        </w:div>
      </w:divsChild>
    </w:div>
    <w:div w:id="958873591">
      <w:bodyDiv w:val="1"/>
      <w:marLeft w:val="0"/>
      <w:marRight w:val="0"/>
      <w:marTop w:val="0"/>
      <w:marBottom w:val="0"/>
      <w:divBdr>
        <w:top w:val="none" w:sz="0" w:space="0" w:color="auto"/>
        <w:left w:val="none" w:sz="0" w:space="0" w:color="auto"/>
        <w:bottom w:val="none" w:sz="0" w:space="0" w:color="auto"/>
        <w:right w:val="none" w:sz="0" w:space="0" w:color="auto"/>
      </w:divBdr>
    </w:div>
    <w:div w:id="959579029">
      <w:bodyDiv w:val="1"/>
      <w:marLeft w:val="0"/>
      <w:marRight w:val="0"/>
      <w:marTop w:val="0"/>
      <w:marBottom w:val="0"/>
      <w:divBdr>
        <w:top w:val="none" w:sz="0" w:space="0" w:color="auto"/>
        <w:left w:val="none" w:sz="0" w:space="0" w:color="auto"/>
        <w:bottom w:val="none" w:sz="0" w:space="0" w:color="auto"/>
        <w:right w:val="none" w:sz="0" w:space="0" w:color="auto"/>
      </w:divBdr>
    </w:div>
    <w:div w:id="965817138">
      <w:bodyDiv w:val="1"/>
      <w:marLeft w:val="0"/>
      <w:marRight w:val="0"/>
      <w:marTop w:val="0"/>
      <w:marBottom w:val="0"/>
      <w:divBdr>
        <w:top w:val="none" w:sz="0" w:space="0" w:color="auto"/>
        <w:left w:val="none" w:sz="0" w:space="0" w:color="auto"/>
        <w:bottom w:val="none" w:sz="0" w:space="0" w:color="auto"/>
        <w:right w:val="none" w:sz="0" w:space="0" w:color="auto"/>
      </w:divBdr>
    </w:div>
    <w:div w:id="972096318">
      <w:bodyDiv w:val="1"/>
      <w:marLeft w:val="0"/>
      <w:marRight w:val="0"/>
      <w:marTop w:val="0"/>
      <w:marBottom w:val="0"/>
      <w:divBdr>
        <w:top w:val="none" w:sz="0" w:space="0" w:color="auto"/>
        <w:left w:val="none" w:sz="0" w:space="0" w:color="auto"/>
        <w:bottom w:val="none" w:sz="0" w:space="0" w:color="auto"/>
        <w:right w:val="none" w:sz="0" w:space="0" w:color="auto"/>
      </w:divBdr>
    </w:div>
    <w:div w:id="974681062">
      <w:bodyDiv w:val="1"/>
      <w:marLeft w:val="0"/>
      <w:marRight w:val="0"/>
      <w:marTop w:val="0"/>
      <w:marBottom w:val="0"/>
      <w:divBdr>
        <w:top w:val="none" w:sz="0" w:space="0" w:color="auto"/>
        <w:left w:val="none" w:sz="0" w:space="0" w:color="auto"/>
        <w:bottom w:val="none" w:sz="0" w:space="0" w:color="auto"/>
        <w:right w:val="none" w:sz="0" w:space="0" w:color="auto"/>
      </w:divBdr>
    </w:div>
    <w:div w:id="978992955">
      <w:bodyDiv w:val="1"/>
      <w:marLeft w:val="0"/>
      <w:marRight w:val="0"/>
      <w:marTop w:val="0"/>
      <w:marBottom w:val="0"/>
      <w:divBdr>
        <w:top w:val="none" w:sz="0" w:space="0" w:color="auto"/>
        <w:left w:val="none" w:sz="0" w:space="0" w:color="auto"/>
        <w:bottom w:val="none" w:sz="0" w:space="0" w:color="auto"/>
        <w:right w:val="none" w:sz="0" w:space="0" w:color="auto"/>
      </w:divBdr>
    </w:div>
    <w:div w:id="981740519">
      <w:bodyDiv w:val="1"/>
      <w:marLeft w:val="0"/>
      <w:marRight w:val="0"/>
      <w:marTop w:val="0"/>
      <w:marBottom w:val="0"/>
      <w:divBdr>
        <w:top w:val="none" w:sz="0" w:space="0" w:color="auto"/>
        <w:left w:val="none" w:sz="0" w:space="0" w:color="auto"/>
        <w:bottom w:val="none" w:sz="0" w:space="0" w:color="auto"/>
        <w:right w:val="none" w:sz="0" w:space="0" w:color="auto"/>
      </w:divBdr>
    </w:div>
    <w:div w:id="985474872">
      <w:bodyDiv w:val="1"/>
      <w:marLeft w:val="0"/>
      <w:marRight w:val="0"/>
      <w:marTop w:val="0"/>
      <w:marBottom w:val="0"/>
      <w:divBdr>
        <w:top w:val="none" w:sz="0" w:space="0" w:color="auto"/>
        <w:left w:val="none" w:sz="0" w:space="0" w:color="auto"/>
        <w:bottom w:val="none" w:sz="0" w:space="0" w:color="auto"/>
        <w:right w:val="none" w:sz="0" w:space="0" w:color="auto"/>
      </w:divBdr>
      <w:divsChild>
        <w:div w:id="9528923">
          <w:marLeft w:val="1181"/>
          <w:marRight w:val="0"/>
          <w:marTop w:val="168"/>
          <w:marBottom w:val="0"/>
          <w:divBdr>
            <w:top w:val="none" w:sz="0" w:space="0" w:color="auto"/>
            <w:left w:val="none" w:sz="0" w:space="0" w:color="auto"/>
            <w:bottom w:val="none" w:sz="0" w:space="0" w:color="auto"/>
            <w:right w:val="none" w:sz="0" w:space="0" w:color="auto"/>
          </w:divBdr>
        </w:div>
        <w:div w:id="54862700">
          <w:marLeft w:val="1181"/>
          <w:marRight w:val="0"/>
          <w:marTop w:val="168"/>
          <w:marBottom w:val="0"/>
          <w:divBdr>
            <w:top w:val="none" w:sz="0" w:space="0" w:color="auto"/>
            <w:left w:val="none" w:sz="0" w:space="0" w:color="auto"/>
            <w:bottom w:val="none" w:sz="0" w:space="0" w:color="auto"/>
            <w:right w:val="none" w:sz="0" w:space="0" w:color="auto"/>
          </w:divBdr>
        </w:div>
        <w:div w:id="101075182">
          <w:marLeft w:val="1181"/>
          <w:marRight w:val="0"/>
          <w:marTop w:val="168"/>
          <w:marBottom w:val="0"/>
          <w:divBdr>
            <w:top w:val="none" w:sz="0" w:space="0" w:color="auto"/>
            <w:left w:val="none" w:sz="0" w:space="0" w:color="auto"/>
            <w:bottom w:val="none" w:sz="0" w:space="0" w:color="auto"/>
            <w:right w:val="none" w:sz="0" w:space="0" w:color="auto"/>
          </w:divBdr>
        </w:div>
        <w:div w:id="108744891">
          <w:marLeft w:val="475"/>
          <w:marRight w:val="0"/>
          <w:marTop w:val="168"/>
          <w:marBottom w:val="0"/>
          <w:divBdr>
            <w:top w:val="none" w:sz="0" w:space="0" w:color="auto"/>
            <w:left w:val="none" w:sz="0" w:space="0" w:color="auto"/>
            <w:bottom w:val="none" w:sz="0" w:space="0" w:color="auto"/>
            <w:right w:val="none" w:sz="0" w:space="0" w:color="auto"/>
          </w:divBdr>
        </w:div>
        <w:div w:id="807168073">
          <w:marLeft w:val="475"/>
          <w:marRight w:val="0"/>
          <w:marTop w:val="168"/>
          <w:marBottom w:val="0"/>
          <w:divBdr>
            <w:top w:val="none" w:sz="0" w:space="0" w:color="auto"/>
            <w:left w:val="none" w:sz="0" w:space="0" w:color="auto"/>
            <w:bottom w:val="none" w:sz="0" w:space="0" w:color="auto"/>
            <w:right w:val="none" w:sz="0" w:space="0" w:color="auto"/>
          </w:divBdr>
        </w:div>
        <w:div w:id="1224179474">
          <w:marLeft w:val="475"/>
          <w:marRight w:val="0"/>
          <w:marTop w:val="168"/>
          <w:marBottom w:val="0"/>
          <w:divBdr>
            <w:top w:val="none" w:sz="0" w:space="0" w:color="auto"/>
            <w:left w:val="none" w:sz="0" w:space="0" w:color="auto"/>
            <w:bottom w:val="none" w:sz="0" w:space="0" w:color="auto"/>
            <w:right w:val="none" w:sz="0" w:space="0" w:color="auto"/>
          </w:divBdr>
        </w:div>
        <w:div w:id="1508715256">
          <w:marLeft w:val="475"/>
          <w:marRight w:val="0"/>
          <w:marTop w:val="168"/>
          <w:marBottom w:val="0"/>
          <w:divBdr>
            <w:top w:val="none" w:sz="0" w:space="0" w:color="auto"/>
            <w:left w:val="none" w:sz="0" w:space="0" w:color="auto"/>
            <w:bottom w:val="none" w:sz="0" w:space="0" w:color="auto"/>
            <w:right w:val="none" w:sz="0" w:space="0" w:color="auto"/>
          </w:divBdr>
        </w:div>
        <w:div w:id="1549797969">
          <w:marLeft w:val="475"/>
          <w:marRight w:val="0"/>
          <w:marTop w:val="168"/>
          <w:marBottom w:val="0"/>
          <w:divBdr>
            <w:top w:val="none" w:sz="0" w:space="0" w:color="auto"/>
            <w:left w:val="none" w:sz="0" w:space="0" w:color="auto"/>
            <w:bottom w:val="none" w:sz="0" w:space="0" w:color="auto"/>
            <w:right w:val="none" w:sz="0" w:space="0" w:color="auto"/>
          </w:divBdr>
        </w:div>
        <w:div w:id="2031251013">
          <w:marLeft w:val="1181"/>
          <w:marRight w:val="0"/>
          <w:marTop w:val="168"/>
          <w:marBottom w:val="0"/>
          <w:divBdr>
            <w:top w:val="none" w:sz="0" w:space="0" w:color="auto"/>
            <w:left w:val="none" w:sz="0" w:space="0" w:color="auto"/>
            <w:bottom w:val="none" w:sz="0" w:space="0" w:color="auto"/>
            <w:right w:val="none" w:sz="0" w:space="0" w:color="auto"/>
          </w:divBdr>
        </w:div>
      </w:divsChild>
    </w:div>
    <w:div w:id="995961455">
      <w:bodyDiv w:val="1"/>
      <w:marLeft w:val="0"/>
      <w:marRight w:val="0"/>
      <w:marTop w:val="0"/>
      <w:marBottom w:val="0"/>
      <w:divBdr>
        <w:top w:val="none" w:sz="0" w:space="0" w:color="auto"/>
        <w:left w:val="none" w:sz="0" w:space="0" w:color="auto"/>
        <w:bottom w:val="none" w:sz="0" w:space="0" w:color="auto"/>
        <w:right w:val="none" w:sz="0" w:space="0" w:color="auto"/>
      </w:divBdr>
    </w:div>
    <w:div w:id="1010910823">
      <w:bodyDiv w:val="1"/>
      <w:marLeft w:val="0"/>
      <w:marRight w:val="0"/>
      <w:marTop w:val="0"/>
      <w:marBottom w:val="0"/>
      <w:divBdr>
        <w:top w:val="none" w:sz="0" w:space="0" w:color="auto"/>
        <w:left w:val="none" w:sz="0" w:space="0" w:color="auto"/>
        <w:bottom w:val="none" w:sz="0" w:space="0" w:color="auto"/>
        <w:right w:val="none" w:sz="0" w:space="0" w:color="auto"/>
      </w:divBdr>
    </w:div>
    <w:div w:id="1012993448">
      <w:bodyDiv w:val="1"/>
      <w:marLeft w:val="0"/>
      <w:marRight w:val="0"/>
      <w:marTop w:val="0"/>
      <w:marBottom w:val="0"/>
      <w:divBdr>
        <w:top w:val="none" w:sz="0" w:space="0" w:color="auto"/>
        <w:left w:val="none" w:sz="0" w:space="0" w:color="auto"/>
        <w:bottom w:val="none" w:sz="0" w:space="0" w:color="auto"/>
        <w:right w:val="none" w:sz="0" w:space="0" w:color="auto"/>
      </w:divBdr>
    </w:div>
    <w:div w:id="1015228029">
      <w:bodyDiv w:val="1"/>
      <w:marLeft w:val="0"/>
      <w:marRight w:val="0"/>
      <w:marTop w:val="0"/>
      <w:marBottom w:val="0"/>
      <w:divBdr>
        <w:top w:val="none" w:sz="0" w:space="0" w:color="auto"/>
        <w:left w:val="none" w:sz="0" w:space="0" w:color="auto"/>
        <w:bottom w:val="none" w:sz="0" w:space="0" w:color="auto"/>
        <w:right w:val="none" w:sz="0" w:space="0" w:color="auto"/>
      </w:divBdr>
    </w:div>
    <w:div w:id="1016493158">
      <w:bodyDiv w:val="1"/>
      <w:marLeft w:val="0"/>
      <w:marRight w:val="0"/>
      <w:marTop w:val="0"/>
      <w:marBottom w:val="0"/>
      <w:divBdr>
        <w:top w:val="none" w:sz="0" w:space="0" w:color="auto"/>
        <w:left w:val="none" w:sz="0" w:space="0" w:color="auto"/>
        <w:bottom w:val="none" w:sz="0" w:space="0" w:color="auto"/>
        <w:right w:val="none" w:sz="0" w:space="0" w:color="auto"/>
      </w:divBdr>
    </w:div>
    <w:div w:id="1019505736">
      <w:bodyDiv w:val="1"/>
      <w:marLeft w:val="0"/>
      <w:marRight w:val="0"/>
      <w:marTop w:val="0"/>
      <w:marBottom w:val="0"/>
      <w:divBdr>
        <w:top w:val="none" w:sz="0" w:space="0" w:color="auto"/>
        <w:left w:val="none" w:sz="0" w:space="0" w:color="auto"/>
        <w:bottom w:val="none" w:sz="0" w:space="0" w:color="auto"/>
        <w:right w:val="none" w:sz="0" w:space="0" w:color="auto"/>
      </w:divBdr>
    </w:div>
    <w:div w:id="1023627580">
      <w:bodyDiv w:val="1"/>
      <w:marLeft w:val="0"/>
      <w:marRight w:val="0"/>
      <w:marTop w:val="0"/>
      <w:marBottom w:val="0"/>
      <w:divBdr>
        <w:top w:val="none" w:sz="0" w:space="0" w:color="auto"/>
        <w:left w:val="none" w:sz="0" w:space="0" w:color="auto"/>
        <w:bottom w:val="none" w:sz="0" w:space="0" w:color="auto"/>
        <w:right w:val="none" w:sz="0" w:space="0" w:color="auto"/>
      </w:divBdr>
    </w:div>
    <w:div w:id="1024794664">
      <w:bodyDiv w:val="1"/>
      <w:marLeft w:val="0"/>
      <w:marRight w:val="0"/>
      <w:marTop w:val="0"/>
      <w:marBottom w:val="0"/>
      <w:divBdr>
        <w:top w:val="none" w:sz="0" w:space="0" w:color="auto"/>
        <w:left w:val="none" w:sz="0" w:space="0" w:color="auto"/>
        <w:bottom w:val="none" w:sz="0" w:space="0" w:color="auto"/>
        <w:right w:val="none" w:sz="0" w:space="0" w:color="auto"/>
      </w:divBdr>
    </w:div>
    <w:div w:id="1036663832">
      <w:bodyDiv w:val="1"/>
      <w:marLeft w:val="0"/>
      <w:marRight w:val="0"/>
      <w:marTop w:val="0"/>
      <w:marBottom w:val="0"/>
      <w:divBdr>
        <w:top w:val="none" w:sz="0" w:space="0" w:color="auto"/>
        <w:left w:val="none" w:sz="0" w:space="0" w:color="auto"/>
        <w:bottom w:val="none" w:sz="0" w:space="0" w:color="auto"/>
        <w:right w:val="none" w:sz="0" w:space="0" w:color="auto"/>
      </w:divBdr>
    </w:div>
    <w:div w:id="1047412217">
      <w:bodyDiv w:val="1"/>
      <w:marLeft w:val="0"/>
      <w:marRight w:val="0"/>
      <w:marTop w:val="0"/>
      <w:marBottom w:val="0"/>
      <w:divBdr>
        <w:top w:val="none" w:sz="0" w:space="0" w:color="auto"/>
        <w:left w:val="none" w:sz="0" w:space="0" w:color="auto"/>
        <w:bottom w:val="none" w:sz="0" w:space="0" w:color="auto"/>
        <w:right w:val="none" w:sz="0" w:space="0" w:color="auto"/>
      </w:divBdr>
    </w:div>
    <w:div w:id="1048339547">
      <w:bodyDiv w:val="1"/>
      <w:marLeft w:val="0"/>
      <w:marRight w:val="0"/>
      <w:marTop w:val="0"/>
      <w:marBottom w:val="0"/>
      <w:divBdr>
        <w:top w:val="none" w:sz="0" w:space="0" w:color="auto"/>
        <w:left w:val="none" w:sz="0" w:space="0" w:color="auto"/>
        <w:bottom w:val="none" w:sz="0" w:space="0" w:color="auto"/>
        <w:right w:val="none" w:sz="0" w:space="0" w:color="auto"/>
      </w:divBdr>
    </w:div>
    <w:div w:id="1056052918">
      <w:bodyDiv w:val="1"/>
      <w:marLeft w:val="0"/>
      <w:marRight w:val="0"/>
      <w:marTop w:val="0"/>
      <w:marBottom w:val="0"/>
      <w:divBdr>
        <w:top w:val="none" w:sz="0" w:space="0" w:color="auto"/>
        <w:left w:val="none" w:sz="0" w:space="0" w:color="auto"/>
        <w:bottom w:val="none" w:sz="0" w:space="0" w:color="auto"/>
        <w:right w:val="none" w:sz="0" w:space="0" w:color="auto"/>
      </w:divBdr>
      <w:divsChild>
        <w:div w:id="126902245">
          <w:marLeft w:val="274"/>
          <w:marRight w:val="0"/>
          <w:marTop w:val="20"/>
          <w:marBottom w:val="0"/>
          <w:divBdr>
            <w:top w:val="none" w:sz="0" w:space="0" w:color="auto"/>
            <w:left w:val="none" w:sz="0" w:space="0" w:color="auto"/>
            <w:bottom w:val="none" w:sz="0" w:space="0" w:color="auto"/>
            <w:right w:val="none" w:sz="0" w:space="0" w:color="auto"/>
          </w:divBdr>
        </w:div>
        <w:div w:id="503977629">
          <w:marLeft w:val="274"/>
          <w:marRight w:val="0"/>
          <w:marTop w:val="20"/>
          <w:marBottom w:val="0"/>
          <w:divBdr>
            <w:top w:val="none" w:sz="0" w:space="0" w:color="auto"/>
            <w:left w:val="none" w:sz="0" w:space="0" w:color="auto"/>
            <w:bottom w:val="none" w:sz="0" w:space="0" w:color="auto"/>
            <w:right w:val="none" w:sz="0" w:space="0" w:color="auto"/>
          </w:divBdr>
        </w:div>
        <w:div w:id="960765302">
          <w:marLeft w:val="274"/>
          <w:marRight w:val="0"/>
          <w:marTop w:val="20"/>
          <w:marBottom w:val="0"/>
          <w:divBdr>
            <w:top w:val="none" w:sz="0" w:space="0" w:color="auto"/>
            <w:left w:val="none" w:sz="0" w:space="0" w:color="auto"/>
            <w:bottom w:val="none" w:sz="0" w:space="0" w:color="auto"/>
            <w:right w:val="none" w:sz="0" w:space="0" w:color="auto"/>
          </w:divBdr>
        </w:div>
        <w:div w:id="1252202182">
          <w:marLeft w:val="576"/>
          <w:marRight w:val="0"/>
          <w:marTop w:val="20"/>
          <w:marBottom w:val="0"/>
          <w:divBdr>
            <w:top w:val="none" w:sz="0" w:space="0" w:color="auto"/>
            <w:left w:val="none" w:sz="0" w:space="0" w:color="auto"/>
            <w:bottom w:val="none" w:sz="0" w:space="0" w:color="auto"/>
            <w:right w:val="none" w:sz="0" w:space="0" w:color="auto"/>
          </w:divBdr>
        </w:div>
        <w:div w:id="1336807918">
          <w:marLeft w:val="576"/>
          <w:marRight w:val="0"/>
          <w:marTop w:val="20"/>
          <w:marBottom w:val="0"/>
          <w:divBdr>
            <w:top w:val="none" w:sz="0" w:space="0" w:color="auto"/>
            <w:left w:val="none" w:sz="0" w:space="0" w:color="auto"/>
            <w:bottom w:val="none" w:sz="0" w:space="0" w:color="auto"/>
            <w:right w:val="none" w:sz="0" w:space="0" w:color="auto"/>
          </w:divBdr>
        </w:div>
        <w:div w:id="1351100510">
          <w:marLeft w:val="274"/>
          <w:marRight w:val="0"/>
          <w:marTop w:val="20"/>
          <w:marBottom w:val="0"/>
          <w:divBdr>
            <w:top w:val="none" w:sz="0" w:space="0" w:color="auto"/>
            <w:left w:val="none" w:sz="0" w:space="0" w:color="auto"/>
            <w:bottom w:val="none" w:sz="0" w:space="0" w:color="auto"/>
            <w:right w:val="none" w:sz="0" w:space="0" w:color="auto"/>
          </w:divBdr>
        </w:div>
        <w:div w:id="1490830136">
          <w:marLeft w:val="274"/>
          <w:marRight w:val="0"/>
          <w:marTop w:val="20"/>
          <w:marBottom w:val="0"/>
          <w:divBdr>
            <w:top w:val="none" w:sz="0" w:space="0" w:color="auto"/>
            <w:left w:val="none" w:sz="0" w:space="0" w:color="auto"/>
            <w:bottom w:val="none" w:sz="0" w:space="0" w:color="auto"/>
            <w:right w:val="none" w:sz="0" w:space="0" w:color="auto"/>
          </w:divBdr>
        </w:div>
        <w:div w:id="1529104738">
          <w:marLeft w:val="576"/>
          <w:marRight w:val="0"/>
          <w:marTop w:val="20"/>
          <w:marBottom w:val="0"/>
          <w:divBdr>
            <w:top w:val="none" w:sz="0" w:space="0" w:color="auto"/>
            <w:left w:val="none" w:sz="0" w:space="0" w:color="auto"/>
            <w:bottom w:val="none" w:sz="0" w:space="0" w:color="auto"/>
            <w:right w:val="none" w:sz="0" w:space="0" w:color="auto"/>
          </w:divBdr>
        </w:div>
        <w:div w:id="1691299449">
          <w:marLeft w:val="274"/>
          <w:marRight w:val="0"/>
          <w:marTop w:val="20"/>
          <w:marBottom w:val="0"/>
          <w:divBdr>
            <w:top w:val="none" w:sz="0" w:space="0" w:color="auto"/>
            <w:left w:val="none" w:sz="0" w:space="0" w:color="auto"/>
            <w:bottom w:val="none" w:sz="0" w:space="0" w:color="auto"/>
            <w:right w:val="none" w:sz="0" w:space="0" w:color="auto"/>
          </w:divBdr>
        </w:div>
        <w:div w:id="1770350121">
          <w:marLeft w:val="576"/>
          <w:marRight w:val="0"/>
          <w:marTop w:val="20"/>
          <w:marBottom w:val="0"/>
          <w:divBdr>
            <w:top w:val="none" w:sz="0" w:space="0" w:color="auto"/>
            <w:left w:val="none" w:sz="0" w:space="0" w:color="auto"/>
            <w:bottom w:val="none" w:sz="0" w:space="0" w:color="auto"/>
            <w:right w:val="none" w:sz="0" w:space="0" w:color="auto"/>
          </w:divBdr>
        </w:div>
        <w:div w:id="2090152158">
          <w:marLeft w:val="576"/>
          <w:marRight w:val="0"/>
          <w:marTop w:val="20"/>
          <w:marBottom w:val="0"/>
          <w:divBdr>
            <w:top w:val="none" w:sz="0" w:space="0" w:color="auto"/>
            <w:left w:val="none" w:sz="0" w:space="0" w:color="auto"/>
            <w:bottom w:val="none" w:sz="0" w:space="0" w:color="auto"/>
            <w:right w:val="none" w:sz="0" w:space="0" w:color="auto"/>
          </w:divBdr>
        </w:div>
      </w:divsChild>
    </w:div>
    <w:div w:id="1062024686">
      <w:bodyDiv w:val="1"/>
      <w:marLeft w:val="0"/>
      <w:marRight w:val="0"/>
      <w:marTop w:val="0"/>
      <w:marBottom w:val="0"/>
      <w:divBdr>
        <w:top w:val="none" w:sz="0" w:space="0" w:color="auto"/>
        <w:left w:val="none" w:sz="0" w:space="0" w:color="auto"/>
        <w:bottom w:val="none" w:sz="0" w:space="0" w:color="auto"/>
        <w:right w:val="none" w:sz="0" w:space="0" w:color="auto"/>
      </w:divBdr>
    </w:div>
    <w:div w:id="1062601634">
      <w:bodyDiv w:val="1"/>
      <w:marLeft w:val="0"/>
      <w:marRight w:val="0"/>
      <w:marTop w:val="0"/>
      <w:marBottom w:val="0"/>
      <w:divBdr>
        <w:top w:val="none" w:sz="0" w:space="0" w:color="auto"/>
        <w:left w:val="none" w:sz="0" w:space="0" w:color="auto"/>
        <w:bottom w:val="none" w:sz="0" w:space="0" w:color="auto"/>
        <w:right w:val="none" w:sz="0" w:space="0" w:color="auto"/>
      </w:divBdr>
      <w:divsChild>
        <w:div w:id="297222577">
          <w:marLeft w:val="475"/>
          <w:marRight w:val="0"/>
          <w:marTop w:val="168"/>
          <w:marBottom w:val="0"/>
          <w:divBdr>
            <w:top w:val="none" w:sz="0" w:space="0" w:color="auto"/>
            <w:left w:val="none" w:sz="0" w:space="0" w:color="auto"/>
            <w:bottom w:val="none" w:sz="0" w:space="0" w:color="auto"/>
            <w:right w:val="none" w:sz="0" w:space="0" w:color="auto"/>
          </w:divBdr>
        </w:div>
        <w:div w:id="796753147">
          <w:marLeft w:val="475"/>
          <w:marRight w:val="0"/>
          <w:marTop w:val="168"/>
          <w:marBottom w:val="0"/>
          <w:divBdr>
            <w:top w:val="none" w:sz="0" w:space="0" w:color="auto"/>
            <w:left w:val="none" w:sz="0" w:space="0" w:color="auto"/>
            <w:bottom w:val="none" w:sz="0" w:space="0" w:color="auto"/>
            <w:right w:val="none" w:sz="0" w:space="0" w:color="auto"/>
          </w:divBdr>
        </w:div>
        <w:div w:id="924218057">
          <w:marLeft w:val="1181"/>
          <w:marRight w:val="0"/>
          <w:marTop w:val="168"/>
          <w:marBottom w:val="0"/>
          <w:divBdr>
            <w:top w:val="none" w:sz="0" w:space="0" w:color="auto"/>
            <w:left w:val="none" w:sz="0" w:space="0" w:color="auto"/>
            <w:bottom w:val="none" w:sz="0" w:space="0" w:color="auto"/>
            <w:right w:val="none" w:sz="0" w:space="0" w:color="auto"/>
          </w:divBdr>
        </w:div>
        <w:div w:id="1049039276">
          <w:marLeft w:val="475"/>
          <w:marRight w:val="0"/>
          <w:marTop w:val="168"/>
          <w:marBottom w:val="0"/>
          <w:divBdr>
            <w:top w:val="none" w:sz="0" w:space="0" w:color="auto"/>
            <w:left w:val="none" w:sz="0" w:space="0" w:color="auto"/>
            <w:bottom w:val="none" w:sz="0" w:space="0" w:color="auto"/>
            <w:right w:val="none" w:sz="0" w:space="0" w:color="auto"/>
          </w:divBdr>
        </w:div>
        <w:div w:id="1396002988">
          <w:marLeft w:val="475"/>
          <w:marRight w:val="0"/>
          <w:marTop w:val="168"/>
          <w:marBottom w:val="0"/>
          <w:divBdr>
            <w:top w:val="none" w:sz="0" w:space="0" w:color="auto"/>
            <w:left w:val="none" w:sz="0" w:space="0" w:color="auto"/>
            <w:bottom w:val="none" w:sz="0" w:space="0" w:color="auto"/>
            <w:right w:val="none" w:sz="0" w:space="0" w:color="auto"/>
          </w:divBdr>
        </w:div>
        <w:div w:id="2088067551">
          <w:marLeft w:val="1181"/>
          <w:marRight w:val="0"/>
          <w:marTop w:val="168"/>
          <w:marBottom w:val="0"/>
          <w:divBdr>
            <w:top w:val="none" w:sz="0" w:space="0" w:color="auto"/>
            <w:left w:val="none" w:sz="0" w:space="0" w:color="auto"/>
            <w:bottom w:val="none" w:sz="0" w:space="0" w:color="auto"/>
            <w:right w:val="none" w:sz="0" w:space="0" w:color="auto"/>
          </w:divBdr>
        </w:div>
        <w:div w:id="2099013746">
          <w:marLeft w:val="1181"/>
          <w:marRight w:val="0"/>
          <w:marTop w:val="168"/>
          <w:marBottom w:val="0"/>
          <w:divBdr>
            <w:top w:val="none" w:sz="0" w:space="0" w:color="auto"/>
            <w:left w:val="none" w:sz="0" w:space="0" w:color="auto"/>
            <w:bottom w:val="none" w:sz="0" w:space="0" w:color="auto"/>
            <w:right w:val="none" w:sz="0" w:space="0" w:color="auto"/>
          </w:divBdr>
        </w:div>
      </w:divsChild>
    </w:div>
    <w:div w:id="1076434688">
      <w:bodyDiv w:val="1"/>
      <w:marLeft w:val="0"/>
      <w:marRight w:val="0"/>
      <w:marTop w:val="0"/>
      <w:marBottom w:val="0"/>
      <w:divBdr>
        <w:top w:val="none" w:sz="0" w:space="0" w:color="auto"/>
        <w:left w:val="none" w:sz="0" w:space="0" w:color="auto"/>
        <w:bottom w:val="none" w:sz="0" w:space="0" w:color="auto"/>
        <w:right w:val="none" w:sz="0" w:space="0" w:color="auto"/>
      </w:divBdr>
    </w:div>
    <w:div w:id="1077439980">
      <w:bodyDiv w:val="1"/>
      <w:marLeft w:val="0"/>
      <w:marRight w:val="0"/>
      <w:marTop w:val="0"/>
      <w:marBottom w:val="0"/>
      <w:divBdr>
        <w:top w:val="none" w:sz="0" w:space="0" w:color="auto"/>
        <w:left w:val="none" w:sz="0" w:space="0" w:color="auto"/>
        <w:bottom w:val="none" w:sz="0" w:space="0" w:color="auto"/>
        <w:right w:val="none" w:sz="0" w:space="0" w:color="auto"/>
      </w:divBdr>
      <w:divsChild>
        <w:div w:id="38167954">
          <w:marLeft w:val="0"/>
          <w:marRight w:val="0"/>
          <w:marTop w:val="0"/>
          <w:marBottom w:val="0"/>
          <w:divBdr>
            <w:top w:val="none" w:sz="0" w:space="0" w:color="auto"/>
            <w:left w:val="none" w:sz="0" w:space="0" w:color="auto"/>
            <w:bottom w:val="none" w:sz="0" w:space="0" w:color="auto"/>
            <w:right w:val="none" w:sz="0" w:space="0" w:color="auto"/>
          </w:divBdr>
        </w:div>
        <w:div w:id="188027581">
          <w:marLeft w:val="0"/>
          <w:marRight w:val="0"/>
          <w:marTop w:val="0"/>
          <w:marBottom w:val="0"/>
          <w:divBdr>
            <w:top w:val="none" w:sz="0" w:space="0" w:color="auto"/>
            <w:left w:val="none" w:sz="0" w:space="0" w:color="auto"/>
            <w:bottom w:val="none" w:sz="0" w:space="0" w:color="auto"/>
            <w:right w:val="none" w:sz="0" w:space="0" w:color="auto"/>
          </w:divBdr>
        </w:div>
        <w:div w:id="618150464">
          <w:marLeft w:val="0"/>
          <w:marRight w:val="0"/>
          <w:marTop w:val="0"/>
          <w:marBottom w:val="0"/>
          <w:divBdr>
            <w:top w:val="none" w:sz="0" w:space="0" w:color="auto"/>
            <w:left w:val="none" w:sz="0" w:space="0" w:color="auto"/>
            <w:bottom w:val="none" w:sz="0" w:space="0" w:color="auto"/>
            <w:right w:val="none" w:sz="0" w:space="0" w:color="auto"/>
          </w:divBdr>
        </w:div>
        <w:div w:id="906652225">
          <w:marLeft w:val="0"/>
          <w:marRight w:val="0"/>
          <w:marTop w:val="0"/>
          <w:marBottom w:val="0"/>
          <w:divBdr>
            <w:top w:val="none" w:sz="0" w:space="0" w:color="auto"/>
            <w:left w:val="none" w:sz="0" w:space="0" w:color="auto"/>
            <w:bottom w:val="none" w:sz="0" w:space="0" w:color="auto"/>
            <w:right w:val="none" w:sz="0" w:space="0" w:color="auto"/>
          </w:divBdr>
        </w:div>
        <w:div w:id="989359904">
          <w:marLeft w:val="0"/>
          <w:marRight w:val="0"/>
          <w:marTop w:val="0"/>
          <w:marBottom w:val="0"/>
          <w:divBdr>
            <w:top w:val="none" w:sz="0" w:space="0" w:color="auto"/>
            <w:left w:val="none" w:sz="0" w:space="0" w:color="auto"/>
            <w:bottom w:val="none" w:sz="0" w:space="0" w:color="auto"/>
            <w:right w:val="none" w:sz="0" w:space="0" w:color="auto"/>
          </w:divBdr>
        </w:div>
        <w:div w:id="1329097792">
          <w:marLeft w:val="0"/>
          <w:marRight w:val="0"/>
          <w:marTop w:val="0"/>
          <w:marBottom w:val="0"/>
          <w:divBdr>
            <w:top w:val="none" w:sz="0" w:space="0" w:color="auto"/>
            <w:left w:val="none" w:sz="0" w:space="0" w:color="auto"/>
            <w:bottom w:val="none" w:sz="0" w:space="0" w:color="auto"/>
            <w:right w:val="none" w:sz="0" w:space="0" w:color="auto"/>
          </w:divBdr>
        </w:div>
        <w:div w:id="1680110347">
          <w:marLeft w:val="0"/>
          <w:marRight w:val="0"/>
          <w:marTop w:val="0"/>
          <w:marBottom w:val="0"/>
          <w:divBdr>
            <w:top w:val="none" w:sz="0" w:space="0" w:color="auto"/>
            <w:left w:val="none" w:sz="0" w:space="0" w:color="auto"/>
            <w:bottom w:val="none" w:sz="0" w:space="0" w:color="auto"/>
            <w:right w:val="none" w:sz="0" w:space="0" w:color="auto"/>
          </w:divBdr>
        </w:div>
        <w:div w:id="1894580965">
          <w:marLeft w:val="0"/>
          <w:marRight w:val="0"/>
          <w:marTop w:val="0"/>
          <w:marBottom w:val="0"/>
          <w:divBdr>
            <w:top w:val="none" w:sz="0" w:space="0" w:color="auto"/>
            <w:left w:val="none" w:sz="0" w:space="0" w:color="auto"/>
            <w:bottom w:val="none" w:sz="0" w:space="0" w:color="auto"/>
            <w:right w:val="none" w:sz="0" w:space="0" w:color="auto"/>
          </w:divBdr>
        </w:div>
      </w:divsChild>
    </w:div>
    <w:div w:id="1079408458">
      <w:bodyDiv w:val="1"/>
      <w:marLeft w:val="0"/>
      <w:marRight w:val="0"/>
      <w:marTop w:val="0"/>
      <w:marBottom w:val="0"/>
      <w:divBdr>
        <w:top w:val="none" w:sz="0" w:space="0" w:color="auto"/>
        <w:left w:val="none" w:sz="0" w:space="0" w:color="auto"/>
        <w:bottom w:val="none" w:sz="0" w:space="0" w:color="auto"/>
        <w:right w:val="none" w:sz="0" w:space="0" w:color="auto"/>
      </w:divBdr>
    </w:div>
    <w:div w:id="1079790540">
      <w:bodyDiv w:val="1"/>
      <w:marLeft w:val="0"/>
      <w:marRight w:val="0"/>
      <w:marTop w:val="0"/>
      <w:marBottom w:val="0"/>
      <w:divBdr>
        <w:top w:val="none" w:sz="0" w:space="0" w:color="auto"/>
        <w:left w:val="none" w:sz="0" w:space="0" w:color="auto"/>
        <w:bottom w:val="none" w:sz="0" w:space="0" w:color="auto"/>
        <w:right w:val="none" w:sz="0" w:space="0" w:color="auto"/>
      </w:divBdr>
    </w:div>
    <w:div w:id="1081173349">
      <w:bodyDiv w:val="1"/>
      <w:marLeft w:val="0"/>
      <w:marRight w:val="0"/>
      <w:marTop w:val="0"/>
      <w:marBottom w:val="0"/>
      <w:divBdr>
        <w:top w:val="none" w:sz="0" w:space="0" w:color="auto"/>
        <w:left w:val="none" w:sz="0" w:space="0" w:color="auto"/>
        <w:bottom w:val="none" w:sz="0" w:space="0" w:color="auto"/>
        <w:right w:val="none" w:sz="0" w:space="0" w:color="auto"/>
      </w:divBdr>
    </w:div>
    <w:div w:id="1081681794">
      <w:bodyDiv w:val="1"/>
      <w:marLeft w:val="0"/>
      <w:marRight w:val="0"/>
      <w:marTop w:val="0"/>
      <w:marBottom w:val="0"/>
      <w:divBdr>
        <w:top w:val="none" w:sz="0" w:space="0" w:color="auto"/>
        <w:left w:val="none" w:sz="0" w:space="0" w:color="auto"/>
        <w:bottom w:val="none" w:sz="0" w:space="0" w:color="auto"/>
        <w:right w:val="none" w:sz="0" w:space="0" w:color="auto"/>
      </w:divBdr>
      <w:divsChild>
        <w:div w:id="369888797">
          <w:marLeft w:val="288"/>
          <w:marRight w:val="0"/>
          <w:marTop w:val="0"/>
          <w:marBottom w:val="96"/>
          <w:divBdr>
            <w:top w:val="none" w:sz="0" w:space="0" w:color="auto"/>
            <w:left w:val="none" w:sz="0" w:space="0" w:color="auto"/>
            <w:bottom w:val="none" w:sz="0" w:space="0" w:color="auto"/>
            <w:right w:val="none" w:sz="0" w:space="0" w:color="auto"/>
          </w:divBdr>
        </w:div>
        <w:div w:id="450827316">
          <w:marLeft w:val="288"/>
          <w:marRight w:val="0"/>
          <w:marTop w:val="0"/>
          <w:marBottom w:val="96"/>
          <w:divBdr>
            <w:top w:val="none" w:sz="0" w:space="0" w:color="auto"/>
            <w:left w:val="none" w:sz="0" w:space="0" w:color="auto"/>
            <w:bottom w:val="none" w:sz="0" w:space="0" w:color="auto"/>
            <w:right w:val="none" w:sz="0" w:space="0" w:color="auto"/>
          </w:divBdr>
        </w:div>
        <w:div w:id="651056059">
          <w:marLeft w:val="288"/>
          <w:marRight w:val="0"/>
          <w:marTop w:val="0"/>
          <w:marBottom w:val="96"/>
          <w:divBdr>
            <w:top w:val="none" w:sz="0" w:space="0" w:color="auto"/>
            <w:left w:val="none" w:sz="0" w:space="0" w:color="auto"/>
            <w:bottom w:val="none" w:sz="0" w:space="0" w:color="auto"/>
            <w:right w:val="none" w:sz="0" w:space="0" w:color="auto"/>
          </w:divBdr>
        </w:div>
        <w:div w:id="1254896865">
          <w:marLeft w:val="288"/>
          <w:marRight w:val="0"/>
          <w:marTop w:val="0"/>
          <w:marBottom w:val="96"/>
          <w:divBdr>
            <w:top w:val="none" w:sz="0" w:space="0" w:color="auto"/>
            <w:left w:val="none" w:sz="0" w:space="0" w:color="auto"/>
            <w:bottom w:val="none" w:sz="0" w:space="0" w:color="auto"/>
            <w:right w:val="none" w:sz="0" w:space="0" w:color="auto"/>
          </w:divBdr>
        </w:div>
        <w:div w:id="1345785355">
          <w:marLeft w:val="288"/>
          <w:marRight w:val="0"/>
          <w:marTop w:val="0"/>
          <w:marBottom w:val="96"/>
          <w:divBdr>
            <w:top w:val="none" w:sz="0" w:space="0" w:color="auto"/>
            <w:left w:val="none" w:sz="0" w:space="0" w:color="auto"/>
            <w:bottom w:val="none" w:sz="0" w:space="0" w:color="auto"/>
            <w:right w:val="none" w:sz="0" w:space="0" w:color="auto"/>
          </w:divBdr>
        </w:div>
        <w:div w:id="1792822905">
          <w:marLeft w:val="288"/>
          <w:marRight w:val="0"/>
          <w:marTop w:val="0"/>
          <w:marBottom w:val="96"/>
          <w:divBdr>
            <w:top w:val="none" w:sz="0" w:space="0" w:color="auto"/>
            <w:left w:val="none" w:sz="0" w:space="0" w:color="auto"/>
            <w:bottom w:val="none" w:sz="0" w:space="0" w:color="auto"/>
            <w:right w:val="none" w:sz="0" w:space="0" w:color="auto"/>
          </w:divBdr>
        </w:div>
      </w:divsChild>
    </w:div>
    <w:div w:id="1085760591">
      <w:bodyDiv w:val="1"/>
      <w:marLeft w:val="0"/>
      <w:marRight w:val="0"/>
      <w:marTop w:val="0"/>
      <w:marBottom w:val="0"/>
      <w:divBdr>
        <w:top w:val="none" w:sz="0" w:space="0" w:color="auto"/>
        <w:left w:val="none" w:sz="0" w:space="0" w:color="auto"/>
        <w:bottom w:val="none" w:sz="0" w:space="0" w:color="auto"/>
        <w:right w:val="none" w:sz="0" w:space="0" w:color="auto"/>
      </w:divBdr>
    </w:div>
    <w:div w:id="1088231164">
      <w:bodyDiv w:val="1"/>
      <w:marLeft w:val="0"/>
      <w:marRight w:val="0"/>
      <w:marTop w:val="0"/>
      <w:marBottom w:val="0"/>
      <w:divBdr>
        <w:top w:val="none" w:sz="0" w:space="0" w:color="auto"/>
        <w:left w:val="none" w:sz="0" w:space="0" w:color="auto"/>
        <w:bottom w:val="none" w:sz="0" w:space="0" w:color="auto"/>
        <w:right w:val="none" w:sz="0" w:space="0" w:color="auto"/>
      </w:divBdr>
    </w:div>
    <w:div w:id="1088431339">
      <w:bodyDiv w:val="1"/>
      <w:marLeft w:val="0"/>
      <w:marRight w:val="0"/>
      <w:marTop w:val="0"/>
      <w:marBottom w:val="0"/>
      <w:divBdr>
        <w:top w:val="none" w:sz="0" w:space="0" w:color="auto"/>
        <w:left w:val="none" w:sz="0" w:space="0" w:color="auto"/>
        <w:bottom w:val="none" w:sz="0" w:space="0" w:color="auto"/>
        <w:right w:val="none" w:sz="0" w:space="0" w:color="auto"/>
      </w:divBdr>
    </w:div>
    <w:div w:id="1095977330">
      <w:bodyDiv w:val="1"/>
      <w:marLeft w:val="0"/>
      <w:marRight w:val="0"/>
      <w:marTop w:val="0"/>
      <w:marBottom w:val="0"/>
      <w:divBdr>
        <w:top w:val="none" w:sz="0" w:space="0" w:color="auto"/>
        <w:left w:val="none" w:sz="0" w:space="0" w:color="auto"/>
        <w:bottom w:val="none" w:sz="0" w:space="0" w:color="auto"/>
        <w:right w:val="none" w:sz="0" w:space="0" w:color="auto"/>
      </w:divBdr>
    </w:div>
    <w:div w:id="1098677269">
      <w:bodyDiv w:val="1"/>
      <w:marLeft w:val="0"/>
      <w:marRight w:val="0"/>
      <w:marTop w:val="0"/>
      <w:marBottom w:val="0"/>
      <w:divBdr>
        <w:top w:val="none" w:sz="0" w:space="0" w:color="auto"/>
        <w:left w:val="none" w:sz="0" w:space="0" w:color="auto"/>
        <w:bottom w:val="none" w:sz="0" w:space="0" w:color="auto"/>
        <w:right w:val="none" w:sz="0" w:space="0" w:color="auto"/>
      </w:divBdr>
    </w:div>
    <w:div w:id="1103919017">
      <w:bodyDiv w:val="1"/>
      <w:marLeft w:val="0"/>
      <w:marRight w:val="0"/>
      <w:marTop w:val="0"/>
      <w:marBottom w:val="0"/>
      <w:divBdr>
        <w:top w:val="none" w:sz="0" w:space="0" w:color="auto"/>
        <w:left w:val="none" w:sz="0" w:space="0" w:color="auto"/>
        <w:bottom w:val="none" w:sz="0" w:space="0" w:color="auto"/>
        <w:right w:val="none" w:sz="0" w:space="0" w:color="auto"/>
      </w:divBdr>
    </w:div>
    <w:div w:id="1104615917">
      <w:bodyDiv w:val="1"/>
      <w:marLeft w:val="0"/>
      <w:marRight w:val="0"/>
      <w:marTop w:val="0"/>
      <w:marBottom w:val="0"/>
      <w:divBdr>
        <w:top w:val="none" w:sz="0" w:space="0" w:color="auto"/>
        <w:left w:val="none" w:sz="0" w:space="0" w:color="auto"/>
        <w:bottom w:val="none" w:sz="0" w:space="0" w:color="auto"/>
        <w:right w:val="none" w:sz="0" w:space="0" w:color="auto"/>
      </w:divBdr>
    </w:div>
    <w:div w:id="1106122913">
      <w:bodyDiv w:val="1"/>
      <w:marLeft w:val="0"/>
      <w:marRight w:val="0"/>
      <w:marTop w:val="0"/>
      <w:marBottom w:val="0"/>
      <w:divBdr>
        <w:top w:val="none" w:sz="0" w:space="0" w:color="auto"/>
        <w:left w:val="none" w:sz="0" w:space="0" w:color="auto"/>
        <w:bottom w:val="none" w:sz="0" w:space="0" w:color="auto"/>
        <w:right w:val="none" w:sz="0" w:space="0" w:color="auto"/>
      </w:divBdr>
    </w:div>
    <w:div w:id="1107119640">
      <w:bodyDiv w:val="1"/>
      <w:marLeft w:val="0"/>
      <w:marRight w:val="0"/>
      <w:marTop w:val="0"/>
      <w:marBottom w:val="0"/>
      <w:divBdr>
        <w:top w:val="none" w:sz="0" w:space="0" w:color="auto"/>
        <w:left w:val="none" w:sz="0" w:space="0" w:color="auto"/>
        <w:bottom w:val="none" w:sz="0" w:space="0" w:color="auto"/>
        <w:right w:val="none" w:sz="0" w:space="0" w:color="auto"/>
      </w:divBdr>
    </w:div>
    <w:div w:id="1113210503">
      <w:bodyDiv w:val="1"/>
      <w:marLeft w:val="0"/>
      <w:marRight w:val="0"/>
      <w:marTop w:val="0"/>
      <w:marBottom w:val="0"/>
      <w:divBdr>
        <w:top w:val="none" w:sz="0" w:space="0" w:color="auto"/>
        <w:left w:val="none" w:sz="0" w:space="0" w:color="auto"/>
        <w:bottom w:val="none" w:sz="0" w:space="0" w:color="auto"/>
        <w:right w:val="none" w:sz="0" w:space="0" w:color="auto"/>
      </w:divBdr>
    </w:div>
    <w:div w:id="1119035561">
      <w:bodyDiv w:val="1"/>
      <w:marLeft w:val="0"/>
      <w:marRight w:val="0"/>
      <w:marTop w:val="0"/>
      <w:marBottom w:val="0"/>
      <w:divBdr>
        <w:top w:val="none" w:sz="0" w:space="0" w:color="auto"/>
        <w:left w:val="none" w:sz="0" w:space="0" w:color="auto"/>
        <w:bottom w:val="none" w:sz="0" w:space="0" w:color="auto"/>
        <w:right w:val="none" w:sz="0" w:space="0" w:color="auto"/>
      </w:divBdr>
    </w:div>
    <w:div w:id="1128013698">
      <w:bodyDiv w:val="1"/>
      <w:marLeft w:val="0"/>
      <w:marRight w:val="0"/>
      <w:marTop w:val="0"/>
      <w:marBottom w:val="0"/>
      <w:divBdr>
        <w:top w:val="none" w:sz="0" w:space="0" w:color="auto"/>
        <w:left w:val="none" w:sz="0" w:space="0" w:color="auto"/>
        <w:bottom w:val="none" w:sz="0" w:space="0" w:color="auto"/>
        <w:right w:val="none" w:sz="0" w:space="0" w:color="auto"/>
      </w:divBdr>
    </w:div>
    <w:div w:id="1129393271">
      <w:bodyDiv w:val="1"/>
      <w:marLeft w:val="0"/>
      <w:marRight w:val="0"/>
      <w:marTop w:val="0"/>
      <w:marBottom w:val="0"/>
      <w:divBdr>
        <w:top w:val="none" w:sz="0" w:space="0" w:color="auto"/>
        <w:left w:val="none" w:sz="0" w:space="0" w:color="auto"/>
        <w:bottom w:val="none" w:sz="0" w:space="0" w:color="auto"/>
        <w:right w:val="none" w:sz="0" w:space="0" w:color="auto"/>
      </w:divBdr>
    </w:div>
    <w:div w:id="1130172186">
      <w:bodyDiv w:val="1"/>
      <w:marLeft w:val="0"/>
      <w:marRight w:val="0"/>
      <w:marTop w:val="0"/>
      <w:marBottom w:val="0"/>
      <w:divBdr>
        <w:top w:val="none" w:sz="0" w:space="0" w:color="auto"/>
        <w:left w:val="none" w:sz="0" w:space="0" w:color="auto"/>
        <w:bottom w:val="none" w:sz="0" w:space="0" w:color="auto"/>
        <w:right w:val="none" w:sz="0" w:space="0" w:color="auto"/>
      </w:divBdr>
    </w:div>
    <w:div w:id="1134131915">
      <w:bodyDiv w:val="1"/>
      <w:marLeft w:val="0"/>
      <w:marRight w:val="0"/>
      <w:marTop w:val="0"/>
      <w:marBottom w:val="0"/>
      <w:divBdr>
        <w:top w:val="none" w:sz="0" w:space="0" w:color="auto"/>
        <w:left w:val="none" w:sz="0" w:space="0" w:color="auto"/>
        <w:bottom w:val="none" w:sz="0" w:space="0" w:color="auto"/>
        <w:right w:val="none" w:sz="0" w:space="0" w:color="auto"/>
      </w:divBdr>
      <w:divsChild>
        <w:div w:id="75904966">
          <w:marLeft w:val="144"/>
          <w:marRight w:val="0"/>
          <w:marTop w:val="0"/>
          <w:marBottom w:val="0"/>
          <w:divBdr>
            <w:top w:val="none" w:sz="0" w:space="0" w:color="auto"/>
            <w:left w:val="none" w:sz="0" w:space="0" w:color="auto"/>
            <w:bottom w:val="none" w:sz="0" w:space="0" w:color="auto"/>
            <w:right w:val="none" w:sz="0" w:space="0" w:color="auto"/>
          </w:divBdr>
        </w:div>
        <w:div w:id="165631405">
          <w:marLeft w:val="144"/>
          <w:marRight w:val="0"/>
          <w:marTop w:val="0"/>
          <w:marBottom w:val="0"/>
          <w:divBdr>
            <w:top w:val="none" w:sz="0" w:space="0" w:color="auto"/>
            <w:left w:val="none" w:sz="0" w:space="0" w:color="auto"/>
            <w:bottom w:val="none" w:sz="0" w:space="0" w:color="auto"/>
            <w:right w:val="none" w:sz="0" w:space="0" w:color="auto"/>
          </w:divBdr>
        </w:div>
        <w:div w:id="208341028">
          <w:marLeft w:val="144"/>
          <w:marRight w:val="0"/>
          <w:marTop w:val="0"/>
          <w:marBottom w:val="0"/>
          <w:divBdr>
            <w:top w:val="none" w:sz="0" w:space="0" w:color="auto"/>
            <w:left w:val="none" w:sz="0" w:space="0" w:color="auto"/>
            <w:bottom w:val="none" w:sz="0" w:space="0" w:color="auto"/>
            <w:right w:val="none" w:sz="0" w:space="0" w:color="auto"/>
          </w:divBdr>
        </w:div>
        <w:div w:id="327489918">
          <w:marLeft w:val="144"/>
          <w:marRight w:val="0"/>
          <w:marTop w:val="0"/>
          <w:marBottom w:val="0"/>
          <w:divBdr>
            <w:top w:val="none" w:sz="0" w:space="0" w:color="auto"/>
            <w:left w:val="none" w:sz="0" w:space="0" w:color="auto"/>
            <w:bottom w:val="none" w:sz="0" w:space="0" w:color="auto"/>
            <w:right w:val="none" w:sz="0" w:space="0" w:color="auto"/>
          </w:divBdr>
        </w:div>
        <w:div w:id="398134158">
          <w:marLeft w:val="144"/>
          <w:marRight w:val="0"/>
          <w:marTop w:val="0"/>
          <w:marBottom w:val="0"/>
          <w:divBdr>
            <w:top w:val="none" w:sz="0" w:space="0" w:color="auto"/>
            <w:left w:val="none" w:sz="0" w:space="0" w:color="auto"/>
            <w:bottom w:val="none" w:sz="0" w:space="0" w:color="auto"/>
            <w:right w:val="none" w:sz="0" w:space="0" w:color="auto"/>
          </w:divBdr>
        </w:div>
        <w:div w:id="512106412">
          <w:marLeft w:val="144"/>
          <w:marRight w:val="0"/>
          <w:marTop w:val="0"/>
          <w:marBottom w:val="0"/>
          <w:divBdr>
            <w:top w:val="none" w:sz="0" w:space="0" w:color="auto"/>
            <w:left w:val="none" w:sz="0" w:space="0" w:color="auto"/>
            <w:bottom w:val="none" w:sz="0" w:space="0" w:color="auto"/>
            <w:right w:val="none" w:sz="0" w:space="0" w:color="auto"/>
          </w:divBdr>
        </w:div>
        <w:div w:id="961427303">
          <w:marLeft w:val="144"/>
          <w:marRight w:val="0"/>
          <w:marTop w:val="0"/>
          <w:marBottom w:val="0"/>
          <w:divBdr>
            <w:top w:val="none" w:sz="0" w:space="0" w:color="auto"/>
            <w:left w:val="none" w:sz="0" w:space="0" w:color="auto"/>
            <w:bottom w:val="none" w:sz="0" w:space="0" w:color="auto"/>
            <w:right w:val="none" w:sz="0" w:space="0" w:color="auto"/>
          </w:divBdr>
        </w:div>
        <w:div w:id="1268545358">
          <w:marLeft w:val="144"/>
          <w:marRight w:val="0"/>
          <w:marTop w:val="0"/>
          <w:marBottom w:val="0"/>
          <w:divBdr>
            <w:top w:val="none" w:sz="0" w:space="0" w:color="auto"/>
            <w:left w:val="none" w:sz="0" w:space="0" w:color="auto"/>
            <w:bottom w:val="none" w:sz="0" w:space="0" w:color="auto"/>
            <w:right w:val="none" w:sz="0" w:space="0" w:color="auto"/>
          </w:divBdr>
        </w:div>
        <w:div w:id="1341548684">
          <w:marLeft w:val="144"/>
          <w:marRight w:val="0"/>
          <w:marTop w:val="0"/>
          <w:marBottom w:val="0"/>
          <w:divBdr>
            <w:top w:val="none" w:sz="0" w:space="0" w:color="auto"/>
            <w:left w:val="none" w:sz="0" w:space="0" w:color="auto"/>
            <w:bottom w:val="none" w:sz="0" w:space="0" w:color="auto"/>
            <w:right w:val="none" w:sz="0" w:space="0" w:color="auto"/>
          </w:divBdr>
        </w:div>
        <w:div w:id="1454639779">
          <w:marLeft w:val="144"/>
          <w:marRight w:val="0"/>
          <w:marTop w:val="0"/>
          <w:marBottom w:val="0"/>
          <w:divBdr>
            <w:top w:val="none" w:sz="0" w:space="0" w:color="auto"/>
            <w:left w:val="none" w:sz="0" w:space="0" w:color="auto"/>
            <w:bottom w:val="none" w:sz="0" w:space="0" w:color="auto"/>
            <w:right w:val="none" w:sz="0" w:space="0" w:color="auto"/>
          </w:divBdr>
        </w:div>
        <w:div w:id="1518932663">
          <w:marLeft w:val="144"/>
          <w:marRight w:val="0"/>
          <w:marTop w:val="0"/>
          <w:marBottom w:val="0"/>
          <w:divBdr>
            <w:top w:val="none" w:sz="0" w:space="0" w:color="auto"/>
            <w:left w:val="none" w:sz="0" w:space="0" w:color="auto"/>
            <w:bottom w:val="none" w:sz="0" w:space="0" w:color="auto"/>
            <w:right w:val="none" w:sz="0" w:space="0" w:color="auto"/>
          </w:divBdr>
        </w:div>
        <w:div w:id="1544174163">
          <w:marLeft w:val="144"/>
          <w:marRight w:val="0"/>
          <w:marTop w:val="0"/>
          <w:marBottom w:val="0"/>
          <w:divBdr>
            <w:top w:val="none" w:sz="0" w:space="0" w:color="auto"/>
            <w:left w:val="none" w:sz="0" w:space="0" w:color="auto"/>
            <w:bottom w:val="none" w:sz="0" w:space="0" w:color="auto"/>
            <w:right w:val="none" w:sz="0" w:space="0" w:color="auto"/>
          </w:divBdr>
        </w:div>
        <w:div w:id="1592739459">
          <w:marLeft w:val="144"/>
          <w:marRight w:val="0"/>
          <w:marTop w:val="0"/>
          <w:marBottom w:val="0"/>
          <w:divBdr>
            <w:top w:val="none" w:sz="0" w:space="0" w:color="auto"/>
            <w:left w:val="none" w:sz="0" w:space="0" w:color="auto"/>
            <w:bottom w:val="none" w:sz="0" w:space="0" w:color="auto"/>
            <w:right w:val="none" w:sz="0" w:space="0" w:color="auto"/>
          </w:divBdr>
        </w:div>
        <w:div w:id="1598715778">
          <w:marLeft w:val="144"/>
          <w:marRight w:val="0"/>
          <w:marTop w:val="0"/>
          <w:marBottom w:val="0"/>
          <w:divBdr>
            <w:top w:val="none" w:sz="0" w:space="0" w:color="auto"/>
            <w:left w:val="none" w:sz="0" w:space="0" w:color="auto"/>
            <w:bottom w:val="none" w:sz="0" w:space="0" w:color="auto"/>
            <w:right w:val="none" w:sz="0" w:space="0" w:color="auto"/>
          </w:divBdr>
        </w:div>
        <w:div w:id="1613904412">
          <w:marLeft w:val="144"/>
          <w:marRight w:val="0"/>
          <w:marTop w:val="0"/>
          <w:marBottom w:val="0"/>
          <w:divBdr>
            <w:top w:val="none" w:sz="0" w:space="0" w:color="auto"/>
            <w:left w:val="none" w:sz="0" w:space="0" w:color="auto"/>
            <w:bottom w:val="none" w:sz="0" w:space="0" w:color="auto"/>
            <w:right w:val="none" w:sz="0" w:space="0" w:color="auto"/>
          </w:divBdr>
        </w:div>
        <w:div w:id="1962227190">
          <w:marLeft w:val="144"/>
          <w:marRight w:val="0"/>
          <w:marTop w:val="0"/>
          <w:marBottom w:val="0"/>
          <w:divBdr>
            <w:top w:val="none" w:sz="0" w:space="0" w:color="auto"/>
            <w:left w:val="none" w:sz="0" w:space="0" w:color="auto"/>
            <w:bottom w:val="none" w:sz="0" w:space="0" w:color="auto"/>
            <w:right w:val="none" w:sz="0" w:space="0" w:color="auto"/>
          </w:divBdr>
        </w:div>
        <w:div w:id="1997371267">
          <w:marLeft w:val="144"/>
          <w:marRight w:val="0"/>
          <w:marTop w:val="0"/>
          <w:marBottom w:val="0"/>
          <w:divBdr>
            <w:top w:val="none" w:sz="0" w:space="0" w:color="auto"/>
            <w:left w:val="none" w:sz="0" w:space="0" w:color="auto"/>
            <w:bottom w:val="none" w:sz="0" w:space="0" w:color="auto"/>
            <w:right w:val="none" w:sz="0" w:space="0" w:color="auto"/>
          </w:divBdr>
        </w:div>
        <w:div w:id="2120836515">
          <w:marLeft w:val="144"/>
          <w:marRight w:val="0"/>
          <w:marTop w:val="0"/>
          <w:marBottom w:val="0"/>
          <w:divBdr>
            <w:top w:val="none" w:sz="0" w:space="0" w:color="auto"/>
            <w:left w:val="none" w:sz="0" w:space="0" w:color="auto"/>
            <w:bottom w:val="none" w:sz="0" w:space="0" w:color="auto"/>
            <w:right w:val="none" w:sz="0" w:space="0" w:color="auto"/>
          </w:divBdr>
        </w:div>
      </w:divsChild>
    </w:div>
    <w:div w:id="1138839353">
      <w:bodyDiv w:val="1"/>
      <w:marLeft w:val="0"/>
      <w:marRight w:val="0"/>
      <w:marTop w:val="0"/>
      <w:marBottom w:val="0"/>
      <w:divBdr>
        <w:top w:val="none" w:sz="0" w:space="0" w:color="auto"/>
        <w:left w:val="none" w:sz="0" w:space="0" w:color="auto"/>
        <w:bottom w:val="none" w:sz="0" w:space="0" w:color="auto"/>
        <w:right w:val="none" w:sz="0" w:space="0" w:color="auto"/>
      </w:divBdr>
    </w:div>
    <w:div w:id="1139306449">
      <w:bodyDiv w:val="1"/>
      <w:marLeft w:val="0"/>
      <w:marRight w:val="0"/>
      <w:marTop w:val="0"/>
      <w:marBottom w:val="0"/>
      <w:divBdr>
        <w:top w:val="none" w:sz="0" w:space="0" w:color="auto"/>
        <w:left w:val="none" w:sz="0" w:space="0" w:color="auto"/>
        <w:bottom w:val="none" w:sz="0" w:space="0" w:color="auto"/>
        <w:right w:val="none" w:sz="0" w:space="0" w:color="auto"/>
      </w:divBdr>
    </w:div>
    <w:div w:id="1141919450">
      <w:bodyDiv w:val="1"/>
      <w:marLeft w:val="0"/>
      <w:marRight w:val="0"/>
      <w:marTop w:val="0"/>
      <w:marBottom w:val="0"/>
      <w:divBdr>
        <w:top w:val="none" w:sz="0" w:space="0" w:color="auto"/>
        <w:left w:val="none" w:sz="0" w:space="0" w:color="auto"/>
        <w:bottom w:val="none" w:sz="0" w:space="0" w:color="auto"/>
        <w:right w:val="none" w:sz="0" w:space="0" w:color="auto"/>
      </w:divBdr>
    </w:div>
    <w:div w:id="1143237993">
      <w:bodyDiv w:val="1"/>
      <w:marLeft w:val="0"/>
      <w:marRight w:val="0"/>
      <w:marTop w:val="0"/>
      <w:marBottom w:val="0"/>
      <w:divBdr>
        <w:top w:val="none" w:sz="0" w:space="0" w:color="auto"/>
        <w:left w:val="none" w:sz="0" w:space="0" w:color="auto"/>
        <w:bottom w:val="none" w:sz="0" w:space="0" w:color="auto"/>
        <w:right w:val="none" w:sz="0" w:space="0" w:color="auto"/>
      </w:divBdr>
    </w:div>
    <w:div w:id="1148592346">
      <w:bodyDiv w:val="1"/>
      <w:marLeft w:val="0"/>
      <w:marRight w:val="0"/>
      <w:marTop w:val="0"/>
      <w:marBottom w:val="0"/>
      <w:divBdr>
        <w:top w:val="none" w:sz="0" w:space="0" w:color="auto"/>
        <w:left w:val="none" w:sz="0" w:space="0" w:color="auto"/>
        <w:bottom w:val="none" w:sz="0" w:space="0" w:color="auto"/>
        <w:right w:val="none" w:sz="0" w:space="0" w:color="auto"/>
      </w:divBdr>
    </w:div>
    <w:div w:id="1156847903">
      <w:bodyDiv w:val="1"/>
      <w:marLeft w:val="0"/>
      <w:marRight w:val="0"/>
      <w:marTop w:val="0"/>
      <w:marBottom w:val="0"/>
      <w:divBdr>
        <w:top w:val="none" w:sz="0" w:space="0" w:color="auto"/>
        <w:left w:val="none" w:sz="0" w:space="0" w:color="auto"/>
        <w:bottom w:val="none" w:sz="0" w:space="0" w:color="auto"/>
        <w:right w:val="none" w:sz="0" w:space="0" w:color="auto"/>
      </w:divBdr>
    </w:div>
    <w:div w:id="1157069546">
      <w:bodyDiv w:val="1"/>
      <w:marLeft w:val="0"/>
      <w:marRight w:val="0"/>
      <w:marTop w:val="0"/>
      <w:marBottom w:val="0"/>
      <w:divBdr>
        <w:top w:val="none" w:sz="0" w:space="0" w:color="auto"/>
        <w:left w:val="none" w:sz="0" w:space="0" w:color="auto"/>
        <w:bottom w:val="none" w:sz="0" w:space="0" w:color="auto"/>
        <w:right w:val="none" w:sz="0" w:space="0" w:color="auto"/>
      </w:divBdr>
    </w:div>
    <w:div w:id="1162937216">
      <w:bodyDiv w:val="1"/>
      <w:marLeft w:val="0"/>
      <w:marRight w:val="0"/>
      <w:marTop w:val="0"/>
      <w:marBottom w:val="0"/>
      <w:divBdr>
        <w:top w:val="none" w:sz="0" w:space="0" w:color="auto"/>
        <w:left w:val="none" w:sz="0" w:space="0" w:color="auto"/>
        <w:bottom w:val="none" w:sz="0" w:space="0" w:color="auto"/>
        <w:right w:val="none" w:sz="0" w:space="0" w:color="auto"/>
      </w:divBdr>
    </w:div>
    <w:div w:id="1163744461">
      <w:bodyDiv w:val="1"/>
      <w:marLeft w:val="0"/>
      <w:marRight w:val="0"/>
      <w:marTop w:val="0"/>
      <w:marBottom w:val="0"/>
      <w:divBdr>
        <w:top w:val="none" w:sz="0" w:space="0" w:color="auto"/>
        <w:left w:val="none" w:sz="0" w:space="0" w:color="auto"/>
        <w:bottom w:val="none" w:sz="0" w:space="0" w:color="auto"/>
        <w:right w:val="none" w:sz="0" w:space="0" w:color="auto"/>
      </w:divBdr>
    </w:div>
    <w:div w:id="1171486266">
      <w:bodyDiv w:val="1"/>
      <w:marLeft w:val="0"/>
      <w:marRight w:val="0"/>
      <w:marTop w:val="0"/>
      <w:marBottom w:val="0"/>
      <w:divBdr>
        <w:top w:val="none" w:sz="0" w:space="0" w:color="auto"/>
        <w:left w:val="none" w:sz="0" w:space="0" w:color="auto"/>
        <w:bottom w:val="none" w:sz="0" w:space="0" w:color="auto"/>
        <w:right w:val="none" w:sz="0" w:space="0" w:color="auto"/>
      </w:divBdr>
    </w:div>
    <w:div w:id="1179269964">
      <w:bodyDiv w:val="1"/>
      <w:marLeft w:val="0"/>
      <w:marRight w:val="0"/>
      <w:marTop w:val="0"/>
      <w:marBottom w:val="0"/>
      <w:divBdr>
        <w:top w:val="none" w:sz="0" w:space="0" w:color="auto"/>
        <w:left w:val="none" w:sz="0" w:space="0" w:color="auto"/>
        <w:bottom w:val="none" w:sz="0" w:space="0" w:color="auto"/>
        <w:right w:val="none" w:sz="0" w:space="0" w:color="auto"/>
      </w:divBdr>
    </w:div>
    <w:div w:id="1190677205">
      <w:bodyDiv w:val="1"/>
      <w:marLeft w:val="0"/>
      <w:marRight w:val="0"/>
      <w:marTop w:val="0"/>
      <w:marBottom w:val="0"/>
      <w:divBdr>
        <w:top w:val="none" w:sz="0" w:space="0" w:color="auto"/>
        <w:left w:val="none" w:sz="0" w:space="0" w:color="auto"/>
        <w:bottom w:val="none" w:sz="0" w:space="0" w:color="auto"/>
        <w:right w:val="none" w:sz="0" w:space="0" w:color="auto"/>
      </w:divBdr>
    </w:div>
    <w:div w:id="1191727695">
      <w:bodyDiv w:val="1"/>
      <w:marLeft w:val="0"/>
      <w:marRight w:val="0"/>
      <w:marTop w:val="0"/>
      <w:marBottom w:val="0"/>
      <w:divBdr>
        <w:top w:val="none" w:sz="0" w:space="0" w:color="auto"/>
        <w:left w:val="none" w:sz="0" w:space="0" w:color="auto"/>
        <w:bottom w:val="none" w:sz="0" w:space="0" w:color="auto"/>
        <w:right w:val="none" w:sz="0" w:space="0" w:color="auto"/>
      </w:divBdr>
    </w:div>
    <w:div w:id="1193108881">
      <w:bodyDiv w:val="1"/>
      <w:marLeft w:val="0"/>
      <w:marRight w:val="0"/>
      <w:marTop w:val="0"/>
      <w:marBottom w:val="0"/>
      <w:divBdr>
        <w:top w:val="none" w:sz="0" w:space="0" w:color="auto"/>
        <w:left w:val="none" w:sz="0" w:space="0" w:color="auto"/>
        <w:bottom w:val="none" w:sz="0" w:space="0" w:color="auto"/>
        <w:right w:val="none" w:sz="0" w:space="0" w:color="auto"/>
      </w:divBdr>
      <w:divsChild>
        <w:div w:id="435907173">
          <w:marLeft w:val="107"/>
          <w:marRight w:val="107"/>
          <w:marTop w:val="0"/>
          <w:marBottom w:val="0"/>
          <w:divBdr>
            <w:top w:val="none" w:sz="0" w:space="0" w:color="auto"/>
            <w:left w:val="none" w:sz="0" w:space="0" w:color="auto"/>
            <w:bottom w:val="none" w:sz="0" w:space="0" w:color="auto"/>
            <w:right w:val="none" w:sz="0" w:space="0" w:color="auto"/>
          </w:divBdr>
        </w:div>
        <w:div w:id="1319505280">
          <w:marLeft w:val="0"/>
          <w:marRight w:val="107"/>
          <w:marTop w:val="0"/>
          <w:marBottom w:val="0"/>
          <w:divBdr>
            <w:top w:val="none" w:sz="0" w:space="0" w:color="auto"/>
            <w:left w:val="none" w:sz="0" w:space="0" w:color="auto"/>
            <w:bottom w:val="none" w:sz="0" w:space="0" w:color="auto"/>
            <w:right w:val="none" w:sz="0" w:space="0" w:color="auto"/>
          </w:divBdr>
        </w:div>
        <w:div w:id="1398699745">
          <w:marLeft w:val="107"/>
          <w:marRight w:val="0"/>
          <w:marTop w:val="0"/>
          <w:marBottom w:val="0"/>
          <w:divBdr>
            <w:top w:val="none" w:sz="0" w:space="0" w:color="auto"/>
            <w:left w:val="none" w:sz="0" w:space="0" w:color="auto"/>
            <w:bottom w:val="none" w:sz="0" w:space="0" w:color="auto"/>
            <w:right w:val="none" w:sz="0" w:space="0" w:color="auto"/>
          </w:divBdr>
        </w:div>
        <w:div w:id="2047826764">
          <w:marLeft w:val="107"/>
          <w:marRight w:val="107"/>
          <w:marTop w:val="0"/>
          <w:marBottom w:val="0"/>
          <w:divBdr>
            <w:top w:val="none" w:sz="0" w:space="0" w:color="auto"/>
            <w:left w:val="none" w:sz="0" w:space="0" w:color="auto"/>
            <w:bottom w:val="none" w:sz="0" w:space="0" w:color="auto"/>
            <w:right w:val="none" w:sz="0" w:space="0" w:color="auto"/>
          </w:divBdr>
        </w:div>
      </w:divsChild>
    </w:div>
    <w:div w:id="1193497382">
      <w:bodyDiv w:val="1"/>
      <w:marLeft w:val="0"/>
      <w:marRight w:val="0"/>
      <w:marTop w:val="0"/>
      <w:marBottom w:val="0"/>
      <w:divBdr>
        <w:top w:val="none" w:sz="0" w:space="0" w:color="auto"/>
        <w:left w:val="none" w:sz="0" w:space="0" w:color="auto"/>
        <w:bottom w:val="none" w:sz="0" w:space="0" w:color="auto"/>
        <w:right w:val="none" w:sz="0" w:space="0" w:color="auto"/>
      </w:divBdr>
      <w:divsChild>
        <w:div w:id="675766584">
          <w:marLeft w:val="0"/>
          <w:marRight w:val="0"/>
          <w:marTop w:val="0"/>
          <w:marBottom w:val="0"/>
          <w:divBdr>
            <w:top w:val="none" w:sz="0" w:space="0" w:color="auto"/>
            <w:left w:val="none" w:sz="0" w:space="0" w:color="auto"/>
            <w:bottom w:val="none" w:sz="0" w:space="0" w:color="auto"/>
            <w:right w:val="none" w:sz="0" w:space="0" w:color="auto"/>
          </w:divBdr>
        </w:div>
      </w:divsChild>
    </w:div>
    <w:div w:id="1196237213">
      <w:bodyDiv w:val="1"/>
      <w:marLeft w:val="0"/>
      <w:marRight w:val="0"/>
      <w:marTop w:val="0"/>
      <w:marBottom w:val="0"/>
      <w:divBdr>
        <w:top w:val="none" w:sz="0" w:space="0" w:color="auto"/>
        <w:left w:val="none" w:sz="0" w:space="0" w:color="auto"/>
        <w:bottom w:val="none" w:sz="0" w:space="0" w:color="auto"/>
        <w:right w:val="none" w:sz="0" w:space="0" w:color="auto"/>
      </w:divBdr>
      <w:divsChild>
        <w:div w:id="913319317">
          <w:marLeft w:val="475"/>
          <w:marRight w:val="0"/>
          <w:marTop w:val="168"/>
          <w:marBottom w:val="0"/>
          <w:divBdr>
            <w:top w:val="none" w:sz="0" w:space="0" w:color="auto"/>
            <w:left w:val="none" w:sz="0" w:space="0" w:color="auto"/>
            <w:bottom w:val="none" w:sz="0" w:space="0" w:color="auto"/>
            <w:right w:val="none" w:sz="0" w:space="0" w:color="auto"/>
          </w:divBdr>
        </w:div>
        <w:div w:id="1348410793">
          <w:marLeft w:val="475"/>
          <w:marRight w:val="0"/>
          <w:marTop w:val="168"/>
          <w:marBottom w:val="0"/>
          <w:divBdr>
            <w:top w:val="none" w:sz="0" w:space="0" w:color="auto"/>
            <w:left w:val="none" w:sz="0" w:space="0" w:color="auto"/>
            <w:bottom w:val="none" w:sz="0" w:space="0" w:color="auto"/>
            <w:right w:val="none" w:sz="0" w:space="0" w:color="auto"/>
          </w:divBdr>
        </w:div>
        <w:div w:id="1556626048">
          <w:marLeft w:val="475"/>
          <w:marRight w:val="0"/>
          <w:marTop w:val="168"/>
          <w:marBottom w:val="0"/>
          <w:divBdr>
            <w:top w:val="none" w:sz="0" w:space="0" w:color="auto"/>
            <w:left w:val="none" w:sz="0" w:space="0" w:color="auto"/>
            <w:bottom w:val="none" w:sz="0" w:space="0" w:color="auto"/>
            <w:right w:val="none" w:sz="0" w:space="0" w:color="auto"/>
          </w:divBdr>
        </w:div>
        <w:div w:id="1585383563">
          <w:marLeft w:val="475"/>
          <w:marRight w:val="0"/>
          <w:marTop w:val="168"/>
          <w:marBottom w:val="0"/>
          <w:divBdr>
            <w:top w:val="none" w:sz="0" w:space="0" w:color="auto"/>
            <w:left w:val="none" w:sz="0" w:space="0" w:color="auto"/>
            <w:bottom w:val="none" w:sz="0" w:space="0" w:color="auto"/>
            <w:right w:val="none" w:sz="0" w:space="0" w:color="auto"/>
          </w:divBdr>
        </w:div>
        <w:div w:id="1908998873">
          <w:marLeft w:val="475"/>
          <w:marRight w:val="0"/>
          <w:marTop w:val="168"/>
          <w:marBottom w:val="0"/>
          <w:divBdr>
            <w:top w:val="none" w:sz="0" w:space="0" w:color="auto"/>
            <w:left w:val="none" w:sz="0" w:space="0" w:color="auto"/>
            <w:bottom w:val="none" w:sz="0" w:space="0" w:color="auto"/>
            <w:right w:val="none" w:sz="0" w:space="0" w:color="auto"/>
          </w:divBdr>
        </w:div>
      </w:divsChild>
    </w:div>
    <w:div w:id="1205945404">
      <w:bodyDiv w:val="1"/>
      <w:marLeft w:val="0"/>
      <w:marRight w:val="0"/>
      <w:marTop w:val="0"/>
      <w:marBottom w:val="0"/>
      <w:divBdr>
        <w:top w:val="none" w:sz="0" w:space="0" w:color="auto"/>
        <w:left w:val="none" w:sz="0" w:space="0" w:color="auto"/>
        <w:bottom w:val="none" w:sz="0" w:space="0" w:color="auto"/>
        <w:right w:val="none" w:sz="0" w:space="0" w:color="auto"/>
      </w:divBdr>
    </w:div>
    <w:div w:id="1210844450">
      <w:bodyDiv w:val="1"/>
      <w:marLeft w:val="0"/>
      <w:marRight w:val="0"/>
      <w:marTop w:val="0"/>
      <w:marBottom w:val="0"/>
      <w:divBdr>
        <w:top w:val="none" w:sz="0" w:space="0" w:color="auto"/>
        <w:left w:val="none" w:sz="0" w:space="0" w:color="auto"/>
        <w:bottom w:val="none" w:sz="0" w:space="0" w:color="auto"/>
        <w:right w:val="none" w:sz="0" w:space="0" w:color="auto"/>
      </w:divBdr>
    </w:div>
    <w:div w:id="1229455731">
      <w:bodyDiv w:val="1"/>
      <w:marLeft w:val="0"/>
      <w:marRight w:val="0"/>
      <w:marTop w:val="0"/>
      <w:marBottom w:val="0"/>
      <w:divBdr>
        <w:top w:val="none" w:sz="0" w:space="0" w:color="auto"/>
        <w:left w:val="none" w:sz="0" w:space="0" w:color="auto"/>
        <w:bottom w:val="none" w:sz="0" w:space="0" w:color="auto"/>
        <w:right w:val="none" w:sz="0" w:space="0" w:color="auto"/>
      </w:divBdr>
    </w:div>
    <w:div w:id="1235776298">
      <w:bodyDiv w:val="1"/>
      <w:marLeft w:val="0"/>
      <w:marRight w:val="0"/>
      <w:marTop w:val="0"/>
      <w:marBottom w:val="0"/>
      <w:divBdr>
        <w:top w:val="none" w:sz="0" w:space="0" w:color="auto"/>
        <w:left w:val="none" w:sz="0" w:space="0" w:color="auto"/>
        <w:bottom w:val="none" w:sz="0" w:space="0" w:color="auto"/>
        <w:right w:val="none" w:sz="0" w:space="0" w:color="auto"/>
      </w:divBdr>
    </w:div>
    <w:div w:id="1237326335">
      <w:bodyDiv w:val="1"/>
      <w:marLeft w:val="0"/>
      <w:marRight w:val="0"/>
      <w:marTop w:val="0"/>
      <w:marBottom w:val="0"/>
      <w:divBdr>
        <w:top w:val="none" w:sz="0" w:space="0" w:color="auto"/>
        <w:left w:val="none" w:sz="0" w:space="0" w:color="auto"/>
        <w:bottom w:val="none" w:sz="0" w:space="0" w:color="auto"/>
        <w:right w:val="none" w:sz="0" w:space="0" w:color="auto"/>
      </w:divBdr>
    </w:div>
    <w:div w:id="1239361639">
      <w:bodyDiv w:val="1"/>
      <w:marLeft w:val="0"/>
      <w:marRight w:val="0"/>
      <w:marTop w:val="0"/>
      <w:marBottom w:val="0"/>
      <w:divBdr>
        <w:top w:val="none" w:sz="0" w:space="0" w:color="auto"/>
        <w:left w:val="none" w:sz="0" w:space="0" w:color="auto"/>
        <w:bottom w:val="none" w:sz="0" w:space="0" w:color="auto"/>
        <w:right w:val="none" w:sz="0" w:space="0" w:color="auto"/>
      </w:divBdr>
    </w:div>
    <w:div w:id="1256745225">
      <w:bodyDiv w:val="1"/>
      <w:marLeft w:val="0"/>
      <w:marRight w:val="0"/>
      <w:marTop w:val="0"/>
      <w:marBottom w:val="0"/>
      <w:divBdr>
        <w:top w:val="none" w:sz="0" w:space="0" w:color="auto"/>
        <w:left w:val="none" w:sz="0" w:space="0" w:color="auto"/>
        <w:bottom w:val="none" w:sz="0" w:space="0" w:color="auto"/>
        <w:right w:val="none" w:sz="0" w:space="0" w:color="auto"/>
      </w:divBdr>
    </w:div>
    <w:div w:id="1258102840">
      <w:bodyDiv w:val="1"/>
      <w:marLeft w:val="0"/>
      <w:marRight w:val="0"/>
      <w:marTop w:val="0"/>
      <w:marBottom w:val="0"/>
      <w:divBdr>
        <w:top w:val="none" w:sz="0" w:space="0" w:color="auto"/>
        <w:left w:val="none" w:sz="0" w:space="0" w:color="auto"/>
        <w:bottom w:val="none" w:sz="0" w:space="0" w:color="auto"/>
        <w:right w:val="none" w:sz="0" w:space="0" w:color="auto"/>
      </w:divBdr>
      <w:divsChild>
        <w:div w:id="229389878">
          <w:marLeft w:val="1181"/>
          <w:marRight w:val="0"/>
          <w:marTop w:val="168"/>
          <w:marBottom w:val="0"/>
          <w:divBdr>
            <w:top w:val="none" w:sz="0" w:space="0" w:color="auto"/>
            <w:left w:val="none" w:sz="0" w:space="0" w:color="auto"/>
            <w:bottom w:val="none" w:sz="0" w:space="0" w:color="auto"/>
            <w:right w:val="none" w:sz="0" w:space="0" w:color="auto"/>
          </w:divBdr>
        </w:div>
        <w:div w:id="942498345">
          <w:marLeft w:val="475"/>
          <w:marRight w:val="0"/>
          <w:marTop w:val="168"/>
          <w:marBottom w:val="0"/>
          <w:divBdr>
            <w:top w:val="none" w:sz="0" w:space="0" w:color="auto"/>
            <w:left w:val="none" w:sz="0" w:space="0" w:color="auto"/>
            <w:bottom w:val="none" w:sz="0" w:space="0" w:color="auto"/>
            <w:right w:val="none" w:sz="0" w:space="0" w:color="auto"/>
          </w:divBdr>
        </w:div>
        <w:div w:id="1305699610">
          <w:marLeft w:val="1181"/>
          <w:marRight w:val="0"/>
          <w:marTop w:val="168"/>
          <w:marBottom w:val="0"/>
          <w:divBdr>
            <w:top w:val="none" w:sz="0" w:space="0" w:color="auto"/>
            <w:left w:val="none" w:sz="0" w:space="0" w:color="auto"/>
            <w:bottom w:val="none" w:sz="0" w:space="0" w:color="auto"/>
            <w:right w:val="none" w:sz="0" w:space="0" w:color="auto"/>
          </w:divBdr>
        </w:div>
        <w:div w:id="1309751332">
          <w:marLeft w:val="475"/>
          <w:marRight w:val="0"/>
          <w:marTop w:val="168"/>
          <w:marBottom w:val="0"/>
          <w:divBdr>
            <w:top w:val="none" w:sz="0" w:space="0" w:color="auto"/>
            <w:left w:val="none" w:sz="0" w:space="0" w:color="auto"/>
            <w:bottom w:val="none" w:sz="0" w:space="0" w:color="auto"/>
            <w:right w:val="none" w:sz="0" w:space="0" w:color="auto"/>
          </w:divBdr>
        </w:div>
        <w:div w:id="1565599879">
          <w:marLeft w:val="475"/>
          <w:marRight w:val="0"/>
          <w:marTop w:val="168"/>
          <w:marBottom w:val="0"/>
          <w:divBdr>
            <w:top w:val="none" w:sz="0" w:space="0" w:color="auto"/>
            <w:left w:val="none" w:sz="0" w:space="0" w:color="auto"/>
            <w:bottom w:val="none" w:sz="0" w:space="0" w:color="auto"/>
            <w:right w:val="none" w:sz="0" w:space="0" w:color="auto"/>
          </w:divBdr>
        </w:div>
        <w:div w:id="1718163631">
          <w:marLeft w:val="475"/>
          <w:marRight w:val="0"/>
          <w:marTop w:val="168"/>
          <w:marBottom w:val="0"/>
          <w:divBdr>
            <w:top w:val="none" w:sz="0" w:space="0" w:color="auto"/>
            <w:left w:val="none" w:sz="0" w:space="0" w:color="auto"/>
            <w:bottom w:val="none" w:sz="0" w:space="0" w:color="auto"/>
            <w:right w:val="none" w:sz="0" w:space="0" w:color="auto"/>
          </w:divBdr>
        </w:div>
      </w:divsChild>
    </w:div>
    <w:div w:id="1258948231">
      <w:bodyDiv w:val="1"/>
      <w:marLeft w:val="0"/>
      <w:marRight w:val="0"/>
      <w:marTop w:val="0"/>
      <w:marBottom w:val="0"/>
      <w:divBdr>
        <w:top w:val="none" w:sz="0" w:space="0" w:color="auto"/>
        <w:left w:val="none" w:sz="0" w:space="0" w:color="auto"/>
        <w:bottom w:val="none" w:sz="0" w:space="0" w:color="auto"/>
        <w:right w:val="none" w:sz="0" w:space="0" w:color="auto"/>
      </w:divBdr>
    </w:div>
    <w:div w:id="1260065439">
      <w:bodyDiv w:val="1"/>
      <w:marLeft w:val="0"/>
      <w:marRight w:val="0"/>
      <w:marTop w:val="0"/>
      <w:marBottom w:val="0"/>
      <w:divBdr>
        <w:top w:val="none" w:sz="0" w:space="0" w:color="auto"/>
        <w:left w:val="none" w:sz="0" w:space="0" w:color="auto"/>
        <w:bottom w:val="none" w:sz="0" w:space="0" w:color="auto"/>
        <w:right w:val="none" w:sz="0" w:space="0" w:color="auto"/>
      </w:divBdr>
    </w:div>
    <w:div w:id="1267152390">
      <w:bodyDiv w:val="1"/>
      <w:marLeft w:val="0"/>
      <w:marRight w:val="0"/>
      <w:marTop w:val="0"/>
      <w:marBottom w:val="0"/>
      <w:divBdr>
        <w:top w:val="none" w:sz="0" w:space="0" w:color="auto"/>
        <w:left w:val="none" w:sz="0" w:space="0" w:color="auto"/>
        <w:bottom w:val="none" w:sz="0" w:space="0" w:color="auto"/>
        <w:right w:val="none" w:sz="0" w:space="0" w:color="auto"/>
      </w:divBdr>
    </w:div>
    <w:div w:id="1267230261">
      <w:bodyDiv w:val="1"/>
      <w:marLeft w:val="0"/>
      <w:marRight w:val="0"/>
      <w:marTop w:val="0"/>
      <w:marBottom w:val="0"/>
      <w:divBdr>
        <w:top w:val="none" w:sz="0" w:space="0" w:color="auto"/>
        <w:left w:val="none" w:sz="0" w:space="0" w:color="auto"/>
        <w:bottom w:val="none" w:sz="0" w:space="0" w:color="auto"/>
        <w:right w:val="none" w:sz="0" w:space="0" w:color="auto"/>
      </w:divBdr>
    </w:div>
    <w:div w:id="1272709482">
      <w:bodyDiv w:val="1"/>
      <w:marLeft w:val="0"/>
      <w:marRight w:val="0"/>
      <w:marTop w:val="0"/>
      <w:marBottom w:val="0"/>
      <w:divBdr>
        <w:top w:val="none" w:sz="0" w:space="0" w:color="auto"/>
        <w:left w:val="none" w:sz="0" w:space="0" w:color="auto"/>
        <w:bottom w:val="none" w:sz="0" w:space="0" w:color="auto"/>
        <w:right w:val="none" w:sz="0" w:space="0" w:color="auto"/>
      </w:divBdr>
    </w:div>
    <w:div w:id="1275748685">
      <w:bodyDiv w:val="1"/>
      <w:marLeft w:val="0"/>
      <w:marRight w:val="0"/>
      <w:marTop w:val="0"/>
      <w:marBottom w:val="0"/>
      <w:divBdr>
        <w:top w:val="none" w:sz="0" w:space="0" w:color="auto"/>
        <w:left w:val="none" w:sz="0" w:space="0" w:color="auto"/>
        <w:bottom w:val="none" w:sz="0" w:space="0" w:color="auto"/>
        <w:right w:val="none" w:sz="0" w:space="0" w:color="auto"/>
      </w:divBdr>
      <w:divsChild>
        <w:div w:id="296643988">
          <w:marLeft w:val="475"/>
          <w:marRight w:val="0"/>
          <w:marTop w:val="168"/>
          <w:marBottom w:val="0"/>
          <w:divBdr>
            <w:top w:val="none" w:sz="0" w:space="0" w:color="auto"/>
            <w:left w:val="none" w:sz="0" w:space="0" w:color="auto"/>
            <w:bottom w:val="none" w:sz="0" w:space="0" w:color="auto"/>
            <w:right w:val="none" w:sz="0" w:space="0" w:color="auto"/>
          </w:divBdr>
        </w:div>
        <w:div w:id="317995985">
          <w:marLeft w:val="1181"/>
          <w:marRight w:val="0"/>
          <w:marTop w:val="168"/>
          <w:marBottom w:val="0"/>
          <w:divBdr>
            <w:top w:val="none" w:sz="0" w:space="0" w:color="auto"/>
            <w:left w:val="none" w:sz="0" w:space="0" w:color="auto"/>
            <w:bottom w:val="none" w:sz="0" w:space="0" w:color="auto"/>
            <w:right w:val="none" w:sz="0" w:space="0" w:color="auto"/>
          </w:divBdr>
        </w:div>
        <w:div w:id="516309485">
          <w:marLeft w:val="1181"/>
          <w:marRight w:val="0"/>
          <w:marTop w:val="168"/>
          <w:marBottom w:val="0"/>
          <w:divBdr>
            <w:top w:val="none" w:sz="0" w:space="0" w:color="auto"/>
            <w:left w:val="none" w:sz="0" w:space="0" w:color="auto"/>
            <w:bottom w:val="none" w:sz="0" w:space="0" w:color="auto"/>
            <w:right w:val="none" w:sz="0" w:space="0" w:color="auto"/>
          </w:divBdr>
        </w:div>
        <w:div w:id="962661482">
          <w:marLeft w:val="475"/>
          <w:marRight w:val="0"/>
          <w:marTop w:val="168"/>
          <w:marBottom w:val="0"/>
          <w:divBdr>
            <w:top w:val="none" w:sz="0" w:space="0" w:color="auto"/>
            <w:left w:val="none" w:sz="0" w:space="0" w:color="auto"/>
            <w:bottom w:val="none" w:sz="0" w:space="0" w:color="auto"/>
            <w:right w:val="none" w:sz="0" w:space="0" w:color="auto"/>
          </w:divBdr>
        </w:div>
        <w:div w:id="1107889847">
          <w:marLeft w:val="1181"/>
          <w:marRight w:val="0"/>
          <w:marTop w:val="168"/>
          <w:marBottom w:val="0"/>
          <w:divBdr>
            <w:top w:val="none" w:sz="0" w:space="0" w:color="auto"/>
            <w:left w:val="none" w:sz="0" w:space="0" w:color="auto"/>
            <w:bottom w:val="none" w:sz="0" w:space="0" w:color="auto"/>
            <w:right w:val="none" w:sz="0" w:space="0" w:color="auto"/>
          </w:divBdr>
        </w:div>
        <w:div w:id="1354919357">
          <w:marLeft w:val="1181"/>
          <w:marRight w:val="0"/>
          <w:marTop w:val="168"/>
          <w:marBottom w:val="0"/>
          <w:divBdr>
            <w:top w:val="none" w:sz="0" w:space="0" w:color="auto"/>
            <w:left w:val="none" w:sz="0" w:space="0" w:color="auto"/>
            <w:bottom w:val="none" w:sz="0" w:space="0" w:color="auto"/>
            <w:right w:val="none" w:sz="0" w:space="0" w:color="auto"/>
          </w:divBdr>
        </w:div>
        <w:div w:id="1702391360">
          <w:marLeft w:val="1181"/>
          <w:marRight w:val="0"/>
          <w:marTop w:val="168"/>
          <w:marBottom w:val="0"/>
          <w:divBdr>
            <w:top w:val="none" w:sz="0" w:space="0" w:color="auto"/>
            <w:left w:val="none" w:sz="0" w:space="0" w:color="auto"/>
            <w:bottom w:val="none" w:sz="0" w:space="0" w:color="auto"/>
            <w:right w:val="none" w:sz="0" w:space="0" w:color="auto"/>
          </w:divBdr>
        </w:div>
      </w:divsChild>
    </w:div>
    <w:div w:id="1277637842">
      <w:bodyDiv w:val="1"/>
      <w:marLeft w:val="0"/>
      <w:marRight w:val="0"/>
      <w:marTop w:val="0"/>
      <w:marBottom w:val="0"/>
      <w:divBdr>
        <w:top w:val="none" w:sz="0" w:space="0" w:color="auto"/>
        <w:left w:val="none" w:sz="0" w:space="0" w:color="auto"/>
        <w:bottom w:val="none" w:sz="0" w:space="0" w:color="auto"/>
        <w:right w:val="none" w:sz="0" w:space="0" w:color="auto"/>
      </w:divBdr>
    </w:div>
    <w:div w:id="1277711411">
      <w:bodyDiv w:val="1"/>
      <w:marLeft w:val="0"/>
      <w:marRight w:val="0"/>
      <w:marTop w:val="0"/>
      <w:marBottom w:val="0"/>
      <w:divBdr>
        <w:top w:val="none" w:sz="0" w:space="0" w:color="auto"/>
        <w:left w:val="none" w:sz="0" w:space="0" w:color="auto"/>
        <w:bottom w:val="none" w:sz="0" w:space="0" w:color="auto"/>
        <w:right w:val="none" w:sz="0" w:space="0" w:color="auto"/>
      </w:divBdr>
    </w:div>
    <w:div w:id="1303119943">
      <w:bodyDiv w:val="1"/>
      <w:marLeft w:val="0"/>
      <w:marRight w:val="0"/>
      <w:marTop w:val="0"/>
      <w:marBottom w:val="0"/>
      <w:divBdr>
        <w:top w:val="none" w:sz="0" w:space="0" w:color="auto"/>
        <w:left w:val="none" w:sz="0" w:space="0" w:color="auto"/>
        <w:bottom w:val="none" w:sz="0" w:space="0" w:color="auto"/>
        <w:right w:val="none" w:sz="0" w:space="0" w:color="auto"/>
      </w:divBdr>
    </w:div>
    <w:div w:id="1308511803">
      <w:bodyDiv w:val="1"/>
      <w:marLeft w:val="0"/>
      <w:marRight w:val="0"/>
      <w:marTop w:val="0"/>
      <w:marBottom w:val="0"/>
      <w:divBdr>
        <w:top w:val="none" w:sz="0" w:space="0" w:color="auto"/>
        <w:left w:val="none" w:sz="0" w:space="0" w:color="auto"/>
        <w:bottom w:val="none" w:sz="0" w:space="0" w:color="auto"/>
        <w:right w:val="none" w:sz="0" w:space="0" w:color="auto"/>
      </w:divBdr>
    </w:div>
    <w:div w:id="1309089335">
      <w:bodyDiv w:val="1"/>
      <w:marLeft w:val="0"/>
      <w:marRight w:val="0"/>
      <w:marTop w:val="0"/>
      <w:marBottom w:val="0"/>
      <w:divBdr>
        <w:top w:val="none" w:sz="0" w:space="0" w:color="auto"/>
        <w:left w:val="none" w:sz="0" w:space="0" w:color="auto"/>
        <w:bottom w:val="none" w:sz="0" w:space="0" w:color="auto"/>
        <w:right w:val="none" w:sz="0" w:space="0" w:color="auto"/>
      </w:divBdr>
    </w:div>
    <w:div w:id="1309283574">
      <w:bodyDiv w:val="1"/>
      <w:marLeft w:val="0"/>
      <w:marRight w:val="0"/>
      <w:marTop w:val="0"/>
      <w:marBottom w:val="0"/>
      <w:divBdr>
        <w:top w:val="none" w:sz="0" w:space="0" w:color="auto"/>
        <w:left w:val="none" w:sz="0" w:space="0" w:color="auto"/>
        <w:bottom w:val="none" w:sz="0" w:space="0" w:color="auto"/>
        <w:right w:val="none" w:sz="0" w:space="0" w:color="auto"/>
      </w:divBdr>
      <w:divsChild>
        <w:div w:id="1124225849">
          <w:marLeft w:val="0"/>
          <w:marRight w:val="0"/>
          <w:marTop w:val="0"/>
          <w:marBottom w:val="0"/>
          <w:divBdr>
            <w:top w:val="none" w:sz="0" w:space="0" w:color="auto"/>
            <w:left w:val="none" w:sz="0" w:space="0" w:color="auto"/>
            <w:bottom w:val="none" w:sz="0" w:space="0" w:color="auto"/>
            <w:right w:val="none" w:sz="0" w:space="0" w:color="auto"/>
          </w:divBdr>
        </w:div>
      </w:divsChild>
    </w:div>
    <w:div w:id="1311595759">
      <w:bodyDiv w:val="1"/>
      <w:marLeft w:val="0"/>
      <w:marRight w:val="0"/>
      <w:marTop w:val="0"/>
      <w:marBottom w:val="0"/>
      <w:divBdr>
        <w:top w:val="none" w:sz="0" w:space="0" w:color="auto"/>
        <w:left w:val="none" w:sz="0" w:space="0" w:color="auto"/>
        <w:bottom w:val="none" w:sz="0" w:space="0" w:color="auto"/>
        <w:right w:val="none" w:sz="0" w:space="0" w:color="auto"/>
      </w:divBdr>
    </w:div>
    <w:div w:id="1319266182">
      <w:bodyDiv w:val="1"/>
      <w:marLeft w:val="0"/>
      <w:marRight w:val="0"/>
      <w:marTop w:val="0"/>
      <w:marBottom w:val="0"/>
      <w:divBdr>
        <w:top w:val="none" w:sz="0" w:space="0" w:color="auto"/>
        <w:left w:val="none" w:sz="0" w:space="0" w:color="auto"/>
        <w:bottom w:val="none" w:sz="0" w:space="0" w:color="auto"/>
        <w:right w:val="none" w:sz="0" w:space="0" w:color="auto"/>
      </w:divBdr>
    </w:div>
    <w:div w:id="1320184651">
      <w:bodyDiv w:val="1"/>
      <w:marLeft w:val="0"/>
      <w:marRight w:val="0"/>
      <w:marTop w:val="0"/>
      <w:marBottom w:val="0"/>
      <w:divBdr>
        <w:top w:val="none" w:sz="0" w:space="0" w:color="auto"/>
        <w:left w:val="none" w:sz="0" w:space="0" w:color="auto"/>
        <w:bottom w:val="none" w:sz="0" w:space="0" w:color="auto"/>
        <w:right w:val="none" w:sz="0" w:space="0" w:color="auto"/>
      </w:divBdr>
    </w:div>
    <w:div w:id="1320577063">
      <w:bodyDiv w:val="1"/>
      <w:marLeft w:val="0"/>
      <w:marRight w:val="0"/>
      <w:marTop w:val="0"/>
      <w:marBottom w:val="0"/>
      <w:divBdr>
        <w:top w:val="none" w:sz="0" w:space="0" w:color="auto"/>
        <w:left w:val="none" w:sz="0" w:space="0" w:color="auto"/>
        <w:bottom w:val="none" w:sz="0" w:space="0" w:color="auto"/>
        <w:right w:val="none" w:sz="0" w:space="0" w:color="auto"/>
      </w:divBdr>
      <w:divsChild>
        <w:div w:id="185217210">
          <w:marLeft w:val="475"/>
          <w:marRight w:val="0"/>
          <w:marTop w:val="168"/>
          <w:marBottom w:val="0"/>
          <w:divBdr>
            <w:top w:val="none" w:sz="0" w:space="0" w:color="auto"/>
            <w:left w:val="none" w:sz="0" w:space="0" w:color="auto"/>
            <w:bottom w:val="none" w:sz="0" w:space="0" w:color="auto"/>
            <w:right w:val="none" w:sz="0" w:space="0" w:color="auto"/>
          </w:divBdr>
        </w:div>
        <w:div w:id="605506261">
          <w:marLeft w:val="475"/>
          <w:marRight w:val="0"/>
          <w:marTop w:val="168"/>
          <w:marBottom w:val="0"/>
          <w:divBdr>
            <w:top w:val="none" w:sz="0" w:space="0" w:color="auto"/>
            <w:left w:val="none" w:sz="0" w:space="0" w:color="auto"/>
            <w:bottom w:val="none" w:sz="0" w:space="0" w:color="auto"/>
            <w:right w:val="none" w:sz="0" w:space="0" w:color="auto"/>
          </w:divBdr>
        </w:div>
        <w:div w:id="976029398">
          <w:marLeft w:val="1181"/>
          <w:marRight w:val="0"/>
          <w:marTop w:val="168"/>
          <w:marBottom w:val="0"/>
          <w:divBdr>
            <w:top w:val="none" w:sz="0" w:space="0" w:color="auto"/>
            <w:left w:val="none" w:sz="0" w:space="0" w:color="auto"/>
            <w:bottom w:val="none" w:sz="0" w:space="0" w:color="auto"/>
            <w:right w:val="none" w:sz="0" w:space="0" w:color="auto"/>
          </w:divBdr>
        </w:div>
        <w:div w:id="1238516462">
          <w:marLeft w:val="1181"/>
          <w:marRight w:val="0"/>
          <w:marTop w:val="168"/>
          <w:marBottom w:val="0"/>
          <w:divBdr>
            <w:top w:val="none" w:sz="0" w:space="0" w:color="auto"/>
            <w:left w:val="none" w:sz="0" w:space="0" w:color="auto"/>
            <w:bottom w:val="none" w:sz="0" w:space="0" w:color="auto"/>
            <w:right w:val="none" w:sz="0" w:space="0" w:color="auto"/>
          </w:divBdr>
        </w:div>
        <w:div w:id="1463646016">
          <w:marLeft w:val="475"/>
          <w:marRight w:val="0"/>
          <w:marTop w:val="168"/>
          <w:marBottom w:val="0"/>
          <w:divBdr>
            <w:top w:val="none" w:sz="0" w:space="0" w:color="auto"/>
            <w:left w:val="none" w:sz="0" w:space="0" w:color="auto"/>
            <w:bottom w:val="none" w:sz="0" w:space="0" w:color="auto"/>
            <w:right w:val="none" w:sz="0" w:space="0" w:color="auto"/>
          </w:divBdr>
        </w:div>
        <w:div w:id="1626279530">
          <w:marLeft w:val="475"/>
          <w:marRight w:val="0"/>
          <w:marTop w:val="168"/>
          <w:marBottom w:val="0"/>
          <w:divBdr>
            <w:top w:val="none" w:sz="0" w:space="0" w:color="auto"/>
            <w:left w:val="none" w:sz="0" w:space="0" w:color="auto"/>
            <w:bottom w:val="none" w:sz="0" w:space="0" w:color="auto"/>
            <w:right w:val="none" w:sz="0" w:space="0" w:color="auto"/>
          </w:divBdr>
        </w:div>
        <w:div w:id="1824811314">
          <w:marLeft w:val="475"/>
          <w:marRight w:val="0"/>
          <w:marTop w:val="168"/>
          <w:marBottom w:val="0"/>
          <w:divBdr>
            <w:top w:val="none" w:sz="0" w:space="0" w:color="auto"/>
            <w:left w:val="none" w:sz="0" w:space="0" w:color="auto"/>
            <w:bottom w:val="none" w:sz="0" w:space="0" w:color="auto"/>
            <w:right w:val="none" w:sz="0" w:space="0" w:color="auto"/>
          </w:divBdr>
        </w:div>
        <w:div w:id="1836385047">
          <w:marLeft w:val="475"/>
          <w:marRight w:val="0"/>
          <w:marTop w:val="168"/>
          <w:marBottom w:val="0"/>
          <w:divBdr>
            <w:top w:val="none" w:sz="0" w:space="0" w:color="auto"/>
            <w:left w:val="none" w:sz="0" w:space="0" w:color="auto"/>
            <w:bottom w:val="none" w:sz="0" w:space="0" w:color="auto"/>
            <w:right w:val="none" w:sz="0" w:space="0" w:color="auto"/>
          </w:divBdr>
        </w:div>
        <w:div w:id="2108234326">
          <w:marLeft w:val="475"/>
          <w:marRight w:val="0"/>
          <w:marTop w:val="168"/>
          <w:marBottom w:val="0"/>
          <w:divBdr>
            <w:top w:val="none" w:sz="0" w:space="0" w:color="auto"/>
            <w:left w:val="none" w:sz="0" w:space="0" w:color="auto"/>
            <w:bottom w:val="none" w:sz="0" w:space="0" w:color="auto"/>
            <w:right w:val="none" w:sz="0" w:space="0" w:color="auto"/>
          </w:divBdr>
        </w:div>
      </w:divsChild>
    </w:div>
    <w:div w:id="1321156504">
      <w:bodyDiv w:val="1"/>
      <w:marLeft w:val="0"/>
      <w:marRight w:val="0"/>
      <w:marTop w:val="0"/>
      <w:marBottom w:val="0"/>
      <w:divBdr>
        <w:top w:val="none" w:sz="0" w:space="0" w:color="auto"/>
        <w:left w:val="none" w:sz="0" w:space="0" w:color="auto"/>
        <w:bottom w:val="none" w:sz="0" w:space="0" w:color="auto"/>
        <w:right w:val="none" w:sz="0" w:space="0" w:color="auto"/>
      </w:divBdr>
    </w:div>
    <w:div w:id="1321274542">
      <w:bodyDiv w:val="1"/>
      <w:marLeft w:val="0"/>
      <w:marRight w:val="0"/>
      <w:marTop w:val="0"/>
      <w:marBottom w:val="0"/>
      <w:divBdr>
        <w:top w:val="none" w:sz="0" w:space="0" w:color="auto"/>
        <w:left w:val="none" w:sz="0" w:space="0" w:color="auto"/>
        <w:bottom w:val="none" w:sz="0" w:space="0" w:color="auto"/>
        <w:right w:val="none" w:sz="0" w:space="0" w:color="auto"/>
      </w:divBdr>
    </w:div>
    <w:div w:id="1328248436">
      <w:bodyDiv w:val="1"/>
      <w:marLeft w:val="0"/>
      <w:marRight w:val="0"/>
      <w:marTop w:val="0"/>
      <w:marBottom w:val="0"/>
      <w:divBdr>
        <w:top w:val="none" w:sz="0" w:space="0" w:color="auto"/>
        <w:left w:val="none" w:sz="0" w:space="0" w:color="auto"/>
        <w:bottom w:val="none" w:sz="0" w:space="0" w:color="auto"/>
        <w:right w:val="none" w:sz="0" w:space="0" w:color="auto"/>
      </w:divBdr>
    </w:div>
    <w:div w:id="1331519089">
      <w:bodyDiv w:val="1"/>
      <w:marLeft w:val="0"/>
      <w:marRight w:val="0"/>
      <w:marTop w:val="0"/>
      <w:marBottom w:val="0"/>
      <w:divBdr>
        <w:top w:val="none" w:sz="0" w:space="0" w:color="auto"/>
        <w:left w:val="none" w:sz="0" w:space="0" w:color="auto"/>
        <w:bottom w:val="none" w:sz="0" w:space="0" w:color="auto"/>
        <w:right w:val="none" w:sz="0" w:space="0" w:color="auto"/>
      </w:divBdr>
    </w:div>
    <w:div w:id="1334064803">
      <w:bodyDiv w:val="1"/>
      <w:marLeft w:val="0"/>
      <w:marRight w:val="0"/>
      <w:marTop w:val="0"/>
      <w:marBottom w:val="0"/>
      <w:divBdr>
        <w:top w:val="none" w:sz="0" w:space="0" w:color="auto"/>
        <w:left w:val="none" w:sz="0" w:space="0" w:color="auto"/>
        <w:bottom w:val="none" w:sz="0" w:space="0" w:color="auto"/>
        <w:right w:val="none" w:sz="0" w:space="0" w:color="auto"/>
      </w:divBdr>
    </w:div>
    <w:div w:id="1356274307">
      <w:bodyDiv w:val="1"/>
      <w:marLeft w:val="0"/>
      <w:marRight w:val="0"/>
      <w:marTop w:val="0"/>
      <w:marBottom w:val="0"/>
      <w:divBdr>
        <w:top w:val="none" w:sz="0" w:space="0" w:color="auto"/>
        <w:left w:val="none" w:sz="0" w:space="0" w:color="auto"/>
        <w:bottom w:val="none" w:sz="0" w:space="0" w:color="auto"/>
        <w:right w:val="none" w:sz="0" w:space="0" w:color="auto"/>
      </w:divBdr>
    </w:div>
    <w:div w:id="1356348969">
      <w:bodyDiv w:val="1"/>
      <w:marLeft w:val="0"/>
      <w:marRight w:val="0"/>
      <w:marTop w:val="0"/>
      <w:marBottom w:val="0"/>
      <w:divBdr>
        <w:top w:val="none" w:sz="0" w:space="0" w:color="auto"/>
        <w:left w:val="none" w:sz="0" w:space="0" w:color="auto"/>
        <w:bottom w:val="none" w:sz="0" w:space="0" w:color="auto"/>
        <w:right w:val="none" w:sz="0" w:space="0" w:color="auto"/>
      </w:divBdr>
      <w:divsChild>
        <w:div w:id="1033001505">
          <w:marLeft w:val="0"/>
          <w:marRight w:val="0"/>
          <w:marTop w:val="0"/>
          <w:marBottom w:val="81"/>
          <w:divBdr>
            <w:top w:val="none" w:sz="0" w:space="0" w:color="auto"/>
            <w:left w:val="none" w:sz="0" w:space="0" w:color="auto"/>
            <w:bottom w:val="none" w:sz="0" w:space="0" w:color="auto"/>
            <w:right w:val="none" w:sz="0" w:space="0" w:color="auto"/>
          </w:divBdr>
          <w:divsChild>
            <w:div w:id="242446743">
              <w:marLeft w:val="0"/>
              <w:marRight w:val="0"/>
              <w:marTop w:val="0"/>
              <w:marBottom w:val="81"/>
              <w:divBdr>
                <w:top w:val="none" w:sz="0" w:space="0" w:color="auto"/>
                <w:left w:val="none" w:sz="0" w:space="0" w:color="auto"/>
                <w:bottom w:val="none" w:sz="0" w:space="0" w:color="auto"/>
                <w:right w:val="none" w:sz="0" w:space="0" w:color="auto"/>
              </w:divBdr>
            </w:div>
            <w:div w:id="1919093319">
              <w:marLeft w:val="0"/>
              <w:marRight w:val="0"/>
              <w:marTop w:val="0"/>
              <w:marBottom w:val="0"/>
              <w:divBdr>
                <w:top w:val="none" w:sz="0" w:space="0" w:color="auto"/>
                <w:left w:val="none" w:sz="0" w:space="0" w:color="auto"/>
                <w:bottom w:val="none" w:sz="0" w:space="0" w:color="auto"/>
                <w:right w:val="none" w:sz="0" w:space="0" w:color="auto"/>
              </w:divBdr>
              <w:divsChild>
                <w:div w:id="1645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9193">
          <w:marLeft w:val="0"/>
          <w:marRight w:val="0"/>
          <w:marTop w:val="0"/>
          <w:marBottom w:val="0"/>
          <w:divBdr>
            <w:top w:val="none" w:sz="0" w:space="0" w:color="auto"/>
            <w:left w:val="none" w:sz="0" w:space="0" w:color="auto"/>
            <w:bottom w:val="none" w:sz="0" w:space="0" w:color="auto"/>
            <w:right w:val="none" w:sz="0" w:space="0" w:color="auto"/>
          </w:divBdr>
        </w:div>
      </w:divsChild>
    </w:div>
    <w:div w:id="1368720881">
      <w:bodyDiv w:val="1"/>
      <w:marLeft w:val="0"/>
      <w:marRight w:val="0"/>
      <w:marTop w:val="0"/>
      <w:marBottom w:val="0"/>
      <w:divBdr>
        <w:top w:val="none" w:sz="0" w:space="0" w:color="auto"/>
        <w:left w:val="none" w:sz="0" w:space="0" w:color="auto"/>
        <w:bottom w:val="none" w:sz="0" w:space="0" w:color="auto"/>
        <w:right w:val="none" w:sz="0" w:space="0" w:color="auto"/>
      </w:divBdr>
    </w:div>
    <w:div w:id="1370953506">
      <w:bodyDiv w:val="1"/>
      <w:marLeft w:val="0"/>
      <w:marRight w:val="0"/>
      <w:marTop w:val="0"/>
      <w:marBottom w:val="0"/>
      <w:divBdr>
        <w:top w:val="none" w:sz="0" w:space="0" w:color="auto"/>
        <w:left w:val="none" w:sz="0" w:space="0" w:color="auto"/>
        <w:bottom w:val="none" w:sz="0" w:space="0" w:color="auto"/>
        <w:right w:val="none" w:sz="0" w:space="0" w:color="auto"/>
      </w:divBdr>
      <w:divsChild>
        <w:div w:id="1438284271">
          <w:marLeft w:val="100"/>
          <w:marRight w:val="0"/>
          <w:marTop w:val="0"/>
          <w:marBottom w:val="0"/>
          <w:divBdr>
            <w:top w:val="none" w:sz="0" w:space="0" w:color="auto"/>
            <w:left w:val="none" w:sz="0" w:space="0" w:color="auto"/>
            <w:bottom w:val="none" w:sz="0" w:space="0" w:color="auto"/>
            <w:right w:val="none" w:sz="0" w:space="0" w:color="auto"/>
          </w:divBdr>
        </w:div>
        <w:div w:id="1770733911">
          <w:marLeft w:val="100"/>
          <w:marRight w:val="0"/>
          <w:marTop w:val="0"/>
          <w:marBottom w:val="0"/>
          <w:divBdr>
            <w:top w:val="none" w:sz="0" w:space="0" w:color="auto"/>
            <w:left w:val="none" w:sz="0" w:space="0" w:color="auto"/>
            <w:bottom w:val="none" w:sz="0" w:space="0" w:color="auto"/>
            <w:right w:val="none" w:sz="0" w:space="0" w:color="auto"/>
          </w:divBdr>
          <w:divsChild>
            <w:div w:id="1099525727">
              <w:marLeft w:val="0"/>
              <w:marRight w:val="0"/>
              <w:marTop w:val="0"/>
              <w:marBottom w:val="0"/>
              <w:divBdr>
                <w:top w:val="none" w:sz="0" w:space="0" w:color="auto"/>
                <w:left w:val="none" w:sz="0" w:space="0" w:color="auto"/>
                <w:bottom w:val="none" w:sz="0" w:space="0" w:color="auto"/>
                <w:right w:val="none" w:sz="0" w:space="0" w:color="auto"/>
              </w:divBdr>
              <w:divsChild>
                <w:div w:id="45762422">
                  <w:marLeft w:val="0"/>
                  <w:marRight w:val="0"/>
                  <w:marTop w:val="240"/>
                  <w:marBottom w:val="120"/>
                  <w:divBdr>
                    <w:top w:val="none" w:sz="0" w:space="0" w:color="auto"/>
                    <w:left w:val="none" w:sz="0" w:space="0" w:color="auto"/>
                    <w:bottom w:val="none" w:sz="0" w:space="0" w:color="auto"/>
                    <w:right w:val="none" w:sz="0" w:space="0" w:color="auto"/>
                  </w:divBdr>
                </w:div>
                <w:div w:id="763722365">
                  <w:marLeft w:val="0"/>
                  <w:marRight w:val="0"/>
                  <w:marTop w:val="0"/>
                  <w:marBottom w:val="0"/>
                  <w:divBdr>
                    <w:top w:val="none" w:sz="0" w:space="0" w:color="auto"/>
                    <w:left w:val="none" w:sz="0" w:space="0" w:color="auto"/>
                    <w:bottom w:val="none" w:sz="0" w:space="0" w:color="auto"/>
                    <w:right w:val="none" w:sz="0" w:space="0" w:color="auto"/>
                  </w:divBdr>
                  <w:divsChild>
                    <w:div w:id="698510221">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sChild>
    </w:div>
    <w:div w:id="1373993277">
      <w:bodyDiv w:val="1"/>
      <w:marLeft w:val="0"/>
      <w:marRight w:val="0"/>
      <w:marTop w:val="0"/>
      <w:marBottom w:val="0"/>
      <w:divBdr>
        <w:top w:val="none" w:sz="0" w:space="0" w:color="auto"/>
        <w:left w:val="none" w:sz="0" w:space="0" w:color="auto"/>
        <w:bottom w:val="none" w:sz="0" w:space="0" w:color="auto"/>
        <w:right w:val="none" w:sz="0" w:space="0" w:color="auto"/>
      </w:divBdr>
    </w:div>
    <w:div w:id="1393457009">
      <w:bodyDiv w:val="1"/>
      <w:marLeft w:val="0"/>
      <w:marRight w:val="0"/>
      <w:marTop w:val="0"/>
      <w:marBottom w:val="0"/>
      <w:divBdr>
        <w:top w:val="none" w:sz="0" w:space="0" w:color="auto"/>
        <w:left w:val="none" w:sz="0" w:space="0" w:color="auto"/>
        <w:bottom w:val="none" w:sz="0" w:space="0" w:color="auto"/>
        <w:right w:val="none" w:sz="0" w:space="0" w:color="auto"/>
      </w:divBdr>
    </w:div>
    <w:div w:id="1394739360">
      <w:bodyDiv w:val="1"/>
      <w:marLeft w:val="0"/>
      <w:marRight w:val="0"/>
      <w:marTop w:val="0"/>
      <w:marBottom w:val="0"/>
      <w:divBdr>
        <w:top w:val="none" w:sz="0" w:space="0" w:color="auto"/>
        <w:left w:val="none" w:sz="0" w:space="0" w:color="auto"/>
        <w:bottom w:val="none" w:sz="0" w:space="0" w:color="auto"/>
        <w:right w:val="none" w:sz="0" w:space="0" w:color="auto"/>
      </w:divBdr>
    </w:div>
    <w:div w:id="1397782088">
      <w:bodyDiv w:val="1"/>
      <w:marLeft w:val="0"/>
      <w:marRight w:val="0"/>
      <w:marTop w:val="0"/>
      <w:marBottom w:val="0"/>
      <w:divBdr>
        <w:top w:val="none" w:sz="0" w:space="0" w:color="auto"/>
        <w:left w:val="none" w:sz="0" w:space="0" w:color="auto"/>
        <w:bottom w:val="none" w:sz="0" w:space="0" w:color="auto"/>
        <w:right w:val="none" w:sz="0" w:space="0" w:color="auto"/>
      </w:divBdr>
    </w:div>
    <w:div w:id="1405100835">
      <w:bodyDiv w:val="1"/>
      <w:marLeft w:val="0"/>
      <w:marRight w:val="0"/>
      <w:marTop w:val="0"/>
      <w:marBottom w:val="0"/>
      <w:divBdr>
        <w:top w:val="none" w:sz="0" w:space="0" w:color="auto"/>
        <w:left w:val="none" w:sz="0" w:space="0" w:color="auto"/>
        <w:bottom w:val="none" w:sz="0" w:space="0" w:color="auto"/>
        <w:right w:val="none" w:sz="0" w:space="0" w:color="auto"/>
      </w:divBdr>
      <w:divsChild>
        <w:div w:id="82576811">
          <w:marLeft w:val="0"/>
          <w:marRight w:val="54"/>
          <w:marTop w:val="0"/>
          <w:marBottom w:val="0"/>
          <w:divBdr>
            <w:top w:val="none" w:sz="0" w:space="0" w:color="auto"/>
            <w:left w:val="none" w:sz="0" w:space="0" w:color="auto"/>
            <w:bottom w:val="none" w:sz="0" w:space="0" w:color="auto"/>
            <w:right w:val="none" w:sz="0" w:space="0" w:color="auto"/>
          </w:divBdr>
        </w:div>
        <w:div w:id="2141455589">
          <w:marLeft w:val="0"/>
          <w:marRight w:val="54"/>
          <w:marTop w:val="0"/>
          <w:marBottom w:val="0"/>
          <w:divBdr>
            <w:top w:val="none" w:sz="0" w:space="0" w:color="auto"/>
            <w:left w:val="none" w:sz="0" w:space="0" w:color="auto"/>
            <w:bottom w:val="none" w:sz="0" w:space="0" w:color="auto"/>
            <w:right w:val="none" w:sz="0" w:space="0" w:color="auto"/>
          </w:divBdr>
        </w:div>
      </w:divsChild>
    </w:div>
    <w:div w:id="1409300958">
      <w:bodyDiv w:val="1"/>
      <w:marLeft w:val="0"/>
      <w:marRight w:val="0"/>
      <w:marTop w:val="0"/>
      <w:marBottom w:val="0"/>
      <w:divBdr>
        <w:top w:val="none" w:sz="0" w:space="0" w:color="auto"/>
        <w:left w:val="none" w:sz="0" w:space="0" w:color="auto"/>
        <w:bottom w:val="none" w:sz="0" w:space="0" w:color="auto"/>
        <w:right w:val="none" w:sz="0" w:space="0" w:color="auto"/>
      </w:divBdr>
    </w:div>
    <w:div w:id="1412049003">
      <w:bodyDiv w:val="1"/>
      <w:marLeft w:val="0"/>
      <w:marRight w:val="0"/>
      <w:marTop w:val="0"/>
      <w:marBottom w:val="0"/>
      <w:divBdr>
        <w:top w:val="none" w:sz="0" w:space="0" w:color="auto"/>
        <w:left w:val="none" w:sz="0" w:space="0" w:color="auto"/>
        <w:bottom w:val="none" w:sz="0" w:space="0" w:color="auto"/>
        <w:right w:val="none" w:sz="0" w:space="0" w:color="auto"/>
      </w:divBdr>
      <w:divsChild>
        <w:div w:id="407844433">
          <w:marLeft w:val="475"/>
          <w:marRight w:val="0"/>
          <w:marTop w:val="168"/>
          <w:marBottom w:val="0"/>
          <w:divBdr>
            <w:top w:val="none" w:sz="0" w:space="0" w:color="auto"/>
            <w:left w:val="none" w:sz="0" w:space="0" w:color="auto"/>
            <w:bottom w:val="none" w:sz="0" w:space="0" w:color="auto"/>
            <w:right w:val="none" w:sz="0" w:space="0" w:color="auto"/>
          </w:divBdr>
        </w:div>
        <w:div w:id="683628843">
          <w:marLeft w:val="1181"/>
          <w:marRight w:val="0"/>
          <w:marTop w:val="168"/>
          <w:marBottom w:val="0"/>
          <w:divBdr>
            <w:top w:val="none" w:sz="0" w:space="0" w:color="auto"/>
            <w:left w:val="none" w:sz="0" w:space="0" w:color="auto"/>
            <w:bottom w:val="none" w:sz="0" w:space="0" w:color="auto"/>
            <w:right w:val="none" w:sz="0" w:space="0" w:color="auto"/>
          </w:divBdr>
        </w:div>
        <w:div w:id="688138183">
          <w:marLeft w:val="475"/>
          <w:marRight w:val="0"/>
          <w:marTop w:val="168"/>
          <w:marBottom w:val="0"/>
          <w:divBdr>
            <w:top w:val="none" w:sz="0" w:space="0" w:color="auto"/>
            <w:left w:val="none" w:sz="0" w:space="0" w:color="auto"/>
            <w:bottom w:val="none" w:sz="0" w:space="0" w:color="auto"/>
            <w:right w:val="none" w:sz="0" w:space="0" w:color="auto"/>
          </w:divBdr>
        </w:div>
        <w:div w:id="1113475300">
          <w:marLeft w:val="1181"/>
          <w:marRight w:val="0"/>
          <w:marTop w:val="168"/>
          <w:marBottom w:val="0"/>
          <w:divBdr>
            <w:top w:val="none" w:sz="0" w:space="0" w:color="auto"/>
            <w:left w:val="none" w:sz="0" w:space="0" w:color="auto"/>
            <w:bottom w:val="none" w:sz="0" w:space="0" w:color="auto"/>
            <w:right w:val="none" w:sz="0" w:space="0" w:color="auto"/>
          </w:divBdr>
        </w:div>
        <w:div w:id="1270972120">
          <w:marLeft w:val="475"/>
          <w:marRight w:val="0"/>
          <w:marTop w:val="168"/>
          <w:marBottom w:val="0"/>
          <w:divBdr>
            <w:top w:val="none" w:sz="0" w:space="0" w:color="auto"/>
            <w:left w:val="none" w:sz="0" w:space="0" w:color="auto"/>
            <w:bottom w:val="none" w:sz="0" w:space="0" w:color="auto"/>
            <w:right w:val="none" w:sz="0" w:space="0" w:color="auto"/>
          </w:divBdr>
        </w:div>
        <w:div w:id="1362585178">
          <w:marLeft w:val="1181"/>
          <w:marRight w:val="0"/>
          <w:marTop w:val="168"/>
          <w:marBottom w:val="0"/>
          <w:divBdr>
            <w:top w:val="none" w:sz="0" w:space="0" w:color="auto"/>
            <w:left w:val="none" w:sz="0" w:space="0" w:color="auto"/>
            <w:bottom w:val="none" w:sz="0" w:space="0" w:color="auto"/>
            <w:right w:val="none" w:sz="0" w:space="0" w:color="auto"/>
          </w:divBdr>
        </w:div>
        <w:div w:id="1433696365">
          <w:marLeft w:val="475"/>
          <w:marRight w:val="0"/>
          <w:marTop w:val="168"/>
          <w:marBottom w:val="0"/>
          <w:divBdr>
            <w:top w:val="none" w:sz="0" w:space="0" w:color="auto"/>
            <w:left w:val="none" w:sz="0" w:space="0" w:color="auto"/>
            <w:bottom w:val="none" w:sz="0" w:space="0" w:color="auto"/>
            <w:right w:val="none" w:sz="0" w:space="0" w:color="auto"/>
          </w:divBdr>
        </w:div>
        <w:div w:id="1992055847">
          <w:marLeft w:val="475"/>
          <w:marRight w:val="0"/>
          <w:marTop w:val="168"/>
          <w:marBottom w:val="0"/>
          <w:divBdr>
            <w:top w:val="none" w:sz="0" w:space="0" w:color="auto"/>
            <w:left w:val="none" w:sz="0" w:space="0" w:color="auto"/>
            <w:bottom w:val="none" w:sz="0" w:space="0" w:color="auto"/>
            <w:right w:val="none" w:sz="0" w:space="0" w:color="auto"/>
          </w:divBdr>
        </w:div>
        <w:div w:id="2057391545">
          <w:marLeft w:val="475"/>
          <w:marRight w:val="0"/>
          <w:marTop w:val="168"/>
          <w:marBottom w:val="0"/>
          <w:divBdr>
            <w:top w:val="none" w:sz="0" w:space="0" w:color="auto"/>
            <w:left w:val="none" w:sz="0" w:space="0" w:color="auto"/>
            <w:bottom w:val="none" w:sz="0" w:space="0" w:color="auto"/>
            <w:right w:val="none" w:sz="0" w:space="0" w:color="auto"/>
          </w:divBdr>
        </w:div>
        <w:div w:id="2069913685">
          <w:marLeft w:val="1181"/>
          <w:marRight w:val="0"/>
          <w:marTop w:val="168"/>
          <w:marBottom w:val="0"/>
          <w:divBdr>
            <w:top w:val="none" w:sz="0" w:space="0" w:color="auto"/>
            <w:left w:val="none" w:sz="0" w:space="0" w:color="auto"/>
            <w:bottom w:val="none" w:sz="0" w:space="0" w:color="auto"/>
            <w:right w:val="none" w:sz="0" w:space="0" w:color="auto"/>
          </w:divBdr>
        </w:div>
      </w:divsChild>
    </w:div>
    <w:div w:id="1414618938">
      <w:bodyDiv w:val="1"/>
      <w:marLeft w:val="0"/>
      <w:marRight w:val="0"/>
      <w:marTop w:val="0"/>
      <w:marBottom w:val="0"/>
      <w:divBdr>
        <w:top w:val="none" w:sz="0" w:space="0" w:color="auto"/>
        <w:left w:val="none" w:sz="0" w:space="0" w:color="auto"/>
        <w:bottom w:val="none" w:sz="0" w:space="0" w:color="auto"/>
        <w:right w:val="none" w:sz="0" w:space="0" w:color="auto"/>
      </w:divBdr>
      <w:divsChild>
        <w:div w:id="309991607">
          <w:marLeft w:val="475"/>
          <w:marRight w:val="0"/>
          <w:marTop w:val="168"/>
          <w:marBottom w:val="0"/>
          <w:divBdr>
            <w:top w:val="none" w:sz="0" w:space="0" w:color="auto"/>
            <w:left w:val="none" w:sz="0" w:space="0" w:color="auto"/>
            <w:bottom w:val="none" w:sz="0" w:space="0" w:color="auto"/>
            <w:right w:val="none" w:sz="0" w:space="0" w:color="auto"/>
          </w:divBdr>
        </w:div>
        <w:div w:id="624696848">
          <w:marLeft w:val="475"/>
          <w:marRight w:val="0"/>
          <w:marTop w:val="168"/>
          <w:marBottom w:val="0"/>
          <w:divBdr>
            <w:top w:val="none" w:sz="0" w:space="0" w:color="auto"/>
            <w:left w:val="none" w:sz="0" w:space="0" w:color="auto"/>
            <w:bottom w:val="none" w:sz="0" w:space="0" w:color="auto"/>
            <w:right w:val="none" w:sz="0" w:space="0" w:color="auto"/>
          </w:divBdr>
        </w:div>
        <w:div w:id="915555613">
          <w:marLeft w:val="475"/>
          <w:marRight w:val="0"/>
          <w:marTop w:val="168"/>
          <w:marBottom w:val="0"/>
          <w:divBdr>
            <w:top w:val="none" w:sz="0" w:space="0" w:color="auto"/>
            <w:left w:val="none" w:sz="0" w:space="0" w:color="auto"/>
            <w:bottom w:val="none" w:sz="0" w:space="0" w:color="auto"/>
            <w:right w:val="none" w:sz="0" w:space="0" w:color="auto"/>
          </w:divBdr>
        </w:div>
        <w:div w:id="1010136249">
          <w:marLeft w:val="475"/>
          <w:marRight w:val="0"/>
          <w:marTop w:val="168"/>
          <w:marBottom w:val="0"/>
          <w:divBdr>
            <w:top w:val="none" w:sz="0" w:space="0" w:color="auto"/>
            <w:left w:val="none" w:sz="0" w:space="0" w:color="auto"/>
            <w:bottom w:val="none" w:sz="0" w:space="0" w:color="auto"/>
            <w:right w:val="none" w:sz="0" w:space="0" w:color="auto"/>
          </w:divBdr>
        </w:div>
        <w:div w:id="1470784858">
          <w:marLeft w:val="475"/>
          <w:marRight w:val="0"/>
          <w:marTop w:val="168"/>
          <w:marBottom w:val="0"/>
          <w:divBdr>
            <w:top w:val="none" w:sz="0" w:space="0" w:color="auto"/>
            <w:left w:val="none" w:sz="0" w:space="0" w:color="auto"/>
            <w:bottom w:val="none" w:sz="0" w:space="0" w:color="auto"/>
            <w:right w:val="none" w:sz="0" w:space="0" w:color="auto"/>
          </w:divBdr>
        </w:div>
        <w:div w:id="1931502540">
          <w:marLeft w:val="475"/>
          <w:marRight w:val="0"/>
          <w:marTop w:val="168"/>
          <w:marBottom w:val="0"/>
          <w:divBdr>
            <w:top w:val="none" w:sz="0" w:space="0" w:color="auto"/>
            <w:left w:val="none" w:sz="0" w:space="0" w:color="auto"/>
            <w:bottom w:val="none" w:sz="0" w:space="0" w:color="auto"/>
            <w:right w:val="none" w:sz="0" w:space="0" w:color="auto"/>
          </w:divBdr>
        </w:div>
        <w:div w:id="2038504541">
          <w:marLeft w:val="475"/>
          <w:marRight w:val="0"/>
          <w:marTop w:val="168"/>
          <w:marBottom w:val="0"/>
          <w:divBdr>
            <w:top w:val="none" w:sz="0" w:space="0" w:color="auto"/>
            <w:left w:val="none" w:sz="0" w:space="0" w:color="auto"/>
            <w:bottom w:val="none" w:sz="0" w:space="0" w:color="auto"/>
            <w:right w:val="none" w:sz="0" w:space="0" w:color="auto"/>
          </w:divBdr>
        </w:div>
        <w:div w:id="2086489591">
          <w:marLeft w:val="475"/>
          <w:marRight w:val="0"/>
          <w:marTop w:val="168"/>
          <w:marBottom w:val="0"/>
          <w:divBdr>
            <w:top w:val="none" w:sz="0" w:space="0" w:color="auto"/>
            <w:left w:val="none" w:sz="0" w:space="0" w:color="auto"/>
            <w:bottom w:val="none" w:sz="0" w:space="0" w:color="auto"/>
            <w:right w:val="none" w:sz="0" w:space="0" w:color="auto"/>
          </w:divBdr>
        </w:div>
      </w:divsChild>
    </w:div>
    <w:div w:id="1414624120">
      <w:bodyDiv w:val="1"/>
      <w:marLeft w:val="0"/>
      <w:marRight w:val="0"/>
      <w:marTop w:val="0"/>
      <w:marBottom w:val="0"/>
      <w:divBdr>
        <w:top w:val="none" w:sz="0" w:space="0" w:color="auto"/>
        <w:left w:val="none" w:sz="0" w:space="0" w:color="auto"/>
        <w:bottom w:val="none" w:sz="0" w:space="0" w:color="auto"/>
        <w:right w:val="none" w:sz="0" w:space="0" w:color="auto"/>
      </w:divBdr>
    </w:div>
    <w:div w:id="1417628723">
      <w:bodyDiv w:val="1"/>
      <w:marLeft w:val="0"/>
      <w:marRight w:val="0"/>
      <w:marTop w:val="0"/>
      <w:marBottom w:val="0"/>
      <w:divBdr>
        <w:top w:val="none" w:sz="0" w:space="0" w:color="auto"/>
        <w:left w:val="none" w:sz="0" w:space="0" w:color="auto"/>
        <w:bottom w:val="none" w:sz="0" w:space="0" w:color="auto"/>
        <w:right w:val="none" w:sz="0" w:space="0" w:color="auto"/>
      </w:divBdr>
    </w:div>
    <w:div w:id="1419711429">
      <w:bodyDiv w:val="1"/>
      <w:marLeft w:val="0"/>
      <w:marRight w:val="0"/>
      <w:marTop w:val="0"/>
      <w:marBottom w:val="0"/>
      <w:divBdr>
        <w:top w:val="none" w:sz="0" w:space="0" w:color="auto"/>
        <w:left w:val="none" w:sz="0" w:space="0" w:color="auto"/>
        <w:bottom w:val="none" w:sz="0" w:space="0" w:color="auto"/>
        <w:right w:val="none" w:sz="0" w:space="0" w:color="auto"/>
      </w:divBdr>
    </w:div>
    <w:div w:id="1422333691">
      <w:bodyDiv w:val="1"/>
      <w:marLeft w:val="0"/>
      <w:marRight w:val="0"/>
      <w:marTop w:val="0"/>
      <w:marBottom w:val="0"/>
      <w:divBdr>
        <w:top w:val="none" w:sz="0" w:space="0" w:color="auto"/>
        <w:left w:val="none" w:sz="0" w:space="0" w:color="auto"/>
        <w:bottom w:val="none" w:sz="0" w:space="0" w:color="auto"/>
        <w:right w:val="none" w:sz="0" w:space="0" w:color="auto"/>
      </w:divBdr>
    </w:div>
    <w:div w:id="1424303794">
      <w:bodyDiv w:val="1"/>
      <w:marLeft w:val="0"/>
      <w:marRight w:val="0"/>
      <w:marTop w:val="0"/>
      <w:marBottom w:val="0"/>
      <w:divBdr>
        <w:top w:val="none" w:sz="0" w:space="0" w:color="auto"/>
        <w:left w:val="none" w:sz="0" w:space="0" w:color="auto"/>
        <w:bottom w:val="none" w:sz="0" w:space="0" w:color="auto"/>
        <w:right w:val="none" w:sz="0" w:space="0" w:color="auto"/>
      </w:divBdr>
    </w:div>
    <w:div w:id="1431047517">
      <w:bodyDiv w:val="1"/>
      <w:marLeft w:val="0"/>
      <w:marRight w:val="0"/>
      <w:marTop w:val="0"/>
      <w:marBottom w:val="0"/>
      <w:divBdr>
        <w:top w:val="none" w:sz="0" w:space="0" w:color="auto"/>
        <w:left w:val="none" w:sz="0" w:space="0" w:color="auto"/>
        <w:bottom w:val="none" w:sz="0" w:space="0" w:color="auto"/>
        <w:right w:val="none" w:sz="0" w:space="0" w:color="auto"/>
      </w:divBdr>
    </w:div>
    <w:div w:id="1432240489">
      <w:bodyDiv w:val="1"/>
      <w:marLeft w:val="0"/>
      <w:marRight w:val="0"/>
      <w:marTop w:val="0"/>
      <w:marBottom w:val="0"/>
      <w:divBdr>
        <w:top w:val="none" w:sz="0" w:space="0" w:color="auto"/>
        <w:left w:val="none" w:sz="0" w:space="0" w:color="auto"/>
        <w:bottom w:val="none" w:sz="0" w:space="0" w:color="auto"/>
        <w:right w:val="none" w:sz="0" w:space="0" w:color="auto"/>
      </w:divBdr>
      <w:divsChild>
        <w:div w:id="1440103092">
          <w:marLeft w:val="0"/>
          <w:marRight w:val="0"/>
          <w:marTop w:val="0"/>
          <w:marBottom w:val="450"/>
          <w:divBdr>
            <w:top w:val="none" w:sz="0" w:space="0" w:color="auto"/>
            <w:left w:val="none" w:sz="0" w:space="0" w:color="auto"/>
            <w:bottom w:val="none" w:sz="0" w:space="0" w:color="auto"/>
            <w:right w:val="none" w:sz="0" w:space="0" w:color="auto"/>
          </w:divBdr>
        </w:div>
        <w:div w:id="742534697">
          <w:marLeft w:val="0"/>
          <w:marRight w:val="0"/>
          <w:marTop w:val="375"/>
          <w:marBottom w:val="0"/>
          <w:divBdr>
            <w:top w:val="none" w:sz="0" w:space="0" w:color="auto"/>
            <w:left w:val="none" w:sz="0" w:space="0" w:color="auto"/>
            <w:bottom w:val="none" w:sz="0" w:space="0" w:color="auto"/>
            <w:right w:val="none" w:sz="0" w:space="0" w:color="auto"/>
          </w:divBdr>
        </w:div>
        <w:div w:id="1773013101">
          <w:marLeft w:val="0"/>
          <w:marRight w:val="0"/>
          <w:marTop w:val="0"/>
          <w:marBottom w:val="375"/>
          <w:divBdr>
            <w:top w:val="none" w:sz="0" w:space="1" w:color="auto"/>
            <w:left w:val="none" w:sz="0" w:space="8" w:color="auto"/>
            <w:bottom w:val="single" w:sz="24" w:space="1" w:color="BD1B21"/>
            <w:right w:val="none" w:sz="0" w:space="8" w:color="auto"/>
          </w:divBdr>
        </w:div>
        <w:div w:id="1468740958">
          <w:marLeft w:val="0"/>
          <w:marRight w:val="0"/>
          <w:marTop w:val="375"/>
          <w:marBottom w:val="0"/>
          <w:divBdr>
            <w:top w:val="none" w:sz="0" w:space="0" w:color="auto"/>
            <w:left w:val="none" w:sz="0" w:space="0" w:color="auto"/>
            <w:bottom w:val="none" w:sz="0" w:space="0" w:color="auto"/>
            <w:right w:val="none" w:sz="0" w:space="0" w:color="auto"/>
          </w:divBdr>
        </w:div>
        <w:div w:id="1927493724">
          <w:marLeft w:val="0"/>
          <w:marRight w:val="0"/>
          <w:marTop w:val="0"/>
          <w:marBottom w:val="375"/>
          <w:divBdr>
            <w:top w:val="none" w:sz="0" w:space="1" w:color="auto"/>
            <w:left w:val="none" w:sz="0" w:space="8" w:color="auto"/>
            <w:bottom w:val="single" w:sz="24" w:space="1" w:color="BD1B21"/>
            <w:right w:val="none" w:sz="0" w:space="8" w:color="auto"/>
          </w:divBdr>
        </w:div>
        <w:div w:id="1243098455">
          <w:marLeft w:val="0"/>
          <w:marRight w:val="0"/>
          <w:marTop w:val="375"/>
          <w:marBottom w:val="0"/>
          <w:divBdr>
            <w:top w:val="none" w:sz="0" w:space="0" w:color="auto"/>
            <w:left w:val="none" w:sz="0" w:space="0" w:color="auto"/>
            <w:bottom w:val="none" w:sz="0" w:space="0" w:color="auto"/>
            <w:right w:val="none" w:sz="0" w:space="0" w:color="auto"/>
          </w:divBdr>
        </w:div>
        <w:div w:id="125897175">
          <w:marLeft w:val="0"/>
          <w:marRight w:val="0"/>
          <w:marTop w:val="0"/>
          <w:marBottom w:val="375"/>
          <w:divBdr>
            <w:top w:val="none" w:sz="0" w:space="1" w:color="auto"/>
            <w:left w:val="none" w:sz="0" w:space="8" w:color="auto"/>
            <w:bottom w:val="single" w:sz="24" w:space="1" w:color="BD1B21"/>
            <w:right w:val="none" w:sz="0" w:space="8" w:color="auto"/>
          </w:divBdr>
        </w:div>
        <w:div w:id="216821816">
          <w:marLeft w:val="0"/>
          <w:marRight w:val="0"/>
          <w:marTop w:val="375"/>
          <w:marBottom w:val="0"/>
          <w:divBdr>
            <w:top w:val="none" w:sz="0" w:space="0" w:color="auto"/>
            <w:left w:val="none" w:sz="0" w:space="0" w:color="auto"/>
            <w:bottom w:val="none" w:sz="0" w:space="0" w:color="auto"/>
            <w:right w:val="none" w:sz="0" w:space="0" w:color="auto"/>
          </w:divBdr>
        </w:div>
        <w:div w:id="853767738">
          <w:marLeft w:val="0"/>
          <w:marRight w:val="0"/>
          <w:marTop w:val="0"/>
          <w:marBottom w:val="375"/>
          <w:divBdr>
            <w:top w:val="none" w:sz="0" w:space="1" w:color="auto"/>
            <w:left w:val="none" w:sz="0" w:space="8" w:color="auto"/>
            <w:bottom w:val="single" w:sz="24" w:space="1" w:color="BD1B21"/>
            <w:right w:val="none" w:sz="0" w:space="8" w:color="auto"/>
          </w:divBdr>
        </w:div>
        <w:div w:id="1274745889">
          <w:marLeft w:val="0"/>
          <w:marRight w:val="0"/>
          <w:marTop w:val="300"/>
          <w:marBottom w:val="300"/>
          <w:divBdr>
            <w:top w:val="none" w:sz="0" w:space="0" w:color="auto"/>
            <w:left w:val="none" w:sz="0" w:space="0" w:color="auto"/>
            <w:bottom w:val="none" w:sz="0" w:space="0" w:color="auto"/>
            <w:right w:val="none" w:sz="0" w:space="0" w:color="auto"/>
          </w:divBdr>
          <w:divsChild>
            <w:div w:id="7464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41879">
      <w:bodyDiv w:val="1"/>
      <w:marLeft w:val="0"/>
      <w:marRight w:val="0"/>
      <w:marTop w:val="0"/>
      <w:marBottom w:val="0"/>
      <w:divBdr>
        <w:top w:val="none" w:sz="0" w:space="0" w:color="auto"/>
        <w:left w:val="none" w:sz="0" w:space="0" w:color="auto"/>
        <w:bottom w:val="none" w:sz="0" w:space="0" w:color="auto"/>
        <w:right w:val="none" w:sz="0" w:space="0" w:color="auto"/>
      </w:divBdr>
    </w:div>
    <w:div w:id="1446389067">
      <w:bodyDiv w:val="1"/>
      <w:marLeft w:val="0"/>
      <w:marRight w:val="0"/>
      <w:marTop w:val="0"/>
      <w:marBottom w:val="0"/>
      <w:divBdr>
        <w:top w:val="none" w:sz="0" w:space="0" w:color="auto"/>
        <w:left w:val="none" w:sz="0" w:space="0" w:color="auto"/>
        <w:bottom w:val="none" w:sz="0" w:space="0" w:color="auto"/>
        <w:right w:val="none" w:sz="0" w:space="0" w:color="auto"/>
      </w:divBdr>
    </w:div>
    <w:div w:id="1466318232">
      <w:bodyDiv w:val="1"/>
      <w:marLeft w:val="0"/>
      <w:marRight w:val="0"/>
      <w:marTop w:val="0"/>
      <w:marBottom w:val="0"/>
      <w:divBdr>
        <w:top w:val="none" w:sz="0" w:space="0" w:color="auto"/>
        <w:left w:val="none" w:sz="0" w:space="0" w:color="auto"/>
        <w:bottom w:val="none" w:sz="0" w:space="0" w:color="auto"/>
        <w:right w:val="none" w:sz="0" w:space="0" w:color="auto"/>
      </w:divBdr>
    </w:div>
    <w:div w:id="1466897492">
      <w:bodyDiv w:val="1"/>
      <w:marLeft w:val="0"/>
      <w:marRight w:val="0"/>
      <w:marTop w:val="0"/>
      <w:marBottom w:val="0"/>
      <w:divBdr>
        <w:top w:val="none" w:sz="0" w:space="0" w:color="auto"/>
        <w:left w:val="none" w:sz="0" w:space="0" w:color="auto"/>
        <w:bottom w:val="none" w:sz="0" w:space="0" w:color="auto"/>
        <w:right w:val="none" w:sz="0" w:space="0" w:color="auto"/>
      </w:divBdr>
    </w:div>
    <w:div w:id="1476527356">
      <w:bodyDiv w:val="1"/>
      <w:marLeft w:val="0"/>
      <w:marRight w:val="0"/>
      <w:marTop w:val="0"/>
      <w:marBottom w:val="0"/>
      <w:divBdr>
        <w:top w:val="none" w:sz="0" w:space="0" w:color="auto"/>
        <w:left w:val="none" w:sz="0" w:space="0" w:color="auto"/>
        <w:bottom w:val="none" w:sz="0" w:space="0" w:color="auto"/>
        <w:right w:val="none" w:sz="0" w:space="0" w:color="auto"/>
      </w:divBdr>
      <w:divsChild>
        <w:div w:id="815222945">
          <w:marLeft w:val="475"/>
          <w:marRight w:val="0"/>
          <w:marTop w:val="168"/>
          <w:marBottom w:val="0"/>
          <w:divBdr>
            <w:top w:val="none" w:sz="0" w:space="0" w:color="auto"/>
            <w:left w:val="none" w:sz="0" w:space="0" w:color="auto"/>
            <w:bottom w:val="none" w:sz="0" w:space="0" w:color="auto"/>
            <w:right w:val="none" w:sz="0" w:space="0" w:color="auto"/>
          </w:divBdr>
        </w:div>
        <w:div w:id="1409230391">
          <w:marLeft w:val="475"/>
          <w:marRight w:val="0"/>
          <w:marTop w:val="168"/>
          <w:marBottom w:val="0"/>
          <w:divBdr>
            <w:top w:val="none" w:sz="0" w:space="0" w:color="auto"/>
            <w:left w:val="none" w:sz="0" w:space="0" w:color="auto"/>
            <w:bottom w:val="none" w:sz="0" w:space="0" w:color="auto"/>
            <w:right w:val="none" w:sz="0" w:space="0" w:color="auto"/>
          </w:divBdr>
        </w:div>
        <w:div w:id="1510413819">
          <w:marLeft w:val="475"/>
          <w:marRight w:val="0"/>
          <w:marTop w:val="168"/>
          <w:marBottom w:val="0"/>
          <w:divBdr>
            <w:top w:val="none" w:sz="0" w:space="0" w:color="auto"/>
            <w:left w:val="none" w:sz="0" w:space="0" w:color="auto"/>
            <w:bottom w:val="none" w:sz="0" w:space="0" w:color="auto"/>
            <w:right w:val="none" w:sz="0" w:space="0" w:color="auto"/>
          </w:divBdr>
        </w:div>
      </w:divsChild>
    </w:div>
    <w:div w:id="1483698986">
      <w:bodyDiv w:val="1"/>
      <w:marLeft w:val="0"/>
      <w:marRight w:val="0"/>
      <w:marTop w:val="0"/>
      <w:marBottom w:val="0"/>
      <w:divBdr>
        <w:top w:val="none" w:sz="0" w:space="0" w:color="auto"/>
        <w:left w:val="none" w:sz="0" w:space="0" w:color="auto"/>
        <w:bottom w:val="none" w:sz="0" w:space="0" w:color="auto"/>
        <w:right w:val="none" w:sz="0" w:space="0" w:color="auto"/>
      </w:divBdr>
    </w:div>
    <w:div w:id="1485854136">
      <w:bodyDiv w:val="1"/>
      <w:marLeft w:val="0"/>
      <w:marRight w:val="0"/>
      <w:marTop w:val="0"/>
      <w:marBottom w:val="0"/>
      <w:divBdr>
        <w:top w:val="none" w:sz="0" w:space="0" w:color="auto"/>
        <w:left w:val="none" w:sz="0" w:space="0" w:color="auto"/>
        <w:bottom w:val="none" w:sz="0" w:space="0" w:color="auto"/>
        <w:right w:val="none" w:sz="0" w:space="0" w:color="auto"/>
      </w:divBdr>
    </w:div>
    <w:div w:id="1492720388">
      <w:bodyDiv w:val="1"/>
      <w:marLeft w:val="0"/>
      <w:marRight w:val="0"/>
      <w:marTop w:val="0"/>
      <w:marBottom w:val="0"/>
      <w:divBdr>
        <w:top w:val="none" w:sz="0" w:space="0" w:color="auto"/>
        <w:left w:val="none" w:sz="0" w:space="0" w:color="auto"/>
        <w:bottom w:val="none" w:sz="0" w:space="0" w:color="auto"/>
        <w:right w:val="none" w:sz="0" w:space="0" w:color="auto"/>
      </w:divBdr>
    </w:div>
    <w:div w:id="1495801810">
      <w:bodyDiv w:val="1"/>
      <w:marLeft w:val="0"/>
      <w:marRight w:val="0"/>
      <w:marTop w:val="0"/>
      <w:marBottom w:val="0"/>
      <w:divBdr>
        <w:top w:val="none" w:sz="0" w:space="0" w:color="auto"/>
        <w:left w:val="none" w:sz="0" w:space="0" w:color="auto"/>
        <w:bottom w:val="none" w:sz="0" w:space="0" w:color="auto"/>
        <w:right w:val="none" w:sz="0" w:space="0" w:color="auto"/>
      </w:divBdr>
      <w:divsChild>
        <w:div w:id="487332744">
          <w:marLeft w:val="0"/>
          <w:marRight w:val="0"/>
          <w:marTop w:val="0"/>
          <w:marBottom w:val="0"/>
          <w:divBdr>
            <w:top w:val="none" w:sz="0" w:space="0" w:color="auto"/>
            <w:left w:val="none" w:sz="0" w:space="0" w:color="auto"/>
            <w:bottom w:val="none" w:sz="0" w:space="0" w:color="auto"/>
            <w:right w:val="none" w:sz="0" w:space="0" w:color="auto"/>
          </w:divBdr>
          <w:divsChild>
            <w:div w:id="609894348">
              <w:marLeft w:val="0"/>
              <w:marRight w:val="0"/>
              <w:marTop w:val="0"/>
              <w:marBottom w:val="0"/>
              <w:divBdr>
                <w:top w:val="none" w:sz="0" w:space="0" w:color="auto"/>
                <w:left w:val="none" w:sz="0" w:space="0" w:color="auto"/>
                <w:bottom w:val="none" w:sz="0" w:space="0" w:color="auto"/>
                <w:right w:val="none" w:sz="0" w:space="0" w:color="auto"/>
              </w:divBdr>
              <w:divsChild>
                <w:div w:id="1099177647">
                  <w:marLeft w:val="0"/>
                  <w:marRight w:val="0"/>
                  <w:marTop w:val="0"/>
                  <w:marBottom w:val="0"/>
                  <w:divBdr>
                    <w:top w:val="none" w:sz="0" w:space="0" w:color="auto"/>
                    <w:left w:val="none" w:sz="0" w:space="0" w:color="auto"/>
                    <w:bottom w:val="none" w:sz="0" w:space="0" w:color="auto"/>
                    <w:right w:val="none" w:sz="0" w:space="0" w:color="auto"/>
                  </w:divBdr>
                </w:div>
              </w:divsChild>
            </w:div>
            <w:div w:id="2129464326">
              <w:marLeft w:val="0"/>
              <w:marRight w:val="0"/>
              <w:marTop w:val="0"/>
              <w:marBottom w:val="0"/>
              <w:divBdr>
                <w:top w:val="none" w:sz="0" w:space="0" w:color="auto"/>
                <w:left w:val="none" w:sz="0" w:space="0" w:color="auto"/>
                <w:bottom w:val="none" w:sz="0" w:space="0" w:color="auto"/>
                <w:right w:val="none" w:sz="0" w:space="0" w:color="auto"/>
              </w:divBdr>
              <w:divsChild>
                <w:div w:id="5809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00795">
          <w:marLeft w:val="0"/>
          <w:marRight w:val="0"/>
          <w:marTop w:val="0"/>
          <w:marBottom w:val="0"/>
          <w:divBdr>
            <w:top w:val="none" w:sz="0" w:space="0" w:color="auto"/>
            <w:left w:val="none" w:sz="0" w:space="0" w:color="auto"/>
            <w:bottom w:val="none" w:sz="0" w:space="0" w:color="auto"/>
            <w:right w:val="none" w:sz="0" w:space="0" w:color="auto"/>
          </w:divBdr>
        </w:div>
        <w:div w:id="1945992470">
          <w:marLeft w:val="0"/>
          <w:marRight w:val="0"/>
          <w:marTop w:val="0"/>
          <w:marBottom w:val="0"/>
          <w:divBdr>
            <w:top w:val="none" w:sz="0" w:space="0" w:color="auto"/>
            <w:left w:val="none" w:sz="0" w:space="0" w:color="auto"/>
            <w:bottom w:val="none" w:sz="0" w:space="0" w:color="auto"/>
            <w:right w:val="none" w:sz="0" w:space="0" w:color="auto"/>
          </w:divBdr>
          <w:divsChild>
            <w:div w:id="85684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34895">
      <w:bodyDiv w:val="1"/>
      <w:marLeft w:val="0"/>
      <w:marRight w:val="0"/>
      <w:marTop w:val="0"/>
      <w:marBottom w:val="0"/>
      <w:divBdr>
        <w:top w:val="none" w:sz="0" w:space="0" w:color="auto"/>
        <w:left w:val="none" w:sz="0" w:space="0" w:color="auto"/>
        <w:bottom w:val="none" w:sz="0" w:space="0" w:color="auto"/>
        <w:right w:val="none" w:sz="0" w:space="0" w:color="auto"/>
      </w:divBdr>
      <w:divsChild>
        <w:div w:id="111899066">
          <w:marLeft w:val="0"/>
          <w:marRight w:val="0"/>
          <w:marTop w:val="0"/>
          <w:marBottom w:val="0"/>
          <w:divBdr>
            <w:top w:val="none" w:sz="0" w:space="0" w:color="auto"/>
            <w:left w:val="none" w:sz="0" w:space="0" w:color="auto"/>
            <w:bottom w:val="none" w:sz="0" w:space="0" w:color="auto"/>
            <w:right w:val="none" w:sz="0" w:space="0" w:color="auto"/>
          </w:divBdr>
          <w:divsChild>
            <w:div w:id="806437239">
              <w:marLeft w:val="0"/>
              <w:marRight w:val="0"/>
              <w:marTop w:val="0"/>
              <w:marBottom w:val="0"/>
              <w:divBdr>
                <w:top w:val="none" w:sz="0" w:space="0" w:color="auto"/>
                <w:left w:val="none" w:sz="0" w:space="0" w:color="auto"/>
                <w:bottom w:val="none" w:sz="0" w:space="0" w:color="auto"/>
                <w:right w:val="none" w:sz="0" w:space="0" w:color="auto"/>
              </w:divBdr>
              <w:divsChild>
                <w:div w:id="1559127362">
                  <w:marLeft w:val="0"/>
                  <w:marRight w:val="0"/>
                  <w:marTop w:val="0"/>
                  <w:marBottom w:val="0"/>
                  <w:divBdr>
                    <w:top w:val="none" w:sz="0" w:space="0" w:color="auto"/>
                    <w:left w:val="none" w:sz="0" w:space="0" w:color="auto"/>
                    <w:bottom w:val="none" w:sz="0" w:space="0" w:color="auto"/>
                    <w:right w:val="none" w:sz="0" w:space="0" w:color="auto"/>
                  </w:divBdr>
                </w:div>
              </w:divsChild>
            </w:div>
            <w:div w:id="896819626">
              <w:marLeft w:val="0"/>
              <w:marRight w:val="0"/>
              <w:marTop w:val="0"/>
              <w:marBottom w:val="0"/>
              <w:divBdr>
                <w:top w:val="none" w:sz="0" w:space="0" w:color="auto"/>
                <w:left w:val="none" w:sz="0" w:space="0" w:color="auto"/>
                <w:bottom w:val="none" w:sz="0" w:space="0" w:color="auto"/>
                <w:right w:val="none" w:sz="0" w:space="0" w:color="auto"/>
              </w:divBdr>
              <w:divsChild>
                <w:div w:id="56348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96671">
          <w:marLeft w:val="0"/>
          <w:marRight w:val="0"/>
          <w:marTop w:val="0"/>
          <w:marBottom w:val="0"/>
          <w:divBdr>
            <w:top w:val="none" w:sz="0" w:space="0" w:color="auto"/>
            <w:left w:val="none" w:sz="0" w:space="0" w:color="auto"/>
            <w:bottom w:val="none" w:sz="0" w:space="0" w:color="auto"/>
            <w:right w:val="none" w:sz="0" w:space="0" w:color="auto"/>
          </w:divBdr>
        </w:div>
        <w:div w:id="1623608016">
          <w:marLeft w:val="0"/>
          <w:marRight w:val="0"/>
          <w:marTop w:val="0"/>
          <w:marBottom w:val="0"/>
          <w:divBdr>
            <w:top w:val="none" w:sz="0" w:space="0" w:color="auto"/>
            <w:left w:val="none" w:sz="0" w:space="0" w:color="auto"/>
            <w:bottom w:val="none" w:sz="0" w:space="0" w:color="auto"/>
            <w:right w:val="none" w:sz="0" w:space="0" w:color="auto"/>
          </w:divBdr>
          <w:divsChild>
            <w:div w:id="4258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19840">
      <w:bodyDiv w:val="1"/>
      <w:marLeft w:val="0"/>
      <w:marRight w:val="0"/>
      <w:marTop w:val="0"/>
      <w:marBottom w:val="0"/>
      <w:divBdr>
        <w:top w:val="none" w:sz="0" w:space="0" w:color="auto"/>
        <w:left w:val="none" w:sz="0" w:space="0" w:color="auto"/>
        <w:bottom w:val="none" w:sz="0" w:space="0" w:color="auto"/>
        <w:right w:val="none" w:sz="0" w:space="0" w:color="auto"/>
      </w:divBdr>
    </w:div>
    <w:div w:id="1503204139">
      <w:bodyDiv w:val="1"/>
      <w:marLeft w:val="0"/>
      <w:marRight w:val="0"/>
      <w:marTop w:val="0"/>
      <w:marBottom w:val="0"/>
      <w:divBdr>
        <w:top w:val="none" w:sz="0" w:space="0" w:color="auto"/>
        <w:left w:val="none" w:sz="0" w:space="0" w:color="auto"/>
        <w:bottom w:val="none" w:sz="0" w:space="0" w:color="auto"/>
        <w:right w:val="none" w:sz="0" w:space="0" w:color="auto"/>
      </w:divBdr>
    </w:div>
    <w:div w:id="1504515112">
      <w:bodyDiv w:val="1"/>
      <w:marLeft w:val="0"/>
      <w:marRight w:val="0"/>
      <w:marTop w:val="0"/>
      <w:marBottom w:val="0"/>
      <w:divBdr>
        <w:top w:val="none" w:sz="0" w:space="0" w:color="auto"/>
        <w:left w:val="none" w:sz="0" w:space="0" w:color="auto"/>
        <w:bottom w:val="none" w:sz="0" w:space="0" w:color="auto"/>
        <w:right w:val="none" w:sz="0" w:space="0" w:color="auto"/>
      </w:divBdr>
    </w:div>
    <w:div w:id="1508323661">
      <w:bodyDiv w:val="1"/>
      <w:marLeft w:val="0"/>
      <w:marRight w:val="0"/>
      <w:marTop w:val="0"/>
      <w:marBottom w:val="0"/>
      <w:divBdr>
        <w:top w:val="none" w:sz="0" w:space="0" w:color="auto"/>
        <w:left w:val="none" w:sz="0" w:space="0" w:color="auto"/>
        <w:bottom w:val="none" w:sz="0" w:space="0" w:color="auto"/>
        <w:right w:val="none" w:sz="0" w:space="0" w:color="auto"/>
      </w:divBdr>
    </w:div>
    <w:div w:id="1510364568">
      <w:bodyDiv w:val="1"/>
      <w:marLeft w:val="0"/>
      <w:marRight w:val="0"/>
      <w:marTop w:val="0"/>
      <w:marBottom w:val="0"/>
      <w:divBdr>
        <w:top w:val="none" w:sz="0" w:space="0" w:color="auto"/>
        <w:left w:val="none" w:sz="0" w:space="0" w:color="auto"/>
        <w:bottom w:val="none" w:sz="0" w:space="0" w:color="auto"/>
        <w:right w:val="none" w:sz="0" w:space="0" w:color="auto"/>
      </w:divBdr>
    </w:div>
    <w:div w:id="1511023176">
      <w:bodyDiv w:val="1"/>
      <w:marLeft w:val="0"/>
      <w:marRight w:val="0"/>
      <w:marTop w:val="0"/>
      <w:marBottom w:val="0"/>
      <w:divBdr>
        <w:top w:val="none" w:sz="0" w:space="0" w:color="auto"/>
        <w:left w:val="none" w:sz="0" w:space="0" w:color="auto"/>
        <w:bottom w:val="none" w:sz="0" w:space="0" w:color="auto"/>
        <w:right w:val="none" w:sz="0" w:space="0" w:color="auto"/>
      </w:divBdr>
      <w:divsChild>
        <w:div w:id="326830138">
          <w:marLeft w:val="0"/>
          <w:marRight w:val="0"/>
          <w:marTop w:val="0"/>
          <w:marBottom w:val="81"/>
          <w:divBdr>
            <w:top w:val="none" w:sz="0" w:space="0" w:color="auto"/>
            <w:left w:val="none" w:sz="0" w:space="0" w:color="auto"/>
            <w:bottom w:val="none" w:sz="0" w:space="0" w:color="auto"/>
            <w:right w:val="none" w:sz="0" w:space="0" w:color="auto"/>
          </w:divBdr>
        </w:div>
        <w:div w:id="672493505">
          <w:marLeft w:val="0"/>
          <w:marRight w:val="0"/>
          <w:marTop w:val="0"/>
          <w:marBottom w:val="0"/>
          <w:divBdr>
            <w:top w:val="none" w:sz="0" w:space="0" w:color="auto"/>
            <w:left w:val="none" w:sz="0" w:space="0" w:color="auto"/>
            <w:bottom w:val="none" w:sz="0" w:space="0" w:color="auto"/>
            <w:right w:val="none" w:sz="0" w:space="0" w:color="auto"/>
          </w:divBdr>
        </w:div>
        <w:div w:id="1046638453">
          <w:marLeft w:val="0"/>
          <w:marRight w:val="0"/>
          <w:marTop w:val="0"/>
          <w:marBottom w:val="0"/>
          <w:divBdr>
            <w:top w:val="none" w:sz="0" w:space="0" w:color="auto"/>
            <w:left w:val="none" w:sz="0" w:space="0" w:color="auto"/>
            <w:bottom w:val="none" w:sz="0" w:space="0" w:color="auto"/>
            <w:right w:val="none" w:sz="0" w:space="0" w:color="auto"/>
          </w:divBdr>
        </w:div>
      </w:divsChild>
    </w:div>
    <w:div w:id="1513834053">
      <w:bodyDiv w:val="1"/>
      <w:marLeft w:val="0"/>
      <w:marRight w:val="0"/>
      <w:marTop w:val="0"/>
      <w:marBottom w:val="0"/>
      <w:divBdr>
        <w:top w:val="none" w:sz="0" w:space="0" w:color="auto"/>
        <w:left w:val="none" w:sz="0" w:space="0" w:color="auto"/>
        <w:bottom w:val="none" w:sz="0" w:space="0" w:color="auto"/>
        <w:right w:val="none" w:sz="0" w:space="0" w:color="auto"/>
      </w:divBdr>
    </w:div>
    <w:div w:id="1518694767">
      <w:bodyDiv w:val="1"/>
      <w:marLeft w:val="0"/>
      <w:marRight w:val="0"/>
      <w:marTop w:val="0"/>
      <w:marBottom w:val="0"/>
      <w:divBdr>
        <w:top w:val="none" w:sz="0" w:space="0" w:color="auto"/>
        <w:left w:val="none" w:sz="0" w:space="0" w:color="auto"/>
        <w:bottom w:val="none" w:sz="0" w:space="0" w:color="auto"/>
        <w:right w:val="none" w:sz="0" w:space="0" w:color="auto"/>
      </w:divBdr>
    </w:div>
    <w:div w:id="1518886769">
      <w:bodyDiv w:val="1"/>
      <w:marLeft w:val="0"/>
      <w:marRight w:val="0"/>
      <w:marTop w:val="0"/>
      <w:marBottom w:val="0"/>
      <w:divBdr>
        <w:top w:val="none" w:sz="0" w:space="0" w:color="auto"/>
        <w:left w:val="none" w:sz="0" w:space="0" w:color="auto"/>
        <w:bottom w:val="none" w:sz="0" w:space="0" w:color="auto"/>
        <w:right w:val="none" w:sz="0" w:space="0" w:color="auto"/>
      </w:divBdr>
    </w:div>
    <w:div w:id="1519538898">
      <w:bodyDiv w:val="1"/>
      <w:marLeft w:val="0"/>
      <w:marRight w:val="0"/>
      <w:marTop w:val="0"/>
      <w:marBottom w:val="0"/>
      <w:divBdr>
        <w:top w:val="none" w:sz="0" w:space="0" w:color="auto"/>
        <w:left w:val="none" w:sz="0" w:space="0" w:color="auto"/>
        <w:bottom w:val="none" w:sz="0" w:space="0" w:color="auto"/>
        <w:right w:val="none" w:sz="0" w:space="0" w:color="auto"/>
      </w:divBdr>
      <w:divsChild>
        <w:div w:id="116339753">
          <w:marLeft w:val="1181"/>
          <w:marRight w:val="0"/>
          <w:marTop w:val="168"/>
          <w:marBottom w:val="0"/>
          <w:divBdr>
            <w:top w:val="none" w:sz="0" w:space="0" w:color="auto"/>
            <w:left w:val="none" w:sz="0" w:space="0" w:color="auto"/>
            <w:bottom w:val="none" w:sz="0" w:space="0" w:color="auto"/>
            <w:right w:val="none" w:sz="0" w:space="0" w:color="auto"/>
          </w:divBdr>
        </w:div>
        <w:div w:id="382410977">
          <w:marLeft w:val="1181"/>
          <w:marRight w:val="0"/>
          <w:marTop w:val="168"/>
          <w:marBottom w:val="0"/>
          <w:divBdr>
            <w:top w:val="none" w:sz="0" w:space="0" w:color="auto"/>
            <w:left w:val="none" w:sz="0" w:space="0" w:color="auto"/>
            <w:bottom w:val="none" w:sz="0" w:space="0" w:color="auto"/>
            <w:right w:val="none" w:sz="0" w:space="0" w:color="auto"/>
          </w:divBdr>
        </w:div>
        <w:div w:id="489323867">
          <w:marLeft w:val="1181"/>
          <w:marRight w:val="0"/>
          <w:marTop w:val="168"/>
          <w:marBottom w:val="0"/>
          <w:divBdr>
            <w:top w:val="none" w:sz="0" w:space="0" w:color="auto"/>
            <w:left w:val="none" w:sz="0" w:space="0" w:color="auto"/>
            <w:bottom w:val="none" w:sz="0" w:space="0" w:color="auto"/>
            <w:right w:val="none" w:sz="0" w:space="0" w:color="auto"/>
          </w:divBdr>
        </w:div>
        <w:div w:id="745347629">
          <w:marLeft w:val="475"/>
          <w:marRight w:val="0"/>
          <w:marTop w:val="168"/>
          <w:marBottom w:val="0"/>
          <w:divBdr>
            <w:top w:val="none" w:sz="0" w:space="0" w:color="auto"/>
            <w:left w:val="none" w:sz="0" w:space="0" w:color="auto"/>
            <w:bottom w:val="none" w:sz="0" w:space="0" w:color="auto"/>
            <w:right w:val="none" w:sz="0" w:space="0" w:color="auto"/>
          </w:divBdr>
        </w:div>
        <w:div w:id="954822578">
          <w:marLeft w:val="1181"/>
          <w:marRight w:val="0"/>
          <w:marTop w:val="168"/>
          <w:marBottom w:val="0"/>
          <w:divBdr>
            <w:top w:val="none" w:sz="0" w:space="0" w:color="auto"/>
            <w:left w:val="none" w:sz="0" w:space="0" w:color="auto"/>
            <w:bottom w:val="none" w:sz="0" w:space="0" w:color="auto"/>
            <w:right w:val="none" w:sz="0" w:space="0" w:color="auto"/>
          </w:divBdr>
        </w:div>
        <w:div w:id="1078789049">
          <w:marLeft w:val="1181"/>
          <w:marRight w:val="0"/>
          <w:marTop w:val="168"/>
          <w:marBottom w:val="0"/>
          <w:divBdr>
            <w:top w:val="none" w:sz="0" w:space="0" w:color="auto"/>
            <w:left w:val="none" w:sz="0" w:space="0" w:color="auto"/>
            <w:bottom w:val="none" w:sz="0" w:space="0" w:color="auto"/>
            <w:right w:val="none" w:sz="0" w:space="0" w:color="auto"/>
          </w:divBdr>
        </w:div>
        <w:div w:id="1388452652">
          <w:marLeft w:val="475"/>
          <w:marRight w:val="0"/>
          <w:marTop w:val="168"/>
          <w:marBottom w:val="0"/>
          <w:divBdr>
            <w:top w:val="none" w:sz="0" w:space="0" w:color="auto"/>
            <w:left w:val="none" w:sz="0" w:space="0" w:color="auto"/>
            <w:bottom w:val="none" w:sz="0" w:space="0" w:color="auto"/>
            <w:right w:val="none" w:sz="0" w:space="0" w:color="auto"/>
          </w:divBdr>
        </w:div>
        <w:div w:id="1743722176">
          <w:marLeft w:val="1181"/>
          <w:marRight w:val="0"/>
          <w:marTop w:val="168"/>
          <w:marBottom w:val="0"/>
          <w:divBdr>
            <w:top w:val="none" w:sz="0" w:space="0" w:color="auto"/>
            <w:left w:val="none" w:sz="0" w:space="0" w:color="auto"/>
            <w:bottom w:val="none" w:sz="0" w:space="0" w:color="auto"/>
            <w:right w:val="none" w:sz="0" w:space="0" w:color="auto"/>
          </w:divBdr>
        </w:div>
        <w:div w:id="2022705031">
          <w:marLeft w:val="1181"/>
          <w:marRight w:val="0"/>
          <w:marTop w:val="168"/>
          <w:marBottom w:val="0"/>
          <w:divBdr>
            <w:top w:val="none" w:sz="0" w:space="0" w:color="auto"/>
            <w:left w:val="none" w:sz="0" w:space="0" w:color="auto"/>
            <w:bottom w:val="none" w:sz="0" w:space="0" w:color="auto"/>
            <w:right w:val="none" w:sz="0" w:space="0" w:color="auto"/>
          </w:divBdr>
        </w:div>
      </w:divsChild>
    </w:div>
    <w:div w:id="1529492583">
      <w:bodyDiv w:val="1"/>
      <w:marLeft w:val="0"/>
      <w:marRight w:val="0"/>
      <w:marTop w:val="0"/>
      <w:marBottom w:val="0"/>
      <w:divBdr>
        <w:top w:val="none" w:sz="0" w:space="0" w:color="auto"/>
        <w:left w:val="none" w:sz="0" w:space="0" w:color="auto"/>
        <w:bottom w:val="none" w:sz="0" w:space="0" w:color="auto"/>
        <w:right w:val="none" w:sz="0" w:space="0" w:color="auto"/>
      </w:divBdr>
    </w:div>
    <w:div w:id="1530140207">
      <w:bodyDiv w:val="1"/>
      <w:marLeft w:val="0"/>
      <w:marRight w:val="0"/>
      <w:marTop w:val="0"/>
      <w:marBottom w:val="0"/>
      <w:divBdr>
        <w:top w:val="none" w:sz="0" w:space="0" w:color="auto"/>
        <w:left w:val="none" w:sz="0" w:space="0" w:color="auto"/>
        <w:bottom w:val="none" w:sz="0" w:space="0" w:color="auto"/>
        <w:right w:val="none" w:sz="0" w:space="0" w:color="auto"/>
      </w:divBdr>
    </w:div>
    <w:div w:id="1532065375">
      <w:bodyDiv w:val="1"/>
      <w:marLeft w:val="0"/>
      <w:marRight w:val="0"/>
      <w:marTop w:val="0"/>
      <w:marBottom w:val="0"/>
      <w:divBdr>
        <w:top w:val="none" w:sz="0" w:space="0" w:color="auto"/>
        <w:left w:val="none" w:sz="0" w:space="0" w:color="auto"/>
        <w:bottom w:val="none" w:sz="0" w:space="0" w:color="auto"/>
        <w:right w:val="none" w:sz="0" w:space="0" w:color="auto"/>
      </w:divBdr>
      <w:divsChild>
        <w:div w:id="190068168">
          <w:marLeft w:val="475"/>
          <w:marRight w:val="0"/>
          <w:marTop w:val="168"/>
          <w:marBottom w:val="0"/>
          <w:divBdr>
            <w:top w:val="none" w:sz="0" w:space="0" w:color="auto"/>
            <w:left w:val="none" w:sz="0" w:space="0" w:color="auto"/>
            <w:bottom w:val="none" w:sz="0" w:space="0" w:color="auto"/>
            <w:right w:val="none" w:sz="0" w:space="0" w:color="auto"/>
          </w:divBdr>
        </w:div>
        <w:div w:id="739720039">
          <w:marLeft w:val="475"/>
          <w:marRight w:val="0"/>
          <w:marTop w:val="168"/>
          <w:marBottom w:val="0"/>
          <w:divBdr>
            <w:top w:val="none" w:sz="0" w:space="0" w:color="auto"/>
            <w:left w:val="none" w:sz="0" w:space="0" w:color="auto"/>
            <w:bottom w:val="none" w:sz="0" w:space="0" w:color="auto"/>
            <w:right w:val="none" w:sz="0" w:space="0" w:color="auto"/>
          </w:divBdr>
        </w:div>
        <w:div w:id="1075470482">
          <w:marLeft w:val="475"/>
          <w:marRight w:val="0"/>
          <w:marTop w:val="168"/>
          <w:marBottom w:val="0"/>
          <w:divBdr>
            <w:top w:val="none" w:sz="0" w:space="0" w:color="auto"/>
            <w:left w:val="none" w:sz="0" w:space="0" w:color="auto"/>
            <w:bottom w:val="none" w:sz="0" w:space="0" w:color="auto"/>
            <w:right w:val="none" w:sz="0" w:space="0" w:color="auto"/>
          </w:divBdr>
        </w:div>
        <w:div w:id="1493595893">
          <w:marLeft w:val="475"/>
          <w:marRight w:val="0"/>
          <w:marTop w:val="168"/>
          <w:marBottom w:val="0"/>
          <w:divBdr>
            <w:top w:val="none" w:sz="0" w:space="0" w:color="auto"/>
            <w:left w:val="none" w:sz="0" w:space="0" w:color="auto"/>
            <w:bottom w:val="none" w:sz="0" w:space="0" w:color="auto"/>
            <w:right w:val="none" w:sz="0" w:space="0" w:color="auto"/>
          </w:divBdr>
        </w:div>
        <w:div w:id="1859926576">
          <w:marLeft w:val="1181"/>
          <w:marRight w:val="0"/>
          <w:marTop w:val="168"/>
          <w:marBottom w:val="0"/>
          <w:divBdr>
            <w:top w:val="none" w:sz="0" w:space="0" w:color="auto"/>
            <w:left w:val="none" w:sz="0" w:space="0" w:color="auto"/>
            <w:bottom w:val="none" w:sz="0" w:space="0" w:color="auto"/>
            <w:right w:val="none" w:sz="0" w:space="0" w:color="auto"/>
          </w:divBdr>
        </w:div>
      </w:divsChild>
    </w:div>
    <w:div w:id="1535726905">
      <w:bodyDiv w:val="1"/>
      <w:marLeft w:val="0"/>
      <w:marRight w:val="0"/>
      <w:marTop w:val="0"/>
      <w:marBottom w:val="0"/>
      <w:divBdr>
        <w:top w:val="none" w:sz="0" w:space="0" w:color="auto"/>
        <w:left w:val="none" w:sz="0" w:space="0" w:color="auto"/>
        <w:bottom w:val="none" w:sz="0" w:space="0" w:color="auto"/>
        <w:right w:val="none" w:sz="0" w:space="0" w:color="auto"/>
      </w:divBdr>
    </w:div>
    <w:div w:id="1536771640">
      <w:bodyDiv w:val="1"/>
      <w:marLeft w:val="0"/>
      <w:marRight w:val="0"/>
      <w:marTop w:val="0"/>
      <w:marBottom w:val="0"/>
      <w:divBdr>
        <w:top w:val="none" w:sz="0" w:space="0" w:color="auto"/>
        <w:left w:val="none" w:sz="0" w:space="0" w:color="auto"/>
        <w:bottom w:val="none" w:sz="0" w:space="0" w:color="auto"/>
        <w:right w:val="none" w:sz="0" w:space="0" w:color="auto"/>
      </w:divBdr>
    </w:div>
    <w:div w:id="1537041355">
      <w:bodyDiv w:val="1"/>
      <w:marLeft w:val="0"/>
      <w:marRight w:val="0"/>
      <w:marTop w:val="0"/>
      <w:marBottom w:val="0"/>
      <w:divBdr>
        <w:top w:val="none" w:sz="0" w:space="0" w:color="auto"/>
        <w:left w:val="none" w:sz="0" w:space="0" w:color="auto"/>
        <w:bottom w:val="none" w:sz="0" w:space="0" w:color="auto"/>
        <w:right w:val="none" w:sz="0" w:space="0" w:color="auto"/>
      </w:divBdr>
    </w:div>
    <w:div w:id="1544514779">
      <w:bodyDiv w:val="1"/>
      <w:marLeft w:val="0"/>
      <w:marRight w:val="0"/>
      <w:marTop w:val="0"/>
      <w:marBottom w:val="0"/>
      <w:divBdr>
        <w:top w:val="none" w:sz="0" w:space="0" w:color="auto"/>
        <w:left w:val="none" w:sz="0" w:space="0" w:color="auto"/>
        <w:bottom w:val="none" w:sz="0" w:space="0" w:color="auto"/>
        <w:right w:val="none" w:sz="0" w:space="0" w:color="auto"/>
      </w:divBdr>
    </w:div>
    <w:div w:id="1548955648">
      <w:bodyDiv w:val="1"/>
      <w:marLeft w:val="0"/>
      <w:marRight w:val="0"/>
      <w:marTop w:val="0"/>
      <w:marBottom w:val="0"/>
      <w:divBdr>
        <w:top w:val="none" w:sz="0" w:space="0" w:color="auto"/>
        <w:left w:val="none" w:sz="0" w:space="0" w:color="auto"/>
        <w:bottom w:val="none" w:sz="0" w:space="0" w:color="auto"/>
        <w:right w:val="none" w:sz="0" w:space="0" w:color="auto"/>
      </w:divBdr>
    </w:div>
    <w:div w:id="1550453752">
      <w:bodyDiv w:val="1"/>
      <w:marLeft w:val="0"/>
      <w:marRight w:val="0"/>
      <w:marTop w:val="0"/>
      <w:marBottom w:val="0"/>
      <w:divBdr>
        <w:top w:val="none" w:sz="0" w:space="0" w:color="auto"/>
        <w:left w:val="none" w:sz="0" w:space="0" w:color="auto"/>
        <w:bottom w:val="none" w:sz="0" w:space="0" w:color="auto"/>
        <w:right w:val="none" w:sz="0" w:space="0" w:color="auto"/>
      </w:divBdr>
    </w:div>
    <w:div w:id="1551988821">
      <w:bodyDiv w:val="1"/>
      <w:marLeft w:val="0"/>
      <w:marRight w:val="0"/>
      <w:marTop w:val="0"/>
      <w:marBottom w:val="0"/>
      <w:divBdr>
        <w:top w:val="none" w:sz="0" w:space="0" w:color="auto"/>
        <w:left w:val="none" w:sz="0" w:space="0" w:color="auto"/>
        <w:bottom w:val="none" w:sz="0" w:space="0" w:color="auto"/>
        <w:right w:val="none" w:sz="0" w:space="0" w:color="auto"/>
      </w:divBdr>
    </w:div>
    <w:div w:id="1552690082">
      <w:bodyDiv w:val="1"/>
      <w:marLeft w:val="0"/>
      <w:marRight w:val="0"/>
      <w:marTop w:val="0"/>
      <w:marBottom w:val="0"/>
      <w:divBdr>
        <w:top w:val="none" w:sz="0" w:space="0" w:color="auto"/>
        <w:left w:val="none" w:sz="0" w:space="0" w:color="auto"/>
        <w:bottom w:val="none" w:sz="0" w:space="0" w:color="auto"/>
        <w:right w:val="none" w:sz="0" w:space="0" w:color="auto"/>
      </w:divBdr>
    </w:div>
    <w:div w:id="1556162717">
      <w:bodyDiv w:val="1"/>
      <w:marLeft w:val="0"/>
      <w:marRight w:val="0"/>
      <w:marTop w:val="0"/>
      <w:marBottom w:val="0"/>
      <w:divBdr>
        <w:top w:val="none" w:sz="0" w:space="0" w:color="auto"/>
        <w:left w:val="none" w:sz="0" w:space="0" w:color="auto"/>
        <w:bottom w:val="none" w:sz="0" w:space="0" w:color="auto"/>
        <w:right w:val="none" w:sz="0" w:space="0" w:color="auto"/>
      </w:divBdr>
    </w:div>
    <w:div w:id="1559782343">
      <w:bodyDiv w:val="1"/>
      <w:marLeft w:val="0"/>
      <w:marRight w:val="0"/>
      <w:marTop w:val="0"/>
      <w:marBottom w:val="0"/>
      <w:divBdr>
        <w:top w:val="none" w:sz="0" w:space="0" w:color="auto"/>
        <w:left w:val="none" w:sz="0" w:space="0" w:color="auto"/>
        <w:bottom w:val="none" w:sz="0" w:space="0" w:color="auto"/>
        <w:right w:val="none" w:sz="0" w:space="0" w:color="auto"/>
      </w:divBdr>
    </w:div>
    <w:div w:id="1562324635">
      <w:bodyDiv w:val="1"/>
      <w:marLeft w:val="0"/>
      <w:marRight w:val="0"/>
      <w:marTop w:val="0"/>
      <w:marBottom w:val="0"/>
      <w:divBdr>
        <w:top w:val="none" w:sz="0" w:space="0" w:color="auto"/>
        <w:left w:val="none" w:sz="0" w:space="0" w:color="auto"/>
        <w:bottom w:val="none" w:sz="0" w:space="0" w:color="auto"/>
        <w:right w:val="none" w:sz="0" w:space="0" w:color="auto"/>
      </w:divBdr>
    </w:div>
    <w:div w:id="1566649724">
      <w:bodyDiv w:val="1"/>
      <w:marLeft w:val="0"/>
      <w:marRight w:val="0"/>
      <w:marTop w:val="0"/>
      <w:marBottom w:val="0"/>
      <w:divBdr>
        <w:top w:val="none" w:sz="0" w:space="0" w:color="auto"/>
        <w:left w:val="none" w:sz="0" w:space="0" w:color="auto"/>
        <w:bottom w:val="none" w:sz="0" w:space="0" w:color="auto"/>
        <w:right w:val="none" w:sz="0" w:space="0" w:color="auto"/>
      </w:divBdr>
    </w:div>
    <w:div w:id="1568418814">
      <w:bodyDiv w:val="1"/>
      <w:marLeft w:val="0"/>
      <w:marRight w:val="0"/>
      <w:marTop w:val="0"/>
      <w:marBottom w:val="0"/>
      <w:divBdr>
        <w:top w:val="none" w:sz="0" w:space="0" w:color="auto"/>
        <w:left w:val="none" w:sz="0" w:space="0" w:color="auto"/>
        <w:bottom w:val="none" w:sz="0" w:space="0" w:color="auto"/>
        <w:right w:val="none" w:sz="0" w:space="0" w:color="auto"/>
      </w:divBdr>
    </w:div>
    <w:div w:id="1569345676">
      <w:bodyDiv w:val="1"/>
      <w:marLeft w:val="0"/>
      <w:marRight w:val="0"/>
      <w:marTop w:val="0"/>
      <w:marBottom w:val="0"/>
      <w:divBdr>
        <w:top w:val="none" w:sz="0" w:space="0" w:color="auto"/>
        <w:left w:val="none" w:sz="0" w:space="0" w:color="auto"/>
        <w:bottom w:val="none" w:sz="0" w:space="0" w:color="auto"/>
        <w:right w:val="none" w:sz="0" w:space="0" w:color="auto"/>
      </w:divBdr>
    </w:div>
    <w:div w:id="1570530652">
      <w:bodyDiv w:val="1"/>
      <w:marLeft w:val="0"/>
      <w:marRight w:val="0"/>
      <w:marTop w:val="0"/>
      <w:marBottom w:val="0"/>
      <w:divBdr>
        <w:top w:val="none" w:sz="0" w:space="0" w:color="auto"/>
        <w:left w:val="none" w:sz="0" w:space="0" w:color="auto"/>
        <w:bottom w:val="none" w:sz="0" w:space="0" w:color="auto"/>
        <w:right w:val="none" w:sz="0" w:space="0" w:color="auto"/>
      </w:divBdr>
    </w:div>
    <w:div w:id="1586377229">
      <w:bodyDiv w:val="1"/>
      <w:marLeft w:val="0"/>
      <w:marRight w:val="0"/>
      <w:marTop w:val="0"/>
      <w:marBottom w:val="0"/>
      <w:divBdr>
        <w:top w:val="none" w:sz="0" w:space="0" w:color="auto"/>
        <w:left w:val="none" w:sz="0" w:space="0" w:color="auto"/>
        <w:bottom w:val="none" w:sz="0" w:space="0" w:color="auto"/>
        <w:right w:val="none" w:sz="0" w:space="0" w:color="auto"/>
      </w:divBdr>
    </w:div>
    <w:div w:id="1590196173">
      <w:bodyDiv w:val="1"/>
      <w:marLeft w:val="0"/>
      <w:marRight w:val="0"/>
      <w:marTop w:val="0"/>
      <w:marBottom w:val="0"/>
      <w:divBdr>
        <w:top w:val="none" w:sz="0" w:space="0" w:color="auto"/>
        <w:left w:val="none" w:sz="0" w:space="0" w:color="auto"/>
        <w:bottom w:val="none" w:sz="0" w:space="0" w:color="auto"/>
        <w:right w:val="none" w:sz="0" w:space="0" w:color="auto"/>
      </w:divBdr>
    </w:div>
    <w:div w:id="1591239225">
      <w:bodyDiv w:val="1"/>
      <w:marLeft w:val="0"/>
      <w:marRight w:val="0"/>
      <w:marTop w:val="0"/>
      <w:marBottom w:val="0"/>
      <w:divBdr>
        <w:top w:val="none" w:sz="0" w:space="0" w:color="auto"/>
        <w:left w:val="none" w:sz="0" w:space="0" w:color="auto"/>
        <w:bottom w:val="none" w:sz="0" w:space="0" w:color="auto"/>
        <w:right w:val="none" w:sz="0" w:space="0" w:color="auto"/>
      </w:divBdr>
    </w:div>
    <w:div w:id="1593705001">
      <w:bodyDiv w:val="1"/>
      <w:marLeft w:val="0"/>
      <w:marRight w:val="0"/>
      <w:marTop w:val="0"/>
      <w:marBottom w:val="0"/>
      <w:divBdr>
        <w:top w:val="none" w:sz="0" w:space="0" w:color="auto"/>
        <w:left w:val="none" w:sz="0" w:space="0" w:color="auto"/>
        <w:bottom w:val="none" w:sz="0" w:space="0" w:color="auto"/>
        <w:right w:val="none" w:sz="0" w:space="0" w:color="auto"/>
      </w:divBdr>
    </w:div>
    <w:div w:id="1596480139">
      <w:bodyDiv w:val="1"/>
      <w:marLeft w:val="0"/>
      <w:marRight w:val="0"/>
      <w:marTop w:val="0"/>
      <w:marBottom w:val="0"/>
      <w:divBdr>
        <w:top w:val="none" w:sz="0" w:space="0" w:color="auto"/>
        <w:left w:val="none" w:sz="0" w:space="0" w:color="auto"/>
        <w:bottom w:val="none" w:sz="0" w:space="0" w:color="auto"/>
        <w:right w:val="none" w:sz="0" w:space="0" w:color="auto"/>
      </w:divBdr>
    </w:div>
    <w:div w:id="1598562876">
      <w:bodyDiv w:val="1"/>
      <w:marLeft w:val="0"/>
      <w:marRight w:val="0"/>
      <w:marTop w:val="0"/>
      <w:marBottom w:val="0"/>
      <w:divBdr>
        <w:top w:val="none" w:sz="0" w:space="0" w:color="auto"/>
        <w:left w:val="none" w:sz="0" w:space="0" w:color="auto"/>
        <w:bottom w:val="none" w:sz="0" w:space="0" w:color="auto"/>
        <w:right w:val="none" w:sz="0" w:space="0" w:color="auto"/>
      </w:divBdr>
    </w:div>
    <w:div w:id="1603224658">
      <w:bodyDiv w:val="1"/>
      <w:marLeft w:val="0"/>
      <w:marRight w:val="0"/>
      <w:marTop w:val="0"/>
      <w:marBottom w:val="0"/>
      <w:divBdr>
        <w:top w:val="none" w:sz="0" w:space="0" w:color="auto"/>
        <w:left w:val="none" w:sz="0" w:space="0" w:color="auto"/>
        <w:bottom w:val="none" w:sz="0" w:space="0" w:color="auto"/>
        <w:right w:val="none" w:sz="0" w:space="0" w:color="auto"/>
      </w:divBdr>
    </w:div>
    <w:div w:id="1609772892">
      <w:bodyDiv w:val="1"/>
      <w:marLeft w:val="0"/>
      <w:marRight w:val="0"/>
      <w:marTop w:val="0"/>
      <w:marBottom w:val="0"/>
      <w:divBdr>
        <w:top w:val="none" w:sz="0" w:space="0" w:color="auto"/>
        <w:left w:val="none" w:sz="0" w:space="0" w:color="auto"/>
        <w:bottom w:val="none" w:sz="0" w:space="0" w:color="auto"/>
        <w:right w:val="none" w:sz="0" w:space="0" w:color="auto"/>
      </w:divBdr>
    </w:div>
    <w:div w:id="1612858788">
      <w:bodyDiv w:val="1"/>
      <w:marLeft w:val="0"/>
      <w:marRight w:val="0"/>
      <w:marTop w:val="0"/>
      <w:marBottom w:val="0"/>
      <w:divBdr>
        <w:top w:val="none" w:sz="0" w:space="0" w:color="auto"/>
        <w:left w:val="none" w:sz="0" w:space="0" w:color="auto"/>
        <w:bottom w:val="none" w:sz="0" w:space="0" w:color="auto"/>
        <w:right w:val="none" w:sz="0" w:space="0" w:color="auto"/>
      </w:divBdr>
      <w:divsChild>
        <w:div w:id="642346371">
          <w:marLeft w:val="0"/>
          <w:marRight w:val="0"/>
          <w:marTop w:val="0"/>
          <w:marBottom w:val="0"/>
          <w:divBdr>
            <w:top w:val="none" w:sz="0" w:space="0" w:color="auto"/>
            <w:left w:val="none" w:sz="0" w:space="0" w:color="auto"/>
            <w:bottom w:val="none" w:sz="0" w:space="0" w:color="auto"/>
            <w:right w:val="none" w:sz="0" w:space="0" w:color="auto"/>
          </w:divBdr>
          <w:divsChild>
            <w:div w:id="1253318008">
              <w:marLeft w:val="0"/>
              <w:marRight w:val="0"/>
              <w:marTop w:val="0"/>
              <w:marBottom w:val="0"/>
              <w:divBdr>
                <w:top w:val="none" w:sz="0" w:space="0" w:color="auto"/>
                <w:left w:val="none" w:sz="0" w:space="0" w:color="auto"/>
                <w:bottom w:val="none" w:sz="0" w:space="0" w:color="auto"/>
                <w:right w:val="none" w:sz="0" w:space="0" w:color="auto"/>
              </w:divBdr>
              <w:divsChild>
                <w:div w:id="2014070200">
                  <w:marLeft w:val="0"/>
                  <w:marRight w:val="0"/>
                  <w:marTop w:val="0"/>
                  <w:marBottom w:val="0"/>
                  <w:divBdr>
                    <w:top w:val="none" w:sz="0" w:space="0" w:color="auto"/>
                    <w:left w:val="none" w:sz="0" w:space="0" w:color="auto"/>
                    <w:bottom w:val="none" w:sz="0" w:space="0" w:color="auto"/>
                    <w:right w:val="none" w:sz="0" w:space="0" w:color="auto"/>
                  </w:divBdr>
                  <w:divsChild>
                    <w:div w:id="1464736926">
                      <w:marLeft w:val="0"/>
                      <w:marRight w:val="0"/>
                      <w:marTop w:val="0"/>
                      <w:marBottom w:val="0"/>
                      <w:divBdr>
                        <w:top w:val="none" w:sz="0" w:space="0" w:color="auto"/>
                        <w:left w:val="none" w:sz="0" w:space="0" w:color="auto"/>
                        <w:bottom w:val="none" w:sz="0" w:space="0" w:color="auto"/>
                        <w:right w:val="none" w:sz="0" w:space="0" w:color="auto"/>
                      </w:divBdr>
                      <w:divsChild>
                        <w:div w:id="1713186264">
                          <w:marLeft w:val="0"/>
                          <w:marRight w:val="0"/>
                          <w:marTop w:val="0"/>
                          <w:marBottom w:val="0"/>
                          <w:divBdr>
                            <w:top w:val="none" w:sz="0" w:space="0" w:color="auto"/>
                            <w:left w:val="none" w:sz="0" w:space="0" w:color="auto"/>
                            <w:bottom w:val="none" w:sz="0" w:space="0" w:color="auto"/>
                            <w:right w:val="none" w:sz="0" w:space="0" w:color="auto"/>
                          </w:divBdr>
                          <w:divsChild>
                            <w:div w:id="1260604898">
                              <w:marLeft w:val="0"/>
                              <w:marRight w:val="0"/>
                              <w:marTop w:val="0"/>
                              <w:marBottom w:val="0"/>
                              <w:divBdr>
                                <w:top w:val="none" w:sz="0" w:space="0" w:color="auto"/>
                                <w:left w:val="none" w:sz="0" w:space="0" w:color="auto"/>
                                <w:bottom w:val="none" w:sz="0" w:space="0" w:color="auto"/>
                                <w:right w:val="none" w:sz="0" w:space="0" w:color="auto"/>
                              </w:divBdr>
                              <w:divsChild>
                                <w:div w:id="1580603542">
                                  <w:marLeft w:val="0"/>
                                  <w:marRight w:val="0"/>
                                  <w:marTop w:val="0"/>
                                  <w:marBottom w:val="0"/>
                                  <w:divBdr>
                                    <w:top w:val="none" w:sz="0" w:space="0" w:color="auto"/>
                                    <w:left w:val="none" w:sz="0" w:space="0" w:color="auto"/>
                                    <w:bottom w:val="none" w:sz="0" w:space="0" w:color="auto"/>
                                    <w:right w:val="none" w:sz="0" w:space="0" w:color="auto"/>
                                  </w:divBdr>
                                  <w:divsChild>
                                    <w:div w:id="14880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864435">
      <w:bodyDiv w:val="1"/>
      <w:marLeft w:val="0"/>
      <w:marRight w:val="0"/>
      <w:marTop w:val="0"/>
      <w:marBottom w:val="0"/>
      <w:divBdr>
        <w:top w:val="none" w:sz="0" w:space="0" w:color="auto"/>
        <w:left w:val="none" w:sz="0" w:space="0" w:color="auto"/>
        <w:bottom w:val="none" w:sz="0" w:space="0" w:color="auto"/>
        <w:right w:val="none" w:sz="0" w:space="0" w:color="auto"/>
      </w:divBdr>
    </w:div>
    <w:div w:id="1621691229">
      <w:bodyDiv w:val="1"/>
      <w:marLeft w:val="0"/>
      <w:marRight w:val="0"/>
      <w:marTop w:val="0"/>
      <w:marBottom w:val="0"/>
      <w:divBdr>
        <w:top w:val="none" w:sz="0" w:space="0" w:color="auto"/>
        <w:left w:val="none" w:sz="0" w:space="0" w:color="auto"/>
        <w:bottom w:val="none" w:sz="0" w:space="0" w:color="auto"/>
        <w:right w:val="none" w:sz="0" w:space="0" w:color="auto"/>
      </w:divBdr>
    </w:div>
    <w:div w:id="1628655852">
      <w:bodyDiv w:val="1"/>
      <w:marLeft w:val="0"/>
      <w:marRight w:val="0"/>
      <w:marTop w:val="0"/>
      <w:marBottom w:val="0"/>
      <w:divBdr>
        <w:top w:val="none" w:sz="0" w:space="0" w:color="auto"/>
        <w:left w:val="none" w:sz="0" w:space="0" w:color="auto"/>
        <w:bottom w:val="none" w:sz="0" w:space="0" w:color="auto"/>
        <w:right w:val="none" w:sz="0" w:space="0" w:color="auto"/>
      </w:divBdr>
    </w:div>
    <w:div w:id="1629503885">
      <w:bodyDiv w:val="1"/>
      <w:marLeft w:val="0"/>
      <w:marRight w:val="0"/>
      <w:marTop w:val="0"/>
      <w:marBottom w:val="0"/>
      <w:divBdr>
        <w:top w:val="none" w:sz="0" w:space="0" w:color="auto"/>
        <w:left w:val="none" w:sz="0" w:space="0" w:color="auto"/>
        <w:bottom w:val="none" w:sz="0" w:space="0" w:color="auto"/>
        <w:right w:val="none" w:sz="0" w:space="0" w:color="auto"/>
      </w:divBdr>
      <w:divsChild>
        <w:div w:id="2136026431">
          <w:marLeft w:val="0"/>
          <w:marRight w:val="0"/>
          <w:marTop w:val="0"/>
          <w:marBottom w:val="0"/>
          <w:divBdr>
            <w:top w:val="none" w:sz="0" w:space="0" w:color="auto"/>
            <w:left w:val="none" w:sz="0" w:space="0" w:color="auto"/>
            <w:bottom w:val="none" w:sz="0" w:space="0" w:color="auto"/>
            <w:right w:val="none" w:sz="0" w:space="0" w:color="auto"/>
          </w:divBdr>
          <w:divsChild>
            <w:div w:id="573585909">
              <w:marLeft w:val="0"/>
              <w:marRight w:val="0"/>
              <w:marTop w:val="0"/>
              <w:marBottom w:val="0"/>
              <w:divBdr>
                <w:top w:val="none" w:sz="0" w:space="0" w:color="auto"/>
                <w:left w:val="none" w:sz="0" w:space="0" w:color="auto"/>
                <w:bottom w:val="none" w:sz="0" w:space="0" w:color="auto"/>
                <w:right w:val="none" w:sz="0" w:space="0" w:color="auto"/>
              </w:divBdr>
              <w:divsChild>
                <w:div w:id="19999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76952">
      <w:bodyDiv w:val="1"/>
      <w:marLeft w:val="0"/>
      <w:marRight w:val="0"/>
      <w:marTop w:val="0"/>
      <w:marBottom w:val="0"/>
      <w:divBdr>
        <w:top w:val="none" w:sz="0" w:space="0" w:color="auto"/>
        <w:left w:val="none" w:sz="0" w:space="0" w:color="auto"/>
        <w:bottom w:val="none" w:sz="0" w:space="0" w:color="auto"/>
        <w:right w:val="none" w:sz="0" w:space="0" w:color="auto"/>
      </w:divBdr>
      <w:divsChild>
        <w:div w:id="429088917">
          <w:marLeft w:val="475"/>
          <w:marRight w:val="0"/>
          <w:marTop w:val="168"/>
          <w:marBottom w:val="0"/>
          <w:divBdr>
            <w:top w:val="none" w:sz="0" w:space="0" w:color="auto"/>
            <w:left w:val="none" w:sz="0" w:space="0" w:color="auto"/>
            <w:bottom w:val="none" w:sz="0" w:space="0" w:color="auto"/>
            <w:right w:val="none" w:sz="0" w:space="0" w:color="auto"/>
          </w:divBdr>
        </w:div>
        <w:div w:id="461001334">
          <w:marLeft w:val="475"/>
          <w:marRight w:val="0"/>
          <w:marTop w:val="168"/>
          <w:marBottom w:val="0"/>
          <w:divBdr>
            <w:top w:val="none" w:sz="0" w:space="0" w:color="auto"/>
            <w:left w:val="none" w:sz="0" w:space="0" w:color="auto"/>
            <w:bottom w:val="none" w:sz="0" w:space="0" w:color="auto"/>
            <w:right w:val="none" w:sz="0" w:space="0" w:color="auto"/>
          </w:divBdr>
        </w:div>
        <w:div w:id="541214631">
          <w:marLeft w:val="1181"/>
          <w:marRight w:val="0"/>
          <w:marTop w:val="168"/>
          <w:marBottom w:val="0"/>
          <w:divBdr>
            <w:top w:val="none" w:sz="0" w:space="0" w:color="auto"/>
            <w:left w:val="none" w:sz="0" w:space="0" w:color="auto"/>
            <w:bottom w:val="none" w:sz="0" w:space="0" w:color="auto"/>
            <w:right w:val="none" w:sz="0" w:space="0" w:color="auto"/>
          </w:divBdr>
        </w:div>
        <w:div w:id="588778132">
          <w:marLeft w:val="475"/>
          <w:marRight w:val="0"/>
          <w:marTop w:val="168"/>
          <w:marBottom w:val="0"/>
          <w:divBdr>
            <w:top w:val="none" w:sz="0" w:space="0" w:color="auto"/>
            <w:left w:val="none" w:sz="0" w:space="0" w:color="auto"/>
            <w:bottom w:val="none" w:sz="0" w:space="0" w:color="auto"/>
            <w:right w:val="none" w:sz="0" w:space="0" w:color="auto"/>
          </w:divBdr>
        </w:div>
        <w:div w:id="633830249">
          <w:marLeft w:val="475"/>
          <w:marRight w:val="0"/>
          <w:marTop w:val="168"/>
          <w:marBottom w:val="0"/>
          <w:divBdr>
            <w:top w:val="none" w:sz="0" w:space="0" w:color="auto"/>
            <w:left w:val="none" w:sz="0" w:space="0" w:color="auto"/>
            <w:bottom w:val="none" w:sz="0" w:space="0" w:color="auto"/>
            <w:right w:val="none" w:sz="0" w:space="0" w:color="auto"/>
          </w:divBdr>
        </w:div>
        <w:div w:id="1123497722">
          <w:marLeft w:val="475"/>
          <w:marRight w:val="0"/>
          <w:marTop w:val="168"/>
          <w:marBottom w:val="0"/>
          <w:divBdr>
            <w:top w:val="none" w:sz="0" w:space="0" w:color="auto"/>
            <w:left w:val="none" w:sz="0" w:space="0" w:color="auto"/>
            <w:bottom w:val="none" w:sz="0" w:space="0" w:color="auto"/>
            <w:right w:val="none" w:sz="0" w:space="0" w:color="auto"/>
          </w:divBdr>
        </w:div>
        <w:div w:id="1426269135">
          <w:marLeft w:val="1181"/>
          <w:marRight w:val="0"/>
          <w:marTop w:val="168"/>
          <w:marBottom w:val="0"/>
          <w:divBdr>
            <w:top w:val="none" w:sz="0" w:space="0" w:color="auto"/>
            <w:left w:val="none" w:sz="0" w:space="0" w:color="auto"/>
            <w:bottom w:val="none" w:sz="0" w:space="0" w:color="auto"/>
            <w:right w:val="none" w:sz="0" w:space="0" w:color="auto"/>
          </w:divBdr>
        </w:div>
        <w:div w:id="1722091379">
          <w:marLeft w:val="475"/>
          <w:marRight w:val="0"/>
          <w:marTop w:val="168"/>
          <w:marBottom w:val="0"/>
          <w:divBdr>
            <w:top w:val="none" w:sz="0" w:space="0" w:color="auto"/>
            <w:left w:val="none" w:sz="0" w:space="0" w:color="auto"/>
            <w:bottom w:val="none" w:sz="0" w:space="0" w:color="auto"/>
            <w:right w:val="none" w:sz="0" w:space="0" w:color="auto"/>
          </w:divBdr>
        </w:div>
        <w:div w:id="1757167943">
          <w:marLeft w:val="1181"/>
          <w:marRight w:val="0"/>
          <w:marTop w:val="168"/>
          <w:marBottom w:val="0"/>
          <w:divBdr>
            <w:top w:val="none" w:sz="0" w:space="0" w:color="auto"/>
            <w:left w:val="none" w:sz="0" w:space="0" w:color="auto"/>
            <w:bottom w:val="none" w:sz="0" w:space="0" w:color="auto"/>
            <w:right w:val="none" w:sz="0" w:space="0" w:color="auto"/>
          </w:divBdr>
        </w:div>
        <w:div w:id="2029479223">
          <w:marLeft w:val="1181"/>
          <w:marRight w:val="0"/>
          <w:marTop w:val="168"/>
          <w:marBottom w:val="0"/>
          <w:divBdr>
            <w:top w:val="none" w:sz="0" w:space="0" w:color="auto"/>
            <w:left w:val="none" w:sz="0" w:space="0" w:color="auto"/>
            <w:bottom w:val="none" w:sz="0" w:space="0" w:color="auto"/>
            <w:right w:val="none" w:sz="0" w:space="0" w:color="auto"/>
          </w:divBdr>
        </w:div>
      </w:divsChild>
    </w:div>
    <w:div w:id="1635719717">
      <w:bodyDiv w:val="1"/>
      <w:marLeft w:val="0"/>
      <w:marRight w:val="0"/>
      <w:marTop w:val="0"/>
      <w:marBottom w:val="0"/>
      <w:divBdr>
        <w:top w:val="none" w:sz="0" w:space="0" w:color="auto"/>
        <w:left w:val="none" w:sz="0" w:space="0" w:color="auto"/>
        <w:bottom w:val="none" w:sz="0" w:space="0" w:color="auto"/>
        <w:right w:val="none" w:sz="0" w:space="0" w:color="auto"/>
      </w:divBdr>
    </w:div>
    <w:div w:id="1643466709">
      <w:bodyDiv w:val="1"/>
      <w:marLeft w:val="0"/>
      <w:marRight w:val="0"/>
      <w:marTop w:val="0"/>
      <w:marBottom w:val="0"/>
      <w:divBdr>
        <w:top w:val="none" w:sz="0" w:space="0" w:color="auto"/>
        <w:left w:val="none" w:sz="0" w:space="0" w:color="auto"/>
        <w:bottom w:val="none" w:sz="0" w:space="0" w:color="auto"/>
        <w:right w:val="none" w:sz="0" w:space="0" w:color="auto"/>
      </w:divBdr>
      <w:divsChild>
        <w:div w:id="558322636">
          <w:marLeft w:val="0"/>
          <w:marRight w:val="0"/>
          <w:marTop w:val="0"/>
          <w:marBottom w:val="0"/>
          <w:divBdr>
            <w:top w:val="none" w:sz="0" w:space="0" w:color="auto"/>
            <w:left w:val="none" w:sz="0" w:space="0" w:color="auto"/>
            <w:bottom w:val="none" w:sz="0" w:space="0" w:color="auto"/>
            <w:right w:val="none" w:sz="0" w:space="0" w:color="auto"/>
          </w:divBdr>
        </w:div>
      </w:divsChild>
    </w:div>
    <w:div w:id="1647314489">
      <w:bodyDiv w:val="1"/>
      <w:marLeft w:val="0"/>
      <w:marRight w:val="0"/>
      <w:marTop w:val="0"/>
      <w:marBottom w:val="0"/>
      <w:divBdr>
        <w:top w:val="none" w:sz="0" w:space="0" w:color="auto"/>
        <w:left w:val="none" w:sz="0" w:space="0" w:color="auto"/>
        <w:bottom w:val="none" w:sz="0" w:space="0" w:color="auto"/>
        <w:right w:val="none" w:sz="0" w:space="0" w:color="auto"/>
      </w:divBdr>
    </w:div>
    <w:div w:id="1654064893">
      <w:bodyDiv w:val="1"/>
      <w:marLeft w:val="0"/>
      <w:marRight w:val="0"/>
      <w:marTop w:val="0"/>
      <w:marBottom w:val="0"/>
      <w:divBdr>
        <w:top w:val="none" w:sz="0" w:space="0" w:color="auto"/>
        <w:left w:val="none" w:sz="0" w:space="0" w:color="auto"/>
        <w:bottom w:val="none" w:sz="0" w:space="0" w:color="auto"/>
        <w:right w:val="none" w:sz="0" w:space="0" w:color="auto"/>
      </w:divBdr>
    </w:div>
    <w:div w:id="1657343033">
      <w:bodyDiv w:val="1"/>
      <w:marLeft w:val="0"/>
      <w:marRight w:val="0"/>
      <w:marTop w:val="0"/>
      <w:marBottom w:val="0"/>
      <w:divBdr>
        <w:top w:val="none" w:sz="0" w:space="0" w:color="auto"/>
        <w:left w:val="none" w:sz="0" w:space="0" w:color="auto"/>
        <w:bottom w:val="none" w:sz="0" w:space="0" w:color="auto"/>
        <w:right w:val="none" w:sz="0" w:space="0" w:color="auto"/>
      </w:divBdr>
    </w:div>
    <w:div w:id="1662394205">
      <w:bodyDiv w:val="1"/>
      <w:marLeft w:val="0"/>
      <w:marRight w:val="0"/>
      <w:marTop w:val="0"/>
      <w:marBottom w:val="0"/>
      <w:divBdr>
        <w:top w:val="none" w:sz="0" w:space="0" w:color="auto"/>
        <w:left w:val="none" w:sz="0" w:space="0" w:color="auto"/>
        <w:bottom w:val="none" w:sz="0" w:space="0" w:color="auto"/>
        <w:right w:val="none" w:sz="0" w:space="0" w:color="auto"/>
      </w:divBdr>
    </w:div>
    <w:div w:id="1663577878">
      <w:bodyDiv w:val="1"/>
      <w:marLeft w:val="0"/>
      <w:marRight w:val="0"/>
      <w:marTop w:val="0"/>
      <w:marBottom w:val="0"/>
      <w:divBdr>
        <w:top w:val="none" w:sz="0" w:space="0" w:color="auto"/>
        <w:left w:val="none" w:sz="0" w:space="0" w:color="auto"/>
        <w:bottom w:val="none" w:sz="0" w:space="0" w:color="auto"/>
        <w:right w:val="none" w:sz="0" w:space="0" w:color="auto"/>
      </w:divBdr>
    </w:div>
    <w:div w:id="1663896291">
      <w:bodyDiv w:val="1"/>
      <w:marLeft w:val="0"/>
      <w:marRight w:val="0"/>
      <w:marTop w:val="0"/>
      <w:marBottom w:val="0"/>
      <w:divBdr>
        <w:top w:val="none" w:sz="0" w:space="0" w:color="auto"/>
        <w:left w:val="none" w:sz="0" w:space="0" w:color="auto"/>
        <w:bottom w:val="none" w:sz="0" w:space="0" w:color="auto"/>
        <w:right w:val="none" w:sz="0" w:space="0" w:color="auto"/>
      </w:divBdr>
    </w:div>
    <w:div w:id="1671179024">
      <w:bodyDiv w:val="1"/>
      <w:marLeft w:val="0"/>
      <w:marRight w:val="0"/>
      <w:marTop w:val="0"/>
      <w:marBottom w:val="0"/>
      <w:divBdr>
        <w:top w:val="none" w:sz="0" w:space="0" w:color="auto"/>
        <w:left w:val="none" w:sz="0" w:space="0" w:color="auto"/>
        <w:bottom w:val="none" w:sz="0" w:space="0" w:color="auto"/>
        <w:right w:val="none" w:sz="0" w:space="0" w:color="auto"/>
      </w:divBdr>
      <w:divsChild>
        <w:div w:id="53822895">
          <w:marLeft w:val="475"/>
          <w:marRight w:val="0"/>
          <w:marTop w:val="168"/>
          <w:marBottom w:val="0"/>
          <w:divBdr>
            <w:top w:val="none" w:sz="0" w:space="0" w:color="auto"/>
            <w:left w:val="none" w:sz="0" w:space="0" w:color="auto"/>
            <w:bottom w:val="none" w:sz="0" w:space="0" w:color="auto"/>
            <w:right w:val="none" w:sz="0" w:space="0" w:color="auto"/>
          </w:divBdr>
        </w:div>
        <w:div w:id="411202597">
          <w:marLeft w:val="475"/>
          <w:marRight w:val="0"/>
          <w:marTop w:val="168"/>
          <w:marBottom w:val="0"/>
          <w:divBdr>
            <w:top w:val="none" w:sz="0" w:space="0" w:color="auto"/>
            <w:left w:val="none" w:sz="0" w:space="0" w:color="auto"/>
            <w:bottom w:val="none" w:sz="0" w:space="0" w:color="auto"/>
            <w:right w:val="none" w:sz="0" w:space="0" w:color="auto"/>
          </w:divBdr>
        </w:div>
        <w:div w:id="723649952">
          <w:marLeft w:val="475"/>
          <w:marRight w:val="0"/>
          <w:marTop w:val="168"/>
          <w:marBottom w:val="0"/>
          <w:divBdr>
            <w:top w:val="none" w:sz="0" w:space="0" w:color="auto"/>
            <w:left w:val="none" w:sz="0" w:space="0" w:color="auto"/>
            <w:bottom w:val="none" w:sz="0" w:space="0" w:color="auto"/>
            <w:right w:val="none" w:sz="0" w:space="0" w:color="auto"/>
          </w:divBdr>
        </w:div>
        <w:div w:id="1242175464">
          <w:marLeft w:val="475"/>
          <w:marRight w:val="0"/>
          <w:marTop w:val="168"/>
          <w:marBottom w:val="0"/>
          <w:divBdr>
            <w:top w:val="none" w:sz="0" w:space="0" w:color="auto"/>
            <w:left w:val="none" w:sz="0" w:space="0" w:color="auto"/>
            <w:bottom w:val="none" w:sz="0" w:space="0" w:color="auto"/>
            <w:right w:val="none" w:sz="0" w:space="0" w:color="auto"/>
          </w:divBdr>
        </w:div>
        <w:div w:id="1251546589">
          <w:marLeft w:val="475"/>
          <w:marRight w:val="0"/>
          <w:marTop w:val="168"/>
          <w:marBottom w:val="0"/>
          <w:divBdr>
            <w:top w:val="none" w:sz="0" w:space="0" w:color="auto"/>
            <w:left w:val="none" w:sz="0" w:space="0" w:color="auto"/>
            <w:bottom w:val="none" w:sz="0" w:space="0" w:color="auto"/>
            <w:right w:val="none" w:sz="0" w:space="0" w:color="auto"/>
          </w:divBdr>
        </w:div>
        <w:div w:id="1560508864">
          <w:marLeft w:val="475"/>
          <w:marRight w:val="0"/>
          <w:marTop w:val="168"/>
          <w:marBottom w:val="0"/>
          <w:divBdr>
            <w:top w:val="none" w:sz="0" w:space="0" w:color="auto"/>
            <w:left w:val="none" w:sz="0" w:space="0" w:color="auto"/>
            <w:bottom w:val="none" w:sz="0" w:space="0" w:color="auto"/>
            <w:right w:val="none" w:sz="0" w:space="0" w:color="auto"/>
          </w:divBdr>
        </w:div>
        <w:div w:id="1680083405">
          <w:marLeft w:val="475"/>
          <w:marRight w:val="0"/>
          <w:marTop w:val="168"/>
          <w:marBottom w:val="0"/>
          <w:divBdr>
            <w:top w:val="none" w:sz="0" w:space="0" w:color="auto"/>
            <w:left w:val="none" w:sz="0" w:space="0" w:color="auto"/>
            <w:bottom w:val="none" w:sz="0" w:space="0" w:color="auto"/>
            <w:right w:val="none" w:sz="0" w:space="0" w:color="auto"/>
          </w:divBdr>
        </w:div>
      </w:divsChild>
    </w:div>
    <w:div w:id="1671710657">
      <w:bodyDiv w:val="1"/>
      <w:marLeft w:val="0"/>
      <w:marRight w:val="0"/>
      <w:marTop w:val="0"/>
      <w:marBottom w:val="0"/>
      <w:divBdr>
        <w:top w:val="none" w:sz="0" w:space="0" w:color="auto"/>
        <w:left w:val="none" w:sz="0" w:space="0" w:color="auto"/>
        <w:bottom w:val="none" w:sz="0" w:space="0" w:color="auto"/>
        <w:right w:val="none" w:sz="0" w:space="0" w:color="auto"/>
      </w:divBdr>
    </w:div>
    <w:div w:id="1672636440">
      <w:bodyDiv w:val="1"/>
      <w:marLeft w:val="0"/>
      <w:marRight w:val="0"/>
      <w:marTop w:val="0"/>
      <w:marBottom w:val="0"/>
      <w:divBdr>
        <w:top w:val="none" w:sz="0" w:space="0" w:color="auto"/>
        <w:left w:val="none" w:sz="0" w:space="0" w:color="auto"/>
        <w:bottom w:val="none" w:sz="0" w:space="0" w:color="auto"/>
        <w:right w:val="none" w:sz="0" w:space="0" w:color="auto"/>
      </w:divBdr>
      <w:divsChild>
        <w:div w:id="530647604">
          <w:marLeft w:val="0"/>
          <w:marRight w:val="0"/>
          <w:marTop w:val="0"/>
          <w:marBottom w:val="0"/>
          <w:divBdr>
            <w:top w:val="none" w:sz="0" w:space="0" w:color="auto"/>
            <w:left w:val="none" w:sz="0" w:space="0" w:color="auto"/>
            <w:bottom w:val="none" w:sz="0" w:space="0" w:color="auto"/>
            <w:right w:val="none" w:sz="0" w:space="0" w:color="auto"/>
          </w:divBdr>
        </w:div>
        <w:div w:id="989334313">
          <w:marLeft w:val="0"/>
          <w:marRight w:val="0"/>
          <w:marTop w:val="0"/>
          <w:marBottom w:val="0"/>
          <w:divBdr>
            <w:top w:val="none" w:sz="0" w:space="0" w:color="auto"/>
            <w:left w:val="none" w:sz="0" w:space="0" w:color="auto"/>
            <w:bottom w:val="none" w:sz="0" w:space="0" w:color="auto"/>
            <w:right w:val="none" w:sz="0" w:space="0" w:color="auto"/>
          </w:divBdr>
        </w:div>
        <w:div w:id="1974360559">
          <w:marLeft w:val="0"/>
          <w:marRight w:val="0"/>
          <w:marTop w:val="0"/>
          <w:marBottom w:val="0"/>
          <w:divBdr>
            <w:top w:val="none" w:sz="0" w:space="0" w:color="auto"/>
            <w:left w:val="none" w:sz="0" w:space="0" w:color="auto"/>
            <w:bottom w:val="none" w:sz="0" w:space="0" w:color="auto"/>
            <w:right w:val="none" w:sz="0" w:space="0" w:color="auto"/>
          </w:divBdr>
        </w:div>
      </w:divsChild>
    </w:div>
    <w:div w:id="1673602148">
      <w:bodyDiv w:val="1"/>
      <w:marLeft w:val="0"/>
      <w:marRight w:val="0"/>
      <w:marTop w:val="0"/>
      <w:marBottom w:val="0"/>
      <w:divBdr>
        <w:top w:val="none" w:sz="0" w:space="0" w:color="auto"/>
        <w:left w:val="none" w:sz="0" w:space="0" w:color="auto"/>
        <w:bottom w:val="none" w:sz="0" w:space="0" w:color="auto"/>
        <w:right w:val="none" w:sz="0" w:space="0" w:color="auto"/>
      </w:divBdr>
    </w:div>
    <w:div w:id="1673793639">
      <w:bodyDiv w:val="1"/>
      <w:marLeft w:val="0"/>
      <w:marRight w:val="0"/>
      <w:marTop w:val="0"/>
      <w:marBottom w:val="0"/>
      <w:divBdr>
        <w:top w:val="none" w:sz="0" w:space="0" w:color="auto"/>
        <w:left w:val="none" w:sz="0" w:space="0" w:color="auto"/>
        <w:bottom w:val="none" w:sz="0" w:space="0" w:color="auto"/>
        <w:right w:val="none" w:sz="0" w:space="0" w:color="auto"/>
      </w:divBdr>
    </w:div>
    <w:div w:id="1680736670">
      <w:bodyDiv w:val="1"/>
      <w:marLeft w:val="0"/>
      <w:marRight w:val="0"/>
      <w:marTop w:val="0"/>
      <w:marBottom w:val="0"/>
      <w:divBdr>
        <w:top w:val="none" w:sz="0" w:space="0" w:color="auto"/>
        <w:left w:val="none" w:sz="0" w:space="0" w:color="auto"/>
        <w:bottom w:val="none" w:sz="0" w:space="0" w:color="auto"/>
        <w:right w:val="none" w:sz="0" w:space="0" w:color="auto"/>
      </w:divBdr>
      <w:divsChild>
        <w:div w:id="106892526">
          <w:marLeft w:val="475"/>
          <w:marRight w:val="0"/>
          <w:marTop w:val="168"/>
          <w:marBottom w:val="0"/>
          <w:divBdr>
            <w:top w:val="none" w:sz="0" w:space="0" w:color="auto"/>
            <w:left w:val="none" w:sz="0" w:space="0" w:color="auto"/>
            <w:bottom w:val="none" w:sz="0" w:space="0" w:color="auto"/>
            <w:right w:val="none" w:sz="0" w:space="0" w:color="auto"/>
          </w:divBdr>
        </w:div>
        <w:div w:id="124856968">
          <w:marLeft w:val="475"/>
          <w:marRight w:val="0"/>
          <w:marTop w:val="168"/>
          <w:marBottom w:val="0"/>
          <w:divBdr>
            <w:top w:val="none" w:sz="0" w:space="0" w:color="auto"/>
            <w:left w:val="none" w:sz="0" w:space="0" w:color="auto"/>
            <w:bottom w:val="none" w:sz="0" w:space="0" w:color="auto"/>
            <w:right w:val="none" w:sz="0" w:space="0" w:color="auto"/>
          </w:divBdr>
        </w:div>
        <w:div w:id="768820378">
          <w:marLeft w:val="475"/>
          <w:marRight w:val="0"/>
          <w:marTop w:val="168"/>
          <w:marBottom w:val="0"/>
          <w:divBdr>
            <w:top w:val="none" w:sz="0" w:space="0" w:color="auto"/>
            <w:left w:val="none" w:sz="0" w:space="0" w:color="auto"/>
            <w:bottom w:val="none" w:sz="0" w:space="0" w:color="auto"/>
            <w:right w:val="none" w:sz="0" w:space="0" w:color="auto"/>
          </w:divBdr>
        </w:div>
      </w:divsChild>
    </w:div>
    <w:div w:id="1688436170">
      <w:bodyDiv w:val="1"/>
      <w:marLeft w:val="0"/>
      <w:marRight w:val="0"/>
      <w:marTop w:val="0"/>
      <w:marBottom w:val="0"/>
      <w:divBdr>
        <w:top w:val="none" w:sz="0" w:space="0" w:color="auto"/>
        <w:left w:val="none" w:sz="0" w:space="0" w:color="auto"/>
        <w:bottom w:val="none" w:sz="0" w:space="0" w:color="auto"/>
        <w:right w:val="none" w:sz="0" w:space="0" w:color="auto"/>
      </w:divBdr>
    </w:div>
    <w:div w:id="1694376638">
      <w:bodyDiv w:val="1"/>
      <w:marLeft w:val="0"/>
      <w:marRight w:val="0"/>
      <w:marTop w:val="0"/>
      <w:marBottom w:val="0"/>
      <w:divBdr>
        <w:top w:val="none" w:sz="0" w:space="0" w:color="auto"/>
        <w:left w:val="none" w:sz="0" w:space="0" w:color="auto"/>
        <w:bottom w:val="none" w:sz="0" w:space="0" w:color="auto"/>
        <w:right w:val="none" w:sz="0" w:space="0" w:color="auto"/>
      </w:divBdr>
    </w:div>
    <w:div w:id="1701010961">
      <w:bodyDiv w:val="1"/>
      <w:marLeft w:val="0"/>
      <w:marRight w:val="0"/>
      <w:marTop w:val="0"/>
      <w:marBottom w:val="0"/>
      <w:divBdr>
        <w:top w:val="none" w:sz="0" w:space="0" w:color="auto"/>
        <w:left w:val="none" w:sz="0" w:space="0" w:color="auto"/>
        <w:bottom w:val="none" w:sz="0" w:space="0" w:color="auto"/>
        <w:right w:val="none" w:sz="0" w:space="0" w:color="auto"/>
      </w:divBdr>
    </w:div>
    <w:div w:id="1702626769">
      <w:bodyDiv w:val="1"/>
      <w:marLeft w:val="0"/>
      <w:marRight w:val="0"/>
      <w:marTop w:val="0"/>
      <w:marBottom w:val="0"/>
      <w:divBdr>
        <w:top w:val="none" w:sz="0" w:space="0" w:color="auto"/>
        <w:left w:val="none" w:sz="0" w:space="0" w:color="auto"/>
        <w:bottom w:val="none" w:sz="0" w:space="0" w:color="auto"/>
        <w:right w:val="none" w:sz="0" w:space="0" w:color="auto"/>
      </w:divBdr>
    </w:div>
    <w:div w:id="1727677202">
      <w:bodyDiv w:val="1"/>
      <w:marLeft w:val="0"/>
      <w:marRight w:val="0"/>
      <w:marTop w:val="0"/>
      <w:marBottom w:val="0"/>
      <w:divBdr>
        <w:top w:val="none" w:sz="0" w:space="0" w:color="auto"/>
        <w:left w:val="none" w:sz="0" w:space="0" w:color="auto"/>
        <w:bottom w:val="none" w:sz="0" w:space="0" w:color="auto"/>
        <w:right w:val="none" w:sz="0" w:space="0" w:color="auto"/>
      </w:divBdr>
    </w:div>
    <w:div w:id="1730571382">
      <w:bodyDiv w:val="1"/>
      <w:marLeft w:val="0"/>
      <w:marRight w:val="0"/>
      <w:marTop w:val="0"/>
      <w:marBottom w:val="0"/>
      <w:divBdr>
        <w:top w:val="none" w:sz="0" w:space="0" w:color="auto"/>
        <w:left w:val="none" w:sz="0" w:space="0" w:color="auto"/>
        <w:bottom w:val="none" w:sz="0" w:space="0" w:color="auto"/>
        <w:right w:val="none" w:sz="0" w:space="0" w:color="auto"/>
      </w:divBdr>
    </w:div>
    <w:div w:id="1733191152">
      <w:bodyDiv w:val="1"/>
      <w:marLeft w:val="0"/>
      <w:marRight w:val="0"/>
      <w:marTop w:val="0"/>
      <w:marBottom w:val="0"/>
      <w:divBdr>
        <w:top w:val="none" w:sz="0" w:space="0" w:color="auto"/>
        <w:left w:val="none" w:sz="0" w:space="0" w:color="auto"/>
        <w:bottom w:val="none" w:sz="0" w:space="0" w:color="auto"/>
        <w:right w:val="none" w:sz="0" w:space="0" w:color="auto"/>
      </w:divBdr>
      <w:divsChild>
        <w:div w:id="100882550">
          <w:marLeft w:val="0"/>
          <w:marRight w:val="0"/>
          <w:marTop w:val="0"/>
          <w:marBottom w:val="0"/>
          <w:divBdr>
            <w:top w:val="none" w:sz="0" w:space="0" w:color="auto"/>
            <w:left w:val="none" w:sz="0" w:space="0" w:color="auto"/>
            <w:bottom w:val="none" w:sz="0" w:space="0" w:color="auto"/>
            <w:right w:val="none" w:sz="0" w:space="0" w:color="auto"/>
          </w:divBdr>
        </w:div>
        <w:div w:id="1088768925">
          <w:marLeft w:val="0"/>
          <w:marRight w:val="0"/>
          <w:marTop w:val="0"/>
          <w:marBottom w:val="0"/>
          <w:divBdr>
            <w:top w:val="none" w:sz="0" w:space="0" w:color="auto"/>
            <w:left w:val="none" w:sz="0" w:space="0" w:color="auto"/>
            <w:bottom w:val="none" w:sz="0" w:space="0" w:color="auto"/>
            <w:right w:val="none" w:sz="0" w:space="0" w:color="auto"/>
          </w:divBdr>
        </w:div>
        <w:div w:id="1272125265">
          <w:marLeft w:val="0"/>
          <w:marRight w:val="0"/>
          <w:marTop w:val="0"/>
          <w:marBottom w:val="0"/>
          <w:divBdr>
            <w:top w:val="none" w:sz="0" w:space="0" w:color="auto"/>
            <w:left w:val="none" w:sz="0" w:space="0" w:color="auto"/>
            <w:bottom w:val="none" w:sz="0" w:space="0" w:color="auto"/>
            <w:right w:val="none" w:sz="0" w:space="0" w:color="auto"/>
          </w:divBdr>
        </w:div>
      </w:divsChild>
    </w:div>
    <w:div w:id="1733651796">
      <w:bodyDiv w:val="1"/>
      <w:marLeft w:val="0"/>
      <w:marRight w:val="0"/>
      <w:marTop w:val="0"/>
      <w:marBottom w:val="0"/>
      <w:divBdr>
        <w:top w:val="none" w:sz="0" w:space="0" w:color="auto"/>
        <w:left w:val="none" w:sz="0" w:space="0" w:color="auto"/>
        <w:bottom w:val="none" w:sz="0" w:space="0" w:color="auto"/>
        <w:right w:val="none" w:sz="0" w:space="0" w:color="auto"/>
      </w:divBdr>
      <w:divsChild>
        <w:div w:id="214465543">
          <w:marLeft w:val="475"/>
          <w:marRight w:val="0"/>
          <w:marTop w:val="168"/>
          <w:marBottom w:val="0"/>
          <w:divBdr>
            <w:top w:val="none" w:sz="0" w:space="0" w:color="auto"/>
            <w:left w:val="none" w:sz="0" w:space="0" w:color="auto"/>
            <w:bottom w:val="none" w:sz="0" w:space="0" w:color="auto"/>
            <w:right w:val="none" w:sz="0" w:space="0" w:color="auto"/>
          </w:divBdr>
        </w:div>
        <w:div w:id="455099322">
          <w:marLeft w:val="475"/>
          <w:marRight w:val="0"/>
          <w:marTop w:val="168"/>
          <w:marBottom w:val="0"/>
          <w:divBdr>
            <w:top w:val="none" w:sz="0" w:space="0" w:color="auto"/>
            <w:left w:val="none" w:sz="0" w:space="0" w:color="auto"/>
            <w:bottom w:val="none" w:sz="0" w:space="0" w:color="auto"/>
            <w:right w:val="none" w:sz="0" w:space="0" w:color="auto"/>
          </w:divBdr>
        </w:div>
        <w:div w:id="634600643">
          <w:marLeft w:val="475"/>
          <w:marRight w:val="0"/>
          <w:marTop w:val="168"/>
          <w:marBottom w:val="0"/>
          <w:divBdr>
            <w:top w:val="none" w:sz="0" w:space="0" w:color="auto"/>
            <w:left w:val="none" w:sz="0" w:space="0" w:color="auto"/>
            <w:bottom w:val="none" w:sz="0" w:space="0" w:color="auto"/>
            <w:right w:val="none" w:sz="0" w:space="0" w:color="auto"/>
          </w:divBdr>
        </w:div>
        <w:div w:id="1409811392">
          <w:marLeft w:val="475"/>
          <w:marRight w:val="0"/>
          <w:marTop w:val="168"/>
          <w:marBottom w:val="0"/>
          <w:divBdr>
            <w:top w:val="none" w:sz="0" w:space="0" w:color="auto"/>
            <w:left w:val="none" w:sz="0" w:space="0" w:color="auto"/>
            <w:bottom w:val="none" w:sz="0" w:space="0" w:color="auto"/>
            <w:right w:val="none" w:sz="0" w:space="0" w:color="auto"/>
          </w:divBdr>
        </w:div>
        <w:div w:id="1430349590">
          <w:marLeft w:val="475"/>
          <w:marRight w:val="0"/>
          <w:marTop w:val="168"/>
          <w:marBottom w:val="0"/>
          <w:divBdr>
            <w:top w:val="none" w:sz="0" w:space="0" w:color="auto"/>
            <w:left w:val="none" w:sz="0" w:space="0" w:color="auto"/>
            <w:bottom w:val="none" w:sz="0" w:space="0" w:color="auto"/>
            <w:right w:val="none" w:sz="0" w:space="0" w:color="auto"/>
          </w:divBdr>
        </w:div>
        <w:div w:id="1595942670">
          <w:marLeft w:val="475"/>
          <w:marRight w:val="0"/>
          <w:marTop w:val="168"/>
          <w:marBottom w:val="0"/>
          <w:divBdr>
            <w:top w:val="none" w:sz="0" w:space="0" w:color="auto"/>
            <w:left w:val="none" w:sz="0" w:space="0" w:color="auto"/>
            <w:bottom w:val="none" w:sz="0" w:space="0" w:color="auto"/>
            <w:right w:val="none" w:sz="0" w:space="0" w:color="auto"/>
          </w:divBdr>
        </w:div>
        <w:div w:id="1710496978">
          <w:marLeft w:val="475"/>
          <w:marRight w:val="0"/>
          <w:marTop w:val="168"/>
          <w:marBottom w:val="0"/>
          <w:divBdr>
            <w:top w:val="none" w:sz="0" w:space="0" w:color="auto"/>
            <w:left w:val="none" w:sz="0" w:space="0" w:color="auto"/>
            <w:bottom w:val="none" w:sz="0" w:space="0" w:color="auto"/>
            <w:right w:val="none" w:sz="0" w:space="0" w:color="auto"/>
          </w:divBdr>
        </w:div>
        <w:div w:id="1713846116">
          <w:marLeft w:val="475"/>
          <w:marRight w:val="0"/>
          <w:marTop w:val="168"/>
          <w:marBottom w:val="0"/>
          <w:divBdr>
            <w:top w:val="none" w:sz="0" w:space="0" w:color="auto"/>
            <w:left w:val="none" w:sz="0" w:space="0" w:color="auto"/>
            <w:bottom w:val="none" w:sz="0" w:space="0" w:color="auto"/>
            <w:right w:val="none" w:sz="0" w:space="0" w:color="auto"/>
          </w:divBdr>
        </w:div>
        <w:div w:id="1806268193">
          <w:marLeft w:val="475"/>
          <w:marRight w:val="0"/>
          <w:marTop w:val="168"/>
          <w:marBottom w:val="0"/>
          <w:divBdr>
            <w:top w:val="none" w:sz="0" w:space="0" w:color="auto"/>
            <w:left w:val="none" w:sz="0" w:space="0" w:color="auto"/>
            <w:bottom w:val="none" w:sz="0" w:space="0" w:color="auto"/>
            <w:right w:val="none" w:sz="0" w:space="0" w:color="auto"/>
          </w:divBdr>
        </w:div>
        <w:div w:id="1850484144">
          <w:marLeft w:val="475"/>
          <w:marRight w:val="0"/>
          <w:marTop w:val="168"/>
          <w:marBottom w:val="0"/>
          <w:divBdr>
            <w:top w:val="none" w:sz="0" w:space="0" w:color="auto"/>
            <w:left w:val="none" w:sz="0" w:space="0" w:color="auto"/>
            <w:bottom w:val="none" w:sz="0" w:space="0" w:color="auto"/>
            <w:right w:val="none" w:sz="0" w:space="0" w:color="auto"/>
          </w:divBdr>
        </w:div>
      </w:divsChild>
    </w:div>
    <w:div w:id="1735473380">
      <w:bodyDiv w:val="1"/>
      <w:marLeft w:val="0"/>
      <w:marRight w:val="0"/>
      <w:marTop w:val="0"/>
      <w:marBottom w:val="0"/>
      <w:divBdr>
        <w:top w:val="none" w:sz="0" w:space="0" w:color="auto"/>
        <w:left w:val="none" w:sz="0" w:space="0" w:color="auto"/>
        <w:bottom w:val="none" w:sz="0" w:space="0" w:color="auto"/>
        <w:right w:val="none" w:sz="0" w:space="0" w:color="auto"/>
      </w:divBdr>
    </w:div>
    <w:div w:id="1744063901">
      <w:bodyDiv w:val="1"/>
      <w:marLeft w:val="0"/>
      <w:marRight w:val="0"/>
      <w:marTop w:val="0"/>
      <w:marBottom w:val="0"/>
      <w:divBdr>
        <w:top w:val="none" w:sz="0" w:space="0" w:color="auto"/>
        <w:left w:val="none" w:sz="0" w:space="0" w:color="auto"/>
        <w:bottom w:val="none" w:sz="0" w:space="0" w:color="auto"/>
        <w:right w:val="none" w:sz="0" w:space="0" w:color="auto"/>
      </w:divBdr>
    </w:div>
    <w:div w:id="1746489312">
      <w:bodyDiv w:val="1"/>
      <w:marLeft w:val="0"/>
      <w:marRight w:val="0"/>
      <w:marTop w:val="0"/>
      <w:marBottom w:val="0"/>
      <w:divBdr>
        <w:top w:val="none" w:sz="0" w:space="0" w:color="auto"/>
        <w:left w:val="none" w:sz="0" w:space="0" w:color="auto"/>
        <w:bottom w:val="none" w:sz="0" w:space="0" w:color="auto"/>
        <w:right w:val="none" w:sz="0" w:space="0" w:color="auto"/>
      </w:divBdr>
    </w:div>
    <w:div w:id="1749227463">
      <w:bodyDiv w:val="1"/>
      <w:marLeft w:val="0"/>
      <w:marRight w:val="0"/>
      <w:marTop w:val="0"/>
      <w:marBottom w:val="0"/>
      <w:divBdr>
        <w:top w:val="none" w:sz="0" w:space="0" w:color="auto"/>
        <w:left w:val="none" w:sz="0" w:space="0" w:color="auto"/>
        <w:bottom w:val="none" w:sz="0" w:space="0" w:color="auto"/>
        <w:right w:val="none" w:sz="0" w:space="0" w:color="auto"/>
      </w:divBdr>
    </w:div>
    <w:div w:id="1752433927">
      <w:bodyDiv w:val="1"/>
      <w:marLeft w:val="0"/>
      <w:marRight w:val="0"/>
      <w:marTop w:val="0"/>
      <w:marBottom w:val="0"/>
      <w:divBdr>
        <w:top w:val="none" w:sz="0" w:space="0" w:color="auto"/>
        <w:left w:val="none" w:sz="0" w:space="0" w:color="auto"/>
        <w:bottom w:val="none" w:sz="0" w:space="0" w:color="auto"/>
        <w:right w:val="none" w:sz="0" w:space="0" w:color="auto"/>
      </w:divBdr>
    </w:div>
    <w:div w:id="1761178692">
      <w:bodyDiv w:val="1"/>
      <w:marLeft w:val="0"/>
      <w:marRight w:val="0"/>
      <w:marTop w:val="0"/>
      <w:marBottom w:val="0"/>
      <w:divBdr>
        <w:top w:val="none" w:sz="0" w:space="0" w:color="auto"/>
        <w:left w:val="none" w:sz="0" w:space="0" w:color="auto"/>
        <w:bottom w:val="none" w:sz="0" w:space="0" w:color="auto"/>
        <w:right w:val="none" w:sz="0" w:space="0" w:color="auto"/>
      </w:divBdr>
    </w:div>
    <w:div w:id="1764304443">
      <w:bodyDiv w:val="1"/>
      <w:marLeft w:val="0"/>
      <w:marRight w:val="0"/>
      <w:marTop w:val="0"/>
      <w:marBottom w:val="0"/>
      <w:divBdr>
        <w:top w:val="none" w:sz="0" w:space="0" w:color="auto"/>
        <w:left w:val="none" w:sz="0" w:space="0" w:color="auto"/>
        <w:bottom w:val="none" w:sz="0" w:space="0" w:color="auto"/>
        <w:right w:val="none" w:sz="0" w:space="0" w:color="auto"/>
      </w:divBdr>
    </w:div>
    <w:div w:id="1775856776">
      <w:bodyDiv w:val="1"/>
      <w:marLeft w:val="0"/>
      <w:marRight w:val="0"/>
      <w:marTop w:val="0"/>
      <w:marBottom w:val="0"/>
      <w:divBdr>
        <w:top w:val="none" w:sz="0" w:space="0" w:color="auto"/>
        <w:left w:val="none" w:sz="0" w:space="0" w:color="auto"/>
        <w:bottom w:val="none" w:sz="0" w:space="0" w:color="auto"/>
        <w:right w:val="none" w:sz="0" w:space="0" w:color="auto"/>
      </w:divBdr>
    </w:div>
    <w:div w:id="1787849853">
      <w:bodyDiv w:val="1"/>
      <w:marLeft w:val="0"/>
      <w:marRight w:val="0"/>
      <w:marTop w:val="0"/>
      <w:marBottom w:val="0"/>
      <w:divBdr>
        <w:top w:val="none" w:sz="0" w:space="0" w:color="auto"/>
        <w:left w:val="none" w:sz="0" w:space="0" w:color="auto"/>
        <w:bottom w:val="none" w:sz="0" w:space="0" w:color="auto"/>
        <w:right w:val="none" w:sz="0" w:space="0" w:color="auto"/>
      </w:divBdr>
      <w:divsChild>
        <w:div w:id="1013454789">
          <w:marLeft w:val="0"/>
          <w:marRight w:val="0"/>
          <w:marTop w:val="0"/>
          <w:marBottom w:val="0"/>
          <w:divBdr>
            <w:top w:val="none" w:sz="0" w:space="0" w:color="auto"/>
            <w:left w:val="none" w:sz="0" w:space="0" w:color="auto"/>
            <w:bottom w:val="none" w:sz="0" w:space="0" w:color="auto"/>
            <w:right w:val="none" w:sz="0" w:space="0" w:color="auto"/>
          </w:divBdr>
          <w:divsChild>
            <w:div w:id="1887444332">
              <w:marLeft w:val="0"/>
              <w:marRight w:val="0"/>
              <w:marTop w:val="0"/>
              <w:marBottom w:val="0"/>
              <w:divBdr>
                <w:top w:val="none" w:sz="0" w:space="0" w:color="auto"/>
                <w:left w:val="none" w:sz="0" w:space="0" w:color="auto"/>
                <w:bottom w:val="none" w:sz="0" w:space="0" w:color="auto"/>
                <w:right w:val="none" w:sz="0" w:space="0" w:color="auto"/>
              </w:divBdr>
              <w:divsChild>
                <w:div w:id="968895187">
                  <w:marLeft w:val="0"/>
                  <w:marRight w:val="0"/>
                  <w:marTop w:val="0"/>
                  <w:marBottom w:val="0"/>
                  <w:divBdr>
                    <w:top w:val="none" w:sz="0" w:space="0" w:color="auto"/>
                    <w:left w:val="none" w:sz="0" w:space="0" w:color="auto"/>
                    <w:bottom w:val="none" w:sz="0" w:space="0" w:color="auto"/>
                    <w:right w:val="none" w:sz="0" w:space="0" w:color="auto"/>
                  </w:divBdr>
                  <w:divsChild>
                    <w:div w:id="324214190">
                      <w:marLeft w:val="0"/>
                      <w:marRight w:val="0"/>
                      <w:marTop w:val="0"/>
                      <w:marBottom w:val="0"/>
                      <w:divBdr>
                        <w:top w:val="none" w:sz="0" w:space="0" w:color="auto"/>
                        <w:left w:val="none" w:sz="0" w:space="0" w:color="auto"/>
                        <w:bottom w:val="none" w:sz="0" w:space="0" w:color="auto"/>
                        <w:right w:val="none" w:sz="0" w:space="0" w:color="auto"/>
                      </w:divBdr>
                      <w:divsChild>
                        <w:div w:id="750274088">
                          <w:marLeft w:val="0"/>
                          <w:marRight w:val="0"/>
                          <w:marTop w:val="0"/>
                          <w:marBottom w:val="0"/>
                          <w:divBdr>
                            <w:top w:val="none" w:sz="0" w:space="0" w:color="auto"/>
                            <w:left w:val="none" w:sz="0" w:space="0" w:color="auto"/>
                            <w:bottom w:val="none" w:sz="0" w:space="0" w:color="auto"/>
                            <w:right w:val="none" w:sz="0" w:space="0" w:color="auto"/>
                          </w:divBdr>
                          <w:divsChild>
                            <w:div w:id="14085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053996">
      <w:bodyDiv w:val="1"/>
      <w:marLeft w:val="0"/>
      <w:marRight w:val="0"/>
      <w:marTop w:val="0"/>
      <w:marBottom w:val="0"/>
      <w:divBdr>
        <w:top w:val="none" w:sz="0" w:space="0" w:color="auto"/>
        <w:left w:val="none" w:sz="0" w:space="0" w:color="auto"/>
        <w:bottom w:val="none" w:sz="0" w:space="0" w:color="auto"/>
        <w:right w:val="none" w:sz="0" w:space="0" w:color="auto"/>
      </w:divBdr>
      <w:divsChild>
        <w:div w:id="20908974">
          <w:marLeft w:val="475"/>
          <w:marRight w:val="0"/>
          <w:marTop w:val="168"/>
          <w:marBottom w:val="0"/>
          <w:divBdr>
            <w:top w:val="none" w:sz="0" w:space="0" w:color="auto"/>
            <w:left w:val="none" w:sz="0" w:space="0" w:color="auto"/>
            <w:bottom w:val="none" w:sz="0" w:space="0" w:color="auto"/>
            <w:right w:val="none" w:sz="0" w:space="0" w:color="auto"/>
          </w:divBdr>
        </w:div>
        <w:div w:id="203838120">
          <w:marLeft w:val="475"/>
          <w:marRight w:val="0"/>
          <w:marTop w:val="168"/>
          <w:marBottom w:val="0"/>
          <w:divBdr>
            <w:top w:val="none" w:sz="0" w:space="0" w:color="auto"/>
            <w:left w:val="none" w:sz="0" w:space="0" w:color="auto"/>
            <w:bottom w:val="none" w:sz="0" w:space="0" w:color="auto"/>
            <w:right w:val="none" w:sz="0" w:space="0" w:color="auto"/>
          </w:divBdr>
        </w:div>
        <w:div w:id="535630254">
          <w:marLeft w:val="1181"/>
          <w:marRight w:val="0"/>
          <w:marTop w:val="168"/>
          <w:marBottom w:val="0"/>
          <w:divBdr>
            <w:top w:val="none" w:sz="0" w:space="0" w:color="auto"/>
            <w:left w:val="none" w:sz="0" w:space="0" w:color="auto"/>
            <w:bottom w:val="none" w:sz="0" w:space="0" w:color="auto"/>
            <w:right w:val="none" w:sz="0" w:space="0" w:color="auto"/>
          </w:divBdr>
        </w:div>
        <w:div w:id="556168203">
          <w:marLeft w:val="475"/>
          <w:marRight w:val="0"/>
          <w:marTop w:val="168"/>
          <w:marBottom w:val="0"/>
          <w:divBdr>
            <w:top w:val="none" w:sz="0" w:space="0" w:color="auto"/>
            <w:left w:val="none" w:sz="0" w:space="0" w:color="auto"/>
            <w:bottom w:val="none" w:sz="0" w:space="0" w:color="auto"/>
            <w:right w:val="none" w:sz="0" w:space="0" w:color="auto"/>
          </w:divBdr>
        </w:div>
        <w:div w:id="780421758">
          <w:marLeft w:val="1181"/>
          <w:marRight w:val="0"/>
          <w:marTop w:val="168"/>
          <w:marBottom w:val="0"/>
          <w:divBdr>
            <w:top w:val="none" w:sz="0" w:space="0" w:color="auto"/>
            <w:left w:val="none" w:sz="0" w:space="0" w:color="auto"/>
            <w:bottom w:val="none" w:sz="0" w:space="0" w:color="auto"/>
            <w:right w:val="none" w:sz="0" w:space="0" w:color="auto"/>
          </w:divBdr>
        </w:div>
        <w:div w:id="934435814">
          <w:marLeft w:val="1181"/>
          <w:marRight w:val="0"/>
          <w:marTop w:val="168"/>
          <w:marBottom w:val="0"/>
          <w:divBdr>
            <w:top w:val="none" w:sz="0" w:space="0" w:color="auto"/>
            <w:left w:val="none" w:sz="0" w:space="0" w:color="auto"/>
            <w:bottom w:val="none" w:sz="0" w:space="0" w:color="auto"/>
            <w:right w:val="none" w:sz="0" w:space="0" w:color="auto"/>
          </w:divBdr>
        </w:div>
        <w:div w:id="1179154179">
          <w:marLeft w:val="1181"/>
          <w:marRight w:val="0"/>
          <w:marTop w:val="168"/>
          <w:marBottom w:val="0"/>
          <w:divBdr>
            <w:top w:val="none" w:sz="0" w:space="0" w:color="auto"/>
            <w:left w:val="none" w:sz="0" w:space="0" w:color="auto"/>
            <w:bottom w:val="none" w:sz="0" w:space="0" w:color="auto"/>
            <w:right w:val="none" w:sz="0" w:space="0" w:color="auto"/>
          </w:divBdr>
        </w:div>
        <w:div w:id="1400440724">
          <w:marLeft w:val="1181"/>
          <w:marRight w:val="0"/>
          <w:marTop w:val="168"/>
          <w:marBottom w:val="0"/>
          <w:divBdr>
            <w:top w:val="none" w:sz="0" w:space="0" w:color="auto"/>
            <w:left w:val="none" w:sz="0" w:space="0" w:color="auto"/>
            <w:bottom w:val="none" w:sz="0" w:space="0" w:color="auto"/>
            <w:right w:val="none" w:sz="0" w:space="0" w:color="auto"/>
          </w:divBdr>
        </w:div>
        <w:div w:id="1436706674">
          <w:marLeft w:val="1181"/>
          <w:marRight w:val="0"/>
          <w:marTop w:val="168"/>
          <w:marBottom w:val="0"/>
          <w:divBdr>
            <w:top w:val="none" w:sz="0" w:space="0" w:color="auto"/>
            <w:left w:val="none" w:sz="0" w:space="0" w:color="auto"/>
            <w:bottom w:val="none" w:sz="0" w:space="0" w:color="auto"/>
            <w:right w:val="none" w:sz="0" w:space="0" w:color="auto"/>
          </w:divBdr>
        </w:div>
        <w:div w:id="2071733814">
          <w:marLeft w:val="475"/>
          <w:marRight w:val="0"/>
          <w:marTop w:val="168"/>
          <w:marBottom w:val="0"/>
          <w:divBdr>
            <w:top w:val="none" w:sz="0" w:space="0" w:color="auto"/>
            <w:left w:val="none" w:sz="0" w:space="0" w:color="auto"/>
            <w:bottom w:val="none" w:sz="0" w:space="0" w:color="auto"/>
            <w:right w:val="none" w:sz="0" w:space="0" w:color="auto"/>
          </w:divBdr>
        </w:div>
        <w:div w:id="2108382678">
          <w:marLeft w:val="475"/>
          <w:marRight w:val="0"/>
          <w:marTop w:val="168"/>
          <w:marBottom w:val="0"/>
          <w:divBdr>
            <w:top w:val="none" w:sz="0" w:space="0" w:color="auto"/>
            <w:left w:val="none" w:sz="0" w:space="0" w:color="auto"/>
            <w:bottom w:val="none" w:sz="0" w:space="0" w:color="auto"/>
            <w:right w:val="none" w:sz="0" w:space="0" w:color="auto"/>
          </w:divBdr>
        </w:div>
      </w:divsChild>
    </w:div>
    <w:div w:id="1818262727">
      <w:bodyDiv w:val="1"/>
      <w:marLeft w:val="0"/>
      <w:marRight w:val="0"/>
      <w:marTop w:val="0"/>
      <w:marBottom w:val="0"/>
      <w:divBdr>
        <w:top w:val="none" w:sz="0" w:space="0" w:color="auto"/>
        <w:left w:val="none" w:sz="0" w:space="0" w:color="auto"/>
        <w:bottom w:val="none" w:sz="0" w:space="0" w:color="auto"/>
        <w:right w:val="none" w:sz="0" w:space="0" w:color="auto"/>
      </w:divBdr>
    </w:div>
    <w:div w:id="1826508418">
      <w:bodyDiv w:val="1"/>
      <w:marLeft w:val="0"/>
      <w:marRight w:val="0"/>
      <w:marTop w:val="0"/>
      <w:marBottom w:val="0"/>
      <w:divBdr>
        <w:top w:val="none" w:sz="0" w:space="0" w:color="auto"/>
        <w:left w:val="none" w:sz="0" w:space="0" w:color="auto"/>
        <w:bottom w:val="none" w:sz="0" w:space="0" w:color="auto"/>
        <w:right w:val="none" w:sz="0" w:space="0" w:color="auto"/>
      </w:divBdr>
    </w:div>
    <w:div w:id="1828664338">
      <w:bodyDiv w:val="1"/>
      <w:marLeft w:val="0"/>
      <w:marRight w:val="0"/>
      <w:marTop w:val="0"/>
      <w:marBottom w:val="0"/>
      <w:divBdr>
        <w:top w:val="none" w:sz="0" w:space="0" w:color="auto"/>
        <w:left w:val="none" w:sz="0" w:space="0" w:color="auto"/>
        <w:bottom w:val="none" w:sz="0" w:space="0" w:color="auto"/>
        <w:right w:val="none" w:sz="0" w:space="0" w:color="auto"/>
      </w:divBdr>
    </w:div>
    <w:div w:id="1834104439">
      <w:bodyDiv w:val="1"/>
      <w:marLeft w:val="0"/>
      <w:marRight w:val="0"/>
      <w:marTop w:val="0"/>
      <w:marBottom w:val="0"/>
      <w:divBdr>
        <w:top w:val="none" w:sz="0" w:space="0" w:color="auto"/>
        <w:left w:val="none" w:sz="0" w:space="0" w:color="auto"/>
        <w:bottom w:val="none" w:sz="0" w:space="0" w:color="auto"/>
        <w:right w:val="none" w:sz="0" w:space="0" w:color="auto"/>
      </w:divBdr>
      <w:divsChild>
        <w:div w:id="26099919">
          <w:marLeft w:val="259"/>
          <w:marRight w:val="0"/>
          <w:marTop w:val="132"/>
          <w:marBottom w:val="0"/>
          <w:divBdr>
            <w:top w:val="none" w:sz="0" w:space="0" w:color="auto"/>
            <w:left w:val="none" w:sz="0" w:space="0" w:color="auto"/>
            <w:bottom w:val="none" w:sz="0" w:space="0" w:color="auto"/>
            <w:right w:val="none" w:sz="0" w:space="0" w:color="auto"/>
          </w:divBdr>
        </w:div>
        <w:div w:id="109472845">
          <w:marLeft w:val="259"/>
          <w:marRight w:val="0"/>
          <w:marTop w:val="132"/>
          <w:marBottom w:val="0"/>
          <w:divBdr>
            <w:top w:val="none" w:sz="0" w:space="0" w:color="auto"/>
            <w:left w:val="none" w:sz="0" w:space="0" w:color="auto"/>
            <w:bottom w:val="none" w:sz="0" w:space="0" w:color="auto"/>
            <w:right w:val="none" w:sz="0" w:space="0" w:color="auto"/>
          </w:divBdr>
        </w:div>
        <w:div w:id="494345258">
          <w:marLeft w:val="259"/>
          <w:marRight w:val="0"/>
          <w:marTop w:val="132"/>
          <w:marBottom w:val="0"/>
          <w:divBdr>
            <w:top w:val="none" w:sz="0" w:space="0" w:color="auto"/>
            <w:left w:val="none" w:sz="0" w:space="0" w:color="auto"/>
            <w:bottom w:val="none" w:sz="0" w:space="0" w:color="auto"/>
            <w:right w:val="none" w:sz="0" w:space="0" w:color="auto"/>
          </w:divBdr>
        </w:div>
        <w:div w:id="1026442028">
          <w:marLeft w:val="259"/>
          <w:marRight w:val="0"/>
          <w:marTop w:val="132"/>
          <w:marBottom w:val="0"/>
          <w:divBdr>
            <w:top w:val="none" w:sz="0" w:space="0" w:color="auto"/>
            <w:left w:val="none" w:sz="0" w:space="0" w:color="auto"/>
            <w:bottom w:val="none" w:sz="0" w:space="0" w:color="auto"/>
            <w:right w:val="none" w:sz="0" w:space="0" w:color="auto"/>
          </w:divBdr>
        </w:div>
        <w:div w:id="1354385109">
          <w:marLeft w:val="259"/>
          <w:marRight w:val="0"/>
          <w:marTop w:val="132"/>
          <w:marBottom w:val="0"/>
          <w:divBdr>
            <w:top w:val="none" w:sz="0" w:space="0" w:color="auto"/>
            <w:left w:val="none" w:sz="0" w:space="0" w:color="auto"/>
            <w:bottom w:val="none" w:sz="0" w:space="0" w:color="auto"/>
            <w:right w:val="none" w:sz="0" w:space="0" w:color="auto"/>
          </w:divBdr>
        </w:div>
        <w:div w:id="1389959312">
          <w:marLeft w:val="259"/>
          <w:marRight w:val="0"/>
          <w:marTop w:val="132"/>
          <w:marBottom w:val="0"/>
          <w:divBdr>
            <w:top w:val="none" w:sz="0" w:space="0" w:color="auto"/>
            <w:left w:val="none" w:sz="0" w:space="0" w:color="auto"/>
            <w:bottom w:val="none" w:sz="0" w:space="0" w:color="auto"/>
            <w:right w:val="none" w:sz="0" w:space="0" w:color="auto"/>
          </w:divBdr>
        </w:div>
        <w:div w:id="1420786946">
          <w:marLeft w:val="259"/>
          <w:marRight w:val="0"/>
          <w:marTop w:val="132"/>
          <w:marBottom w:val="0"/>
          <w:divBdr>
            <w:top w:val="none" w:sz="0" w:space="0" w:color="auto"/>
            <w:left w:val="none" w:sz="0" w:space="0" w:color="auto"/>
            <w:bottom w:val="none" w:sz="0" w:space="0" w:color="auto"/>
            <w:right w:val="none" w:sz="0" w:space="0" w:color="auto"/>
          </w:divBdr>
        </w:div>
        <w:div w:id="1511020352">
          <w:marLeft w:val="259"/>
          <w:marRight w:val="0"/>
          <w:marTop w:val="132"/>
          <w:marBottom w:val="0"/>
          <w:divBdr>
            <w:top w:val="none" w:sz="0" w:space="0" w:color="auto"/>
            <w:left w:val="none" w:sz="0" w:space="0" w:color="auto"/>
            <w:bottom w:val="none" w:sz="0" w:space="0" w:color="auto"/>
            <w:right w:val="none" w:sz="0" w:space="0" w:color="auto"/>
          </w:divBdr>
        </w:div>
        <w:div w:id="1556702995">
          <w:marLeft w:val="259"/>
          <w:marRight w:val="0"/>
          <w:marTop w:val="132"/>
          <w:marBottom w:val="0"/>
          <w:divBdr>
            <w:top w:val="none" w:sz="0" w:space="0" w:color="auto"/>
            <w:left w:val="none" w:sz="0" w:space="0" w:color="auto"/>
            <w:bottom w:val="none" w:sz="0" w:space="0" w:color="auto"/>
            <w:right w:val="none" w:sz="0" w:space="0" w:color="auto"/>
          </w:divBdr>
        </w:div>
        <w:div w:id="1600526052">
          <w:marLeft w:val="259"/>
          <w:marRight w:val="0"/>
          <w:marTop w:val="132"/>
          <w:marBottom w:val="0"/>
          <w:divBdr>
            <w:top w:val="none" w:sz="0" w:space="0" w:color="auto"/>
            <w:left w:val="none" w:sz="0" w:space="0" w:color="auto"/>
            <w:bottom w:val="none" w:sz="0" w:space="0" w:color="auto"/>
            <w:right w:val="none" w:sz="0" w:space="0" w:color="auto"/>
          </w:divBdr>
        </w:div>
        <w:div w:id="1952470561">
          <w:marLeft w:val="259"/>
          <w:marRight w:val="0"/>
          <w:marTop w:val="132"/>
          <w:marBottom w:val="0"/>
          <w:divBdr>
            <w:top w:val="none" w:sz="0" w:space="0" w:color="auto"/>
            <w:left w:val="none" w:sz="0" w:space="0" w:color="auto"/>
            <w:bottom w:val="none" w:sz="0" w:space="0" w:color="auto"/>
            <w:right w:val="none" w:sz="0" w:space="0" w:color="auto"/>
          </w:divBdr>
        </w:div>
        <w:div w:id="2133013313">
          <w:marLeft w:val="259"/>
          <w:marRight w:val="0"/>
          <w:marTop w:val="132"/>
          <w:marBottom w:val="0"/>
          <w:divBdr>
            <w:top w:val="none" w:sz="0" w:space="0" w:color="auto"/>
            <w:left w:val="none" w:sz="0" w:space="0" w:color="auto"/>
            <w:bottom w:val="none" w:sz="0" w:space="0" w:color="auto"/>
            <w:right w:val="none" w:sz="0" w:space="0" w:color="auto"/>
          </w:divBdr>
        </w:div>
      </w:divsChild>
    </w:div>
    <w:div w:id="1842160146">
      <w:bodyDiv w:val="1"/>
      <w:marLeft w:val="0"/>
      <w:marRight w:val="0"/>
      <w:marTop w:val="0"/>
      <w:marBottom w:val="0"/>
      <w:divBdr>
        <w:top w:val="none" w:sz="0" w:space="0" w:color="auto"/>
        <w:left w:val="none" w:sz="0" w:space="0" w:color="auto"/>
        <w:bottom w:val="none" w:sz="0" w:space="0" w:color="auto"/>
        <w:right w:val="none" w:sz="0" w:space="0" w:color="auto"/>
      </w:divBdr>
      <w:divsChild>
        <w:div w:id="67462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3035223">
      <w:bodyDiv w:val="1"/>
      <w:marLeft w:val="0"/>
      <w:marRight w:val="0"/>
      <w:marTop w:val="0"/>
      <w:marBottom w:val="0"/>
      <w:divBdr>
        <w:top w:val="none" w:sz="0" w:space="0" w:color="auto"/>
        <w:left w:val="none" w:sz="0" w:space="0" w:color="auto"/>
        <w:bottom w:val="none" w:sz="0" w:space="0" w:color="auto"/>
        <w:right w:val="none" w:sz="0" w:space="0" w:color="auto"/>
      </w:divBdr>
    </w:div>
    <w:div w:id="1856117486">
      <w:bodyDiv w:val="1"/>
      <w:marLeft w:val="0"/>
      <w:marRight w:val="0"/>
      <w:marTop w:val="0"/>
      <w:marBottom w:val="0"/>
      <w:divBdr>
        <w:top w:val="none" w:sz="0" w:space="0" w:color="auto"/>
        <w:left w:val="none" w:sz="0" w:space="0" w:color="auto"/>
        <w:bottom w:val="none" w:sz="0" w:space="0" w:color="auto"/>
        <w:right w:val="none" w:sz="0" w:space="0" w:color="auto"/>
      </w:divBdr>
    </w:div>
    <w:div w:id="1856530478">
      <w:bodyDiv w:val="1"/>
      <w:marLeft w:val="0"/>
      <w:marRight w:val="0"/>
      <w:marTop w:val="0"/>
      <w:marBottom w:val="0"/>
      <w:divBdr>
        <w:top w:val="none" w:sz="0" w:space="0" w:color="auto"/>
        <w:left w:val="none" w:sz="0" w:space="0" w:color="auto"/>
        <w:bottom w:val="none" w:sz="0" w:space="0" w:color="auto"/>
        <w:right w:val="none" w:sz="0" w:space="0" w:color="auto"/>
      </w:divBdr>
    </w:div>
    <w:div w:id="1865628846">
      <w:bodyDiv w:val="1"/>
      <w:marLeft w:val="0"/>
      <w:marRight w:val="0"/>
      <w:marTop w:val="0"/>
      <w:marBottom w:val="0"/>
      <w:divBdr>
        <w:top w:val="none" w:sz="0" w:space="0" w:color="auto"/>
        <w:left w:val="none" w:sz="0" w:space="0" w:color="auto"/>
        <w:bottom w:val="none" w:sz="0" w:space="0" w:color="auto"/>
        <w:right w:val="none" w:sz="0" w:space="0" w:color="auto"/>
      </w:divBdr>
    </w:div>
    <w:div w:id="1878467450">
      <w:bodyDiv w:val="1"/>
      <w:marLeft w:val="0"/>
      <w:marRight w:val="0"/>
      <w:marTop w:val="0"/>
      <w:marBottom w:val="0"/>
      <w:divBdr>
        <w:top w:val="none" w:sz="0" w:space="0" w:color="auto"/>
        <w:left w:val="none" w:sz="0" w:space="0" w:color="auto"/>
        <w:bottom w:val="none" w:sz="0" w:space="0" w:color="auto"/>
        <w:right w:val="none" w:sz="0" w:space="0" w:color="auto"/>
      </w:divBdr>
      <w:divsChild>
        <w:div w:id="247201933">
          <w:marLeft w:val="288"/>
          <w:marRight w:val="0"/>
          <w:marTop w:val="65"/>
          <w:marBottom w:val="0"/>
          <w:divBdr>
            <w:top w:val="none" w:sz="0" w:space="0" w:color="auto"/>
            <w:left w:val="none" w:sz="0" w:space="0" w:color="auto"/>
            <w:bottom w:val="none" w:sz="0" w:space="0" w:color="auto"/>
            <w:right w:val="none" w:sz="0" w:space="0" w:color="auto"/>
          </w:divBdr>
        </w:div>
        <w:div w:id="404884113">
          <w:marLeft w:val="288"/>
          <w:marRight w:val="0"/>
          <w:marTop w:val="65"/>
          <w:marBottom w:val="0"/>
          <w:divBdr>
            <w:top w:val="none" w:sz="0" w:space="0" w:color="auto"/>
            <w:left w:val="none" w:sz="0" w:space="0" w:color="auto"/>
            <w:bottom w:val="none" w:sz="0" w:space="0" w:color="auto"/>
            <w:right w:val="none" w:sz="0" w:space="0" w:color="auto"/>
          </w:divBdr>
        </w:div>
        <w:div w:id="618873272">
          <w:marLeft w:val="288"/>
          <w:marRight w:val="0"/>
          <w:marTop w:val="65"/>
          <w:marBottom w:val="0"/>
          <w:divBdr>
            <w:top w:val="none" w:sz="0" w:space="0" w:color="auto"/>
            <w:left w:val="none" w:sz="0" w:space="0" w:color="auto"/>
            <w:bottom w:val="none" w:sz="0" w:space="0" w:color="auto"/>
            <w:right w:val="none" w:sz="0" w:space="0" w:color="auto"/>
          </w:divBdr>
        </w:div>
        <w:div w:id="858085858">
          <w:marLeft w:val="288"/>
          <w:marRight w:val="0"/>
          <w:marTop w:val="65"/>
          <w:marBottom w:val="0"/>
          <w:divBdr>
            <w:top w:val="none" w:sz="0" w:space="0" w:color="auto"/>
            <w:left w:val="none" w:sz="0" w:space="0" w:color="auto"/>
            <w:bottom w:val="none" w:sz="0" w:space="0" w:color="auto"/>
            <w:right w:val="none" w:sz="0" w:space="0" w:color="auto"/>
          </w:divBdr>
        </w:div>
        <w:div w:id="1261525541">
          <w:marLeft w:val="288"/>
          <w:marRight w:val="0"/>
          <w:marTop w:val="65"/>
          <w:marBottom w:val="0"/>
          <w:divBdr>
            <w:top w:val="none" w:sz="0" w:space="0" w:color="auto"/>
            <w:left w:val="none" w:sz="0" w:space="0" w:color="auto"/>
            <w:bottom w:val="none" w:sz="0" w:space="0" w:color="auto"/>
            <w:right w:val="none" w:sz="0" w:space="0" w:color="auto"/>
          </w:divBdr>
        </w:div>
        <w:div w:id="1471512548">
          <w:marLeft w:val="288"/>
          <w:marRight w:val="0"/>
          <w:marTop w:val="65"/>
          <w:marBottom w:val="0"/>
          <w:divBdr>
            <w:top w:val="none" w:sz="0" w:space="0" w:color="auto"/>
            <w:left w:val="none" w:sz="0" w:space="0" w:color="auto"/>
            <w:bottom w:val="none" w:sz="0" w:space="0" w:color="auto"/>
            <w:right w:val="none" w:sz="0" w:space="0" w:color="auto"/>
          </w:divBdr>
        </w:div>
        <w:div w:id="1746219509">
          <w:marLeft w:val="288"/>
          <w:marRight w:val="0"/>
          <w:marTop w:val="65"/>
          <w:marBottom w:val="0"/>
          <w:divBdr>
            <w:top w:val="none" w:sz="0" w:space="0" w:color="auto"/>
            <w:left w:val="none" w:sz="0" w:space="0" w:color="auto"/>
            <w:bottom w:val="none" w:sz="0" w:space="0" w:color="auto"/>
            <w:right w:val="none" w:sz="0" w:space="0" w:color="auto"/>
          </w:divBdr>
        </w:div>
        <w:div w:id="1763911397">
          <w:marLeft w:val="288"/>
          <w:marRight w:val="0"/>
          <w:marTop w:val="65"/>
          <w:marBottom w:val="0"/>
          <w:divBdr>
            <w:top w:val="none" w:sz="0" w:space="0" w:color="auto"/>
            <w:left w:val="none" w:sz="0" w:space="0" w:color="auto"/>
            <w:bottom w:val="none" w:sz="0" w:space="0" w:color="auto"/>
            <w:right w:val="none" w:sz="0" w:space="0" w:color="auto"/>
          </w:divBdr>
        </w:div>
      </w:divsChild>
    </w:div>
    <w:div w:id="1884250562">
      <w:bodyDiv w:val="1"/>
      <w:marLeft w:val="0"/>
      <w:marRight w:val="0"/>
      <w:marTop w:val="0"/>
      <w:marBottom w:val="0"/>
      <w:divBdr>
        <w:top w:val="none" w:sz="0" w:space="0" w:color="auto"/>
        <w:left w:val="none" w:sz="0" w:space="0" w:color="auto"/>
        <w:bottom w:val="none" w:sz="0" w:space="0" w:color="auto"/>
        <w:right w:val="none" w:sz="0" w:space="0" w:color="auto"/>
      </w:divBdr>
    </w:div>
    <w:div w:id="1885097606">
      <w:bodyDiv w:val="1"/>
      <w:marLeft w:val="0"/>
      <w:marRight w:val="0"/>
      <w:marTop w:val="0"/>
      <w:marBottom w:val="0"/>
      <w:divBdr>
        <w:top w:val="none" w:sz="0" w:space="0" w:color="auto"/>
        <w:left w:val="none" w:sz="0" w:space="0" w:color="auto"/>
        <w:bottom w:val="none" w:sz="0" w:space="0" w:color="auto"/>
        <w:right w:val="none" w:sz="0" w:space="0" w:color="auto"/>
      </w:divBdr>
    </w:div>
    <w:div w:id="1887835807">
      <w:bodyDiv w:val="1"/>
      <w:marLeft w:val="0"/>
      <w:marRight w:val="0"/>
      <w:marTop w:val="0"/>
      <w:marBottom w:val="0"/>
      <w:divBdr>
        <w:top w:val="none" w:sz="0" w:space="0" w:color="auto"/>
        <w:left w:val="none" w:sz="0" w:space="0" w:color="auto"/>
        <w:bottom w:val="none" w:sz="0" w:space="0" w:color="auto"/>
        <w:right w:val="none" w:sz="0" w:space="0" w:color="auto"/>
      </w:divBdr>
    </w:div>
    <w:div w:id="1888682388">
      <w:bodyDiv w:val="1"/>
      <w:marLeft w:val="0"/>
      <w:marRight w:val="0"/>
      <w:marTop w:val="0"/>
      <w:marBottom w:val="0"/>
      <w:divBdr>
        <w:top w:val="none" w:sz="0" w:space="0" w:color="auto"/>
        <w:left w:val="none" w:sz="0" w:space="0" w:color="auto"/>
        <w:bottom w:val="none" w:sz="0" w:space="0" w:color="auto"/>
        <w:right w:val="none" w:sz="0" w:space="0" w:color="auto"/>
      </w:divBdr>
      <w:divsChild>
        <w:div w:id="1157460729">
          <w:marLeft w:val="0"/>
          <w:marRight w:val="0"/>
          <w:marTop w:val="0"/>
          <w:marBottom w:val="0"/>
          <w:divBdr>
            <w:top w:val="none" w:sz="0" w:space="0" w:color="auto"/>
            <w:left w:val="none" w:sz="0" w:space="0" w:color="auto"/>
            <w:bottom w:val="none" w:sz="0" w:space="0" w:color="auto"/>
            <w:right w:val="none" w:sz="0" w:space="0" w:color="auto"/>
          </w:divBdr>
          <w:divsChild>
            <w:div w:id="274793274">
              <w:marLeft w:val="0"/>
              <w:marRight w:val="0"/>
              <w:marTop w:val="0"/>
              <w:marBottom w:val="0"/>
              <w:divBdr>
                <w:top w:val="none" w:sz="0" w:space="0" w:color="auto"/>
                <w:left w:val="none" w:sz="0" w:space="0" w:color="auto"/>
                <w:bottom w:val="none" w:sz="0" w:space="0" w:color="auto"/>
                <w:right w:val="none" w:sz="0" w:space="0" w:color="auto"/>
              </w:divBdr>
              <w:divsChild>
                <w:div w:id="662391877">
                  <w:marLeft w:val="0"/>
                  <w:marRight w:val="0"/>
                  <w:marTop w:val="0"/>
                  <w:marBottom w:val="0"/>
                  <w:divBdr>
                    <w:top w:val="none" w:sz="0" w:space="0" w:color="auto"/>
                    <w:left w:val="none" w:sz="0" w:space="0" w:color="auto"/>
                    <w:bottom w:val="none" w:sz="0" w:space="0" w:color="auto"/>
                    <w:right w:val="none" w:sz="0" w:space="0" w:color="auto"/>
                  </w:divBdr>
                  <w:divsChild>
                    <w:div w:id="1842506881">
                      <w:marLeft w:val="0"/>
                      <w:marRight w:val="0"/>
                      <w:marTop w:val="0"/>
                      <w:marBottom w:val="0"/>
                      <w:divBdr>
                        <w:top w:val="none" w:sz="0" w:space="0" w:color="auto"/>
                        <w:left w:val="none" w:sz="0" w:space="0" w:color="auto"/>
                        <w:bottom w:val="none" w:sz="0" w:space="0" w:color="auto"/>
                        <w:right w:val="none" w:sz="0" w:space="0" w:color="auto"/>
                      </w:divBdr>
                      <w:divsChild>
                        <w:div w:id="3241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694107">
      <w:bodyDiv w:val="1"/>
      <w:marLeft w:val="0"/>
      <w:marRight w:val="0"/>
      <w:marTop w:val="0"/>
      <w:marBottom w:val="0"/>
      <w:divBdr>
        <w:top w:val="none" w:sz="0" w:space="0" w:color="auto"/>
        <w:left w:val="none" w:sz="0" w:space="0" w:color="auto"/>
        <w:bottom w:val="none" w:sz="0" w:space="0" w:color="auto"/>
        <w:right w:val="none" w:sz="0" w:space="0" w:color="auto"/>
      </w:divBdr>
    </w:div>
    <w:div w:id="1899171866">
      <w:bodyDiv w:val="1"/>
      <w:marLeft w:val="0"/>
      <w:marRight w:val="0"/>
      <w:marTop w:val="0"/>
      <w:marBottom w:val="0"/>
      <w:divBdr>
        <w:top w:val="none" w:sz="0" w:space="0" w:color="auto"/>
        <w:left w:val="none" w:sz="0" w:space="0" w:color="auto"/>
        <w:bottom w:val="none" w:sz="0" w:space="0" w:color="auto"/>
        <w:right w:val="none" w:sz="0" w:space="0" w:color="auto"/>
      </w:divBdr>
    </w:div>
    <w:div w:id="1903834295">
      <w:bodyDiv w:val="1"/>
      <w:marLeft w:val="0"/>
      <w:marRight w:val="0"/>
      <w:marTop w:val="0"/>
      <w:marBottom w:val="0"/>
      <w:divBdr>
        <w:top w:val="none" w:sz="0" w:space="0" w:color="auto"/>
        <w:left w:val="none" w:sz="0" w:space="0" w:color="auto"/>
        <w:bottom w:val="none" w:sz="0" w:space="0" w:color="auto"/>
        <w:right w:val="none" w:sz="0" w:space="0" w:color="auto"/>
      </w:divBdr>
    </w:div>
    <w:div w:id="1912228892">
      <w:bodyDiv w:val="1"/>
      <w:marLeft w:val="0"/>
      <w:marRight w:val="0"/>
      <w:marTop w:val="0"/>
      <w:marBottom w:val="0"/>
      <w:divBdr>
        <w:top w:val="none" w:sz="0" w:space="0" w:color="auto"/>
        <w:left w:val="none" w:sz="0" w:space="0" w:color="auto"/>
        <w:bottom w:val="none" w:sz="0" w:space="0" w:color="auto"/>
        <w:right w:val="none" w:sz="0" w:space="0" w:color="auto"/>
      </w:divBdr>
    </w:div>
    <w:div w:id="1913732058">
      <w:bodyDiv w:val="1"/>
      <w:marLeft w:val="0"/>
      <w:marRight w:val="0"/>
      <w:marTop w:val="0"/>
      <w:marBottom w:val="0"/>
      <w:divBdr>
        <w:top w:val="none" w:sz="0" w:space="0" w:color="auto"/>
        <w:left w:val="none" w:sz="0" w:space="0" w:color="auto"/>
        <w:bottom w:val="none" w:sz="0" w:space="0" w:color="auto"/>
        <w:right w:val="none" w:sz="0" w:space="0" w:color="auto"/>
      </w:divBdr>
      <w:divsChild>
        <w:div w:id="103381273">
          <w:marLeft w:val="274"/>
          <w:marRight w:val="0"/>
          <w:marTop w:val="20"/>
          <w:marBottom w:val="0"/>
          <w:divBdr>
            <w:top w:val="none" w:sz="0" w:space="0" w:color="auto"/>
            <w:left w:val="none" w:sz="0" w:space="0" w:color="auto"/>
            <w:bottom w:val="none" w:sz="0" w:space="0" w:color="auto"/>
            <w:right w:val="none" w:sz="0" w:space="0" w:color="auto"/>
          </w:divBdr>
        </w:div>
        <w:div w:id="942759239">
          <w:marLeft w:val="274"/>
          <w:marRight w:val="0"/>
          <w:marTop w:val="60"/>
          <w:marBottom w:val="0"/>
          <w:divBdr>
            <w:top w:val="none" w:sz="0" w:space="0" w:color="auto"/>
            <w:left w:val="none" w:sz="0" w:space="0" w:color="auto"/>
            <w:bottom w:val="none" w:sz="0" w:space="0" w:color="auto"/>
            <w:right w:val="none" w:sz="0" w:space="0" w:color="auto"/>
          </w:divBdr>
        </w:div>
        <w:div w:id="962544154">
          <w:marLeft w:val="274"/>
          <w:marRight w:val="0"/>
          <w:marTop w:val="60"/>
          <w:marBottom w:val="0"/>
          <w:divBdr>
            <w:top w:val="none" w:sz="0" w:space="0" w:color="auto"/>
            <w:left w:val="none" w:sz="0" w:space="0" w:color="auto"/>
            <w:bottom w:val="none" w:sz="0" w:space="0" w:color="auto"/>
            <w:right w:val="none" w:sz="0" w:space="0" w:color="auto"/>
          </w:divBdr>
        </w:div>
        <w:div w:id="1752117461">
          <w:marLeft w:val="274"/>
          <w:marRight w:val="0"/>
          <w:marTop w:val="60"/>
          <w:marBottom w:val="0"/>
          <w:divBdr>
            <w:top w:val="none" w:sz="0" w:space="0" w:color="auto"/>
            <w:left w:val="none" w:sz="0" w:space="0" w:color="auto"/>
            <w:bottom w:val="none" w:sz="0" w:space="0" w:color="auto"/>
            <w:right w:val="none" w:sz="0" w:space="0" w:color="auto"/>
          </w:divBdr>
        </w:div>
        <w:div w:id="1807312534">
          <w:marLeft w:val="274"/>
          <w:marRight w:val="0"/>
          <w:marTop w:val="60"/>
          <w:marBottom w:val="0"/>
          <w:divBdr>
            <w:top w:val="none" w:sz="0" w:space="0" w:color="auto"/>
            <w:left w:val="none" w:sz="0" w:space="0" w:color="auto"/>
            <w:bottom w:val="none" w:sz="0" w:space="0" w:color="auto"/>
            <w:right w:val="none" w:sz="0" w:space="0" w:color="auto"/>
          </w:divBdr>
        </w:div>
        <w:div w:id="1906329935">
          <w:marLeft w:val="274"/>
          <w:marRight w:val="0"/>
          <w:marTop w:val="60"/>
          <w:marBottom w:val="0"/>
          <w:divBdr>
            <w:top w:val="none" w:sz="0" w:space="0" w:color="auto"/>
            <w:left w:val="none" w:sz="0" w:space="0" w:color="auto"/>
            <w:bottom w:val="none" w:sz="0" w:space="0" w:color="auto"/>
            <w:right w:val="none" w:sz="0" w:space="0" w:color="auto"/>
          </w:divBdr>
        </w:div>
      </w:divsChild>
    </w:div>
    <w:div w:id="1922133791">
      <w:bodyDiv w:val="1"/>
      <w:marLeft w:val="0"/>
      <w:marRight w:val="0"/>
      <w:marTop w:val="0"/>
      <w:marBottom w:val="0"/>
      <w:divBdr>
        <w:top w:val="none" w:sz="0" w:space="0" w:color="auto"/>
        <w:left w:val="none" w:sz="0" w:space="0" w:color="auto"/>
        <w:bottom w:val="none" w:sz="0" w:space="0" w:color="auto"/>
        <w:right w:val="none" w:sz="0" w:space="0" w:color="auto"/>
      </w:divBdr>
    </w:div>
    <w:div w:id="1925602787">
      <w:bodyDiv w:val="1"/>
      <w:marLeft w:val="0"/>
      <w:marRight w:val="0"/>
      <w:marTop w:val="0"/>
      <w:marBottom w:val="0"/>
      <w:divBdr>
        <w:top w:val="none" w:sz="0" w:space="0" w:color="auto"/>
        <w:left w:val="none" w:sz="0" w:space="0" w:color="auto"/>
        <w:bottom w:val="none" w:sz="0" w:space="0" w:color="auto"/>
        <w:right w:val="none" w:sz="0" w:space="0" w:color="auto"/>
      </w:divBdr>
    </w:div>
    <w:div w:id="1927957840">
      <w:bodyDiv w:val="1"/>
      <w:marLeft w:val="0"/>
      <w:marRight w:val="0"/>
      <w:marTop w:val="0"/>
      <w:marBottom w:val="0"/>
      <w:divBdr>
        <w:top w:val="none" w:sz="0" w:space="0" w:color="auto"/>
        <w:left w:val="none" w:sz="0" w:space="0" w:color="auto"/>
        <w:bottom w:val="none" w:sz="0" w:space="0" w:color="auto"/>
        <w:right w:val="none" w:sz="0" w:space="0" w:color="auto"/>
      </w:divBdr>
      <w:divsChild>
        <w:div w:id="344555088">
          <w:marLeft w:val="274"/>
          <w:marRight w:val="0"/>
          <w:marTop w:val="60"/>
          <w:marBottom w:val="0"/>
          <w:divBdr>
            <w:top w:val="none" w:sz="0" w:space="0" w:color="auto"/>
            <w:left w:val="none" w:sz="0" w:space="0" w:color="auto"/>
            <w:bottom w:val="none" w:sz="0" w:space="0" w:color="auto"/>
            <w:right w:val="none" w:sz="0" w:space="0" w:color="auto"/>
          </w:divBdr>
        </w:div>
        <w:div w:id="525169737">
          <w:marLeft w:val="274"/>
          <w:marRight w:val="0"/>
          <w:marTop w:val="60"/>
          <w:marBottom w:val="0"/>
          <w:divBdr>
            <w:top w:val="none" w:sz="0" w:space="0" w:color="auto"/>
            <w:left w:val="none" w:sz="0" w:space="0" w:color="auto"/>
            <w:bottom w:val="none" w:sz="0" w:space="0" w:color="auto"/>
            <w:right w:val="none" w:sz="0" w:space="0" w:color="auto"/>
          </w:divBdr>
        </w:div>
        <w:div w:id="1056322552">
          <w:marLeft w:val="274"/>
          <w:marRight w:val="0"/>
          <w:marTop w:val="60"/>
          <w:marBottom w:val="0"/>
          <w:divBdr>
            <w:top w:val="none" w:sz="0" w:space="0" w:color="auto"/>
            <w:left w:val="none" w:sz="0" w:space="0" w:color="auto"/>
            <w:bottom w:val="none" w:sz="0" w:space="0" w:color="auto"/>
            <w:right w:val="none" w:sz="0" w:space="0" w:color="auto"/>
          </w:divBdr>
        </w:div>
        <w:div w:id="1296525742">
          <w:marLeft w:val="274"/>
          <w:marRight w:val="0"/>
          <w:marTop w:val="60"/>
          <w:marBottom w:val="0"/>
          <w:divBdr>
            <w:top w:val="none" w:sz="0" w:space="0" w:color="auto"/>
            <w:left w:val="none" w:sz="0" w:space="0" w:color="auto"/>
            <w:bottom w:val="none" w:sz="0" w:space="0" w:color="auto"/>
            <w:right w:val="none" w:sz="0" w:space="0" w:color="auto"/>
          </w:divBdr>
        </w:div>
        <w:div w:id="1459108607">
          <w:marLeft w:val="274"/>
          <w:marRight w:val="0"/>
          <w:marTop w:val="60"/>
          <w:marBottom w:val="0"/>
          <w:divBdr>
            <w:top w:val="none" w:sz="0" w:space="0" w:color="auto"/>
            <w:left w:val="none" w:sz="0" w:space="0" w:color="auto"/>
            <w:bottom w:val="none" w:sz="0" w:space="0" w:color="auto"/>
            <w:right w:val="none" w:sz="0" w:space="0" w:color="auto"/>
          </w:divBdr>
        </w:div>
        <w:div w:id="1773160823">
          <w:marLeft w:val="274"/>
          <w:marRight w:val="0"/>
          <w:marTop w:val="60"/>
          <w:marBottom w:val="0"/>
          <w:divBdr>
            <w:top w:val="none" w:sz="0" w:space="0" w:color="auto"/>
            <w:left w:val="none" w:sz="0" w:space="0" w:color="auto"/>
            <w:bottom w:val="none" w:sz="0" w:space="0" w:color="auto"/>
            <w:right w:val="none" w:sz="0" w:space="0" w:color="auto"/>
          </w:divBdr>
        </w:div>
        <w:div w:id="1783650589">
          <w:marLeft w:val="274"/>
          <w:marRight w:val="0"/>
          <w:marTop w:val="60"/>
          <w:marBottom w:val="0"/>
          <w:divBdr>
            <w:top w:val="none" w:sz="0" w:space="0" w:color="auto"/>
            <w:left w:val="none" w:sz="0" w:space="0" w:color="auto"/>
            <w:bottom w:val="none" w:sz="0" w:space="0" w:color="auto"/>
            <w:right w:val="none" w:sz="0" w:space="0" w:color="auto"/>
          </w:divBdr>
        </w:div>
        <w:div w:id="1832864827">
          <w:marLeft w:val="274"/>
          <w:marRight w:val="0"/>
          <w:marTop w:val="60"/>
          <w:marBottom w:val="0"/>
          <w:divBdr>
            <w:top w:val="none" w:sz="0" w:space="0" w:color="auto"/>
            <w:left w:val="none" w:sz="0" w:space="0" w:color="auto"/>
            <w:bottom w:val="none" w:sz="0" w:space="0" w:color="auto"/>
            <w:right w:val="none" w:sz="0" w:space="0" w:color="auto"/>
          </w:divBdr>
        </w:div>
        <w:div w:id="1885865423">
          <w:marLeft w:val="274"/>
          <w:marRight w:val="0"/>
          <w:marTop w:val="60"/>
          <w:marBottom w:val="0"/>
          <w:divBdr>
            <w:top w:val="none" w:sz="0" w:space="0" w:color="auto"/>
            <w:left w:val="none" w:sz="0" w:space="0" w:color="auto"/>
            <w:bottom w:val="none" w:sz="0" w:space="0" w:color="auto"/>
            <w:right w:val="none" w:sz="0" w:space="0" w:color="auto"/>
          </w:divBdr>
        </w:div>
      </w:divsChild>
    </w:div>
    <w:div w:id="1935743234">
      <w:bodyDiv w:val="1"/>
      <w:marLeft w:val="0"/>
      <w:marRight w:val="0"/>
      <w:marTop w:val="0"/>
      <w:marBottom w:val="0"/>
      <w:divBdr>
        <w:top w:val="none" w:sz="0" w:space="0" w:color="auto"/>
        <w:left w:val="none" w:sz="0" w:space="0" w:color="auto"/>
        <w:bottom w:val="none" w:sz="0" w:space="0" w:color="auto"/>
        <w:right w:val="none" w:sz="0" w:space="0" w:color="auto"/>
      </w:divBdr>
      <w:divsChild>
        <w:div w:id="389618816">
          <w:marLeft w:val="0"/>
          <w:marRight w:val="0"/>
          <w:marTop w:val="0"/>
          <w:marBottom w:val="0"/>
          <w:divBdr>
            <w:top w:val="none" w:sz="0" w:space="0" w:color="auto"/>
            <w:left w:val="none" w:sz="0" w:space="0" w:color="auto"/>
            <w:bottom w:val="none" w:sz="0" w:space="0" w:color="auto"/>
            <w:right w:val="none" w:sz="0" w:space="0" w:color="auto"/>
          </w:divBdr>
          <w:divsChild>
            <w:div w:id="1466007258">
              <w:marLeft w:val="0"/>
              <w:marRight w:val="0"/>
              <w:marTop w:val="0"/>
              <w:marBottom w:val="0"/>
              <w:divBdr>
                <w:top w:val="none" w:sz="0" w:space="0" w:color="auto"/>
                <w:left w:val="none" w:sz="0" w:space="0" w:color="auto"/>
                <w:bottom w:val="none" w:sz="0" w:space="0" w:color="auto"/>
                <w:right w:val="none" w:sz="0" w:space="0" w:color="auto"/>
              </w:divBdr>
              <w:divsChild>
                <w:div w:id="5256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347">
      <w:bodyDiv w:val="1"/>
      <w:marLeft w:val="0"/>
      <w:marRight w:val="0"/>
      <w:marTop w:val="0"/>
      <w:marBottom w:val="0"/>
      <w:divBdr>
        <w:top w:val="none" w:sz="0" w:space="0" w:color="auto"/>
        <w:left w:val="none" w:sz="0" w:space="0" w:color="auto"/>
        <w:bottom w:val="none" w:sz="0" w:space="0" w:color="auto"/>
        <w:right w:val="none" w:sz="0" w:space="0" w:color="auto"/>
      </w:divBdr>
    </w:div>
    <w:div w:id="1943949541">
      <w:bodyDiv w:val="1"/>
      <w:marLeft w:val="0"/>
      <w:marRight w:val="0"/>
      <w:marTop w:val="0"/>
      <w:marBottom w:val="0"/>
      <w:divBdr>
        <w:top w:val="none" w:sz="0" w:space="0" w:color="auto"/>
        <w:left w:val="none" w:sz="0" w:space="0" w:color="auto"/>
        <w:bottom w:val="none" w:sz="0" w:space="0" w:color="auto"/>
        <w:right w:val="none" w:sz="0" w:space="0" w:color="auto"/>
      </w:divBdr>
      <w:divsChild>
        <w:div w:id="1179345129">
          <w:marLeft w:val="0"/>
          <w:marRight w:val="0"/>
          <w:marTop w:val="0"/>
          <w:marBottom w:val="0"/>
          <w:divBdr>
            <w:top w:val="none" w:sz="0" w:space="0" w:color="auto"/>
            <w:left w:val="none" w:sz="0" w:space="0" w:color="auto"/>
            <w:bottom w:val="none" w:sz="0" w:space="0" w:color="auto"/>
            <w:right w:val="none" w:sz="0" w:space="0" w:color="auto"/>
          </w:divBdr>
        </w:div>
        <w:div w:id="1911429615">
          <w:marLeft w:val="0"/>
          <w:marRight w:val="0"/>
          <w:marTop w:val="0"/>
          <w:marBottom w:val="81"/>
          <w:divBdr>
            <w:top w:val="none" w:sz="0" w:space="0" w:color="auto"/>
            <w:left w:val="none" w:sz="0" w:space="0" w:color="auto"/>
            <w:bottom w:val="none" w:sz="0" w:space="0" w:color="auto"/>
            <w:right w:val="none" w:sz="0" w:space="0" w:color="auto"/>
          </w:divBdr>
          <w:divsChild>
            <w:div w:id="764689849">
              <w:marLeft w:val="0"/>
              <w:marRight w:val="0"/>
              <w:marTop w:val="0"/>
              <w:marBottom w:val="0"/>
              <w:divBdr>
                <w:top w:val="none" w:sz="0" w:space="0" w:color="auto"/>
                <w:left w:val="none" w:sz="0" w:space="0" w:color="auto"/>
                <w:bottom w:val="none" w:sz="0" w:space="0" w:color="auto"/>
                <w:right w:val="none" w:sz="0" w:space="0" w:color="auto"/>
              </w:divBdr>
              <w:divsChild>
                <w:div w:id="720787260">
                  <w:marLeft w:val="0"/>
                  <w:marRight w:val="0"/>
                  <w:marTop w:val="0"/>
                  <w:marBottom w:val="0"/>
                  <w:divBdr>
                    <w:top w:val="none" w:sz="0" w:space="0" w:color="auto"/>
                    <w:left w:val="none" w:sz="0" w:space="0" w:color="auto"/>
                    <w:bottom w:val="none" w:sz="0" w:space="0" w:color="auto"/>
                    <w:right w:val="none" w:sz="0" w:space="0" w:color="auto"/>
                  </w:divBdr>
                </w:div>
              </w:divsChild>
            </w:div>
            <w:div w:id="1800568442">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1944455482">
      <w:bodyDiv w:val="1"/>
      <w:marLeft w:val="0"/>
      <w:marRight w:val="0"/>
      <w:marTop w:val="0"/>
      <w:marBottom w:val="0"/>
      <w:divBdr>
        <w:top w:val="none" w:sz="0" w:space="0" w:color="auto"/>
        <w:left w:val="none" w:sz="0" w:space="0" w:color="auto"/>
        <w:bottom w:val="none" w:sz="0" w:space="0" w:color="auto"/>
        <w:right w:val="none" w:sz="0" w:space="0" w:color="auto"/>
      </w:divBdr>
    </w:div>
    <w:div w:id="1954748752">
      <w:bodyDiv w:val="1"/>
      <w:marLeft w:val="0"/>
      <w:marRight w:val="0"/>
      <w:marTop w:val="0"/>
      <w:marBottom w:val="0"/>
      <w:divBdr>
        <w:top w:val="none" w:sz="0" w:space="0" w:color="auto"/>
        <w:left w:val="none" w:sz="0" w:space="0" w:color="auto"/>
        <w:bottom w:val="none" w:sz="0" w:space="0" w:color="auto"/>
        <w:right w:val="none" w:sz="0" w:space="0" w:color="auto"/>
      </w:divBdr>
      <w:divsChild>
        <w:div w:id="461190090">
          <w:marLeft w:val="1181"/>
          <w:marRight w:val="0"/>
          <w:marTop w:val="168"/>
          <w:marBottom w:val="0"/>
          <w:divBdr>
            <w:top w:val="none" w:sz="0" w:space="0" w:color="auto"/>
            <w:left w:val="none" w:sz="0" w:space="0" w:color="auto"/>
            <w:bottom w:val="none" w:sz="0" w:space="0" w:color="auto"/>
            <w:right w:val="none" w:sz="0" w:space="0" w:color="auto"/>
          </w:divBdr>
        </w:div>
        <w:div w:id="569924978">
          <w:marLeft w:val="475"/>
          <w:marRight w:val="0"/>
          <w:marTop w:val="168"/>
          <w:marBottom w:val="0"/>
          <w:divBdr>
            <w:top w:val="none" w:sz="0" w:space="0" w:color="auto"/>
            <w:left w:val="none" w:sz="0" w:space="0" w:color="auto"/>
            <w:bottom w:val="none" w:sz="0" w:space="0" w:color="auto"/>
            <w:right w:val="none" w:sz="0" w:space="0" w:color="auto"/>
          </w:divBdr>
        </w:div>
        <w:div w:id="775906241">
          <w:marLeft w:val="475"/>
          <w:marRight w:val="0"/>
          <w:marTop w:val="168"/>
          <w:marBottom w:val="0"/>
          <w:divBdr>
            <w:top w:val="none" w:sz="0" w:space="0" w:color="auto"/>
            <w:left w:val="none" w:sz="0" w:space="0" w:color="auto"/>
            <w:bottom w:val="none" w:sz="0" w:space="0" w:color="auto"/>
            <w:right w:val="none" w:sz="0" w:space="0" w:color="auto"/>
          </w:divBdr>
        </w:div>
        <w:div w:id="1052731890">
          <w:marLeft w:val="475"/>
          <w:marRight w:val="0"/>
          <w:marTop w:val="168"/>
          <w:marBottom w:val="0"/>
          <w:divBdr>
            <w:top w:val="none" w:sz="0" w:space="0" w:color="auto"/>
            <w:left w:val="none" w:sz="0" w:space="0" w:color="auto"/>
            <w:bottom w:val="none" w:sz="0" w:space="0" w:color="auto"/>
            <w:right w:val="none" w:sz="0" w:space="0" w:color="auto"/>
          </w:divBdr>
        </w:div>
        <w:div w:id="1054037182">
          <w:marLeft w:val="1181"/>
          <w:marRight w:val="0"/>
          <w:marTop w:val="168"/>
          <w:marBottom w:val="0"/>
          <w:divBdr>
            <w:top w:val="none" w:sz="0" w:space="0" w:color="auto"/>
            <w:left w:val="none" w:sz="0" w:space="0" w:color="auto"/>
            <w:bottom w:val="none" w:sz="0" w:space="0" w:color="auto"/>
            <w:right w:val="none" w:sz="0" w:space="0" w:color="auto"/>
          </w:divBdr>
        </w:div>
        <w:div w:id="1541163660">
          <w:marLeft w:val="1181"/>
          <w:marRight w:val="0"/>
          <w:marTop w:val="168"/>
          <w:marBottom w:val="0"/>
          <w:divBdr>
            <w:top w:val="none" w:sz="0" w:space="0" w:color="auto"/>
            <w:left w:val="none" w:sz="0" w:space="0" w:color="auto"/>
            <w:bottom w:val="none" w:sz="0" w:space="0" w:color="auto"/>
            <w:right w:val="none" w:sz="0" w:space="0" w:color="auto"/>
          </w:divBdr>
        </w:div>
        <w:div w:id="2047171612">
          <w:marLeft w:val="475"/>
          <w:marRight w:val="0"/>
          <w:marTop w:val="168"/>
          <w:marBottom w:val="0"/>
          <w:divBdr>
            <w:top w:val="none" w:sz="0" w:space="0" w:color="auto"/>
            <w:left w:val="none" w:sz="0" w:space="0" w:color="auto"/>
            <w:bottom w:val="none" w:sz="0" w:space="0" w:color="auto"/>
            <w:right w:val="none" w:sz="0" w:space="0" w:color="auto"/>
          </w:divBdr>
        </w:div>
      </w:divsChild>
    </w:div>
    <w:div w:id="1956206990">
      <w:bodyDiv w:val="1"/>
      <w:marLeft w:val="0"/>
      <w:marRight w:val="0"/>
      <w:marTop w:val="0"/>
      <w:marBottom w:val="0"/>
      <w:divBdr>
        <w:top w:val="none" w:sz="0" w:space="0" w:color="auto"/>
        <w:left w:val="none" w:sz="0" w:space="0" w:color="auto"/>
        <w:bottom w:val="none" w:sz="0" w:space="0" w:color="auto"/>
        <w:right w:val="none" w:sz="0" w:space="0" w:color="auto"/>
      </w:divBdr>
    </w:div>
    <w:div w:id="1957174530">
      <w:bodyDiv w:val="1"/>
      <w:marLeft w:val="0"/>
      <w:marRight w:val="0"/>
      <w:marTop w:val="0"/>
      <w:marBottom w:val="0"/>
      <w:divBdr>
        <w:top w:val="none" w:sz="0" w:space="0" w:color="auto"/>
        <w:left w:val="none" w:sz="0" w:space="0" w:color="auto"/>
        <w:bottom w:val="none" w:sz="0" w:space="0" w:color="auto"/>
        <w:right w:val="none" w:sz="0" w:space="0" w:color="auto"/>
      </w:divBdr>
    </w:div>
    <w:div w:id="1957327155">
      <w:bodyDiv w:val="1"/>
      <w:marLeft w:val="0"/>
      <w:marRight w:val="0"/>
      <w:marTop w:val="0"/>
      <w:marBottom w:val="0"/>
      <w:divBdr>
        <w:top w:val="none" w:sz="0" w:space="0" w:color="auto"/>
        <w:left w:val="none" w:sz="0" w:space="0" w:color="auto"/>
        <w:bottom w:val="none" w:sz="0" w:space="0" w:color="auto"/>
        <w:right w:val="none" w:sz="0" w:space="0" w:color="auto"/>
      </w:divBdr>
    </w:div>
    <w:div w:id="1960866850">
      <w:bodyDiv w:val="1"/>
      <w:marLeft w:val="0"/>
      <w:marRight w:val="0"/>
      <w:marTop w:val="0"/>
      <w:marBottom w:val="0"/>
      <w:divBdr>
        <w:top w:val="none" w:sz="0" w:space="0" w:color="auto"/>
        <w:left w:val="none" w:sz="0" w:space="0" w:color="auto"/>
        <w:bottom w:val="none" w:sz="0" w:space="0" w:color="auto"/>
        <w:right w:val="none" w:sz="0" w:space="0" w:color="auto"/>
      </w:divBdr>
    </w:div>
    <w:div w:id="1969706040">
      <w:bodyDiv w:val="1"/>
      <w:marLeft w:val="0"/>
      <w:marRight w:val="0"/>
      <w:marTop w:val="0"/>
      <w:marBottom w:val="0"/>
      <w:divBdr>
        <w:top w:val="none" w:sz="0" w:space="0" w:color="auto"/>
        <w:left w:val="none" w:sz="0" w:space="0" w:color="auto"/>
        <w:bottom w:val="none" w:sz="0" w:space="0" w:color="auto"/>
        <w:right w:val="none" w:sz="0" w:space="0" w:color="auto"/>
      </w:divBdr>
    </w:div>
    <w:div w:id="1980841632">
      <w:bodyDiv w:val="1"/>
      <w:marLeft w:val="0"/>
      <w:marRight w:val="0"/>
      <w:marTop w:val="0"/>
      <w:marBottom w:val="0"/>
      <w:divBdr>
        <w:top w:val="none" w:sz="0" w:space="0" w:color="auto"/>
        <w:left w:val="none" w:sz="0" w:space="0" w:color="auto"/>
        <w:bottom w:val="none" w:sz="0" w:space="0" w:color="auto"/>
        <w:right w:val="none" w:sz="0" w:space="0" w:color="auto"/>
      </w:divBdr>
    </w:div>
    <w:div w:id="1987588701">
      <w:bodyDiv w:val="1"/>
      <w:marLeft w:val="0"/>
      <w:marRight w:val="0"/>
      <w:marTop w:val="0"/>
      <w:marBottom w:val="0"/>
      <w:divBdr>
        <w:top w:val="none" w:sz="0" w:space="0" w:color="auto"/>
        <w:left w:val="none" w:sz="0" w:space="0" w:color="auto"/>
        <w:bottom w:val="none" w:sz="0" w:space="0" w:color="auto"/>
        <w:right w:val="none" w:sz="0" w:space="0" w:color="auto"/>
      </w:divBdr>
    </w:div>
    <w:div w:id="1992557301">
      <w:bodyDiv w:val="1"/>
      <w:marLeft w:val="0"/>
      <w:marRight w:val="0"/>
      <w:marTop w:val="0"/>
      <w:marBottom w:val="0"/>
      <w:divBdr>
        <w:top w:val="none" w:sz="0" w:space="0" w:color="auto"/>
        <w:left w:val="none" w:sz="0" w:space="0" w:color="auto"/>
        <w:bottom w:val="none" w:sz="0" w:space="0" w:color="auto"/>
        <w:right w:val="none" w:sz="0" w:space="0" w:color="auto"/>
      </w:divBdr>
    </w:div>
    <w:div w:id="1994288404">
      <w:bodyDiv w:val="1"/>
      <w:marLeft w:val="0"/>
      <w:marRight w:val="0"/>
      <w:marTop w:val="0"/>
      <w:marBottom w:val="0"/>
      <w:divBdr>
        <w:top w:val="none" w:sz="0" w:space="0" w:color="auto"/>
        <w:left w:val="none" w:sz="0" w:space="0" w:color="auto"/>
        <w:bottom w:val="none" w:sz="0" w:space="0" w:color="auto"/>
        <w:right w:val="none" w:sz="0" w:space="0" w:color="auto"/>
      </w:divBdr>
    </w:div>
    <w:div w:id="1995256957">
      <w:bodyDiv w:val="1"/>
      <w:marLeft w:val="0"/>
      <w:marRight w:val="0"/>
      <w:marTop w:val="0"/>
      <w:marBottom w:val="0"/>
      <w:divBdr>
        <w:top w:val="none" w:sz="0" w:space="0" w:color="auto"/>
        <w:left w:val="none" w:sz="0" w:space="0" w:color="auto"/>
        <w:bottom w:val="none" w:sz="0" w:space="0" w:color="auto"/>
        <w:right w:val="none" w:sz="0" w:space="0" w:color="auto"/>
      </w:divBdr>
    </w:div>
    <w:div w:id="2004048490">
      <w:bodyDiv w:val="1"/>
      <w:marLeft w:val="0"/>
      <w:marRight w:val="0"/>
      <w:marTop w:val="0"/>
      <w:marBottom w:val="0"/>
      <w:divBdr>
        <w:top w:val="none" w:sz="0" w:space="0" w:color="auto"/>
        <w:left w:val="none" w:sz="0" w:space="0" w:color="auto"/>
        <w:bottom w:val="none" w:sz="0" w:space="0" w:color="auto"/>
        <w:right w:val="none" w:sz="0" w:space="0" w:color="auto"/>
      </w:divBdr>
    </w:div>
    <w:div w:id="2015262662">
      <w:bodyDiv w:val="1"/>
      <w:marLeft w:val="0"/>
      <w:marRight w:val="0"/>
      <w:marTop w:val="0"/>
      <w:marBottom w:val="0"/>
      <w:divBdr>
        <w:top w:val="none" w:sz="0" w:space="0" w:color="auto"/>
        <w:left w:val="none" w:sz="0" w:space="0" w:color="auto"/>
        <w:bottom w:val="none" w:sz="0" w:space="0" w:color="auto"/>
        <w:right w:val="none" w:sz="0" w:space="0" w:color="auto"/>
      </w:divBdr>
    </w:div>
    <w:div w:id="2017418785">
      <w:bodyDiv w:val="1"/>
      <w:marLeft w:val="0"/>
      <w:marRight w:val="0"/>
      <w:marTop w:val="0"/>
      <w:marBottom w:val="0"/>
      <w:divBdr>
        <w:top w:val="none" w:sz="0" w:space="0" w:color="auto"/>
        <w:left w:val="none" w:sz="0" w:space="0" w:color="auto"/>
        <w:bottom w:val="none" w:sz="0" w:space="0" w:color="auto"/>
        <w:right w:val="none" w:sz="0" w:space="0" w:color="auto"/>
      </w:divBdr>
    </w:div>
    <w:div w:id="2027707015">
      <w:bodyDiv w:val="1"/>
      <w:marLeft w:val="0"/>
      <w:marRight w:val="0"/>
      <w:marTop w:val="0"/>
      <w:marBottom w:val="0"/>
      <w:divBdr>
        <w:top w:val="none" w:sz="0" w:space="0" w:color="auto"/>
        <w:left w:val="none" w:sz="0" w:space="0" w:color="auto"/>
        <w:bottom w:val="none" w:sz="0" w:space="0" w:color="auto"/>
        <w:right w:val="none" w:sz="0" w:space="0" w:color="auto"/>
      </w:divBdr>
    </w:div>
    <w:div w:id="2029598753">
      <w:bodyDiv w:val="1"/>
      <w:marLeft w:val="0"/>
      <w:marRight w:val="0"/>
      <w:marTop w:val="0"/>
      <w:marBottom w:val="0"/>
      <w:divBdr>
        <w:top w:val="none" w:sz="0" w:space="0" w:color="auto"/>
        <w:left w:val="none" w:sz="0" w:space="0" w:color="auto"/>
        <w:bottom w:val="none" w:sz="0" w:space="0" w:color="auto"/>
        <w:right w:val="none" w:sz="0" w:space="0" w:color="auto"/>
      </w:divBdr>
    </w:div>
    <w:div w:id="2036495257">
      <w:bodyDiv w:val="1"/>
      <w:marLeft w:val="0"/>
      <w:marRight w:val="0"/>
      <w:marTop w:val="0"/>
      <w:marBottom w:val="0"/>
      <w:divBdr>
        <w:top w:val="none" w:sz="0" w:space="0" w:color="auto"/>
        <w:left w:val="none" w:sz="0" w:space="0" w:color="auto"/>
        <w:bottom w:val="none" w:sz="0" w:space="0" w:color="auto"/>
        <w:right w:val="none" w:sz="0" w:space="0" w:color="auto"/>
      </w:divBdr>
      <w:divsChild>
        <w:div w:id="430246868">
          <w:marLeft w:val="1829"/>
          <w:marRight w:val="0"/>
          <w:marTop w:val="144"/>
          <w:marBottom w:val="0"/>
          <w:divBdr>
            <w:top w:val="none" w:sz="0" w:space="0" w:color="auto"/>
            <w:left w:val="none" w:sz="0" w:space="0" w:color="auto"/>
            <w:bottom w:val="none" w:sz="0" w:space="0" w:color="auto"/>
            <w:right w:val="none" w:sz="0" w:space="0" w:color="auto"/>
          </w:divBdr>
        </w:div>
        <w:div w:id="1015496954">
          <w:marLeft w:val="1181"/>
          <w:marRight w:val="0"/>
          <w:marTop w:val="168"/>
          <w:marBottom w:val="0"/>
          <w:divBdr>
            <w:top w:val="none" w:sz="0" w:space="0" w:color="auto"/>
            <w:left w:val="none" w:sz="0" w:space="0" w:color="auto"/>
            <w:bottom w:val="none" w:sz="0" w:space="0" w:color="auto"/>
            <w:right w:val="none" w:sz="0" w:space="0" w:color="auto"/>
          </w:divBdr>
        </w:div>
        <w:div w:id="1051197888">
          <w:marLeft w:val="475"/>
          <w:marRight w:val="0"/>
          <w:marTop w:val="168"/>
          <w:marBottom w:val="0"/>
          <w:divBdr>
            <w:top w:val="none" w:sz="0" w:space="0" w:color="auto"/>
            <w:left w:val="none" w:sz="0" w:space="0" w:color="auto"/>
            <w:bottom w:val="none" w:sz="0" w:space="0" w:color="auto"/>
            <w:right w:val="none" w:sz="0" w:space="0" w:color="auto"/>
          </w:divBdr>
        </w:div>
        <w:div w:id="1287735591">
          <w:marLeft w:val="475"/>
          <w:marRight w:val="0"/>
          <w:marTop w:val="168"/>
          <w:marBottom w:val="0"/>
          <w:divBdr>
            <w:top w:val="none" w:sz="0" w:space="0" w:color="auto"/>
            <w:left w:val="none" w:sz="0" w:space="0" w:color="auto"/>
            <w:bottom w:val="none" w:sz="0" w:space="0" w:color="auto"/>
            <w:right w:val="none" w:sz="0" w:space="0" w:color="auto"/>
          </w:divBdr>
        </w:div>
        <w:div w:id="1307853518">
          <w:marLeft w:val="1829"/>
          <w:marRight w:val="0"/>
          <w:marTop w:val="144"/>
          <w:marBottom w:val="0"/>
          <w:divBdr>
            <w:top w:val="none" w:sz="0" w:space="0" w:color="auto"/>
            <w:left w:val="none" w:sz="0" w:space="0" w:color="auto"/>
            <w:bottom w:val="none" w:sz="0" w:space="0" w:color="auto"/>
            <w:right w:val="none" w:sz="0" w:space="0" w:color="auto"/>
          </w:divBdr>
        </w:div>
        <w:div w:id="1772234524">
          <w:marLeft w:val="1181"/>
          <w:marRight w:val="0"/>
          <w:marTop w:val="168"/>
          <w:marBottom w:val="0"/>
          <w:divBdr>
            <w:top w:val="none" w:sz="0" w:space="0" w:color="auto"/>
            <w:left w:val="none" w:sz="0" w:space="0" w:color="auto"/>
            <w:bottom w:val="none" w:sz="0" w:space="0" w:color="auto"/>
            <w:right w:val="none" w:sz="0" w:space="0" w:color="auto"/>
          </w:divBdr>
        </w:div>
        <w:div w:id="1819573323">
          <w:marLeft w:val="1829"/>
          <w:marRight w:val="0"/>
          <w:marTop w:val="144"/>
          <w:marBottom w:val="0"/>
          <w:divBdr>
            <w:top w:val="none" w:sz="0" w:space="0" w:color="auto"/>
            <w:left w:val="none" w:sz="0" w:space="0" w:color="auto"/>
            <w:bottom w:val="none" w:sz="0" w:space="0" w:color="auto"/>
            <w:right w:val="none" w:sz="0" w:space="0" w:color="auto"/>
          </w:divBdr>
        </w:div>
        <w:div w:id="1867982440">
          <w:marLeft w:val="1181"/>
          <w:marRight w:val="0"/>
          <w:marTop w:val="168"/>
          <w:marBottom w:val="0"/>
          <w:divBdr>
            <w:top w:val="none" w:sz="0" w:space="0" w:color="auto"/>
            <w:left w:val="none" w:sz="0" w:space="0" w:color="auto"/>
            <w:bottom w:val="none" w:sz="0" w:space="0" w:color="auto"/>
            <w:right w:val="none" w:sz="0" w:space="0" w:color="auto"/>
          </w:divBdr>
        </w:div>
        <w:div w:id="2044863194">
          <w:marLeft w:val="1829"/>
          <w:marRight w:val="0"/>
          <w:marTop w:val="144"/>
          <w:marBottom w:val="0"/>
          <w:divBdr>
            <w:top w:val="none" w:sz="0" w:space="0" w:color="auto"/>
            <w:left w:val="none" w:sz="0" w:space="0" w:color="auto"/>
            <w:bottom w:val="none" w:sz="0" w:space="0" w:color="auto"/>
            <w:right w:val="none" w:sz="0" w:space="0" w:color="auto"/>
          </w:divBdr>
        </w:div>
      </w:divsChild>
    </w:div>
    <w:div w:id="2041320536">
      <w:bodyDiv w:val="1"/>
      <w:marLeft w:val="0"/>
      <w:marRight w:val="0"/>
      <w:marTop w:val="0"/>
      <w:marBottom w:val="0"/>
      <w:divBdr>
        <w:top w:val="none" w:sz="0" w:space="0" w:color="auto"/>
        <w:left w:val="none" w:sz="0" w:space="0" w:color="auto"/>
        <w:bottom w:val="none" w:sz="0" w:space="0" w:color="auto"/>
        <w:right w:val="none" w:sz="0" w:space="0" w:color="auto"/>
      </w:divBdr>
    </w:div>
    <w:div w:id="2048984596">
      <w:bodyDiv w:val="1"/>
      <w:marLeft w:val="0"/>
      <w:marRight w:val="0"/>
      <w:marTop w:val="0"/>
      <w:marBottom w:val="0"/>
      <w:divBdr>
        <w:top w:val="none" w:sz="0" w:space="0" w:color="auto"/>
        <w:left w:val="none" w:sz="0" w:space="0" w:color="auto"/>
        <w:bottom w:val="none" w:sz="0" w:space="0" w:color="auto"/>
        <w:right w:val="none" w:sz="0" w:space="0" w:color="auto"/>
      </w:divBdr>
    </w:div>
    <w:div w:id="2049908296">
      <w:bodyDiv w:val="1"/>
      <w:marLeft w:val="0"/>
      <w:marRight w:val="0"/>
      <w:marTop w:val="0"/>
      <w:marBottom w:val="0"/>
      <w:divBdr>
        <w:top w:val="none" w:sz="0" w:space="0" w:color="auto"/>
        <w:left w:val="none" w:sz="0" w:space="0" w:color="auto"/>
        <w:bottom w:val="none" w:sz="0" w:space="0" w:color="auto"/>
        <w:right w:val="none" w:sz="0" w:space="0" w:color="auto"/>
      </w:divBdr>
    </w:div>
    <w:div w:id="2056854239">
      <w:marLeft w:val="0"/>
      <w:marRight w:val="0"/>
      <w:marTop w:val="0"/>
      <w:marBottom w:val="0"/>
      <w:divBdr>
        <w:top w:val="none" w:sz="0" w:space="0" w:color="auto"/>
        <w:left w:val="none" w:sz="0" w:space="0" w:color="auto"/>
        <w:bottom w:val="none" w:sz="0" w:space="0" w:color="auto"/>
        <w:right w:val="none" w:sz="0" w:space="0" w:color="auto"/>
      </w:divBdr>
    </w:div>
    <w:div w:id="2061853875">
      <w:bodyDiv w:val="1"/>
      <w:marLeft w:val="0"/>
      <w:marRight w:val="0"/>
      <w:marTop w:val="0"/>
      <w:marBottom w:val="0"/>
      <w:divBdr>
        <w:top w:val="none" w:sz="0" w:space="0" w:color="auto"/>
        <w:left w:val="none" w:sz="0" w:space="0" w:color="auto"/>
        <w:bottom w:val="none" w:sz="0" w:space="0" w:color="auto"/>
        <w:right w:val="none" w:sz="0" w:space="0" w:color="auto"/>
      </w:divBdr>
      <w:divsChild>
        <w:div w:id="724833194">
          <w:marLeft w:val="274"/>
          <w:marRight w:val="0"/>
          <w:marTop w:val="60"/>
          <w:marBottom w:val="0"/>
          <w:divBdr>
            <w:top w:val="none" w:sz="0" w:space="0" w:color="auto"/>
            <w:left w:val="none" w:sz="0" w:space="0" w:color="auto"/>
            <w:bottom w:val="none" w:sz="0" w:space="0" w:color="auto"/>
            <w:right w:val="none" w:sz="0" w:space="0" w:color="auto"/>
          </w:divBdr>
        </w:div>
        <w:div w:id="1328897840">
          <w:marLeft w:val="274"/>
          <w:marRight w:val="0"/>
          <w:marTop w:val="60"/>
          <w:marBottom w:val="0"/>
          <w:divBdr>
            <w:top w:val="none" w:sz="0" w:space="0" w:color="auto"/>
            <w:left w:val="none" w:sz="0" w:space="0" w:color="auto"/>
            <w:bottom w:val="none" w:sz="0" w:space="0" w:color="auto"/>
            <w:right w:val="none" w:sz="0" w:space="0" w:color="auto"/>
          </w:divBdr>
        </w:div>
        <w:div w:id="1578711534">
          <w:marLeft w:val="274"/>
          <w:marRight w:val="0"/>
          <w:marTop w:val="60"/>
          <w:marBottom w:val="0"/>
          <w:divBdr>
            <w:top w:val="none" w:sz="0" w:space="0" w:color="auto"/>
            <w:left w:val="none" w:sz="0" w:space="0" w:color="auto"/>
            <w:bottom w:val="none" w:sz="0" w:space="0" w:color="auto"/>
            <w:right w:val="none" w:sz="0" w:space="0" w:color="auto"/>
          </w:divBdr>
        </w:div>
        <w:div w:id="1912080953">
          <w:marLeft w:val="274"/>
          <w:marRight w:val="0"/>
          <w:marTop w:val="20"/>
          <w:marBottom w:val="0"/>
          <w:divBdr>
            <w:top w:val="none" w:sz="0" w:space="0" w:color="auto"/>
            <w:left w:val="none" w:sz="0" w:space="0" w:color="auto"/>
            <w:bottom w:val="none" w:sz="0" w:space="0" w:color="auto"/>
            <w:right w:val="none" w:sz="0" w:space="0" w:color="auto"/>
          </w:divBdr>
        </w:div>
        <w:div w:id="2042432201">
          <w:marLeft w:val="274"/>
          <w:marRight w:val="0"/>
          <w:marTop w:val="60"/>
          <w:marBottom w:val="0"/>
          <w:divBdr>
            <w:top w:val="none" w:sz="0" w:space="0" w:color="auto"/>
            <w:left w:val="none" w:sz="0" w:space="0" w:color="auto"/>
            <w:bottom w:val="none" w:sz="0" w:space="0" w:color="auto"/>
            <w:right w:val="none" w:sz="0" w:space="0" w:color="auto"/>
          </w:divBdr>
        </w:div>
        <w:div w:id="2081098272">
          <w:marLeft w:val="274"/>
          <w:marRight w:val="0"/>
          <w:marTop w:val="60"/>
          <w:marBottom w:val="0"/>
          <w:divBdr>
            <w:top w:val="none" w:sz="0" w:space="0" w:color="auto"/>
            <w:left w:val="none" w:sz="0" w:space="0" w:color="auto"/>
            <w:bottom w:val="none" w:sz="0" w:space="0" w:color="auto"/>
            <w:right w:val="none" w:sz="0" w:space="0" w:color="auto"/>
          </w:divBdr>
        </w:div>
      </w:divsChild>
    </w:div>
    <w:div w:id="2064282574">
      <w:bodyDiv w:val="1"/>
      <w:marLeft w:val="0"/>
      <w:marRight w:val="0"/>
      <w:marTop w:val="0"/>
      <w:marBottom w:val="0"/>
      <w:divBdr>
        <w:top w:val="none" w:sz="0" w:space="0" w:color="auto"/>
        <w:left w:val="none" w:sz="0" w:space="0" w:color="auto"/>
        <w:bottom w:val="none" w:sz="0" w:space="0" w:color="auto"/>
        <w:right w:val="none" w:sz="0" w:space="0" w:color="auto"/>
      </w:divBdr>
    </w:div>
    <w:div w:id="2070878988">
      <w:bodyDiv w:val="1"/>
      <w:marLeft w:val="0"/>
      <w:marRight w:val="0"/>
      <w:marTop w:val="0"/>
      <w:marBottom w:val="0"/>
      <w:divBdr>
        <w:top w:val="none" w:sz="0" w:space="0" w:color="auto"/>
        <w:left w:val="none" w:sz="0" w:space="0" w:color="auto"/>
        <w:bottom w:val="none" w:sz="0" w:space="0" w:color="auto"/>
        <w:right w:val="none" w:sz="0" w:space="0" w:color="auto"/>
      </w:divBdr>
    </w:div>
    <w:div w:id="2073574159">
      <w:bodyDiv w:val="1"/>
      <w:marLeft w:val="0"/>
      <w:marRight w:val="0"/>
      <w:marTop w:val="0"/>
      <w:marBottom w:val="0"/>
      <w:divBdr>
        <w:top w:val="none" w:sz="0" w:space="0" w:color="auto"/>
        <w:left w:val="none" w:sz="0" w:space="0" w:color="auto"/>
        <w:bottom w:val="none" w:sz="0" w:space="0" w:color="auto"/>
        <w:right w:val="none" w:sz="0" w:space="0" w:color="auto"/>
      </w:divBdr>
    </w:div>
    <w:div w:id="2074765596">
      <w:bodyDiv w:val="1"/>
      <w:marLeft w:val="0"/>
      <w:marRight w:val="0"/>
      <w:marTop w:val="0"/>
      <w:marBottom w:val="0"/>
      <w:divBdr>
        <w:top w:val="none" w:sz="0" w:space="0" w:color="auto"/>
        <w:left w:val="none" w:sz="0" w:space="0" w:color="auto"/>
        <w:bottom w:val="none" w:sz="0" w:space="0" w:color="auto"/>
        <w:right w:val="none" w:sz="0" w:space="0" w:color="auto"/>
      </w:divBdr>
    </w:div>
    <w:div w:id="2076660392">
      <w:bodyDiv w:val="1"/>
      <w:marLeft w:val="0"/>
      <w:marRight w:val="0"/>
      <w:marTop w:val="0"/>
      <w:marBottom w:val="0"/>
      <w:divBdr>
        <w:top w:val="none" w:sz="0" w:space="0" w:color="auto"/>
        <w:left w:val="none" w:sz="0" w:space="0" w:color="auto"/>
        <w:bottom w:val="none" w:sz="0" w:space="0" w:color="auto"/>
        <w:right w:val="none" w:sz="0" w:space="0" w:color="auto"/>
      </w:divBdr>
    </w:div>
    <w:div w:id="2077435744">
      <w:bodyDiv w:val="1"/>
      <w:marLeft w:val="0"/>
      <w:marRight w:val="0"/>
      <w:marTop w:val="0"/>
      <w:marBottom w:val="0"/>
      <w:divBdr>
        <w:top w:val="none" w:sz="0" w:space="0" w:color="auto"/>
        <w:left w:val="none" w:sz="0" w:space="0" w:color="auto"/>
        <w:bottom w:val="none" w:sz="0" w:space="0" w:color="auto"/>
        <w:right w:val="none" w:sz="0" w:space="0" w:color="auto"/>
      </w:divBdr>
    </w:div>
    <w:div w:id="2079089223">
      <w:bodyDiv w:val="1"/>
      <w:marLeft w:val="0"/>
      <w:marRight w:val="0"/>
      <w:marTop w:val="0"/>
      <w:marBottom w:val="0"/>
      <w:divBdr>
        <w:top w:val="none" w:sz="0" w:space="0" w:color="auto"/>
        <w:left w:val="none" w:sz="0" w:space="0" w:color="auto"/>
        <w:bottom w:val="none" w:sz="0" w:space="0" w:color="auto"/>
        <w:right w:val="none" w:sz="0" w:space="0" w:color="auto"/>
      </w:divBdr>
    </w:div>
    <w:div w:id="2081173002">
      <w:bodyDiv w:val="1"/>
      <w:marLeft w:val="0"/>
      <w:marRight w:val="0"/>
      <w:marTop w:val="0"/>
      <w:marBottom w:val="0"/>
      <w:divBdr>
        <w:top w:val="none" w:sz="0" w:space="0" w:color="auto"/>
        <w:left w:val="none" w:sz="0" w:space="0" w:color="auto"/>
        <w:bottom w:val="none" w:sz="0" w:space="0" w:color="auto"/>
        <w:right w:val="none" w:sz="0" w:space="0" w:color="auto"/>
      </w:divBdr>
    </w:div>
    <w:div w:id="2082213154">
      <w:bodyDiv w:val="1"/>
      <w:marLeft w:val="0"/>
      <w:marRight w:val="0"/>
      <w:marTop w:val="0"/>
      <w:marBottom w:val="0"/>
      <w:divBdr>
        <w:top w:val="none" w:sz="0" w:space="0" w:color="auto"/>
        <w:left w:val="none" w:sz="0" w:space="0" w:color="auto"/>
        <w:bottom w:val="none" w:sz="0" w:space="0" w:color="auto"/>
        <w:right w:val="none" w:sz="0" w:space="0" w:color="auto"/>
      </w:divBdr>
    </w:div>
    <w:div w:id="2085032604">
      <w:bodyDiv w:val="1"/>
      <w:marLeft w:val="0"/>
      <w:marRight w:val="0"/>
      <w:marTop w:val="0"/>
      <w:marBottom w:val="0"/>
      <w:divBdr>
        <w:top w:val="none" w:sz="0" w:space="0" w:color="auto"/>
        <w:left w:val="none" w:sz="0" w:space="0" w:color="auto"/>
        <w:bottom w:val="none" w:sz="0" w:space="0" w:color="auto"/>
        <w:right w:val="none" w:sz="0" w:space="0" w:color="auto"/>
      </w:divBdr>
    </w:div>
    <w:div w:id="2086685027">
      <w:bodyDiv w:val="1"/>
      <w:marLeft w:val="0"/>
      <w:marRight w:val="0"/>
      <w:marTop w:val="0"/>
      <w:marBottom w:val="0"/>
      <w:divBdr>
        <w:top w:val="none" w:sz="0" w:space="0" w:color="auto"/>
        <w:left w:val="none" w:sz="0" w:space="0" w:color="auto"/>
        <w:bottom w:val="none" w:sz="0" w:space="0" w:color="auto"/>
        <w:right w:val="none" w:sz="0" w:space="0" w:color="auto"/>
      </w:divBdr>
    </w:div>
    <w:div w:id="2088072118">
      <w:bodyDiv w:val="1"/>
      <w:marLeft w:val="0"/>
      <w:marRight w:val="0"/>
      <w:marTop w:val="0"/>
      <w:marBottom w:val="0"/>
      <w:divBdr>
        <w:top w:val="none" w:sz="0" w:space="0" w:color="auto"/>
        <w:left w:val="none" w:sz="0" w:space="0" w:color="auto"/>
        <w:bottom w:val="none" w:sz="0" w:space="0" w:color="auto"/>
        <w:right w:val="none" w:sz="0" w:space="0" w:color="auto"/>
      </w:divBdr>
    </w:div>
    <w:div w:id="2092655323">
      <w:bodyDiv w:val="1"/>
      <w:marLeft w:val="0"/>
      <w:marRight w:val="0"/>
      <w:marTop w:val="0"/>
      <w:marBottom w:val="0"/>
      <w:divBdr>
        <w:top w:val="none" w:sz="0" w:space="0" w:color="auto"/>
        <w:left w:val="none" w:sz="0" w:space="0" w:color="auto"/>
        <w:bottom w:val="none" w:sz="0" w:space="0" w:color="auto"/>
        <w:right w:val="none" w:sz="0" w:space="0" w:color="auto"/>
      </w:divBdr>
      <w:divsChild>
        <w:div w:id="821238716">
          <w:marLeft w:val="0"/>
          <w:marRight w:val="60"/>
          <w:marTop w:val="120"/>
          <w:marBottom w:val="0"/>
          <w:divBdr>
            <w:top w:val="none" w:sz="0" w:space="0" w:color="auto"/>
            <w:left w:val="none" w:sz="0" w:space="0" w:color="auto"/>
            <w:bottom w:val="none" w:sz="0" w:space="0" w:color="auto"/>
            <w:right w:val="none" w:sz="0" w:space="0" w:color="auto"/>
          </w:divBdr>
          <w:divsChild>
            <w:div w:id="1293055898">
              <w:marLeft w:val="0"/>
              <w:marRight w:val="0"/>
              <w:marTop w:val="0"/>
              <w:marBottom w:val="219"/>
              <w:divBdr>
                <w:top w:val="none" w:sz="0" w:space="0" w:color="auto"/>
                <w:left w:val="none" w:sz="0" w:space="0" w:color="auto"/>
                <w:bottom w:val="none" w:sz="0" w:space="0" w:color="auto"/>
                <w:right w:val="none" w:sz="0" w:space="0" w:color="auto"/>
              </w:divBdr>
            </w:div>
            <w:div w:id="1886405648">
              <w:marLeft w:val="0"/>
              <w:marRight w:val="0"/>
              <w:marTop w:val="0"/>
              <w:marBottom w:val="219"/>
              <w:divBdr>
                <w:top w:val="none" w:sz="0" w:space="0" w:color="auto"/>
                <w:left w:val="none" w:sz="0" w:space="0" w:color="auto"/>
                <w:bottom w:val="none" w:sz="0" w:space="0" w:color="auto"/>
                <w:right w:val="none" w:sz="0" w:space="0" w:color="auto"/>
              </w:divBdr>
            </w:div>
          </w:divsChild>
        </w:div>
      </w:divsChild>
    </w:div>
    <w:div w:id="2108848656">
      <w:bodyDiv w:val="1"/>
      <w:marLeft w:val="0"/>
      <w:marRight w:val="0"/>
      <w:marTop w:val="0"/>
      <w:marBottom w:val="0"/>
      <w:divBdr>
        <w:top w:val="none" w:sz="0" w:space="0" w:color="auto"/>
        <w:left w:val="none" w:sz="0" w:space="0" w:color="auto"/>
        <w:bottom w:val="none" w:sz="0" w:space="0" w:color="auto"/>
        <w:right w:val="none" w:sz="0" w:space="0" w:color="auto"/>
      </w:divBdr>
    </w:div>
    <w:div w:id="2110422356">
      <w:bodyDiv w:val="1"/>
      <w:marLeft w:val="0"/>
      <w:marRight w:val="0"/>
      <w:marTop w:val="0"/>
      <w:marBottom w:val="0"/>
      <w:divBdr>
        <w:top w:val="none" w:sz="0" w:space="0" w:color="auto"/>
        <w:left w:val="none" w:sz="0" w:space="0" w:color="auto"/>
        <w:bottom w:val="none" w:sz="0" w:space="0" w:color="auto"/>
        <w:right w:val="none" w:sz="0" w:space="0" w:color="auto"/>
      </w:divBdr>
      <w:divsChild>
        <w:div w:id="117067026">
          <w:marLeft w:val="475"/>
          <w:marRight w:val="0"/>
          <w:marTop w:val="168"/>
          <w:marBottom w:val="0"/>
          <w:divBdr>
            <w:top w:val="none" w:sz="0" w:space="0" w:color="auto"/>
            <w:left w:val="none" w:sz="0" w:space="0" w:color="auto"/>
            <w:bottom w:val="none" w:sz="0" w:space="0" w:color="auto"/>
            <w:right w:val="none" w:sz="0" w:space="0" w:color="auto"/>
          </w:divBdr>
        </w:div>
        <w:div w:id="128402660">
          <w:marLeft w:val="1181"/>
          <w:marRight w:val="0"/>
          <w:marTop w:val="168"/>
          <w:marBottom w:val="0"/>
          <w:divBdr>
            <w:top w:val="none" w:sz="0" w:space="0" w:color="auto"/>
            <w:left w:val="none" w:sz="0" w:space="0" w:color="auto"/>
            <w:bottom w:val="none" w:sz="0" w:space="0" w:color="auto"/>
            <w:right w:val="none" w:sz="0" w:space="0" w:color="auto"/>
          </w:divBdr>
        </w:div>
        <w:div w:id="151721153">
          <w:marLeft w:val="475"/>
          <w:marRight w:val="0"/>
          <w:marTop w:val="168"/>
          <w:marBottom w:val="0"/>
          <w:divBdr>
            <w:top w:val="none" w:sz="0" w:space="0" w:color="auto"/>
            <w:left w:val="none" w:sz="0" w:space="0" w:color="auto"/>
            <w:bottom w:val="none" w:sz="0" w:space="0" w:color="auto"/>
            <w:right w:val="none" w:sz="0" w:space="0" w:color="auto"/>
          </w:divBdr>
        </w:div>
        <w:div w:id="273833210">
          <w:marLeft w:val="475"/>
          <w:marRight w:val="0"/>
          <w:marTop w:val="168"/>
          <w:marBottom w:val="0"/>
          <w:divBdr>
            <w:top w:val="none" w:sz="0" w:space="0" w:color="auto"/>
            <w:left w:val="none" w:sz="0" w:space="0" w:color="auto"/>
            <w:bottom w:val="none" w:sz="0" w:space="0" w:color="auto"/>
            <w:right w:val="none" w:sz="0" w:space="0" w:color="auto"/>
          </w:divBdr>
        </w:div>
        <w:div w:id="312413650">
          <w:marLeft w:val="475"/>
          <w:marRight w:val="0"/>
          <w:marTop w:val="168"/>
          <w:marBottom w:val="0"/>
          <w:divBdr>
            <w:top w:val="none" w:sz="0" w:space="0" w:color="auto"/>
            <w:left w:val="none" w:sz="0" w:space="0" w:color="auto"/>
            <w:bottom w:val="none" w:sz="0" w:space="0" w:color="auto"/>
            <w:right w:val="none" w:sz="0" w:space="0" w:color="auto"/>
          </w:divBdr>
        </w:div>
        <w:div w:id="393161784">
          <w:marLeft w:val="475"/>
          <w:marRight w:val="0"/>
          <w:marTop w:val="168"/>
          <w:marBottom w:val="0"/>
          <w:divBdr>
            <w:top w:val="none" w:sz="0" w:space="0" w:color="auto"/>
            <w:left w:val="none" w:sz="0" w:space="0" w:color="auto"/>
            <w:bottom w:val="none" w:sz="0" w:space="0" w:color="auto"/>
            <w:right w:val="none" w:sz="0" w:space="0" w:color="auto"/>
          </w:divBdr>
        </w:div>
        <w:div w:id="809328944">
          <w:marLeft w:val="475"/>
          <w:marRight w:val="0"/>
          <w:marTop w:val="168"/>
          <w:marBottom w:val="0"/>
          <w:divBdr>
            <w:top w:val="none" w:sz="0" w:space="0" w:color="auto"/>
            <w:left w:val="none" w:sz="0" w:space="0" w:color="auto"/>
            <w:bottom w:val="none" w:sz="0" w:space="0" w:color="auto"/>
            <w:right w:val="none" w:sz="0" w:space="0" w:color="auto"/>
          </w:divBdr>
        </w:div>
        <w:div w:id="1006589364">
          <w:marLeft w:val="475"/>
          <w:marRight w:val="0"/>
          <w:marTop w:val="168"/>
          <w:marBottom w:val="0"/>
          <w:divBdr>
            <w:top w:val="none" w:sz="0" w:space="0" w:color="auto"/>
            <w:left w:val="none" w:sz="0" w:space="0" w:color="auto"/>
            <w:bottom w:val="none" w:sz="0" w:space="0" w:color="auto"/>
            <w:right w:val="none" w:sz="0" w:space="0" w:color="auto"/>
          </w:divBdr>
        </w:div>
        <w:div w:id="1009991136">
          <w:marLeft w:val="475"/>
          <w:marRight w:val="0"/>
          <w:marTop w:val="168"/>
          <w:marBottom w:val="0"/>
          <w:divBdr>
            <w:top w:val="none" w:sz="0" w:space="0" w:color="auto"/>
            <w:left w:val="none" w:sz="0" w:space="0" w:color="auto"/>
            <w:bottom w:val="none" w:sz="0" w:space="0" w:color="auto"/>
            <w:right w:val="none" w:sz="0" w:space="0" w:color="auto"/>
          </w:divBdr>
        </w:div>
        <w:div w:id="1216047004">
          <w:marLeft w:val="475"/>
          <w:marRight w:val="0"/>
          <w:marTop w:val="168"/>
          <w:marBottom w:val="0"/>
          <w:divBdr>
            <w:top w:val="none" w:sz="0" w:space="0" w:color="auto"/>
            <w:left w:val="none" w:sz="0" w:space="0" w:color="auto"/>
            <w:bottom w:val="none" w:sz="0" w:space="0" w:color="auto"/>
            <w:right w:val="none" w:sz="0" w:space="0" w:color="auto"/>
          </w:divBdr>
        </w:div>
        <w:div w:id="1262033172">
          <w:marLeft w:val="475"/>
          <w:marRight w:val="0"/>
          <w:marTop w:val="168"/>
          <w:marBottom w:val="0"/>
          <w:divBdr>
            <w:top w:val="none" w:sz="0" w:space="0" w:color="auto"/>
            <w:left w:val="none" w:sz="0" w:space="0" w:color="auto"/>
            <w:bottom w:val="none" w:sz="0" w:space="0" w:color="auto"/>
            <w:right w:val="none" w:sz="0" w:space="0" w:color="auto"/>
          </w:divBdr>
        </w:div>
        <w:div w:id="1522747084">
          <w:marLeft w:val="475"/>
          <w:marRight w:val="0"/>
          <w:marTop w:val="168"/>
          <w:marBottom w:val="0"/>
          <w:divBdr>
            <w:top w:val="none" w:sz="0" w:space="0" w:color="auto"/>
            <w:left w:val="none" w:sz="0" w:space="0" w:color="auto"/>
            <w:bottom w:val="none" w:sz="0" w:space="0" w:color="auto"/>
            <w:right w:val="none" w:sz="0" w:space="0" w:color="auto"/>
          </w:divBdr>
        </w:div>
        <w:div w:id="1972638309">
          <w:marLeft w:val="475"/>
          <w:marRight w:val="0"/>
          <w:marTop w:val="168"/>
          <w:marBottom w:val="0"/>
          <w:divBdr>
            <w:top w:val="none" w:sz="0" w:space="0" w:color="auto"/>
            <w:left w:val="none" w:sz="0" w:space="0" w:color="auto"/>
            <w:bottom w:val="none" w:sz="0" w:space="0" w:color="auto"/>
            <w:right w:val="none" w:sz="0" w:space="0" w:color="auto"/>
          </w:divBdr>
        </w:div>
        <w:div w:id="2052340091">
          <w:marLeft w:val="475"/>
          <w:marRight w:val="0"/>
          <w:marTop w:val="168"/>
          <w:marBottom w:val="0"/>
          <w:divBdr>
            <w:top w:val="none" w:sz="0" w:space="0" w:color="auto"/>
            <w:left w:val="none" w:sz="0" w:space="0" w:color="auto"/>
            <w:bottom w:val="none" w:sz="0" w:space="0" w:color="auto"/>
            <w:right w:val="none" w:sz="0" w:space="0" w:color="auto"/>
          </w:divBdr>
        </w:div>
      </w:divsChild>
    </w:div>
    <w:div w:id="2111197172">
      <w:bodyDiv w:val="1"/>
      <w:marLeft w:val="0"/>
      <w:marRight w:val="0"/>
      <w:marTop w:val="0"/>
      <w:marBottom w:val="0"/>
      <w:divBdr>
        <w:top w:val="none" w:sz="0" w:space="0" w:color="auto"/>
        <w:left w:val="none" w:sz="0" w:space="0" w:color="auto"/>
        <w:bottom w:val="none" w:sz="0" w:space="0" w:color="auto"/>
        <w:right w:val="none" w:sz="0" w:space="0" w:color="auto"/>
      </w:divBdr>
    </w:div>
    <w:div w:id="2120249598">
      <w:bodyDiv w:val="1"/>
      <w:marLeft w:val="0"/>
      <w:marRight w:val="0"/>
      <w:marTop w:val="0"/>
      <w:marBottom w:val="0"/>
      <w:divBdr>
        <w:top w:val="none" w:sz="0" w:space="0" w:color="auto"/>
        <w:left w:val="none" w:sz="0" w:space="0" w:color="auto"/>
        <w:bottom w:val="none" w:sz="0" w:space="0" w:color="auto"/>
        <w:right w:val="none" w:sz="0" w:space="0" w:color="auto"/>
      </w:divBdr>
    </w:div>
    <w:div w:id="2125149366">
      <w:bodyDiv w:val="1"/>
      <w:marLeft w:val="0"/>
      <w:marRight w:val="0"/>
      <w:marTop w:val="0"/>
      <w:marBottom w:val="0"/>
      <w:divBdr>
        <w:top w:val="none" w:sz="0" w:space="0" w:color="auto"/>
        <w:left w:val="none" w:sz="0" w:space="0" w:color="auto"/>
        <w:bottom w:val="none" w:sz="0" w:space="0" w:color="auto"/>
        <w:right w:val="none" w:sz="0" w:space="0" w:color="auto"/>
      </w:divBdr>
    </w:div>
    <w:div w:id="2128694159">
      <w:bodyDiv w:val="1"/>
      <w:marLeft w:val="0"/>
      <w:marRight w:val="0"/>
      <w:marTop w:val="0"/>
      <w:marBottom w:val="0"/>
      <w:divBdr>
        <w:top w:val="none" w:sz="0" w:space="0" w:color="auto"/>
        <w:left w:val="none" w:sz="0" w:space="0" w:color="auto"/>
        <w:bottom w:val="none" w:sz="0" w:space="0" w:color="auto"/>
        <w:right w:val="none" w:sz="0" w:space="0" w:color="auto"/>
      </w:divBdr>
    </w:div>
    <w:div w:id="2136748655">
      <w:bodyDiv w:val="1"/>
      <w:marLeft w:val="0"/>
      <w:marRight w:val="0"/>
      <w:marTop w:val="0"/>
      <w:marBottom w:val="0"/>
      <w:divBdr>
        <w:top w:val="none" w:sz="0" w:space="0" w:color="auto"/>
        <w:left w:val="none" w:sz="0" w:space="0" w:color="auto"/>
        <w:bottom w:val="none" w:sz="0" w:space="0" w:color="auto"/>
        <w:right w:val="none" w:sz="0" w:space="0" w:color="auto"/>
      </w:divBdr>
    </w:div>
    <w:div w:id="2142185478">
      <w:bodyDiv w:val="1"/>
      <w:marLeft w:val="0"/>
      <w:marRight w:val="0"/>
      <w:marTop w:val="0"/>
      <w:marBottom w:val="0"/>
      <w:divBdr>
        <w:top w:val="none" w:sz="0" w:space="0" w:color="auto"/>
        <w:left w:val="none" w:sz="0" w:space="0" w:color="auto"/>
        <w:bottom w:val="none" w:sz="0" w:space="0" w:color="auto"/>
        <w:right w:val="none" w:sz="0" w:space="0" w:color="auto"/>
      </w:divBdr>
    </w:div>
    <w:div w:id="2144610847">
      <w:bodyDiv w:val="1"/>
      <w:marLeft w:val="0"/>
      <w:marRight w:val="0"/>
      <w:marTop w:val="0"/>
      <w:marBottom w:val="0"/>
      <w:divBdr>
        <w:top w:val="none" w:sz="0" w:space="0" w:color="auto"/>
        <w:left w:val="none" w:sz="0" w:space="0" w:color="auto"/>
        <w:bottom w:val="none" w:sz="0" w:space="0" w:color="auto"/>
        <w:right w:val="none" w:sz="0" w:space="0" w:color="auto"/>
      </w:divBdr>
      <w:divsChild>
        <w:div w:id="1165515976">
          <w:marLeft w:val="0"/>
          <w:marRight w:val="0"/>
          <w:marTop w:val="0"/>
          <w:marBottom w:val="81"/>
          <w:divBdr>
            <w:top w:val="none" w:sz="0" w:space="0" w:color="auto"/>
            <w:left w:val="none" w:sz="0" w:space="0" w:color="auto"/>
            <w:bottom w:val="none" w:sz="0" w:space="0" w:color="auto"/>
            <w:right w:val="none" w:sz="0" w:space="0" w:color="auto"/>
          </w:divBdr>
          <w:divsChild>
            <w:div w:id="884756254">
              <w:marLeft w:val="0"/>
              <w:marRight w:val="0"/>
              <w:marTop w:val="0"/>
              <w:marBottom w:val="0"/>
              <w:divBdr>
                <w:top w:val="none" w:sz="0" w:space="0" w:color="auto"/>
                <w:left w:val="none" w:sz="0" w:space="0" w:color="auto"/>
                <w:bottom w:val="none" w:sz="0" w:space="0" w:color="auto"/>
                <w:right w:val="none" w:sz="0" w:space="0" w:color="auto"/>
              </w:divBdr>
              <w:divsChild>
                <w:div w:id="250044274">
                  <w:marLeft w:val="0"/>
                  <w:marRight w:val="0"/>
                  <w:marTop w:val="0"/>
                  <w:marBottom w:val="0"/>
                  <w:divBdr>
                    <w:top w:val="none" w:sz="0" w:space="0" w:color="auto"/>
                    <w:left w:val="none" w:sz="0" w:space="0" w:color="auto"/>
                    <w:bottom w:val="none" w:sz="0" w:space="0" w:color="auto"/>
                    <w:right w:val="none" w:sz="0" w:space="0" w:color="auto"/>
                  </w:divBdr>
                </w:div>
              </w:divsChild>
            </w:div>
            <w:div w:id="1875268447">
              <w:marLeft w:val="0"/>
              <w:marRight w:val="0"/>
              <w:marTop w:val="0"/>
              <w:marBottom w:val="81"/>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55" Type="http://schemas.microsoft.com/office/2007/relationships/hdphoto" Target="media/hdphoto4.wdp"/><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statistikaamy.cz/2018/07/naklady-na-dokonceny-byt-v-rodinnem-domku-34-mil-v-bytovem-dome-22-mil-kc/" TargetMode="External"/><Relationship Id="rId25" Type="http://schemas.openxmlformats.org/officeDocument/2006/relationships/hyperlink" Target="http://www.pravniprostor.cz/clanky/spravni-pravo/ht-konec-namitkam-systemove-podjatosti"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microsoft.com/office/2007/relationships/hdphoto" Target="media/hdphoto3.wdp"/><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microsoft.com/office/2007/relationships/hdphoto" Target="media/hdphoto1.wdp"/><Relationship Id="rId57" Type="http://schemas.openxmlformats.org/officeDocument/2006/relationships/footer" Target="footer1.xml"/><Relationship Id="rId10" Type="http://schemas.openxmlformats.org/officeDocument/2006/relationships/hyperlink" Target="http://www.statistikaamy.cz/2015/09/vzestupy-a-pady-ceskeho-stavebnictvi/"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0.PNG"/><Relationship Id="rId8" Type="http://schemas.openxmlformats.org/officeDocument/2006/relationships/footnotes" Target="footnotes.xml"/><Relationship Id="rId51" Type="http://schemas.microsoft.com/office/2007/relationships/hdphoto" Target="media/hdphoto2.wdp"/><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EEIP - 2">
      <a:dk1>
        <a:sysClr val="windowText" lastClr="000000"/>
      </a:dk1>
      <a:lt1>
        <a:sysClr val="window" lastClr="FFFFFF"/>
      </a:lt1>
      <a:dk2>
        <a:srgbClr val="B6B002"/>
      </a:dk2>
      <a:lt2>
        <a:srgbClr val="FFFFFF"/>
      </a:lt2>
      <a:accent1>
        <a:srgbClr val="B6B002"/>
      </a:accent1>
      <a:accent2>
        <a:srgbClr val="7F7F7F"/>
      </a:accent2>
      <a:accent3>
        <a:srgbClr val="FFFF99"/>
      </a:accent3>
      <a:accent4>
        <a:srgbClr val="800000"/>
      </a:accent4>
      <a:accent5>
        <a:srgbClr val="262626"/>
      </a:accent5>
      <a:accent6>
        <a:srgbClr val="CC7B38"/>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AAC37-A699-4BE2-9288-73EA0CB085AF}">
  <ds:schemaRefs>
    <ds:schemaRef ds:uri="http://schemas.openxmlformats.org/officeDocument/2006/bibliography"/>
  </ds:schemaRefs>
</ds:datastoreItem>
</file>

<file path=customXml/itemProps2.xml><?xml version="1.0" encoding="utf-8"?>
<ds:datastoreItem xmlns:ds="http://schemas.openxmlformats.org/officeDocument/2006/customXml" ds:itemID="{53FC1C57-C9B4-4186-A99F-0D452BF0F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41986</Words>
  <Characters>247718</Characters>
  <Application>Microsoft Office Word</Application>
  <DocSecurity>0</DocSecurity>
  <Lines>2064</Lines>
  <Paragraphs>578</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289126</CharactersWithSpaces>
  <SharedDoc>false</SharedDoc>
  <HLinks>
    <vt:vector size="36" baseType="variant">
      <vt:variant>
        <vt:i4>2031675</vt:i4>
      </vt:variant>
      <vt:variant>
        <vt:i4>32</vt:i4>
      </vt:variant>
      <vt:variant>
        <vt:i4>0</vt:i4>
      </vt:variant>
      <vt:variant>
        <vt:i4>5</vt:i4>
      </vt:variant>
      <vt:variant>
        <vt:lpwstr/>
      </vt:variant>
      <vt:variant>
        <vt:lpwstr>_Toc290583172</vt:lpwstr>
      </vt:variant>
      <vt:variant>
        <vt:i4>2031675</vt:i4>
      </vt:variant>
      <vt:variant>
        <vt:i4>26</vt:i4>
      </vt:variant>
      <vt:variant>
        <vt:i4>0</vt:i4>
      </vt:variant>
      <vt:variant>
        <vt:i4>5</vt:i4>
      </vt:variant>
      <vt:variant>
        <vt:lpwstr/>
      </vt:variant>
      <vt:variant>
        <vt:lpwstr>_Toc290583171</vt:lpwstr>
      </vt:variant>
      <vt:variant>
        <vt:i4>2031675</vt:i4>
      </vt:variant>
      <vt:variant>
        <vt:i4>20</vt:i4>
      </vt:variant>
      <vt:variant>
        <vt:i4>0</vt:i4>
      </vt:variant>
      <vt:variant>
        <vt:i4>5</vt:i4>
      </vt:variant>
      <vt:variant>
        <vt:lpwstr/>
      </vt:variant>
      <vt:variant>
        <vt:lpwstr>_Toc290583170</vt:lpwstr>
      </vt:variant>
      <vt:variant>
        <vt:i4>1966139</vt:i4>
      </vt:variant>
      <vt:variant>
        <vt:i4>14</vt:i4>
      </vt:variant>
      <vt:variant>
        <vt:i4>0</vt:i4>
      </vt:variant>
      <vt:variant>
        <vt:i4>5</vt:i4>
      </vt:variant>
      <vt:variant>
        <vt:lpwstr/>
      </vt:variant>
      <vt:variant>
        <vt:lpwstr>_Toc290583169</vt:lpwstr>
      </vt:variant>
      <vt:variant>
        <vt:i4>1966139</vt:i4>
      </vt:variant>
      <vt:variant>
        <vt:i4>8</vt:i4>
      </vt:variant>
      <vt:variant>
        <vt:i4>0</vt:i4>
      </vt:variant>
      <vt:variant>
        <vt:i4>5</vt:i4>
      </vt:variant>
      <vt:variant>
        <vt:lpwstr/>
      </vt:variant>
      <vt:variant>
        <vt:lpwstr>_Toc290583168</vt:lpwstr>
      </vt:variant>
      <vt:variant>
        <vt:i4>1966139</vt:i4>
      </vt:variant>
      <vt:variant>
        <vt:i4>2</vt:i4>
      </vt:variant>
      <vt:variant>
        <vt:i4>0</vt:i4>
      </vt:variant>
      <vt:variant>
        <vt:i4>5</vt:i4>
      </vt:variant>
      <vt:variant>
        <vt:lpwstr/>
      </vt:variant>
      <vt:variant>
        <vt:lpwstr>_Toc290583167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2019-02-01T06:49:00Z</dcterms:created>
  <dcterms:modified xsi:type="dcterms:W3CDTF">2019-02-01T06:49:00Z</dcterms:modified>
</cp:coreProperties>
</file>