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7C" w:rsidRPr="00637DB5" w:rsidRDefault="005F6EB5" w:rsidP="005F6EB5">
      <w:pPr>
        <w:widowControl w:val="0"/>
        <w:jc w:val="right"/>
        <w:rPr>
          <w:rFonts w:cs="Arial"/>
          <w:sz w:val="28"/>
          <w:szCs w:val="28"/>
        </w:rPr>
      </w:pPr>
      <w:bookmarkStart w:id="0" w:name="_Toc237322671"/>
      <w:bookmarkStart w:id="1" w:name="_GoBack"/>
      <w:bookmarkEnd w:id="1"/>
      <w:r w:rsidRPr="00637DB5">
        <w:rPr>
          <w:rFonts w:cs="Arial"/>
          <w:sz w:val="28"/>
          <w:szCs w:val="28"/>
        </w:rPr>
        <w:t>IV.</w:t>
      </w:r>
    </w:p>
    <w:p w:rsidR="00303B93" w:rsidRDefault="00303B93" w:rsidP="003E4A5D">
      <w:pPr>
        <w:widowControl w:val="0"/>
        <w:rPr>
          <w:b/>
          <w:sz w:val="36"/>
          <w:szCs w:val="36"/>
        </w:rPr>
      </w:pPr>
    </w:p>
    <w:p w:rsidR="00577762" w:rsidRPr="00F17D93" w:rsidRDefault="00577762" w:rsidP="003E4A5D">
      <w:pPr>
        <w:widowControl w:val="0"/>
        <w:rPr>
          <w:rFonts w:ascii="Arial" w:hAnsi="Arial" w:cs="Arial"/>
          <w:b/>
          <w:bCs/>
          <w:sz w:val="40"/>
          <w:szCs w:val="40"/>
        </w:rPr>
      </w:pPr>
    </w:p>
    <w:p w:rsidR="008003E2" w:rsidRPr="00637DB5" w:rsidRDefault="005C58EA" w:rsidP="003E4A5D">
      <w:pPr>
        <w:widowControl w:val="0"/>
        <w:jc w:val="center"/>
        <w:rPr>
          <w:rFonts w:eastAsia="Times New Roman" w:cs="Arial"/>
          <w:b/>
          <w:smallCaps/>
          <w:sz w:val="48"/>
          <w:szCs w:val="48"/>
          <w:lang w:eastAsia="cs-CZ"/>
        </w:rPr>
      </w:pPr>
      <w:bookmarkStart w:id="2" w:name="_Toc238494946"/>
      <w:bookmarkStart w:id="3" w:name="_Toc264270689"/>
      <w:bookmarkStart w:id="4" w:name="_Toc261792506"/>
      <w:r w:rsidRPr="00637DB5">
        <w:rPr>
          <w:rFonts w:eastAsia="Times New Roman" w:cs="Arial"/>
          <w:b/>
          <w:smallCaps/>
          <w:sz w:val="48"/>
          <w:szCs w:val="48"/>
          <w:lang w:eastAsia="cs-CZ"/>
        </w:rPr>
        <w:t xml:space="preserve">hodnocení dopadů regulace (RIA) </w:t>
      </w:r>
      <w:r w:rsidR="008D1952" w:rsidRPr="00637DB5">
        <w:rPr>
          <w:rFonts w:eastAsia="Times New Roman" w:cs="Arial"/>
          <w:b/>
          <w:smallCaps/>
          <w:sz w:val="48"/>
          <w:szCs w:val="48"/>
          <w:lang w:eastAsia="cs-CZ"/>
        </w:rPr>
        <w:t>k věcnému</w:t>
      </w:r>
      <w:r w:rsidRPr="00637DB5">
        <w:rPr>
          <w:rFonts w:eastAsia="Times New Roman" w:cs="Arial"/>
          <w:b/>
          <w:smallCaps/>
          <w:sz w:val="48"/>
          <w:szCs w:val="48"/>
          <w:lang w:eastAsia="cs-CZ"/>
        </w:rPr>
        <w:t xml:space="preserve"> záměru </w:t>
      </w:r>
    </w:p>
    <w:p w:rsidR="00C873B4" w:rsidRPr="00637DB5" w:rsidRDefault="007F4CC5" w:rsidP="003E4A5D">
      <w:pPr>
        <w:widowControl w:val="0"/>
        <w:jc w:val="center"/>
        <w:rPr>
          <w:rFonts w:eastAsia="Times New Roman" w:cs="Arial"/>
          <w:b/>
          <w:smallCaps/>
          <w:sz w:val="48"/>
          <w:szCs w:val="48"/>
          <w:lang w:eastAsia="cs-CZ"/>
        </w:rPr>
      </w:pPr>
      <w:r w:rsidRPr="00637DB5">
        <w:rPr>
          <w:rFonts w:eastAsia="Times New Roman" w:cs="Arial"/>
          <w:b/>
          <w:smallCaps/>
          <w:sz w:val="48"/>
          <w:szCs w:val="48"/>
          <w:lang w:eastAsia="cs-CZ"/>
        </w:rPr>
        <w:t xml:space="preserve">STAVEBNÍHO </w:t>
      </w:r>
      <w:r w:rsidR="008003E2" w:rsidRPr="00637DB5">
        <w:rPr>
          <w:rFonts w:eastAsia="Times New Roman" w:cs="Arial"/>
          <w:b/>
          <w:smallCaps/>
          <w:sz w:val="48"/>
          <w:szCs w:val="48"/>
          <w:lang w:eastAsia="cs-CZ"/>
        </w:rPr>
        <w:t>ZÁKONA</w:t>
      </w:r>
    </w:p>
    <w:p w:rsidR="00C873B4" w:rsidRDefault="00C873B4">
      <w:pPr>
        <w:spacing w:before="0" w:after="0"/>
        <w:jc w:val="left"/>
        <w:rPr>
          <w:rFonts w:ascii="Arial" w:eastAsia="Times New Roman" w:hAnsi="Arial" w:cs="Arial"/>
          <w:b/>
          <w:smallCaps/>
          <w:sz w:val="48"/>
          <w:szCs w:val="48"/>
          <w:lang w:eastAsia="cs-CZ"/>
        </w:rPr>
      </w:pPr>
      <w:r>
        <w:rPr>
          <w:rFonts w:ascii="Arial" w:eastAsia="Times New Roman" w:hAnsi="Arial" w:cs="Arial"/>
          <w:b/>
          <w:smallCaps/>
          <w:sz w:val="48"/>
          <w:szCs w:val="48"/>
          <w:lang w:eastAsia="cs-CZ"/>
        </w:rPr>
        <w:br w:type="page"/>
      </w:r>
    </w:p>
    <w:p w:rsidR="00C873B4" w:rsidRPr="00637DB5" w:rsidRDefault="00C873B4" w:rsidP="00C873B4">
      <w:pPr>
        <w:widowControl w:val="0"/>
        <w:tabs>
          <w:tab w:val="left" w:pos="6660"/>
        </w:tabs>
        <w:jc w:val="center"/>
        <w:rPr>
          <w:b/>
          <w:bCs/>
        </w:rPr>
      </w:pPr>
      <w:r w:rsidRPr="00637DB5">
        <w:rPr>
          <w:b/>
          <w:bCs/>
        </w:rPr>
        <w:lastRenderedPageBreak/>
        <w:t>SHRNUTÍ ZÁVĚREČNÉ ZPRÁVY RIA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5"/>
      </w:tblGrid>
      <w:tr w:rsidR="00C873B4" w:rsidRPr="00637DB5" w:rsidTr="00434DC3">
        <w:trPr>
          <w:trHeight w:val="187"/>
          <w:jc w:val="center"/>
        </w:trPr>
        <w:tc>
          <w:tcPr>
            <w:tcW w:w="9645" w:type="dxa"/>
            <w:tcBorders>
              <w:top w:val="single" w:sz="4" w:space="0" w:color="auto"/>
              <w:left w:val="single" w:sz="4" w:space="0" w:color="auto"/>
              <w:bottom w:val="single" w:sz="4" w:space="0" w:color="auto"/>
              <w:right w:val="single" w:sz="4" w:space="0" w:color="auto"/>
            </w:tcBorders>
            <w:shd w:val="clear" w:color="auto" w:fill="C6D9F1"/>
            <w:vAlign w:val="bottom"/>
            <w:hideMark/>
          </w:tcPr>
          <w:p w:rsidR="00C873B4" w:rsidRPr="00637DB5" w:rsidRDefault="00C873B4">
            <w:pPr>
              <w:widowControl w:val="0"/>
              <w:tabs>
                <w:tab w:val="left" w:pos="6660"/>
              </w:tabs>
              <w:rPr>
                <w:bCs/>
                <w:i/>
                <w:iCs/>
                <w:sz w:val="22"/>
              </w:rPr>
            </w:pPr>
            <w:r w:rsidRPr="00637DB5">
              <w:rPr>
                <w:bCs/>
                <w:sz w:val="22"/>
              </w:rPr>
              <w:t>1. Základní identifikační údaje</w:t>
            </w:r>
          </w:p>
        </w:tc>
      </w:tr>
      <w:tr w:rsidR="00C873B4" w:rsidRPr="00637DB5" w:rsidTr="00434DC3">
        <w:trPr>
          <w:trHeight w:val="979"/>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C873B4" w:rsidRPr="001A2D13" w:rsidRDefault="00C873B4" w:rsidP="005115A5">
            <w:pPr>
              <w:widowControl w:val="0"/>
              <w:tabs>
                <w:tab w:val="left" w:pos="6660"/>
              </w:tabs>
              <w:spacing w:after="0"/>
              <w:jc w:val="center"/>
              <w:rPr>
                <w:bCs/>
                <w:sz w:val="28"/>
                <w:szCs w:val="28"/>
              </w:rPr>
            </w:pPr>
            <w:r w:rsidRPr="001A2D13">
              <w:rPr>
                <w:bCs/>
                <w:sz w:val="28"/>
                <w:szCs w:val="28"/>
              </w:rPr>
              <w:t xml:space="preserve">Název: </w:t>
            </w:r>
            <w:r w:rsidR="005115A5" w:rsidRPr="001A2D13">
              <w:rPr>
                <w:b/>
                <w:bCs/>
                <w:sz w:val="28"/>
                <w:szCs w:val="28"/>
              </w:rPr>
              <w:t>Věcný záměr stavebního zákona</w:t>
            </w:r>
          </w:p>
        </w:tc>
      </w:tr>
      <w:tr w:rsidR="00C873B4" w:rsidRPr="00637DB5" w:rsidTr="00434DC3">
        <w:trPr>
          <w:trHeight w:val="1080"/>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C873B4" w:rsidRPr="00637DB5" w:rsidRDefault="00C873B4">
            <w:pPr>
              <w:widowControl w:val="0"/>
              <w:tabs>
                <w:tab w:val="left" w:pos="6660"/>
              </w:tabs>
              <w:spacing w:before="100" w:beforeAutospacing="1" w:after="0"/>
              <w:rPr>
                <w:bCs/>
                <w:sz w:val="22"/>
              </w:rPr>
            </w:pPr>
            <w:r w:rsidRPr="00637DB5">
              <w:rPr>
                <w:bCs/>
                <w:sz w:val="22"/>
              </w:rPr>
              <w:t xml:space="preserve">Implementace práva EU: </w:t>
            </w:r>
            <w:r w:rsidRPr="00637DB5">
              <w:rPr>
                <w:bCs/>
                <w:i/>
                <w:sz w:val="22"/>
              </w:rPr>
              <w:t>Ne</w:t>
            </w:r>
            <w:r w:rsidRPr="00637DB5">
              <w:rPr>
                <w:sz w:val="22"/>
              </w:rPr>
              <w:t xml:space="preserve"> (p</w:t>
            </w:r>
            <w:r w:rsidRPr="00637DB5">
              <w:rPr>
                <w:bCs/>
                <w:sz w:val="22"/>
              </w:rPr>
              <w:t>okud zvolíte Ano):</w:t>
            </w:r>
          </w:p>
          <w:p w:rsidR="00C873B4" w:rsidRPr="00637DB5" w:rsidRDefault="00C873B4">
            <w:pPr>
              <w:widowControl w:val="0"/>
              <w:tabs>
                <w:tab w:val="left" w:pos="6660"/>
              </w:tabs>
              <w:rPr>
                <w:i/>
                <w:iCs/>
                <w:sz w:val="22"/>
              </w:rPr>
            </w:pPr>
            <w:r w:rsidRPr="00637DB5">
              <w:rPr>
                <w:bCs/>
                <w:sz w:val="22"/>
              </w:rPr>
              <w:t xml:space="preserve">- uveďte termín stanovený pro implementaci: </w:t>
            </w:r>
            <w:r w:rsidRPr="00637DB5">
              <w:rPr>
                <w:bCs/>
                <w:i/>
                <w:iCs/>
                <w:sz w:val="22"/>
              </w:rPr>
              <w:t>---</w:t>
            </w:r>
          </w:p>
          <w:p w:rsidR="00C873B4" w:rsidRPr="00637DB5" w:rsidRDefault="00C873B4">
            <w:pPr>
              <w:widowControl w:val="0"/>
              <w:tabs>
                <w:tab w:val="left" w:pos="6660"/>
              </w:tabs>
              <w:rPr>
                <w:i/>
                <w:iCs/>
                <w:sz w:val="22"/>
                <w:u w:val="single"/>
              </w:rPr>
            </w:pPr>
            <w:r w:rsidRPr="00637DB5">
              <w:rPr>
                <w:bCs/>
                <w:sz w:val="22"/>
              </w:rPr>
              <w:t xml:space="preserve">- uveďte, zda jde návrh nad rámec požadavků stanovených předpisem EU: </w:t>
            </w:r>
            <w:r w:rsidRPr="00637DB5">
              <w:rPr>
                <w:bCs/>
                <w:i/>
                <w:sz w:val="22"/>
              </w:rPr>
              <w:t>---</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6660"/>
              </w:tabs>
              <w:rPr>
                <w:bCs/>
                <w:sz w:val="22"/>
              </w:rPr>
            </w:pPr>
            <w:r w:rsidRPr="00637DB5">
              <w:rPr>
                <w:bCs/>
                <w:sz w:val="22"/>
              </w:rPr>
              <w:t xml:space="preserve">2. Cíl návrhu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Cílem návrhu rekodifikace veřejného stavebního práva je zásadní zvýšení kvality a rychlosti výkonu státní správy na úseku územního plánování a povolování staveb, které dnes trpí enormní roztříštěností, komplikovaností, průtahy a právní nejistotou pro všechny zúčastněné subjekty, což snižuje hospodářský potenciál celé České republiky i kvalitu života jejích obyvatel. Cílovým stavem je minimalizace ztrát plynoucích z oddalování realizace staveb, zefektivnění procesu územního plánování a povolovacího řízení se současným zachováním adekvátní možnosti prosadit oprávněn</w:t>
            </w:r>
            <w:r w:rsidR="005115A5" w:rsidRPr="00637DB5">
              <w:rPr>
                <w:bCs/>
                <w:sz w:val="22"/>
              </w:rPr>
              <w:t>é zájmy všem dotčeným subjektům,</w:t>
            </w:r>
            <w:r w:rsidRPr="00637DB5">
              <w:rPr>
                <w:bCs/>
                <w:sz w:val="22"/>
              </w:rPr>
              <w:t xml:space="preserve"> eliminace systémové podjatosti, korupčního potenciálu a posílení konkurenceschopnosti ČR v rámci evropského prostoru. Toto zefektivnění se projeví celkovým zkrácením povolovacího procesu, eliminací nežádoucích jevů, zvýšením transparentnosti, předvídatelnosti a vymahatelnosti práva a poklesem nákladovosti celého procesu a také významným nárůstem multiplikačního efektu stavebnictví pro národní hospodářství.</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 </w:t>
            </w:r>
            <w:r w:rsidRPr="00637DB5">
              <w:rPr>
                <w:sz w:val="22"/>
              </w:rPr>
              <w:t>Agregované</w:t>
            </w:r>
            <w:r w:rsidRPr="00637DB5">
              <w:rPr>
                <w:bCs/>
                <w:sz w:val="22"/>
              </w:rPr>
              <w:t xml:space="preserve"> dopady návrhu zákona</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 Dopady na státní rozpočet a ostatní veřejné rozpočty: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 xml:space="preserve">Nejvýraznější náklady mohou vzniknout při tvorbě nové institucionální struktury, tj. po vytvoření Nejvyššího stavebního úřadu (NSÚ), přesunu zaměstnanců a najmutí dalších, zajištění potřebného vybavení atp. Tyto náklady se odhadují při předpokladech stanovených v RIA na 1,4 mld. Kč ročně a 0,2 mld. Kč jednorázově. Tyto hodnoty nezahrnují výstavbu nových objektů a náklady na pořízení ICT na ústřední úrovni (evidenční systém atp.), jehož cena se může pohybovat od </w:t>
            </w:r>
            <w:r w:rsidR="00702F6A" w:rsidRPr="00637DB5">
              <w:rPr>
                <w:bCs/>
                <w:sz w:val="22"/>
              </w:rPr>
              <w:t xml:space="preserve">cca </w:t>
            </w:r>
            <w:r w:rsidRPr="00637DB5">
              <w:rPr>
                <w:bCs/>
                <w:sz w:val="22"/>
              </w:rPr>
              <w:t xml:space="preserve">10 mil. do </w:t>
            </w:r>
            <w:r w:rsidR="00702F6A" w:rsidRPr="00637DB5">
              <w:rPr>
                <w:bCs/>
                <w:sz w:val="22"/>
              </w:rPr>
              <w:t xml:space="preserve">cca </w:t>
            </w:r>
            <w:r w:rsidRPr="00637DB5">
              <w:rPr>
                <w:bCs/>
                <w:sz w:val="22"/>
              </w:rPr>
              <w:t xml:space="preserve">100 mil. dle funkcionalit, které budou ústřední úrovní požadovány. Dalším nákladem mohou být výdaje na pořízení vozového parku. V maximu, tj. v případě, že žádné automobily nebudou na nový stavební úřad převedeny z obcí, </w:t>
            </w:r>
            <w:r w:rsidR="00702F6A" w:rsidRPr="00637DB5">
              <w:rPr>
                <w:bCs/>
                <w:sz w:val="22"/>
              </w:rPr>
              <w:t>lze uvažovat o částce</w:t>
            </w:r>
            <w:r w:rsidRPr="00637DB5">
              <w:rPr>
                <w:bCs/>
                <w:sz w:val="22"/>
              </w:rPr>
              <w:t xml:space="preserve"> 780 mil. Kč. </w:t>
            </w:r>
          </w:p>
          <w:p w:rsidR="00C873B4" w:rsidRPr="00637DB5" w:rsidRDefault="00C873B4">
            <w:pPr>
              <w:widowControl w:val="0"/>
              <w:tabs>
                <w:tab w:val="left" w:pos="1037"/>
              </w:tabs>
              <w:rPr>
                <w:bCs/>
                <w:sz w:val="22"/>
              </w:rPr>
            </w:pPr>
            <w:r w:rsidRPr="00637DB5">
              <w:rPr>
                <w:bCs/>
                <w:sz w:val="22"/>
              </w:rPr>
              <w:t>Při vytvoření struktury na „zelené louce“ by provozní náklady mohl</w:t>
            </w:r>
            <w:r w:rsidR="00702F6A" w:rsidRPr="00637DB5">
              <w:rPr>
                <w:bCs/>
                <w:sz w:val="22"/>
              </w:rPr>
              <w:t>y dosáhnout řádově 3 – 4 ml</w:t>
            </w:r>
            <w:r w:rsidRPr="00637DB5">
              <w:rPr>
                <w:bCs/>
                <w:sz w:val="22"/>
              </w:rPr>
              <w:t>d</w:t>
            </w:r>
            <w:r w:rsidR="00702F6A" w:rsidRPr="00637DB5">
              <w:rPr>
                <w:bCs/>
                <w:sz w:val="22"/>
              </w:rPr>
              <w:t>.</w:t>
            </w:r>
            <w:r w:rsidRPr="00637DB5">
              <w:rPr>
                <w:bCs/>
                <w:sz w:val="22"/>
              </w:rPr>
              <w:t xml:space="preserve"> Kč. Varianta vytvoření struktury na „zelené louce“ je však nepravděpodobná a je zde uvedena pouze jako ta nejpesimističtější. Věcný záměr nepracuje s návrhem na vytvoření paralelní nebo nové další struktury. Není důvod předpokládat, že by se úřady měly v podstatě duplikovat. Naopak se očekává dosažení značných úspor v řádu miliard Kč, které vyplynou z lepšího procesního řízení a využití a profesionalizace lidských zdrojů a cílenějšího modelu financování po vytvoření NSÚ. </w:t>
            </w:r>
            <w:r w:rsidR="002A583F" w:rsidRPr="00637DB5">
              <w:rPr>
                <w:bCs/>
                <w:sz w:val="22"/>
              </w:rPr>
              <w:t>Na plnění úkolů vyplývajících z </w:t>
            </w:r>
            <w:r w:rsidRPr="00637DB5">
              <w:rPr>
                <w:bCs/>
                <w:sz w:val="22"/>
              </w:rPr>
              <w:t xml:space="preserve">přenesené působnosti v současné době dostávají obce příspěvek ze státního rozpočtu. Jeho výše je závislá od počtu obyvatel obce a rozsahu působnosti. Tento příspěvek je poskytován na výkon přenesené působnosti jako celek, tj. není určeno, jaká část má pokrývat výdaje spojené s jednotlivými agendami. V současné době to není možné i z toho titulu, že počet úvazků a výše dalších nákladů spojených s jednotlivými agendami není sledován. </w:t>
            </w:r>
          </w:p>
          <w:p w:rsidR="00C873B4" w:rsidRPr="00637DB5" w:rsidRDefault="00C873B4">
            <w:pPr>
              <w:widowControl w:val="0"/>
              <w:tabs>
                <w:tab w:val="left" w:pos="1037"/>
              </w:tabs>
              <w:rPr>
                <w:bCs/>
                <w:sz w:val="22"/>
              </w:rPr>
            </w:pPr>
            <w:r w:rsidRPr="00637DB5">
              <w:rPr>
                <w:bCs/>
                <w:sz w:val="22"/>
              </w:rPr>
              <w:t>U ostatních nákladů samosprávy a státní správy předpokládáme, že se navzájem přibližně vykompenzují.</w:t>
            </w:r>
          </w:p>
          <w:p w:rsidR="00C873B4" w:rsidRPr="00637DB5" w:rsidRDefault="00C873B4">
            <w:pPr>
              <w:widowControl w:val="0"/>
              <w:tabs>
                <w:tab w:val="left" w:pos="1037"/>
              </w:tabs>
              <w:rPr>
                <w:bCs/>
                <w:sz w:val="22"/>
              </w:rPr>
            </w:pPr>
            <w:r w:rsidRPr="00637DB5">
              <w:rPr>
                <w:bCs/>
                <w:sz w:val="22"/>
              </w:rPr>
              <w:t>Další úspory na straně státu přinese redukce počtu odvolacích, příp. následných soudních řízení, což může v konečném důsledku snížit tlak na potřebu tvorby dalších nových pracovních míst ve státní správě a v soudnictví.</w:t>
            </w:r>
          </w:p>
          <w:p w:rsidR="00C873B4" w:rsidRPr="00637DB5" w:rsidRDefault="00C873B4">
            <w:pPr>
              <w:widowControl w:val="0"/>
              <w:tabs>
                <w:tab w:val="left" w:pos="1037"/>
              </w:tabs>
              <w:rPr>
                <w:bCs/>
                <w:sz w:val="22"/>
              </w:rPr>
            </w:pPr>
            <w:r w:rsidRPr="00637DB5">
              <w:rPr>
                <w:bCs/>
                <w:sz w:val="22"/>
              </w:rPr>
              <w:t xml:space="preserve">Obecně z pohledu veřejných rozpočtů je možné očekávat efektivnější přípravu a realizaci veřejných stavebních zakázek, které z důvodu složitosti přípravy jsou řadu let odkládány. Rekodifikace tak umožní lépe a přesněji </w:t>
            </w:r>
            <w:r w:rsidRPr="00637DB5">
              <w:rPr>
                <w:bCs/>
                <w:sz w:val="22"/>
              </w:rPr>
              <w:lastRenderedPageBreak/>
              <w:t>plánovat zdroje a veřejné finance veřejných investic, které přímo podmiňují konkurenceschopnost ČR a další rozvoj hospodářství a podnikatelského prostředí. De facto může být zahájeno čerpání prostředků, které se projeví nárůstem přímých rozpočtových investičních výdajů (v tomto případě často pouze ve formě spoluúčasti na projektu financovaném z evropských prostředků), nicméně protože půjde o investiční výdaje, celkový dopad bude (díky multiplikačnímu efektu) kladný a umožní efektivněji čerpat evropské fondy.</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lastRenderedPageBreak/>
              <w:t xml:space="preserve">3.2 Dopady na mezinárodní konkurenceschopnost ČR: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Zvýšení právní jistoty v oblasti územního plánování, povolování staveb, jejich realizace a stavebnictví obecně přispěje k akceleraci ekonomické aktivity a podpoří ekonomický růst v ČR. Akcelerace ekonomické aktivity bude výsledkem zjednodušení procedur, snížení transakčních nákladů a zvýšení právní jistoty při přípravě i realizaci staveb. Veřejné i soukromé investice domácího i zahraničního charakteru bude možné efektivněji ekonomicky plánovat, využívat standardní modely plánování výnosů v čase, což umožní efektivně a s péčí řádného hospodáře nakládat s veřejnými prostředky a současně se pozitivně projeví na ochotě soukromých subjektů investovat na území ČR. Zvýšení investic pak ovlivní i ostatní subjekty a dodavatele v celém hodnotovém řetězci, čímž dojde ke zvýšení výkonnosti celé ekonomiky a posílení její konkurenceschopnosti.</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3.3 Dopady na podnikatelské prostředí: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trHeight w:val="369"/>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Po rekodifikaci jsou konzervativně očekávány přínosy v roční výši 6,88 mld. Kč z titulu zkrácení povolovacího řízení (vč. případného přezkumu, resp. i soudních řízení) v průměru na 1 rok, což znamená oproti současnému průměru úsporu 4,4 let odpovídající 30,3 mld. Kč. (Je zřejmé, že oblast výstavby má své kapacitní limity, tj. nelze zastavět vše. Nicméně roční hodnota stavebních záměrů ve výši 88 mld. Kč, ze které výpočet vychází, je velmi konzervativním odhadem. Odhad úspor tak lze brát jako relevantní</w:t>
            </w:r>
            <w:r w:rsidR="00C95B6C" w:rsidRPr="00637DB5">
              <w:rPr>
                <w:bCs/>
                <w:sz w:val="22"/>
              </w:rPr>
              <w:t>.)</w:t>
            </w:r>
          </w:p>
          <w:p w:rsidR="00C873B4" w:rsidRPr="00637DB5" w:rsidRDefault="00C873B4">
            <w:pPr>
              <w:widowControl w:val="0"/>
              <w:tabs>
                <w:tab w:val="left" w:pos="1037"/>
              </w:tabs>
              <w:rPr>
                <w:bCs/>
                <w:sz w:val="22"/>
              </w:rPr>
            </w:pPr>
            <w:r w:rsidRPr="00637DB5">
              <w:rPr>
                <w:bCs/>
                <w:sz w:val="22"/>
              </w:rPr>
              <w:t xml:space="preserve">Přínosy vzniknou z </w:t>
            </w:r>
            <w:r w:rsidR="00C95B6C" w:rsidRPr="00637DB5">
              <w:rPr>
                <w:bCs/>
                <w:sz w:val="22"/>
              </w:rPr>
              <w:t>důvodu</w:t>
            </w:r>
            <w:r w:rsidRPr="00637DB5">
              <w:rPr>
                <w:bCs/>
                <w:sz w:val="22"/>
              </w:rPr>
              <w:t>:</w:t>
            </w:r>
          </w:p>
          <w:p w:rsidR="00C873B4" w:rsidRPr="00637DB5" w:rsidRDefault="00C873B4" w:rsidP="00C873B4">
            <w:pPr>
              <w:widowControl w:val="0"/>
              <w:numPr>
                <w:ilvl w:val="0"/>
                <w:numId w:val="79"/>
              </w:numPr>
              <w:rPr>
                <w:bCs/>
                <w:sz w:val="22"/>
              </w:rPr>
            </w:pPr>
            <w:r w:rsidRPr="00637DB5">
              <w:rPr>
                <w:bCs/>
                <w:sz w:val="22"/>
              </w:rPr>
              <w:t>kvalitní územně plánovací dokumentace;</w:t>
            </w:r>
          </w:p>
          <w:p w:rsidR="00C873B4" w:rsidRPr="00637DB5" w:rsidRDefault="00C873B4" w:rsidP="00C873B4">
            <w:pPr>
              <w:widowControl w:val="0"/>
              <w:numPr>
                <w:ilvl w:val="0"/>
                <w:numId w:val="79"/>
              </w:numPr>
              <w:rPr>
                <w:bCs/>
                <w:sz w:val="22"/>
              </w:rPr>
            </w:pPr>
            <w:r w:rsidRPr="00637DB5">
              <w:rPr>
                <w:bCs/>
                <w:sz w:val="22"/>
              </w:rPr>
              <w:t>stanovení veřejných zájmů chráněných a koordinovaných v oboru stavebního práva jak v oblasti územního plánování, tak v oblasti povolování staveb;</w:t>
            </w:r>
          </w:p>
          <w:p w:rsidR="00C873B4" w:rsidRPr="00637DB5" w:rsidRDefault="00C873B4" w:rsidP="00C873B4">
            <w:pPr>
              <w:widowControl w:val="0"/>
              <w:numPr>
                <w:ilvl w:val="0"/>
                <w:numId w:val="79"/>
              </w:numPr>
              <w:rPr>
                <w:bCs/>
                <w:sz w:val="22"/>
              </w:rPr>
            </w:pPr>
            <w:r w:rsidRPr="00637DB5">
              <w:rPr>
                <w:bCs/>
                <w:sz w:val="22"/>
              </w:rPr>
              <w:t xml:space="preserve">nastavení pravidel a stabilizace územního plánování formou změny nebo úpravy právní formy územních plánů, která umožní při respektování evropské legislativy zvýšit stabilitu a předvídatelnost právního prostředí; </w:t>
            </w:r>
          </w:p>
          <w:p w:rsidR="00C873B4" w:rsidRPr="00637DB5" w:rsidRDefault="00C873B4" w:rsidP="00C873B4">
            <w:pPr>
              <w:widowControl w:val="0"/>
              <w:numPr>
                <w:ilvl w:val="0"/>
                <w:numId w:val="79"/>
              </w:numPr>
              <w:rPr>
                <w:bCs/>
                <w:sz w:val="22"/>
              </w:rPr>
            </w:pPr>
            <w:r w:rsidRPr="00637DB5">
              <w:rPr>
                <w:bCs/>
                <w:sz w:val="22"/>
              </w:rPr>
              <w:t>efektivního procesu územního plánování a povolování staveb díky nové struktuře stavebních úřadů umožňující vzájemnou koordinaci a komunikaci;</w:t>
            </w:r>
          </w:p>
          <w:p w:rsidR="00C873B4" w:rsidRPr="00637DB5" w:rsidRDefault="00C873B4" w:rsidP="00C873B4">
            <w:pPr>
              <w:widowControl w:val="0"/>
              <w:numPr>
                <w:ilvl w:val="0"/>
                <w:numId w:val="79"/>
              </w:numPr>
              <w:rPr>
                <w:bCs/>
                <w:sz w:val="22"/>
              </w:rPr>
            </w:pPr>
            <w:r w:rsidRPr="00637DB5">
              <w:rPr>
                <w:bCs/>
                <w:sz w:val="22"/>
              </w:rPr>
              <w:t>začlenění dotčených orgánů pod NSÚ a zefektivnění procesu jejich vyjadřování a v důsledku toho profesionalizace, koordinace a komplexnost činnosti NSÚ;</w:t>
            </w:r>
          </w:p>
          <w:p w:rsidR="00C873B4" w:rsidRPr="00637DB5" w:rsidRDefault="00C873B4" w:rsidP="00C873B4">
            <w:pPr>
              <w:widowControl w:val="0"/>
              <w:numPr>
                <w:ilvl w:val="0"/>
                <w:numId w:val="79"/>
              </w:numPr>
              <w:rPr>
                <w:bCs/>
                <w:sz w:val="22"/>
              </w:rPr>
            </w:pPr>
            <w:r w:rsidRPr="00637DB5">
              <w:rPr>
                <w:bCs/>
                <w:sz w:val="22"/>
              </w:rPr>
              <w:t xml:space="preserve">vedení pouze jednoho integrovaného řízení a vydání jednoho konečného rozhodnutí, proti kterému se bude možné odvolat a podat žalobu; </w:t>
            </w:r>
          </w:p>
          <w:p w:rsidR="00C873B4" w:rsidRPr="00637DB5" w:rsidRDefault="00C873B4" w:rsidP="00C873B4">
            <w:pPr>
              <w:widowControl w:val="0"/>
              <w:numPr>
                <w:ilvl w:val="0"/>
                <w:numId w:val="79"/>
              </w:numPr>
              <w:rPr>
                <w:bCs/>
                <w:sz w:val="22"/>
              </w:rPr>
            </w:pPr>
            <w:r w:rsidRPr="00637DB5">
              <w:rPr>
                <w:bCs/>
                <w:sz w:val="22"/>
              </w:rPr>
              <w:t>zavedení vymahatelných lhůt;</w:t>
            </w:r>
          </w:p>
          <w:p w:rsidR="00C873B4" w:rsidRPr="00637DB5" w:rsidRDefault="00AC5C3D" w:rsidP="00C873B4">
            <w:pPr>
              <w:widowControl w:val="0"/>
              <w:numPr>
                <w:ilvl w:val="0"/>
                <w:numId w:val="79"/>
              </w:numPr>
              <w:rPr>
                <w:bCs/>
                <w:sz w:val="22"/>
              </w:rPr>
            </w:pPr>
            <w:r w:rsidRPr="00637DB5">
              <w:rPr>
                <w:bCs/>
                <w:sz w:val="22"/>
              </w:rPr>
              <w:t>zrychlení a zvýšení</w:t>
            </w:r>
            <w:r w:rsidR="00C873B4" w:rsidRPr="00637DB5">
              <w:rPr>
                <w:bCs/>
                <w:sz w:val="22"/>
              </w:rPr>
              <w:t xml:space="preserve"> odbornosti v soudním řízení a zavedení apelačního principu;</w:t>
            </w:r>
          </w:p>
          <w:p w:rsidR="00C873B4" w:rsidRPr="00637DB5" w:rsidRDefault="00C873B4" w:rsidP="00C873B4">
            <w:pPr>
              <w:widowControl w:val="0"/>
              <w:numPr>
                <w:ilvl w:val="0"/>
                <w:numId w:val="79"/>
              </w:numPr>
              <w:rPr>
                <w:bCs/>
                <w:sz w:val="22"/>
              </w:rPr>
            </w:pPr>
            <w:r w:rsidRPr="00637DB5">
              <w:rPr>
                <w:bCs/>
                <w:sz w:val="22"/>
              </w:rPr>
              <w:t>eliminace problému systémové podjatosti;</w:t>
            </w:r>
          </w:p>
          <w:p w:rsidR="00C873B4" w:rsidRPr="00637DB5" w:rsidRDefault="00730F87" w:rsidP="00730F87">
            <w:pPr>
              <w:widowControl w:val="0"/>
              <w:numPr>
                <w:ilvl w:val="0"/>
                <w:numId w:val="79"/>
              </w:numPr>
              <w:rPr>
                <w:bCs/>
                <w:sz w:val="22"/>
              </w:rPr>
            </w:pPr>
            <w:r w:rsidRPr="00637DB5">
              <w:rPr>
                <w:bCs/>
                <w:sz w:val="22"/>
              </w:rPr>
              <w:t>významného</w:t>
            </w:r>
            <w:r w:rsidR="00C873B4" w:rsidRPr="00637DB5">
              <w:rPr>
                <w:bCs/>
                <w:sz w:val="22"/>
              </w:rPr>
              <w:t xml:space="preserve"> omez</w:t>
            </w:r>
            <w:r w:rsidRPr="00637DB5">
              <w:rPr>
                <w:bCs/>
                <w:sz w:val="22"/>
              </w:rPr>
              <w:t>en</w:t>
            </w:r>
            <w:r w:rsidR="00C873B4" w:rsidRPr="00637DB5">
              <w:rPr>
                <w:bCs/>
                <w:sz w:val="22"/>
              </w:rPr>
              <w:t>í možnost</w:t>
            </w:r>
            <w:r w:rsidRPr="00637DB5">
              <w:rPr>
                <w:bCs/>
                <w:sz w:val="22"/>
              </w:rPr>
              <w:t>i</w:t>
            </w:r>
            <w:r w:rsidR="00C873B4" w:rsidRPr="00637DB5">
              <w:rPr>
                <w:bCs/>
                <w:sz w:val="22"/>
              </w:rPr>
              <w:t xml:space="preserve"> korupčního jednání.</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3.4 Dopady na územní samosprávné celky (obce, kraje):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 xml:space="preserve">Náklady mohou samosprávám vzrůst, pokud by si ponechaly část zaměstnanců, kteří vykonávají přenesenou působnost pro vlastní potřebu obce, které ale řada obcí již dnes zaměstnává. Pokud by si ponechaly cca 20 % zaměstnanců stavebních úřadů a úřadů územního plánování, je nárůst nákladů na takovou potřebu nových úvazků na NSÚ započítán v části 3.1 této tabulky. U ostatních nákladů samosprávy a státní správy se předpokládá, že se navzájem přibližně vykompenzují. Příkladem může být platba nájemného za kancelářské </w:t>
            </w:r>
            <w:r w:rsidRPr="00637DB5">
              <w:rPr>
                <w:bCs/>
                <w:sz w:val="22"/>
              </w:rPr>
              <w:lastRenderedPageBreak/>
              <w:t>prostory pro NSÚ. Pokud jde o úředníky řešící agendy dotčených orgánů, zde dle odhadů Ministerstva vnitra se dá předpokládat převod 60 % těchto úředníků vykonávajících přenesenou působnost, neboť na obcích zůstane ještě 40 % zaměstnanců, kteří mohou dále řešit záležitosti samosprávy (tj. půjde pouze o přesun beze změny na celkový součet pozitivních a negativních dopadů).</w:t>
            </w:r>
          </w:p>
          <w:p w:rsidR="00C873B4" w:rsidRPr="00637DB5" w:rsidRDefault="00C873B4">
            <w:pPr>
              <w:widowControl w:val="0"/>
              <w:tabs>
                <w:tab w:val="left" w:pos="1037"/>
              </w:tabs>
              <w:rPr>
                <w:bCs/>
                <w:sz w:val="22"/>
              </w:rPr>
            </w:pPr>
            <w:r w:rsidRPr="00637DB5">
              <w:rPr>
                <w:bCs/>
                <w:sz w:val="22"/>
              </w:rPr>
              <w:t>Úspory samospráv plynoucí z rekodifikace mohou mít stejnou formu jako v případě části 3.1. Z obcí se částečně sejme břemeno výkonu státní správy v přenesené působnosti a budou se tak moci více věnovat samosprávným aktivitám. Pozitivní přímý finanční efekt bude mít rekodifikace na samosprávy i v případě, že v současnosti dokrývají náklady na výkon přenesené působnosti ze zdrojů, z nichž má být financována samosprávná činnost. Samosprávám nadále zůstanou zachovány dosavadní kompetence v rámci územního plánování a účastenství v rámci povolování staveb.</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 w:val="left" w:pos="3970"/>
              </w:tabs>
              <w:rPr>
                <w:bCs/>
                <w:sz w:val="22"/>
              </w:rPr>
            </w:pPr>
            <w:r w:rsidRPr="00637DB5">
              <w:rPr>
                <w:bCs/>
                <w:sz w:val="22"/>
              </w:rPr>
              <w:lastRenderedPageBreak/>
              <w:t xml:space="preserve">3.5 Sociální dopady: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Lze předpokládat, že v případě potřeby a zájmu obcí může dojít ke zjednodušení přípravy a realizace výstavby sociálních bytů, naplnění vládního programu Výstavba, dojde k opětovnému nastartování samoregulační schopnosti trhu, který se sekundárně projeví na dostupnosti bydlení jak ve formě vlastnického, tak nájemního bydlení</w:t>
            </w:r>
            <w:r w:rsidR="005E5C56" w:rsidRPr="00637DB5">
              <w:rPr>
                <w:bCs/>
                <w:sz w:val="22"/>
              </w:rPr>
              <w:t>.</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rsidP="00A63FAA">
            <w:pPr>
              <w:widowControl w:val="0"/>
              <w:tabs>
                <w:tab w:val="left" w:pos="1037"/>
              </w:tabs>
              <w:rPr>
                <w:bCs/>
                <w:sz w:val="22"/>
              </w:rPr>
            </w:pPr>
            <w:r w:rsidRPr="00637DB5">
              <w:rPr>
                <w:bCs/>
                <w:sz w:val="22"/>
              </w:rPr>
              <w:t xml:space="preserve">3.6 Dopady na spotřebitele: </w:t>
            </w:r>
            <w:r w:rsidR="00A63FAA" w:rsidRPr="00637DB5">
              <w:rPr>
                <w:bCs/>
                <w:sz w:val="22"/>
              </w:rPr>
              <w:fldChar w:fldCharType="begin">
                <w:ffData>
                  <w:name w:val=""/>
                  <w:enabled/>
                  <w:calcOnExit w:val="0"/>
                  <w:ddList>
                    <w:listEntry w:val="Ne"/>
                    <w:listEntry w:val="Ano"/>
                    <w:listEntry w:val="Vyberte Ano / Ne"/>
                  </w:ddList>
                </w:ffData>
              </w:fldChar>
            </w:r>
            <w:r w:rsidR="00A63FAA" w:rsidRPr="00637DB5">
              <w:rPr>
                <w:bCs/>
                <w:sz w:val="22"/>
              </w:rPr>
              <w:instrText xml:space="preserve"> FORMDROPDOWN </w:instrText>
            </w:r>
            <w:r w:rsidR="00A63FAA" w:rsidRPr="00637DB5">
              <w:rPr>
                <w:bCs/>
                <w:sz w:val="22"/>
              </w:rPr>
            </w:r>
            <w:r w:rsidR="00A63FAA" w:rsidRPr="00637DB5">
              <w:rPr>
                <w:bCs/>
                <w:sz w:val="22"/>
              </w:rPr>
              <w:fldChar w:fldCharType="end"/>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3.7 Dopady na životní prostředí: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sz w:val="22"/>
              </w:rPr>
              <w:t>3.8 Dopady ve vztahu k zákazu diskriminace a ve vztahu k rovnosti žen a mužů</w:t>
            </w:r>
            <w:r w:rsidRPr="00637DB5">
              <w:rPr>
                <w:bCs/>
                <w:sz w:val="22"/>
              </w:rPr>
              <w:t xml:space="preserve">: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3.9 Dopady na výkon státní statistické služby: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3.10 Korupční rizika: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Rekodifikace stavebního práva by z hlediska korupčních rizik měla mít několik pozitivních dopadů:</w:t>
            </w:r>
          </w:p>
          <w:p w:rsidR="00C873B4" w:rsidRPr="00637DB5" w:rsidRDefault="00C873B4" w:rsidP="00C873B4">
            <w:pPr>
              <w:widowControl w:val="0"/>
              <w:numPr>
                <w:ilvl w:val="0"/>
                <w:numId w:val="80"/>
              </w:numPr>
              <w:rPr>
                <w:bCs/>
                <w:sz w:val="22"/>
              </w:rPr>
            </w:pPr>
            <w:r w:rsidRPr="00637DB5">
              <w:rPr>
                <w:bCs/>
                <w:sz w:val="22"/>
              </w:rPr>
              <w:t xml:space="preserve">snížení korupčního potenciálu díky obecně vyšší profesionalizaci úředníků stavebních úřadů, </w:t>
            </w:r>
          </w:p>
          <w:p w:rsidR="00C873B4" w:rsidRPr="00637DB5" w:rsidRDefault="00C873B4" w:rsidP="00C873B4">
            <w:pPr>
              <w:widowControl w:val="0"/>
              <w:numPr>
                <w:ilvl w:val="0"/>
                <w:numId w:val="80"/>
              </w:numPr>
              <w:rPr>
                <w:bCs/>
                <w:sz w:val="22"/>
              </w:rPr>
            </w:pPr>
            <w:r w:rsidRPr="00637DB5">
              <w:rPr>
                <w:bCs/>
                <w:sz w:val="22"/>
              </w:rPr>
              <w:t xml:space="preserve">snížení korupčního potenciálu díky eliminaci rizik podjatosti a koncentraci posouzení veškerých aspektů staveb a dopadů záměru v rámci jediného rozhodnutí připraveného kompletním týmem odborně způsobilých úředníků, </w:t>
            </w:r>
          </w:p>
          <w:p w:rsidR="00C873B4" w:rsidRPr="00637DB5" w:rsidRDefault="00C873B4" w:rsidP="00C873B4">
            <w:pPr>
              <w:widowControl w:val="0"/>
              <w:numPr>
                <w:ilvl w:val="0"/>
                <w:numId w:val="80"/>
              </w:numPr>
              <w:rPr>
                <w:bCs/>
                <w:sz w:val="22"/>
              </w:rPr>
            </w:pPr>
            <w:r w:rsidRPr="00637DB5">
              <w:rPr>
                <w:bCs/>
                <w:sz w:val="22"/>
              </w:rPr>
              <w:t>snížení korupčního potenciálu u nečinných úředních osob v případě stanovení určitých zákonem předvídaných fikcí následujících při nedodržení závazných lhůt.</w:t>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3.11 Dopady na bezpečnost nebo obranu státu: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bl>
    <w:p w:rsidR="00C873B4" w:rsidRPr="00637DB5" w:rsidRDefault="00C873B4" w:rsidP="00C873B4">
      <w:pPr>
        <w:widowControl w:val="0"/>
        <w:rPr>
          <w:b/>
          <w:u w:val="single"/>
        </w:rPr>
      </w:pPr>
    </w:p>
    <w:p w:rsidR="005C58EA" w:rsidRPr="00593FD7" w:rsidRDefault="005C58EA" w:rsidP="003E4A5D">
      <w:pPr>
        <w:widowControl w:val="0"/>
        <w:jc w:val="center"/>
        <w:rPr>
          <w:rFonts w:ascii="Arial" w:eastAsia="Times New Roman" w:hAnsi="Arial" w:cs="Arial"/>
          <w:b/>
          <w:smallCaps/>
          <w:sz w:val="48"/>
          <w:szCs w:val="48"/>
          <w:lang w:eastAsia="cs-CZ"/>
        </w:rPr>
      </w:pPr>
    </w:p>
    <w:p w:rsidR="0089559F" w:rsidRDefault="00681705" w:rsidP="0089559F">
      <w:pPr>
        <w:widowControl w:val="0"/>
      </w:pPr>
      <w:r w:rsidRPr="00F17D93">
        <w:br w:type="page"/>
      </w:r>
      <w:bookmarkEnd w:id="2"/>
      <w:bookmarkEnd w:id="3"/>
      <w:bookmarkEnd w:id="4"/>
    </w:p>
    <w:p w:rsidR="0089559F" w:rsidRDefault="00F1317B" w:rsidP="0089559F">
      <w:pPr>
        <w:widowControl w:val="0"/>
        <w:rPr>
          <w:rFonts w:ascii="Cambria" w:eastAsia="Times New Roman" w:hAnsi="Cambria"/>
          <w:b/>
          <w:bCs/>
          <w:color w:val="B6B002"/>
          <w:sz w:val="28"/>
          <w:szCs w:val="28"/>
        </w:rPr>
      </w:pPr>
      <w:r w:rsidRPr="00F17D93">
        <w:rPr>
          <w:rFonts w:ascii="Cambria" w:eastAsia="Times New Roman" w:hAnsi="Cambria"/>
          <w:b/>
          <w:bCs/>
          <w:color w:val="B6B002"/>
          <w:sz w:val="28"/>
          <w:szCs w:val="28"/>
        </w:rPr>
        <w:lastRenderedPageBreak/>
        <w:t>Obsah</w:t>
      </w:r>
    </w:p>
    <w:bookmarkEnd w:id="0"/>
    <w:p w:rsidR="000066CE" w:rsidRDefault="00AB65E9">
      <w:pPr>
        <w:pStyle w:val="Obsah1"/>
        <w:rPr>
          <w:rFonts w:eastAsiaTheme="minorEastAsia" w:cstheme="minorBidi"/>
          <w:b w:val="0"/>
          <w:bCs w:val="0"/>
          <w:caps w:val="0"/>
          <w:noProof/>
          <w:sz w:val="22"/>
          <w:szCs w:val="22"/>
          <w:lang w:eastAsia="cs-CZ"/>
        </w:rPr>
      </w:pPr>
      <w:r>
        <w:rPr>
          <w:rFonts w:ascii="Calibri" w:hAnsi="Calibri"/>
          <w:lang w:eastAsia="cs-CZ"/>
        </w:rPr>
        <w:fldChar w:fldCharType="begin"/>
      </w:r>
      <w:r w:rsidR="00866D93">
        <w:rPr>
          <w:rFonts w:ascii="Calibri" w:hAnsi="Calibri"/>
          <w:lang w:eastAsia="cs-CZ"/>
        </w:rPr>
        <w:instrText xml:space="preserve"> TOC \o "1-6" \h \z \t "Nadpis (3a);3" </w:instrText>
      </w:r>
      <w:r>
        <w:rPr>
          <w:rFonts w:ascii="Calibri" w:hAnsi="Calibri"/>
          <w:lang w:eastAsia="cs-CZ"/>
        </w:rPr>
        <w:fldChar w:fldCharType="separate"/>
      </w:r>
      <w:hyperlink w:anchor="_Toc536553881" w:history="1">
        <w:r w:rsidR="000066CE" w:rsidRPr="00174ABC">
          <w:rPr>
            <w:rStyle w:val="Hypertextovodkaz"/>
            <w:rFonts w:asciiTheme="majorHAnsi" w:hAnsiTheme="majorHAnsi"/>
            <w:noProof/>
          </w:rPr>
          <w:t>1</w:t>
        </w:r>
        <w:r w:rsidR="000066CE">
          <w:rPr>
            <w:rFonts w:eastAsiaTheme="minorEastAsia" w:cstheme="minorBidi"/>
            <w:b w:val="0"/>
            <w:bCs w:val="0"/>
            <w:caps w:val="0"/>
            <w:noProof/>
            <w:sz w:val="22"/>
            <w:szCs w:val="22"/>
            <w:lang w:eastAsia="cs-CZ"/>
          </w:rPr>
          <w:tab/>
        </w:r>
        <w:r w:rsidR="000066CE" w:rsidRPr="00174ABC">
          <w:rPr>
            <w:rStyle w:val="Hypertextovodkaz"/>
            <w:noProof/>
          </w:rPr>
          <w:t>Důvod předložení a cíle</w:t>
        </w:r>
        <w:r w:rsidR="000066CE">
          <w:rPr>
            <w:noProof/>
            <w:webHidden/>
          </w:rPr>
          <w:tab/>
        </w:r>
        <w:r w:rsidR="000066CE">
          <w:rPr>
            <w:noProof/>
            <w:webHidden/>
          </w:rPr>
          <w:fldChar w:fldCharType="begin"/>
        </w:r>
        <w:r w:rsidR="000066CE">
          <w:rPr>
            <w:noProof/>
            <w:webHidden/>
          </w:rPr>
          <w:instrText xml:space="preserve"> PAGEREF _Toc536553881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882" w:history="1">
        <w:r w:rsidR="000066CE" w:rsidRPr="00174ABC">
          <w:rPr>
            <w:rStyle w:val="Hypertextovodkaz"/>
            <w:noProof/>
          </w:rPr>
          <w:t>1.1</w:t>
        </w:r>
        <w:r w:rsidR="000066CE">
          <w:rPr>
            <w:rFonts w:eastAsiaTheme="minorEastAsia" w:cstheme="minorBidi"/>
            <w:smallCaps w:val="0"/>
            <w:noProof/>
            <w:sz w:val="22"/>
            <w:szCs w:val="22"/>
            <w:lang w:eastAsia="cs-CZ"/>
          </w:rPr>
          <w:tab/>
        </w:r>
        <w:r w:rsidR="000066CE" w:rsidRPr="00174ABC">
          <w:rPr>
            <w:rStyle w:val="Hypertextovodkaz"/>
            <w:noProof/>
          </w:rPr>
          <w:t>Název</w:t>
        </w:r>
        <w:r w:rsidR="000066CE">
          <w:rPr>
            <w:noProof/>
            <w:webHidden/>
          </w:rPr>
          <w:tab/>
        </w:r>
        <w:r w:rsidR="000066CE">
          <w:rPr>
            <w:noProof/>
            <w:webHidden/>
          </w:rPr>
          <w:fldChar w:fldCharType="begin"/>
        </w:r>
        <w:r w:rsidR="000066CE">
          <w:rPr>
            <w:noProof/>
            <w:webHidden/>
          </w:rPr>
          <w:instrText xml:space="preserve"> PAGEREF _Toc536553882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883" w:history="1">
        <w:r w:rsidR="000066CE" w:rsidRPr="00174ABC">
          <w:rPr>
            <w:rStyle w:val="Hypertextovodkaz"/>
            <w:noProof/>
          </w:rPr>
          <w:t>1.2</w:t>
        </w:r>
        <w:r w:rsidR="000066CE">
          <w:rPr>
            <w:rFonts w:eastAsiaTheme="minorEastAsia" w:cstheme="minorBidi"/>
            <w:smallCaps w:val="0"/>
            <w:noProof/>
            <w:sz w:val="22"/>
            <w:szCs w:val="22"/>
            <w:lang w:eastAsia="cs-CZ"/>
          </w:rPr>
          <w:tab/>
        </w:r>
        <w:r w:rsidR="000066CE" w:rsidRPr="00174ABC">
          <w:rPr>
            <w:rStyle w:val="Hypertextovodkaz"/>
            <w:noProof/>
          </w:rPr>
          <w:t>Definice problému</w:t>
        </w:r>
        <w:r w:rsidR="000066CE">
          <w:rPr>
            <w:noProof/>
            <w:webHidden/>
          </w:rPr>
          <w:tab/>
        </w:r>
        <w:r w:rsidR="000066CE">
          <w:rPr>
            <w:noProof/>
            <w:webHidden/>
          </w:rPr>
          <w:fldChar w:fldCharType="begin"/>
        </w:r>
        <w:r w:rsidR="000066CE">
          <w:rPr>
            <w:noProof/>
            <w:webHidden/>
          </w:rPr>
          <w:instrText xml:space="preserve"> PAGEREF _Toc536553883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884" w:history="1">
        <w:r w:rsidR="000066CE" w:rsidRPr="00174ABC">
          <w:rPr>
            <w:rStyle w:val="Hypertextovodkaz"/>
            <w:noProof/>
          </w:rPr>
          <w:t>1.2.1</w:t>
        </w:r>
        <w:r w:rsidR="000066CE">
          <w:rPr>
            <w:rFonts w:eastAsiaTheme="minorEastAsia" w:cstheme="minorBidi"/>
            <w:i w:val="0"/>
            <w:iCs w:val="0"/>
            <w:noProof/>
            <w:sz w:val="22"/>
            <w:szCs w:val="22"/>
            <w:lang w:eastAsia="cs-CZ"/>
          </w:rPr>
          <w:tab/>
        </w:r>
        <w:r w:rsidR="000066CE" w:rsidRPr="00174ABC">
          <w:rPr>
            <w:rStyle w:val="Hypertextovodkaz"/>
            <w:noProof/>
          </w:rPr>
          <w:t>Popis současného stavu</w:t>
        </w:r>
        <w:r w:rsidR="000066CE">
          <w:rPr>
            <w:noProof/>
            <w:webHidden/>
          </w:rPr>
          <w:tab/>
        </w:r>
        <w:r w:rsidR="000066CE">
          <w:rPr>
            <w:noProof/>
            <w:webHidden/>
          </w:rPr>
          <w:fldChar w:fldCharType="begin"/>
        </w:r>
        <w:r w:rsidR="000066CE">
          <w:rPr>
            <w:noProof/>
            <w:webHidden/>
          </w:rPr>
          <w:instrText xml:space="preserve"> PAGEREF _Toc536553884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7750E9">
      <w:pPr>
        <w:pStyle w:val="Obsah4"/>
        <w:tabs>
          <w:tab w:val="left" w:pos="1440"/>
          <w:tab w:val="right" w:leader="dot" w:pos="9060"/>
        </w:tabs>
        <w:rPr>
          <w:rFonts w:eastAsiaTheme="minorEastAsia" w:cstheme="minorBidi"/>
          <w:noProof/>
          <w:sz w:val="22"/>
          <w:szCs w:val="22"/>
          <w:lang w:eastAsia="cs-CZ"/>
        </w:rPr>
      </w:pPr>
      <w:hyperlink w:anchor="_Toc536553885" w:history="1">
        <w:r w:rsidR="000066CE" w:rsidRPr="00174ABC">
          <w:rPr>
            <w:rStyle w:val="Hypertextovodkaz"/>
            <w:rFonts w:ascii="Garamond" w:hAnsi="Garamond"/>
            <w:noProof/>
          </w:rPr>
          <w:t>1.2.1.1</w:t>
        </w:r>
        <w:r w:rsidR="000066CE">
          <w:rPr>
            <w:rFonts w:eastAsiaTheme="minorEastAsia" w:cstheme="minorBidi"/>
            <w:noProof/>
            <w:sz w:val="22"/>
            <w:szCs w:val="22"/>
            <w:lang w:eastAsia="cs-CZ"/>
          </w:rPr>
          <w:tab/>
        </w:r>
        <w:r w:rsidR="000066CE" w:rsidRPr="00174ABC">
          <w:rPr>
            <w:rStyle w:val="Hypertextovodkaz"/>
            <w:noProof/>
          </w:rPr>
          <w:t>Stavebnictví, jeho vývoj a souvislosti s právní úpravou stavebního práva</w:t>
        </w:r>
        <w:r w:rsidR="000066CE">
          <w:rPr>
            <w:noProof/>
            <w:webHidden/>
          </w:rPr>
          <w:tab/>
        </w:r>
        <w:r w:rsidR="000066CE">
          <w:rPr>
            <w:noProof/>
            <w:webHidden/>
          </w:rPr>
          <w:fldChar w:fldCharType="begin"/>
        </w:r>
        <w:r w:rsidR="000066CE">
          <w:rPr>
            <w:noProof/>
            <w:webHidden/>
          </w:rPr>
          <w:instrText xml:space="preserve"> PAGEREF _Toc536553885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886" w:history="1">
        <w:r w:rsidR="000066CE" w:rsidRPr="00174ABC">
          <w:rPr>
            <w:rStyle w:val="Hypertextovodkaz"/>
            <w:noProof/>
          </w:rPr>
          <w:t>1.2.2</w:t>
        </w:r>
        <w:r w:rsidR="000066CE">
          <w:rPr>
            <w:rFonts w:eastAsiaTheme="minorEastAsia" w:cstheme="minorBidi"/>
            <w:i w:val="0"/>
            <w:iCs w:val="0"/>
            <w:noProof/>
            <w:sz w:val="22"/>
            <w:szCs w:val="22"/>
            <w:lang w:eastAsia="cs-CZ"/>
          </w:rPr>
          <w:tab/>
        </w:r>
        <w:r w:rsidR="000066CE" w:rsidRPr="00174ABC">
          <w:rPr>
            <w:rStyle w:val="Hypertextovodkaz"/>
            <w:noProof/>
          </w:rPr>
          <w:t>Definice problému</w:t>
        </w:r>
        <w:r w:rsidR="000066CE">
          <w:rPr>
            <w:noProof/>
            <w:webHidden/>
          </w:rPr>
          <w:tab/>
        </w:r>
        <w:r w:rsidR="000066CE">
          <w:rPr>
            <w:noProof/>
            <w:webHidden/>
          </w:rPr>
          <w:fldChar w:fldCharType="begin"/>
        </w:r>
        <w:r w:rsidR="000066CE">
          <w:rPr>
            <w:noProof/>
            <w:webHidden/>
          </w:rPr>
          <w:instrText xml:space="preserve"> PAGEREF _Toc536553886 \h </w:instrText>
        </w:r>
        <w:r w:rsidR="000066CE">
          <w:rPr>
            <w:noProof/>
            <w:webHidden/>
          </w:rPr>
        </w:r>
        <w:r w:rsidR="000066CE">
          <w:rPr>
            <w:noProof/>
            <w:webHidden/>
          </w:rPr>
          <w:fldChar w:fldCharType="separate"/>
        </w:r>
        <w:r w:rsidR="00263A1B">
          <w:rPr>
            <w:noProof/>
            <w:webHidden/>
          </w:rPr>
          <w:t>16</w:t>
        </w:r>
        <w:r w:rsidR="000066CE">
          <w:rPr>
            <w:noProof/>
            <w:webHidden/>
          </w:rPr>
          <w:fldChar w:fldCharType="end"/>
        </w:r>
      </w:hyperlink>
    </w:p>
    <w:p w:rsidR="000066CE" w:rsidRDefault="007750E9">
      <w:pPr>
        <w:pStyle w:val="Obsah4"/>
        <w:tabs>
          <w:tab w:val="left" w:pos="1680"/>
          <w:tab w:val="right" w:leader="dot" w:pos="9060"/>
        </w:tabs>
        <w:rPr>
          <w:rFonts w:eastAsiaTheme="minorEastAsia" w:cstheme="minorBidi"/>
          <w:noProof/>
          <w:sz w:val="22"/>
          <w:szCs w:val="22"/>
          <w:lang w:eastAsia="cs-CZ"/>
        </w:rPr>
      </w:pPr>
      <w:hyperlink w:anchor="_Toc536553887" w:history="1">
        <w:r w:rsidR="000066CE" w:rsidRPr="00174ABC">
          <w:rPr>
            <w:rStyle w:val="Hypertextovodkaz"/>
            <w:noProof/>
          </w:rPr>
          <w:t>1.2.2.1</w:t>
        </w:r>
        <w:r w:rsidR="000066CE">
          <w:rPr>
            <w:rFonts w:eastAsiaTheme="minorEastAsia" w:cstheme="minorBidi"/>
            <w:noProof/>
            <w:sz w:val="22"/>
            <w:szCs w:val="22"/>
            <w:lang w:eastAsia="cs-CZ"/>
          </w:rPr>
          <w:tab/>
        </w:r>
        <w:r w:rsidR="000066CE" w:rsidRPr="00174ABC">
          <w:rPr>
            <w:rStyle w:val="Hypertextovodkaz"/>
            <w:noProof/>
          </w:rPr>
          <w:t>Ztráta makroekonomického výstupu z oddalování realizace výstavby</w:t>
        </w:r>
        <w:r w:rsidR="000066CE">
          <w:rPr>
            <w:noProof/>
            <w:webHidden/>
          </w:rPr>
          <w:tab/>
        </w:r>
        <w:r w:rsidR="000066CE">
          <w:rPr>
            <w:noProof/>
            <w:webHidden/>
          </w:rPr>
          <w:fldChar w:fldCharType="begin"/>
        </w:r>
        <w:r w:rsidR="000066CE">
          <w:rPr>
            <w:noProof/>
            <w:webHidden/>
          </w:rPr>
          <w:instrText xml:space="preserve"> PAGEREF _Toc536553887 \h </w:instrText>
        </w:r>
        <w:r w:rsidR="000066CE">
          <w:rPr>
            <w:noProof/>
            <w:webHidden/>
          </w:rPr>
        </w:r>
        <w:r w:rsidR="000066CE">
          <w:rPr>
            <w:noProof/>
            <w:webHidden/>
          </w:rPr>
          <w:fldChar w:fldCharType="separate"/>
        </w:r>
        <w:r w:rsidR="00263A1B">
          <w:rPr>
            <w:noProof/>
            <w:webHidden/>
          </w:rPr>
          <w:t>16</w:t>
        </w:r>
        <w:r w:rsidR="000066CE">
          <w:rPr>
            <w:noProof/>
            <w:webHidden/>
          </w:rPr>
          <w:fldChar w:fldCharType="end"/>
        </w:r>
      </w:hyperlink>
    </w:p>
    <w:p w:rsidR="000066CE" w:rsidRDefault="007750E9">
      <w:pPr>
        <w:pStyle w:val="Obsah4"/>
        <w:tabs>
          <w:tab w:val="left" w:pos="1680"/>
          <w:tab w:val="right" w:leader="dot" w:pos="9060"/>
        </w:tabs>
        <w:rPr>
          <w:rFonts w:eastAsiaTheme="minorEastAsia" w:cstheme="minorBidi"/>
          <w:noProof/>
          <w:sz w:val="22"/>
          <w:szCs w:val="22"/>
          <w:lang w:eastAsia="cs-CZ"/>
        </w:rPr>
      </w:pPr>
      <w:hyperlink w:anchor="_Toc536553888" w:history="1">
        <w:r w:rsidR="000066CE" w:rsidRPr="00174ABC">
          <w:rPr>
            <w:rStyle w:val="Hypertextovodkaz"/>
            <w:noProof/>
          </w:rPr>
          <w:t>1.2.2.2</w:t>
        </w:r>
        <w:r w:rsidR="000066CE">
          <w:rPr>
            <w:rFonts w:eastAsiaTheme="minorEastAsia" w:cstheme="minorBidi"/>
            <w:noProof/>
            <w:sz w:val="22"/>
            <w:szCs w:val="22"/>
            <w:lang w:eastAsia="cs-CZ"/>
          </w:rPr>
          <w:tab/>
        </w:r>
        <w:r w:rsidR="000066CE" w:rsidRPr="00174ABC">
          <w:rPr>
            <w:rStyle w:val="Hypertextovodkaz"/>
            <w:noProof/>
          </w:rPr>
          <w:t>Konkrétní problémy spojené s oddalováním realizace výstavby</w:t>
        </w:r>
        <w:r w:rsidR="000066CE">
          <w:rPr>
            <w:noProof/>
            <w:webHidden/>
          </w:rPr>
          <w:tab/>
        </w:r>
        <w:r w:rsidR="000066CE">
          <w:rPr>
            <w:noProof/>
            <w:webHidden/>
          </w:rPr>
          <w:fldChar w:fldCharType="begin"/>
        </w:r>
        <w:r w:rsidR="000066CE">
          <w:rPr>
            <w:noProof/>
            <w:webHidden/>
          </w:rPr>
          <w:instrText xml:space="preserve"> PAGEREF _Toc536553888 \h </w:instrText>
        </w:r>
        <w:r w:rsidR="000066CE">
          <w:rPr>
            <w:noProof/>
            <w:webHidden/>
          </w:rPr>
        </w:r>
        <w:r w:rsidR="000066CE">
          <w:rPr>
            <w:noProof/>
            <w:webHidden/>
          </w:rPr>
          <w:fldChar w:fldCharType="separate"/>
        </w:r>
        <w:r w:rsidR="00263A1B">
          <w:rPr>
            <w:noProof/>
            <w:webHidden/>
          </w:rPr>
          <w:t>23</w:t>
        </w:r>
        <w:r w:rsidR="000066CE">
          <w:rPr>
            <w:noProof/>
            <w:webHidden/>
          </w:rPr>
          <w:fldChar w:fldCharType="end"/>
        </w:r>
      </w:hyperlink>
    </w:p>
    <w:p w:rsidR="000066CE" w:rsidRDefault="007750E9">
      <w:pPr>
        <w:pStyle w:val="Obsah4"/>
        <w:tabs>
          <w:tab w:val="left" w:pos="1680"/>
          <w:tab w:val="right" w:leader="dot" w:pos="9060"/>
        </w:tabs>
        <w:rPr>
          <w:rFonts w:eastAsiaTheme="minorEastAsia" w:cstheme="minorBidi"/>
          <w:noProof/>
          <w:sz w:val="22"/>
          <w:szCs w:val="22"/>
          <w:lang w:eastAsia="cs-CZ"/>
        </w:rPr>
      </w:pPr>
      <w:hyperlink w:anchor="_Toc536553889" w:history="1">
        <w:r w:rsidR="000066CE" w:rsidRPr="00174ABC">
          <w:rPr>
            <w:rStyle w:val="Hypertextovodkaz"/>
            <w:noProof/>
            <w:lang w:eastAsia="cs-CZ"/>
          </w:rPr>
          <w:t>1.2.2.3</w:t>
        </w:r>
        <w:r w:rsidR="000066CE">
          <w:rPr>
            <w:rFonts w:eastAsiaTheme="minorEastAsia" w:cstheme="minorBidi"/>
            <w:noProof/>
            <w:sz w:val="22"/>
            <w:szCs w:val="22"/>
            <w:lang w:eastAsia="cs-CZ"/>
          </w:rPr>
          <w:tab/>
        </w:r>
        <w:r w:rsidR="000066CE" w:rsidRPr="00174ABC">
          <w:rPr>
            <w:rStyle w:val="Hypertextovodkaz"/>
            <w:noProof/>
            <w:lang w:eastAsia="cs-CZ"/>
          </w:rPr>
          <w:t>Problémy dle jednotlivých věcných okruhů</w:t>
        </w:r>
        <w:r w:rsidR="000066CE">
          <w:rPr>
            <w:noProof/>
            <w:webHidden/>
          </w:rPr>
          <w:tab/>
        </w:r>
        <w:r w:rsidR="000066CE">
          <w:rPr>
            <w:noProof/>
            <w:webHidden/>
          </w:rPr>
          <w:fldChar w:fldCharType="begin"/>
        </w:r>
        <w:r w:rsidR="000066CE">
          <w:rPr>
            <w:noProof/>
            <w:webHidden/>
          </w:rPr>
          <w:instrText xml:space="preserve"> PAGEREF _Toc536553889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7750E9">
      <w:pPr>
        <w:pStyle w:val="Obsah5"/>
        <w:tabs>
          <w:tab w:val="left" w:pos="1920"/>
          <w:tab w:val="right" w:leader="dot" w:pos="9060"/>
        </w:tabs>
        <w:rPr>
          <w:rFonts w:eastAsiaTheme="minorEastAsia" w:cstheme="minorBidi"/>
          <w:noProof/>
          <w:sz w:val="22"/>
          <w:szCs w:val="22"/>
          <w:lang w:eastAsia="cs-CZ"/>
        </w:rPr>
      </w:pPr>
      <w:hyperlink w:anchor="_Toc536553890" w:history="1">
        <w:r w:rsidR="000066CE" w:rsidRPr="00174ABC">
          <w:rPr>
            <w:rStyle w:val="Hypertextovodkaz"/>
            <w:noProof/>
          </w:rPr>
          <w:t>1.2.2.3.1</w:t>
        </w:r>
        <w:r w:rsidR="000066CE">
          <w:rPr>
            <w:rFonts w:eastAsiaTheme="minorEastAsia" w:cstheme="minorBidi"/>
            <w:noProof/>
            <w:sz w:val="22"/>
            <w:szCs w:val="22"/>
            <w:lang w:eastAsia="cs-CZ"/>
          </w:rPr>
          <w:tab/>
        </w:r>
        <w:r w:rsidR="000066CE" w:rsidRPr="00174ABC">
          <w:rPr>
            <w:rStyle w:val="Hypertextovodkaz"/>
            <w:noProof/>
          </w:rPr>
          <w:t>Územní plánování</w:t>
        </w:r>
        <w:r w:rsidR="000066CE">
          <w:rPr>
            <w:noProof/>
            <w:webHidden/>
          </w:rPr>
          <w:tab/>
        </w:r>
        <w:r w:rsidR="000066CE">
          <w:rPr>
            <w:noProof/>
            <w:webHidden/>
          </w:rPr>
          <w:fldChar w:fldCharType="begin"/>
        </w:r>
        <w:r w:rsidR="000066CE">
          <w:rPr>
            <w:noProof/>
            <w:webHidden/>
          </w:rPr>
          <w:instrText xml:space="preserve"> PAGEREF _Toc536553890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1" w:history="1">
        <w:r w:rsidR="000066CE" w:rsidRPr="00174ABC">
          <w:rPr>
            <w:rStyle w:val="Hypertextovodkaz"/>
            <w:noProof/>
          </w:rPr>
          <w:t>1.2.2.3.1.1</w:t>
        </w:r>
        <w:r w:rsidR="000066CE">
          <w:rPr>
            <w:rFonts w:eastAsiaTheme="minorEastAsia" w:cstheme="minorBidi"/>
            <w:noProof/>
            <w:sz w:val="22"/>
            <w:szCs w:val="22"/>
            <w:lang w:eastAsia="cs-CZ"/>
          </w:rPr>
          <w:tab/>
        </w:r>
        <w:r w:rsidR="000066CE" w:rsidRPr="00174ABC">
          <w:rPr>
            <w:rStyle w:val="Hypertextovodkaz"/>
            <w:noProof/>
          </w:rPr>
          <w:t>Politika územního rozvoje (PÚR)</w:t>
        </w:r>
        <w:r w:rsidR="000066CE">
          <w:rPr>
            <w:noProof/>
            <w:webHidden/>
          </w:rPr>
          <w:tab/>
        </w:r>
        <w:r w:rsidR="000066CE">
          <w:rPr>
            <w:noProof/>
            <w:webHidden/>
          </w:rPr>
          <w:fldChar w:fldCharType="begin"/>
        </w:r>
        <w:r w:rsidR="000066CE">
          <w:rPr>
            <w:noProof/>
            <w:webHidden/>
          </w:rPr>
          <w:instrText xml:space="preserve"> PAGEREF _Toc536553891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2" w:history="1">
        <w:r w:rsidR="000066CE" w:rsidRPr="00174ABC">
          <w:rPr>
            <w:rStyle w:val="Hypertextovodkaz"/>
            <w:noProof/>
          </w:rPr>
          <w:t>1.2.2.3.1.2</w:t>
        </w:r>
        <w:r w:rsidR="000066CE">
          <w:rPr>
            <w:rFonts w:eastAsiaTheme="minorEastAsia" w:cstheme="minorBidi"/>
            <w:noProof/>
            <w:sz w:val="22"/>
            <w:szCs w:val="22"/>
            <w:lang w:eastAsia="cs-CZ"/>
          </w:rPr>
          <w:tab/>
        </w:r>
        <w:r w:rsidR="000066CE" w:rsidRPr="00174ABC">
          <w:rPr>
            <w:rStyle w:val="Hypertextovodkaz"/>
            <w:noProof/>
          </w:rPr>
          <w:t>Zásady územního rozvoje (ZÚR)</w:t>
        </w:r>
        <w:r w:rsidR="000066CE">
          <w:rPr>
            <w:noProof/>
            <w:webHidden/>
          </w:rPr>
          <w:tab/>
        </w:r>
        <w:r w:rsidR="000066CE">
          <w:rPr>
            <w:noProof/>
            <w:webHidden/>
          </w:rPr>
          <w:fldChar w:fldCharType="begin"/>
        </w:r>
        <w:r w:rsidR="000066CE">
          <w:rPr>
            <w:noProof/>
            <w:webHidden/>
          </w:rPr>
          <w:instrText xml:space="preserve"> PAGEREF _Toc536553892 \h </w:instrText>
        </w:r>
        <w:r w:rsidR="000066CE">
          <w:rPr>
            <w:noProof/>
            <w:webHidden/>
          </w:rPr>
        </w:r>
        <w:r w:rsidR="000066CE">
          <w:rPr>
            <w:noProof/>
            <w:webHidden/>
          </w:rPr>
          <w:fldChar w:fldCharType="separate"/>
        </w:r>
        <w:r w:rsidR="00263A1B">
          <w:rPr>
            <w:noProof/>
            <w:webHidden/>
          </w:rPr>
          <w:t>26</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3" w:history="1">
        <w:r w:rsidR="000066CE" w:rsidRPr="00174ABC">
          <w:rPr>
            <w:rStyle w:val="Hypertextovodkaz"/>
            <w:noProof/>
          </w:rPr>
          <w:t>1.2.2.3.1.3</w:t>
        </w:r>
        <w:r w:rsidR="000066CE">
          <w:rPr>
            <w:rFonts w:eastAsiaTheme="minorEastAsia" w:cstheme="minorBidi"/>
            <w:noProof/>
            <w:sz w:val="22"/>
            <w:szCs w:val="22"/>
            <w:lang w:eastAsia="cs-CZ"/>
          </w:rPr>
          <w:tab/>
        </w:r>
        <w:r w:rsidR="000066CE" w:rsidRPr="00174ABC">
          <w:rPr>
            <w:rStyle w:val="Hypertextovodkaz"/>
            <w:noProof/>
          </w:rPr>
          <w:t>Územní plány (ÚP)</w:t>
        </w:r>
        <w:r w:rsidR="000066CE">
          <w:rPr>
            <w:noProof/>
            <w:webHidden/>
          </w:rPr>
          <w:tab/>
        </w:r>
        <w:r w:rsidR="000066CE">
          <w:rPr>
            <w:noProof/>
            <w:webHidden/>
          </w:rPr>
          <w:fldChar w:fldCharType="begin"/>
        </w:r>
        <w:r w:rsidR="000066CE">
          <w:rPr>
            <w:noProof/>
            <w:webHidden/>
          </w:rPr>
          <w:instrText xml:space="preserve"> PAGEREF _Toc536553893 \h </w:instrText>
        </w:r>
        <w:r w:rsidR="000066CE">
          <w:rPr>
            <w:noProof/>
            <w:webHidden/>
          </w:rPr>
        </w:r>
        <w:r w:rsidR="000066CE">
          <w:rPr>
            <w:noProof/>
            <w:webHidden/>
          </w:rPr>
          <w:fldChar w:fldCharType="separate"/>
        </w:r>
        <w:r w:rsidR="00263A1B">
          <w:rPr>
            <w:noProof/>
            <w:webHidden/>
          </w:rPr>
          <w:t>27</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4" w:history="1">
        <w:r w:rsidR="000066CE" w:rsidRPr="00174ABC">
          <w:rPr>
            <w:rStyle w:val="Hypertextovodkaz"/>
            <w:noProof/>
          </w:rPr>
          <w:t>1.2.2.3.1.4</w:t>
        </w:r>
        <w:r w:rsidR="000066CE">
          <w:rPr>
            <w:rFonts w:eastAsiaTheme="minorEastAsia" w:cstheme="minorBidi"/>
            <w:noProof/>
            <w:sz w:val="22"/>
            <w:szCs w:val="22"/>
            <w:lang w:eastAsia="cs-CZ"/>
          </w:rPr>
          <w:tab/>
        </w:r>
        <w:r w:rsidR="000066CE" w:rsidRPr="00174ABC">
          <w:rPr>
            <w:rStyle w:val="Hypertextovodkaz"/>
            <w:noProof/>
          </w:rPr>
          <w:t>Regulační plán (RP)</w:t>
        </w:r>
        <w:r w:rsidR="000066CE">
          <w:rPr>
            <w:noProof/>
            <w:webHidden/>
          </w:rPr>
          <w:tab/>
        </w:r>
        <w:r w:rsidR="000066CE">
          <w:rPr>
            <w:noProof/>
            <w:webHidden/>
          </w:rPr>
          <w:fldChar w:fldCharType="begin"/>
        </w:r>
        <w:r w:rsidR="000066CE">
          <w:rPr>
            <w:noProof/>
            <w:webHidden/>
          </w:rPr>
          <w:instrText xml:space="preserve"> PAGEREF _Toc536553894 \h </w:instrText>
        </w:r>
        <w:r w:rsidR="000066CE">
          <w:rPr>
            <w:noProof/>
            <w:webHidden/>
          </w:rPr>
        </w:r>
        <w:r w:rsidR="000066CE">
          <w:rPr>
            <w:noProof/>
            <w:webHidden/>
          </w:rPr>
          <w:fldChar w:fldCharType="separate"/>
        </w:r>
        <w:r w:rsidR="00263A1B">
          <w:rPr>
            <w:noProof/>
            <w:webHidden/>
          </w:rPr>
          <w:t>29</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5" w:history="1">
        <w:r w:rsidR="000066CE" w:rsidRPr="00174ABC">
          <w:rPr>
            <w:rStyle w:val="Hypertextovodkaz"/>
            <w:noProof/>
          </w:rPr>
          <w:t>1.2.2.3.1.5</w:t>
        </w:r>
        <w:r w:rsidR="000066CE">
          <w:rPr>
            <w:rFonts w:eastAsiaTheme="minorEastAsia" w:cstheme="minorBidi"/>
            <w:noProof/>
            <w:sz w:val="22"/>
            <w:szCs w:val="22"/>
            <w:lang w:eastAsia="cs-CZ"/>
          </w:rPr>
          <w:tab/>
        </w:r>
        <w:r w:rsidR="000066CE" w:rsidRPr="00174ABC">
          <w:rPr>
            <w:rStyle w:val="Hypertextovodkaz"/>
            <w:noProof/>
          </w:rPr>
          <w:t>Stávající problémy územního plánování</w:t>
        </w:r>
        <w:r w:rsidR="000066CE">
          <w:rPr>
            <w:noProof/>
            <w:webHidden/>
          </w:rPr>
          <w:tab/>
        </w:r>
        <w:r w:rsidR="000066CE">
          <w:rPr>
            <w:noProof/>
            <w:webHidden/>
          </w:rPr>
          <w:fldChar w:fldCharType="begin"/>
        </w:r>
        <w:r w:rsidR="000066CE">
          <w:rPr>
            <w:noProof/>
            <w:webHidden/>
          </w:rPr>
          <w:instrText xml:space="preserve"> PAGEREF _Toc536553895 \h </w:instrText>
        </w:r>
        <w:r w:rsidR="000066CE">
          <w:rPr>
            <w:noProof/>
            <w:webHidden/>
          </w:rPr>
        </w:r>
        <w:r w:rsidR="000066CE">
          <w:rPr>
            <w:noProof/>
            <w:webHidden/>
          </w:rPr>
          <w:fldChar w:fldCharType="separate"/>
        </w:r>
        <w:r w:rsidR="00263A1B">
          <w:rPr>
            <w:noProof/>
            <w:webHidden/>
          </w:rPr>
          <w:t>29</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6" w:history="1">
        <w:r w:rsidR="000066CE" w:rsidRPr="00174ABC">
          <w:rPr>
            <w:rStyle w:val="Hypertextovodkaz"/>
            <w:noProof/>
          </w:rPr>
          <w:t>1.2.2.3.1.6</w:t>
        </w:r>
        <w:r w:rsidR="000066CE">
          <w:rPr>
            <w:rFonts w:eastAsiaTheme="minorEastAsia" w:cstheme="minorBidi"/>
            <w:noProof/>
            <w:sz w:val="22"/>
            <w:szCs w:val="22"/>
            <w:lang w:eastAsia="cs-CZ"/>
          </w:rPr>
          <w:tab/>
        </w:r>
        <w:r w:rsidR="000066CE" w:rsidRPr="00174ABC">
          <w:rPr>
            <w:rStyle w:val="Hypertextovodkaz"/>
            <w:noProof/>
          </w:rPr>
          <w:t>Stávající problémy právní formy opatření obecné povahy a jejich přezkumu soudem</w:t>
        </w:r>
        <w:r w:rsidR="000066CE">
          <w:rPr>
            <w:noProof/>
            <w:webHidden/>
          </w:rPr>
          <w:tab/>
        </w:r>
        <w:r w:rsidR="000066CE">
          <w:rPr>
            <w:noProof/>
            <w:webHidden/>
          </w:rPr>
          <w:fldChar w:fldCharType="begin"/>
        </w:r>
        <w:r w:rsidR="000066CE">
          <w:rPr>
            <w:noProof/>
            <w:webHidden/>
          </w:rPr>
          <w:instrText xml:space="preserve"> PAGEREF _Toc536553896 \h </w:instrText>
        </w:r>
        <w:r w:rsidR="000066CE">
          <w:rPr>
            <w:noProof/>
            <w:webHidden/>
          </w:rPr>
        </w:r>
        <w:r w:rsidR="000066CE">
          <w:rPr>
            <w:noProof/>
            <w:webHidden/>
          </w:rPr>
          <w:fldChar w:fldCharType="separate"/>
        </w:r>
        <w:r w:rsidR="00263A1B">
          <w:rPr>
            <w:noProof/>
            <w:webHidden/>
          </w:rPr>
          <w:t>31</w:t>
        </w:r>
        <w:r w:rsidR="000066CE">
          <w:rPr>
            <w:noProof/>
            <w:webHidden/>
          </w:rPr>
          <w:fldChar w:fldCharType="end"/>
        </w:r>
      </w:hyperlink>
    </w:p>
    <w:p w:rsidR="000066CE" w:rsidRDefault="007750E9">
      <w:pPr>
        <w:pStyle w:val="Obsah5"/>
        <w:tabs>
          <w:tab w:val="left" w:pos="1920"/>
          <w:tab w:val="right" w:leader="dot" w:pos="9060"/>
        </w:tabs>
        <w:rPr>
          <w:rFonts w:eastAsiaTheme="minorEastAsia" w:cstheme="minorBidi"/>
          <w:noProof/>
          <w:sz w:val="22"/>
          <w:szCs w:val="22"/>
          <w:lang w:eastAsia="cs-CZ"/>
        </w:rPr>
      </w:pPr>
      <w:hyperlink w:anchor="_Toc536553897" w:history="1">
        <w:r w:rsidR="000066CE" w:rsidRPr="00174ABC">
          <w:rPr>
            <w:rStyle w:val="Hypertextovodkaz"/>
            <w:noProof/>
          </w:rPr>
          <w:t>1.2.2.3.2</w:t>
        </w:r>
        <w:r w:rsidR="000066CE">
          <w:rPr>
            <w:rFonts w:eastAsiaTheme="minorEastAsia" w:cstheme="minorBidi"/>
            <w:noProof/>
            <w:sz w:val="22"/>
            <w:szCs w:val="22"/>
            <w:lang w:eastAsia="cs-CZ"/>
          </w:rPr>
          <w:tab/>
        </w:r>
        <w:r w:rsidR="000066CE" w:rsidRPr="00174ABC">
          <w:rPr>
            <w:rStyle w:val="Hypertextovodkaz"/>
            <w:noProof/>
          </w:rPr>
          <w:t>Posuzování vlivů na životní prostředí</w:t>
        </w:r>
        <w:r w:rsidR="000066CE">
          <w:rPr>
            <w:noProof/>
            <w:webHidden/>
          </w:rPr>
          <w:tab/>
        </w:r>
        <w:r w:rsidR="000066CE">
          <w:rPr>
            <w:noProof/>
            <w:webHidden/>
          </w:rPr>
          <w:fldChar w:fldCharType="begin"/>
        </w:r>
        <w:r w:rsidR="000066CE">
          <w:rPr>
            <w:noProof/>
            <w:webHidden/>
          </w:rPr>
          <w:instrText xml:space="preserve"> PAGEREF _Toc536553897 \h </w:instrText>
        </w:r>
        <w:r w:rsidR="000066CE">
          <w:rPr>
            <w:noProof/>
            <w:webHidden/>
          </w:rPr>
        </w:r>
        <w:r w:rsidR="000066CE">
          <w:rPr>
            <w:noProof/>
            <w:webHidden/>
          </w:rPr>
          <w:fldChar w:fldCharType="separate"/>
        </w:r>
        <w:r w:rsidR="00263A1B">
          <w:rPr>
            <w:noProof/>
            <w:webHidden/>
          </w:rPr>
          <w:t>31</w:t>
        </w:r>
        <w:r w:rsidR="000066CE">
          <w:rPr>
            <w:noProof/>
            <w:webHidden/>
          </w:rPr>
          <w:fldChar w:fldCharType="end"/>
        </w:r>
      </w:hyperlink>
    </w:p>
    <w:p w:rsidR="000066CE" w:rsidRDefault="007750E9">
      <w:pPr>
        <w:pStyle w:val="Obsah5"/>
        <w:tabs>
          <w:tab w:val="left" w:pos="1920"/>
          <w:tab w:val="right" w:leader="dot" w:pos="9060"/>
        </w:tabs>
        <w:rPr>
          <w:rFonts w:eastAsiaTheme="minorEastAsia" w:cstheme="minorBidi"/>
          <w:noProof/>
          <w:sz w:val="22"/>
          <w:szCs w:val="22"/>
          <w:lang w:eastAsia="cs-CZ"/>
        </w:rPr>
      </w:pPr>
      <w:hyperlink w:anchor="_Toc536553898" w:history="1">
        <w:r w:rsidR="000066CE" w:rsidRPr="00174ABC">
          <w:rPr>
            <w:rStyle w:val="Hypertextovodkaz"/>
            <w:noProof/>
          </w:rPr>
          <w:t>1.2.2.3.3</w:t>
        </w:r>
        <w:r w:rsidR="000066CE">
          <w:rPr>
            <w:rFonts w:eastAsiaTheme="minorEastAsia" w:cstheme="minorBidi"/>
            <w:noProof/>
            <w:sz w:val="22"/>
            <w:szCs w:val="22"/>
            <w:lang w:eastAsia="cs-CZ"/>
          </w:rPr>
          <w:tab/>
        </w:r>
        <w:r w:rsidR="000066CE" w:rsidRPr="00174ABC">
          <w:rPr>
            <w:rStyle w:val="Hypertextovodkaz"/>
            <w:noProof/>
          </w:rPr>
          <w:t>Územní rozhodování a povolování staveb</w:t>
        </w:r>
        <w:r w:rsidR="000066CE">
          <w:rPr>
            <w:noProof/>
            <w:webHidden/>
          </w:rPr>
          <w:tab/>
        </w:r>
        <w:r w:rsidR="000066CE">
          <w:rPr>
            <w:noProof/>
            <w:webHidden/>
          </w:rPr>
          <w:fldChar w:fldCharType="begin"/>
        </w:r>
        <w:r w:rsidR="000066CE">
          <w:rPr>
            <w:noProof/>
            <w:webHidden/>
          </w:rPr>
          <w:instrText xml:space="preserve"> PAGEREF _Toc536553898 \h </w:instrText>
        </w:r>
        <w:r w:rsidR="000066CE">
          <w:rPr>
            <w:noProof/>
            <w:webHidden/>
          </w:rPr>
        </w:r>
        <w:r w:rsidR="000066CE">
          <w:rPr>
            <w:noProof/>
            <w:webHidden/>
          </w:rPr>
          <w:fldChar w:fldCharType="separate"/>
        </w:r>
        <w:r w:rsidR="00263A1B">
          <w:rPr>
            <w:noProof/>
            <w:webHidden/>
          </w:rPr>
          <w:t>32</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899" w:history="1">
        <w:r w:rsidR="000066CE" w:rsidRPr="00174ABC">
          <w:rPr>
            <w:rStyle w:val="Hypertextovodkaz"/>
            <w:noProof/>
          </w:rPr>
          <w:t>1.2.2.3.3.1</w:t>
        </w:r>
        <w:r w:rsidR="000066CE">
          <w:rPr>
            <w:rFonts w:eastAsiaTheme="minorEastAsia" w:cstheme="minorBidi"/>
            <w:noProof/>
            <w:sz w:val="22"/>
            <w:szCs w:val="22"/>
            <w:lang w:eastAsia="cs-CZ"/>
          </w:rPr>
          <w:tab/>
        </w:r>
        <w:r w:rsidR="000066CE" w:rsidRPr="00174ABC">
          <w:rPr>
            <w:rStyle w:val="Hypertextovodkaz"/>
            <w:noProof/>
          </w:rPr>
          <w:t>Územní řízení</w:t>
        </w:r>
        <w:r w:rsidR="000066CE">
          <w:rPr>
            <w:noProof/>
            <w:webHidden/>
          </w:rPr>
          <w:tab/>
        </w:r>
        <w:r w:rsidR="000066CE">
          <w:rPr>
            <w:noProof/>
            <w:webHidden/>
          </w:rPr>
          <w:fldChar w:fldCharType="begin"/>
        </w:r>
        <w:r w:rsidR="000066CE">
          <w:rPr>
            <w:noProof/>
            <w:webHidden/>
          </w:rPr>
          <w:instrText xml:space="preserve"> PAGEREF _Toc536553899 \h </w:instrText>
        </w:r>
        <w:r w:rsidR="000066CE">
          <w:rPr>
            <w:noProof/>
            <w:webHidden/>
          </w:rPr>
        </w:r>
        <w:r w:rsidR="000066CE">
          <w:rPr>
            <w:noProof/>
            <w:webHidden/>
          </w:rPr>
          <w:fldChar w:fldCharType="separate"/>
        </w:r>
        <w:r w:rsidR="00263A1B">
          <w:rPr>
            <w:noProof/>
            <w:webHidden/>
          </w:rPr>
          <w:t>32</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900" w:history="1">
        <w:r w:rsidR="000066CE" w:rsidRPr="00174ABC">
          <w:rPr>
            <w:rStyle w:val="Hypertextovodkaz"/>
            <w:noProof/>
          </w:rPr>
          <w:t>1.2.2.3.3.2</w:t>
        </w:r>
        <w:r w:rsidR="000066CE">
          <w:rPr>
            <w:rFonts w:eastAsiaTheme="minorEastAsia" w:cstheme="minorBidi"/>
            <w:noProof/>
            <w:sz w:val="22"/>
            <w:szCs w:val="22"/>
            <w:lang w:eastAsia="cs-CZ"/>
          </w:rPr>
          <w:tab/>
        </w:r>
        <w:r w:rsidR="000066CE" w:rsidRPr="00174ABC">
          <w:rPr>
            <w:rStyle w:val="Hypertextovodkaz"/>
            <w:noProof/>
          </w:rPr>
          <w:t>Stavební řízení</w:t>
        </w:r>
        <w:r w:rsidR="000066CE">
          <w:rPr>
            <w:noProof/>
            <w:webHidden/>
          </w:rPr>
          <w:tab/>
        </w:r>
        <w:r w:rsidR="000066CE">
          <w:rPr>
            <w:noProof/>
            <w:webHidden/>
          </w:rPr>
          <w:fldChar w:fldCharType="begin"/>
        </w:r>
        <w:r w:rsidR="000066CE">
          <w:rPr>
            <w:noProof/>
            <w:webHidden/>
          </w:rPr>
          <w:instrText xml:space="preserve"> PAGEREF _Toc536553900 \h </w:instrText>
        </w:r>
        <w:r w:rsidR="000066CE">
          <w:rPr>
            <w:noProof/>
            <w:webHidden/>
          </w:rPr>
        </w:r>
        <w:r w:rsidR="000066CE">
          <w:rPr>
            <w:noProof/>
            <w:webHidden/>
          </w:rPr>
          <w:fldChar w:fldCharType="separate"/>
        </w:r>
        <w:r w:rsidR="00263A1B">
          <w:rPr>
            <w:noProof/>
            <w:webHidden/>
          </w:rPr>
          <w:t>33</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901" w:history="1">
        <w:r w:rsidR="000066CE" w:rsidRPr="00174ABC">
          <w:rPr>
            <w:rStyle w:val="Hypertextovodkaz"/>
            <w:noProof/>
          </w:rPr>
          <w:t>1.2.2.3.3.3</w:t>
        </w:r>
        <w:r w:rsidR="000066CE">
          <w:rPr>
            <w:rFonts w:eastAsiaTheme="minorEastAsia" w:cstheme="minorBidi"/>
            <w:noProof/>
            <w:sz w:val="22"/>
            <w:szCs w:val="22"/>
            <w:lang w:eastAsia="cs-CZ"/>
          </w:rPr>
          <w:tab/>
        </w:r>
        <w:r w:rsidR="000066CE" w:rsidRPr="00174ABC">
          <w:rPr>
            <w:rStyle w:val="Hypertextovodkaz"/>
            <w:noProof/>
          </w:rPr>
          <w:t>Kolaudační řízení</w:t>
        </w:r>
        <w:r w:rsidR="000066CE">
          <w:rPr>
            <w:noProof/>
            <w:webHidden/>
          </w:rPr>
          <w:tab/>
        </w:r>
        <w:r w:rsidR="000066CE">
          <w:rPr>
            <w:noProof/>
            <w:webHidden/>
          </w:rPr>
          <w:fldChar w:fldCharType="begin"/>
        </w:r>
        <w:r w:rsidR="000066CE">
          <w:rPr>
            <w:noProof/>
            <w:webHidden/>
          </w:rPr>
          <w:instrText xml:space="preserve"> PAGEREF _Toc536553901 \h </w:instrText>
        </w:r>
        <w:r w:rsidR="000066CE">
          <w:rPr>
            <w:noProof/>
            <w:webHidden/>
          </w:rPr>
        </w:r>
        <w:r w:rsidR="000066CE">
          <w:rPr>
            <w:noProof/>
            <w:webHidden/>
          </w:rPr>
          <w:fldChar w:fldCharType="separate"/>
        </w:r>
        <w:r w:rsidR="00263A1B">
          <w:rPr>
            <w:noProof/>
            <w:webHidden/>
          </w:rPr>
          <w:t>34</w:t>
        </w:r>
        <w:r w:rsidR="000066CE">
          <w:rPr>
            <w:noProof/>
            <w:webHidden/>
          </w:rPr>
          <w:fldChar w:fldCharType="end"/>
        </w:r>
      </w:hyperlink>
    </w:p>
    <w:p w:rsidR="000066CE" w:rsidRDefault="007750E9">
      <w:pPr>
        <w:pStyle w:val="Obsah6"/>
        <w:tabs>
          <w:tab w:val="left" w:pos="2195"/>
          <w:tab w:val="right" w:leader="dot" w:pos="9060"/>
        </w:tabs>
        <w:rPr>
          <w:rFonts w:eastAsiaTheme="minorEastAsia" w:cstheme="minorBidi"/>
          <w:noProof/>
          <w:sz w:val="22"/>
          <w:szCs w:val="22"/>
          <w:lang w:eastAsia="cs-CZ"/>
        </w:rPr>
      </w:pPr>
      <w:hyperlink w:anchor="_Toc536553902" w:history="1">
        <w:r w:rsidR="000066CE" w:rsidRPr="00174ABC">
          <w:rPr>
            <w:rStyle w:val="Hypertextovodkaz"/>
            <w:noProof/>
          </w:rPr>
          <w:t>1.2.2.3.3.4</w:t>
        </w:r>
        <w:r w:rsidR="000066CE">
          <w:rPr>
            <w:rFonts w:eastAsiaTheme="minorEastAsia" w:cstheme="minorBidi"/>
            <w:noProof/>
            <w:sz w:val="22"/>
            <w:szCs w:val="22"/>
            <w:lang w:eastAsia="cs-CZ"/>
          </w:rPr>
          <w:tab/>
        </w:r>
        <w:r w:rsidR="000066CE" w:rsidRPr="00174ABC">
          <w:rPr>
            <w:rStyle w:val="Hypertextovodkaz"/>
            <w:noProof/>
          </w:rPr>
          <w:t>Stávající problémy povolování staveb</w:t>
        </w:r>
        <w:r w:rsidR="000066CE">
          <w:rPr>
            <w:noProof/>
            <w:webHidden/>
          </w:rPr>
          <w:tab/>
        </w:r>
        <w:r w:rsidR="000066CE">
          <w:rPr>
            <w:noProof/>
            <w:webHidden/>
          </w:rPr>
          <w:fldChar w:fldCharType="begin"/>
        </w:r>
        <w:r w:rsidR="000066CE">
          <w:rPr>
            <w:noProof/>
            <w:webHidden/>
          </w:rPr>
          <w:instrText xml:space="preserve"> PAGEREF _Toc536553902 \h </w:instrText>
        </w:r>
        <w:r w:rsidR="000066CE">
          <w:rPr>
            <w:noProof/>
            <w:webHidden/>
          </w:rPr>
        </w:r>
        <w:r w:rsidR="000066CE">
          <w:rPr>
            <w:noProof/>
            <w:webHidden/>
          </w:rPr>
          <w:fldChar w:fldCharType="separate"/>
        </w:r>
        <w:r w:rsidR="00263A1B">
          <w:rPr>
            <w:noProof/>
            <w:webHidden/>
          </w:rPr>
          <w:t>35</w:t>
        </w:r>
        <w:r w:rsidR="000066CE">
          <w:rPr>
            <w:noProof/>
            <w:webHidden/>
          </w:rPr>
          <w:fldChar w:fldCharType="end"/>
        </w:r>
      </w:hyperlink>
    </w:p>
    <w:p w:rsidR="000066CE" w:rsidRDefault="007750E9">
      <w:pPr>
        <w:pStyle w:val="Obsah5"/>
        <w:tabs>
          <w:tab w:val="left" w:pos="1920"/>
          <w:tab w:val="right" w:leader="dot" w:pos="9060"/>
        </w:tabs>
        <w:rPr>
          <w:rFonts w:eastAsiaTheme="minorEastAsia" w:cstheme="minorBidi"/>
          <w:noProof/>
          <w:sz w:val="22"/>
          <w:szCs w:val="22"/>
          <w:lang w:eastAsia="cs-CZ"/>
        </w:rPr>
      </w:pPr>
      <w:hyperlink w:anchor="_Toc536553903" w:history="1">
        <w:r w:rsidR="000066CE" w:rsidRPr="00174ABC">
          <w:rPr>
            <w:rStyle w:val="Hypertextovodkaz"/>
            <w:noProof/>
          </w:rPr>
          <w:t>1.2.2.3.4</w:t>
        </w:r>
        <w:r w:rsidR="000066CE">
          <w:rPr>
            <w:rFonts w:eastAsiaTheme="minorEastAsia" w:cstheme="minorBidi"/>
            <w:noProof/>
            <w:sz w:val="22"/>
            <w:szCs w:val="22"/>
            <w:lang w:eastAsia="cs-CZ"/>
          </w:rPr>
          <w:tab/>
        </w:r>
        <w:r w:rsidR="000066CE" w:rsidRPr="00174ABC">
          <w:rPr>
            <w:rStyle w:val="Hypertextovodkaz"/>
            <w:noProof/>
          </w:rPr>
          <w:t>Řízení o vyvlastnění</w:t>
        </w:r>
        <w:r w:rsidR="000066CE">
          <w:rPr>
            <w:noProof/>
            <w:webHidden/>
          </w:rPr>
          <w:tab/>
        </w:r>
        <w:r w:rsidR="000066CE">
          <w:rPr>
            <w:noProof/>
            <w:webHidden/>
          </w:rPr>
          <w:fldChar w:fldCharType="begin"/>
        </w:r>
        <w:r w:rsidR="000066CE">
          <w:rPr>
            <w:noProof/>
            <w:webHidden/>
          </w:rPr>
          <w:instrText xml:space="preserve"> PAGEREF _Toc536553903 \h </w:instrText>
        </w:r>
        <w:r w:rsidR="000066CE">
          <w:rPr>
            <w:noProof/>
            <w:webHidden/>
          </w:rPr>
        </w:r>
        <w:r w:rsidR="000066CE">
          <w:rPr>
            <w:noProof/>
            <w:webHidden/>
          </w:rPr>
          <w:fldChar w:fldCharType="separate"/>
        </w:r>
        <w:r w:rsidR="00263A1B">
          <w:rPr>
            <w:noProof/>
            <w:webHidden/>
          </w:rPr>
          <w:t>36</w:t>
        </w:r>
        <w:r w:rsidR="000066CE">
          <w:rPr>
            <w:noProof/>
            <w:webHidden/>
          </w:rPr>
          <w:fldChar w:fldCharType="end"/>
        </w:r>
      </w:hyperlink>
    </w:p>
    <w:p w:rsidR="000066CE" w:rsidRDefault="007750E9">
      <w:pPr>
        <w:pStyle w:val="Obsah5"/>
        <w:tabs>
          <w:tab w:val="left" w:pos="1920"/>
          <w:tab w:val="right" w:leader="dot" w:pos="9060"/>
        </w:tabs>
        <w:rPr>
          <w:rFonts w:eastAsiaTheme="minorEastAsia" w:cstheme="minorBidi"/>
          <w:noProof/>
          <w:sz w:val="22"/>
          <w:szCs w:val="22"/>
          <w:lang w:eastAsia="cs-CZ"/>
        </w:rPr>
      </w:pPr>
      <w:hyperlink w:anchor="_Toc536553904" w:history="1">
        <w:r w:rsidR="000066CE" w:rsidRPr="00174ABC">
          <w:rPr>
            <w:rStyle w:val="Hypertextovodkaz"/>
            <w:noProof/>
          </w:rPr>
          <w:t>1.2.2.3.5</w:t>
        </w:r>
        <w:r w:rsidR="000066CE">
          <w:rPr>
            <w:rFonts w:eastAsiaTheme="minorEastAsia" w:cstheme="minorBidi"/>
            <w:noProof/>
            <w:sz w:val="22"/>
            <w:szCs w:val="22"/>
            <w:lang w:eastAsia="cs-CZ"/>
          </w:rPr>
          <w:tab/>
        </w:r>
        <w:r w:rsidR="000066CE" w:rsidRPr="00174ABC">
          <w:rPr>
            <w:rStyle w:val="Hypertextovodkaz"/>
            <w:noProof/>
          </w:rPr>
          <w:t>Problém systémové podjatosti</w:t>
        </w:r>
        <w:r w:rsidR="000066CE">
          <w:rPr>
            <w:noProof/>
            <w:webHidden/>
          </w:rPr>
          <w:tab/>
        </w:r>
        <w:r w:rsidR="000066CE">
          <w:rPr>
            <w:noProof/>
            <w:webHidden/>
          </w:rPr>
          <w:fldChar w:fldCharType="begin"/>
        </w:r>
        <w:r w:rsidR="000066CE">
          <w:rPr>
            <w:noProof/>
            <w:webHidden/>
          </w:rPr>
          <w:instrText xml:space="preserve"> PAGEREF _Toc536553904 \h </w:instrText>
        </w:r>
        <w:r w:rsidR="000066CE">
          <w:rPr>
            <w:noProof/>
            <w:webHidden/>
          </w:rPr>
        </w:r>
        <w:r w:rsidR="000066CE">
          <w:rPr>
            <w:noProof/>
            <w:webHidden/>
          </w:rPr>
          <w:fldChar w:fldCharType="separate"/>
        </w:r>
        <w:r w:rsidR="00263A1B">
          <w:rPr>
            <w:noProof/>
            <w:webHidden/>
          </w:rPr>
          <w:t>37</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05" w:history="1">
        <w:r w:rsidR="000066CE" w:rsidRPr="00174ABC">
          <w:rPr>
            <w:rStyle w:val="Hypertextovodkaz"/>
            <w:noProof/>
          </w:rPr>
          <w:t>1.3</w:t>
        </w:r>
        <w:r w:rsidR="000066CE">
          <w:rPr>
            <w:rFonts w:eastAsiaTheme="minorEastAsia" w:cstheme="minorBidi"/>
            <w:smallCaps w:val="0"/>
            <w:noProof/>
            <w:sz w:val="22"/>
            <w:szCs w:val="22"/>
            <w:lang w:eastAsia="cs-CZ"/>
          </w:rPr>
          <w:tab/>
        </w:r>
        <w:r w:rsidR="000066CE" w:rsidRPr="00174ABC">
          <w:rPr>
            <w:rStyle w:val="Hypertextovodkaz"/>
            <w:noProof/>
          </w:rPr>
          <w:t>Popis existujícího právního stavu v dané oblasti</w:t>
        </w:r>
        <w:r w:rsidR="000066CE">
          <w:rPr>
            <w:noProof/>
            <w:webHidden/>
          </w:rPr>
          <w:tab/>
        </w:r>
        <w:r w:rsidR="000066CE">
          <w:rPr>
            <w:noProof/>
            <w:webHidden/>
          </w:rPr>
          <w:fldChar w:fldCharType="begin"/>
        </w:r>
        <w:r w:rsidR="000066CE">
          <w:rPr>
            <w:noProof/>
            <w:webHidden/>
          </w:rPr>
          <w:instrText xml:space="preserve"> PAGEREF _Toc536553905 \h </w:instrText>
        </w:r>
        <w:r w:rsidR="000066CE">
          <w:rPr>
            <w:noProof/>
            <w:webHidden/>
          </w:rPr>
        </w:r>
        <w:r w:rsidR="000066CE">
          <w:rPr>
            <w:noProof/>
            <w:webHidden/>
          </w:rPr>
          <w:fldChar w:fldCharType="separate"/>
        </w:r>
        <w:r w:rsidR="00263A1B">
          <w:rPr>
            <w:noProof/>
            <w:webHidden/>
          </w:rPr>
          <w:t>38</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06" w:history="1">
        <w:r w:rsidR="000066CE" w:rsidRPr="00174ABC">
          <w:rPr>
            <w:rStyle w:val="Hypertextovodkaz"/>
            <w:noProof/>
          </w:rPr>
          <w:t>1.4</w:t>
        </w:r>
        <w:r w:rsidR="000066CE">
          <w:rPr>
            <w:rFonts w:eastAsiaTheme="minorEastAsia" w:cstheme="minorBidi"/>
            <w:smallCaps w:val="0"/>
            <w:noProof/>
            <w:sz w:val="22"/>
            <w:szCs w:val="22"/>
            <w:lang w:eastAsia="cs-CZ"/>
          </w:rPr>
          <w:tab/>
        </w:r>
        <w:r w:rsidR="000066CE" w:rsidRPr="00174ABC">
          <w:rPr>
            <w:rStyle w:val="Hypertextovodkaz"/>
            <w:noProof/>
          </w:rPr>
          <w:t>Identifikace dotčených subjektů</w:t>
        </w:r>
        <w:r w:rsidR="000066CE">
          <w:rPr>
            <w:noProof/>
            <w:webHidden/>
          </w:rPr>
          <w:tab/>
        </w:r>
        <w:r w:rsidR="000066CE">
          <w:rPr>
            <w:noProof/>
            <w:webHidden/>
          </w:rPr>
          <w:fldChar w:fldCharType="begin"/>
        </w:r>
        <w:r w:rsidR="000066CE">
          <w:rPr>
            <w:noProof/>
            <w:webHidden/>
          </w:rPr>
          <w:instrText xml:space="preserve"> PAGEREF _Toc536553906 \h </w:instrText>
        </w:r>
        <w:r w:rsidR="000066CE">
          <w:rPr>
            <w:noProof/>
            <w:webHidden/>
          </w:rPr>
        </w:r>
        <w:r w:rsidR="000066CE">
          <w:rPr>
            <w:noProof/>
            <w:webHidden/>
          </w:rPr>
          <w:fldChar w:fldCharType="separate"/>
        </w:r>
        <w:r w:rsidR="00263A1B">
          <w:rPr>
            <w:noProof/>
            <w:webHidden/>
          </w:rPr>
          <w:t>40</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07" w:history="1">
        <w:r w:rsidR="000066CE" w:rsidRPr="00174ABC">
          <w:rPr>
            <w:rStyle w:val="Hypertextovodkaz"/>
            <w:noProof/>
          </w:rPr>
          <w:t>1.5</w:t>
        </w:r>
        <w:r w:rsidR="000066CE">
          <w:rPr>
            <w:rFonts w:eastAsiaTheme="minorEastAsia" w:cstheme="minorBidi"/>
            <w:smallCaps w:val="0"/>
            <w:noProof/>
            <w:sz w:val="22"/>
            <w:szCs w:val="22"/>
            <w:lang w:eastAsia="cs-CZ"/>
          </w:rPr>
          <w:tab/>
        </w:r>
        <w:r w:rsidR="000066CE" w:rsidRPr="00174ABC">
          <w:rPr>
            <w:rStyle w:val="Hypertextovodkaz"/>
            <w:noProof/>
          </w:rPr>
          <w:t>Popis cílového stavu</w:t>
        </w:r>
        <w:r w:rsidR="000066CE">
          <w:rPr>
            <w:noProof/>
            <w:webHidden/>
          </w:rPr>
          <w:tab/>
        </w:r>
        <w:r w:rsidR="000066CE">
          <w:rPr>
            <w:noProof/>
            <w:webHidden/>
          </w:rPr>
          <w:fldChar w:fldCharType="begin"/>
        </w:r>
        <w:r w:rsidR="000066CE">
          <w:rPr>
            <w:noProof/>
            <w:webHidden/>
          </w:rPr>
          <w:instrText xml:space="preserve"> PAGEREF _Toc536553907 \h </w:instrText>
        </w:r>
        <w:r w:rsidR="000066CE">
          <w:rPr>
            <w:noProof/>
            <w:webHidden/>
          </w:rPr>
        </w:r>
        <w:r w:rsidR="000066CE">
          <w:rPr>
            <w:noProof/>
            <w:webHidden/>
          </w:rPr>
          <w:fldChar w:fldCharType="separate"/>
        </w:r>
        <w:r w:rsidR="00263A1B">
          <w:rPr>
            <w:noProof/>
            <w:webHidden/>
          </w:rPr>
          <w:t>43</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08" w:history="1">
        <w:r w:rsidR="000066CE" w:rsidRPr="00174ABC">
          <w:rPr>
            <w:rStyle w:val="Hypertextovodkaz"/>
            <w:noProof/>
          </w:rPr>
          <w:t>1.6</w:t>
        </w:r>
        <w:r w:rsidR="000066CE">
          <w:rPr>
            <w:rFonts w:eastAsiaTheme="minorEastAsia" w:cstheme="minorBidi"/>
            <w:smallCaps w:val="0"/>
            <w:noProof/>
            <w:sz w:val="22"/>
            <w:szCs w:val="22"/>
            <w:lang w:eastAsia="cs-CZ"/>
          </w:rPr>
          <w:tab/>
        </w:r>
        <w:r w:rsidR="000066CE" w:rsidRPr="00174ABC">
          <w:rPr>
            <w:rStyle w:val="Hypertextovodkaz"/>
            <w:noProof/>
          </w:rPr>
          <w:t>Zhodnocení rizik</w:t>
        </w:r>
        <w:r w:rsidR="000066CE">
          <w:rPr>
            <w:noProof/>
            <w:webHidden/>
          </w:rPr>
          <w:tab/>
        </w:r>
        <w:r w:rsidR="000066CE">
          <w:rPr>
            <w:noProof/>
            <w:webHidden/>
          </w:rPr>
          <w:fldChar w:fldCharType="begin"/>
        </w:r>
        <w:r w:rsidR="000066CE">
          <w:rPr>
            <w:noProof/>
            <w:webHidden/>
          </w:rPr>
          <w:instrText xml:space="preserve"> PAGEREF _Toc536553908 \h </w:instrText>
        </w:r>
        <w:r w:rsidR="000066CE">
          <w:rPr>
            <w:noProof/>
            <w:webHidden/>
          </w:rPr>
        </w:r>
        <w:r w:rsidR="000066CE">
          <w:rPr>
            <w:noProof/>
            <w:webHidden/>
          </w:rPr>
          <w:fldChar w:fldCharType="separate"/>
        </w:r>
        <w:r w:rsidR="00263A1B">
          <w:rPr>
            <w:noProof/>
            <w:webHidden/>
          </w:rPr>
          <w:t>43</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09" w:history="1">
        <w:r w:rsidR="000066CE" w:rsidRPr="00174ABC">
          <w:rPr>
            <w:rStyle w:val="Hypertextovodkaz"/>
            <w:noProof/>
          </w:rPr>
          <w:t>2 - 3 Návrh variant řešení, vyhodnocení nákladů a přínosů - hodnocení dopadů opatření jednotlivých věcně souvisejících okruhů</w:t>
        </w:r>
        <w:r w:rsidR="000066CE">
          <w:rPr>
            <w:noProof/>
            <w:webHidden/>
          </w:rPr>
          <w:tab/>
        </w:r>
        <w:r w:rsidR="000066CE">
          <w:rPr>
            <w:noProof/>
            <w:webHidden/>
          </w:rPr>
          <w:fldChar w:fldCharType="begin"/>
        </w:r>
        <w:r w:rsidR="000066CE">
          <w:rPr>
            <w:noProof/>
            <w:webHidden/>
          </w:rPr>
          <w:instrText xml:space="preserve"> PAGEREF _Toc536553909 \h </w:instrText>
        </w:r>
        <w:r w:rsidR="000066CE">
          <w:rPr>
            <w:noProof/>
            <w:webHidden/>
          </w:rPr>
        </w:r>
        <w:r w:rsidR="000066CE">
          <w:rPr>
            <w:noProof/>
            <w:webHidden/>
          </w:rPr>
          <w:fldChar w:fldCharType="separate"/>
        </w:r>
        <w:r w:rsidR="00263A1B">
          <w:rPr>
            <w:noProof/>
            <w:webHidden/>
          </w:rPr>
          <w:t>45</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10" w:history="1">
        <w:r w:rsidR="000066CE" w:rsidRPr="00174ABC">
          <w:rPr>
            <w:rStyle w:val="Hypertextovodkaz"/>
            <w:noProof/>
          </w:rPr>
          <w:t>A.</w:t>
        </w:r>
        <w:r w:rsidR="000066CE">
          <w:rPr>
            <w:rFonts w:eastAsiaTheme="minorEastAsia" w:cstheme="minorBidi"/>
            <w:smallCaps w:val="0"/>
            <w:noProof/>
            <w:sz w:val="22"/>
            <w:szCs w:val="22"/>
            <w:lang w:eastAsia="cs-CZ"/>
          </w:rPr>
          <w:tab/>
        </w:r>
        <w:r w:rsidR="000066CE" w:rsidRPr="00174ABC">
          <w:rPr>
            <w:rStyle w:val="Hypertextovodkaz"/>
            <w:noProof/>
          </w:rPr>
          <w:t>INSTITUCIONÁLNÍ ZMĚNY</w:t>
        </w:r>
        <w:r w:rsidR="000066CE">
          <w:rPr>
            <w:noProof/>
            <w:webHidden/>
          </w:rPr>
          <w:tab/>
        </w:r>
        <w:r w:rsidR="000066CE">
          <w:rPr>
            <w:noProof/>
            <w:webHidden/>
          </w:rPr>
          <w:fldChar w:fldCharType="begin"/>
        </w:r>
        <w:r w:rsidR="000066CE">
          <w:rPr>
            <w:noProof/>
            <w:webHidden/>
          </w:rPr>
          <w:instrText xml:space="preserve"> PAGEREF _Toc536553910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7750E9">
      <w:pPr>
        <w:pStyle w:val="Obsah3"/>
        <w:tabs>
          <w:tab w:val="left" w:pos="960"/>
          <w:tab w:val="right" w:leader="dot" w:pos="9060"/>
        </w:tabs>
        <w:rPr>
          <w:rFonts w:eastAsiaTheme="minorEastAsia" w:cstheme="minorBidi"/>
          <w:i w:val="0"/>
          <w:iCs w:val="0"/>
          <w:noProof/>
          <w:sz w:val="22"/>
          <w:szCs w:val="22"/>
          <w:lang w:eastAsia="cs-CZ"/>
        </w:rPr>
      </w:pPr>
      <w:hyperlink w:anchor="_Toc536553911" w:history="1">
        <w:r w:rsidR="000066CE" w:rsidRPr="00174ABC">
          <w:rPr>
            <w:rStyle w:val="Hypertextovodkaz"/>
            <w:rFonts w:asciiTheme="majorHAnsi" w:hAnsiTheme="majorHAnsi"/>
            <w:noProof/>
          </w:rPr>
          <w:t>A.1</w:t>
        </w:r>
        <w:r w:rsidR="000066CE">
          <w:rPr>
            <w:rFonts w:eastAsiaTheme="minorEastAsia" w:cstheme="minorBidi"/>
            <w:i w:val="0"/>
            <w:iCs w:val="0"/>
            <w:noProof/>
            <w:sz w:val="22"/>
            <w:szCs w:val="22"/>
            <w:lang w:eastAsia="cs-CZ"/>
          </w:rPr>
          <w:tab/>
        </w:r>
        <w:r w:rsidR="000066CE" w:rsidRPr="00174ABC">
          <w:rPr>
            <w:rStyle w:val="Hypertextovodkaz"/>
            <w:noProof/>
          </w:rPr>
          <w:t>Struktura orgánů územního plánování a stavebních úřadů</w:t>
        </w:r>
        <w:r w:rsidR="000066CE">
          <w:rPr>
            <w:noProof/>
            <w:webHidden/>
          </w:rPr>
          <w:tab/>
        </w:r>
        <w:r w:rsidR="000066CE">
          <w:rPr>
            <w:noProof/>
            <w:webHidden/>
          </w:rPr>
          <w:fldChar w:fldCharType="begin"/>
        </w:r>
        <w:r w:rsidR="000066CE">
          <w:rPr>
            <w:noProof/>
            <w:webHidden/>
          </w:rPr>
          <w:instrText xml:space="preserve"> PAGEREF _Toc536553911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2" w:history="1">
        <w:r w:rsidR="000066CE" w:rsidRPr="00174ABC">
          <w:rPr>
            <w:rStyle w:val="Hypertextovodkaz"/>
            <w:noProof/>
          </w:rPr>
          <w:t>A.1.1 Popis současného stavu</w:t>
        </w:r>
        <w:r w:rsidR="000066CE">
          <w:rPr>
            <w:noProof/>
            <w:webHidden/>
          </w:rPr>
          <w:tab/>
        </w:r>
        <w:r w:rsidR="000066CE">
          <w:rPr>
            <w:noProof/>
            <w:webHidden/>
          </w:rPr>
          <w:fldChar w:fldCharType="begin"/>
        </w:r>
        <w:r w:rsidR="000066CE">
          <w:rPr>
            <w:noProof/>
            <w:webHidden/>
          </w:rPr>
          <w:instrText xml:space="preserve"> PAGEREF _Toc536553912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3" w:history="1">
        <w:r w:rsidR="000066CE" w:rsidRPr="00174ABC">
          <w:rPr>
            <w:rStyle w:val="Hypertextovodkaz"/>
            <w:noProof/>
          </w:rPr>
          <w:t>A.1.1.1 Úřady územního plánování</w:t>
        </w:r>
        <w:r w:rsidR="000066CE">
          <w:rPr>
            <w:noProof/>
            <w:webHidden/>
          </w:rPr>
          <w:tab/>
        </w:r>
        <w:r w:rsidR="000066CE">
          <w:rPr>
            <w:noProof/>
            <w:webHidden/>
          </w:rPr>
          <w:fldChar w:fldCharType="begin"/>
        </w:r>
        <w:r w:rsidR="000066CE">
          <w:rPr>
            <w:noProof/>
            <w:webHidden/>
          </w:rPr>
          <w:instrText xml:space="preserve"> PAGEREF _Toc536553913 \h </w:instrText>
        </w:r>
        <w:r w:rsidR="000066CE">
          <w:rPr>
            <w:noProof/>
            <w:webHidden/>
          </w:rPr>
        </w:r>
        <w:r w:rsidR="000066CE">
          <w:rPr>
            <w:noProof/>
            <w:webHidden/>
          </w:rPr>
          <w:fldChar w:fldCharType="separate"/>
        </w:r>
        <w:r w:rsidR="00263A1B">
          <w:rPr>
            <w:noProof/>
            <w:webHidden/>
          </w:rPr>
          <w:t>47</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4" w:history="1">
        <w:r w:rsidR="000066CE" w:rsidRPr="00174ABC">
          <w:rPr>
            <w:rStyle w:val="Hypertextovodkaz"/>
            <w:noProof/>
          </w:rPr>
          <w:t>A.1.1.2 Obecné stavební úřady (OSÚ)</w:t>
        </w:r>
        <w:r w:rsidR="000066CE">
          <w:rPr>
            <w:noProof/>
            <w:webHidden/>
          </w:rPr>
          <w:tab/>
        </w:r>
        <w:r w:rsidR="000066CE">
          <w:rPr>
            <w:noProof/>
            <w:webHidden/>
          </w:rPr>
          <w:fldChar w:fldCharType="begin"/>
        </w:r>
        <w:r w:rsidR="000066CE">
          <w:rPr>
            <w:noProof/>
            <w:webHidden/>
          </w:rPr>
          <w:instrText xml:space="preserve"> PAGEREF _Toc536553914 \h </w:instrText>
        </w:r>
        <w:r w:rsidR="000066CE">
          <w:rPr>
            <w:noProof/>
            <w:webHidden/>
          </w:rPr>
        </w:r>
        <w:r w:rsidR="000066CE">
          <w:rPr>
            <w:noProof/>
            <w:webHidden/>
          </w:rPr>
          <w:fldChar w:fldCharType="separate"/>
        </w:r>
        <w:r w:rsidR="00263A1B">
          <w:rPr>
            <w:noProof/>
            <w:webHidden/>
          </w:rPr>
          <w:t>49</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5" w:history="1">
        <w:r w:rsidR="000066CE" w:rsidRPr="00174ABC">
          <w:rPr>
            <w:rStyle w:val="Hypertextovodkaz"/>
            <w:noProof/>
          </w:rPr>
          <w:t>A.1.1.3 Speciální stavební úřady (SSÚ)</w:t>
        </w:r>
        <w:r w:rsidR="000066CE">
          <w:rPr>
            <w:noProof/>
            <w:webHidden/>
          </w:rPr>
          <w:tab/>
        </w:r>
        <w:r w:rsidR="000066CE">
          <w:rPr>
            <w:noProof/>
            <w:webHidden/>
          </w:rPr>
          <w:fldChar w:fldCharType="begin"/>
        </w:r>
        <w:r w:rsidR="000066CE">
          <w:rPr>
            <w:noProof/>
            <w:webHidden/>
          </w:rPr>
          <w:instrText xml:space="preserve"> PAGEREF _Toc536553915 \h </w:instrText>
        </w:r>
        <w:r w:rsidR="000066CE">
          <w:rPr>
            <w:noProof/>
            <w:webHidden/>
          </w:rPr>
        </w:r>
        <w:r w:rsidR="000066CE">
          <w:rPr>
            <w:noProof/>
            <w:webHidden/>
          </w:rPr>
          <w:fldChar w:fldCharType="separate"/>
        </w:r>
        <w:r w:rsidR="00263A1B">
          <w:rPr>
            <w:noProof/>
            <w:webHidden/>
          </w:rPr>
          <w:t>54</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6" w:history="1">
        <w:r w:rsidR="000066CE" w:rsidRPr="00174ABC">
          <w:rPr>
            <w:rStyle w:val="Hypertextovodkaz"/>
            <w:noProof/>
          </w:rPr>
          <w:t>A.1.2 Definice problémů spojených se současnou institucionální strukturou</w:t>
        </w:r>
        <w:r w:rsidR="000066CE">
          <w:rPr>
            <w:noProof/>
            <w:webHidden/>
          </w:rPr>
          <w:tab/>
        </w:r>
        <w:r w:rsidR="000066CE">
          <w:rPr>
            <w:noProof/>
            <w:webHidden/>
          </w:rPr>
          <w:fldChar w:fldCharType="begin"/>
        </w:r>
        <w:r w:rsidR="000066CE">
          <w:rPr>
            <w:noProof/>
            <w:webHidden/>
          </w:rPr>
          <w:instrText xml:space="preserve"> PAGEREF _Toc536553916 \h </w:instrText>
        </w:r>
        <w:r w:rsidR="000066CE">
          <w:rPr>
            <w:noProof/>
            <w:webHidden/>
          </w:rPr>
        </w:r>
        <w:r w:rsidR="000066CE">
          <w:rPr>
            <w:noProof/>
            <w:webHidden/>
          </w:rPr>
          <w:fldChar w:fldCharType="separate"/>
        </w:r>
        <w:r w:rsidR="00263A1B">
          <w:rPr>
            <w:noProof/>
            <w:webHidden/>
          </w:rPr>
          <w:t>56</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7" w:history="1">
        <w:r w:rsidR="000066CE" w:rsidRPr="00174ABC">
          <w:rPr>
            <w:rStyle w:val="Hypertextovodkaz"/>
            <w:noProof/>
          </w:rPr>
          <w:t>A.1.3 Hodnocení řešeného věcného okruhu</w:t>
        </w:r>
        <w:r w:rsidR="000066CE">
          <w:rPr>
            <w:noProof/>
            <w:webHidden/>
          </w:rPr>
          <w:tab/>
        </w:r>
        <w:r w:rsidR="000066CE">
          <w:rPr>
            <w:noProof/>
            <w:webHidden/>
          </w:rPr>
          <w:fldChar w:fldCharType="begin"/>
        </w:r>
        <w:r w:rsidR="000066CE">
          <w:rPr>
            <w:noProof/>
            <w:webHidden/>
          </w:rPr>
          <w:instrText xml:space="preserve"> PAGEREF _Toc536553917 \h </w:instrText>
        </w:r>
        <w:r w:rsidR="000066CE">
          <w:rPr>
            <w:noProof/>
            <w:webHidden/>
          </w:rPr>
        </w:r>
        <w:r w:rsidR="000066CE">
          <w:rPr>
            <w:noProof/>
            <w:webHidden/>
          </w:rPr>
          <w:fldChar w:fldCharType="separate"/>
        </w:r>
        <w:r w:rsidR="00263A1B">
          <w:rPr>
            <w:noProof/>
            <w:webHidden/>
          </w:rPr>
          <w:t>57</w:t>
        </w:r>
        <w:r w:rsidR="000066CE">
          <w:rPr>
            <w:noProof/>
            <w:webHidden/>
          </w:rPr>
          <w:fldChar w:fldCharType="end"/>
        </w:r>
      </w:hyperlink>
    </w:p>
    <w:p w:rsidR="000066CE" w:rsidRDefault="007750E9">
      <w:pPr>
        <w:pStyle w:val="Obsah3"/>
        <w:tabs>
          <w:tab w:val="left" w:pos="960"/>
          <w:tab w:val="right" w:leader="dot" w:pos="9060"/>
        </w:tabs>
        <w:rPr>
          <w:rFonts w:eastAsiaTheme="minorEastAsia" w:cstheme="minorBidi"/>
          <w:i w:val="0"/>
          <w:iCs w:val="0"/>
          <w:noProof/>
          <w:sz w:val="22"/>
          <w:szCs w:val="22"/>
          <w:lang w:eastAsia="cs-CZ"/>
        </w:rPr>
      </w:pPr>
      <w:hyperlink w:anchor="_Toc536553918" w:history="1">
        <w:r w:rsidR="000066CE" w:rsidRPr="00174ABC">
          <w:rPr>
            <w:rStyle w:val="Hypertextovodkaz"/>
            <w:rFonts w:asciiTheme="majorHAnsi" w:hAnsiTheme="majorHAnsi"/>
            <w:noProof/>
          </w:rPr>
          <w:t>A.2</w:t>
        </w:r>
        <w:r w:rsidR="000066CE">
          <w:rPr>
            <w:rFonts w:eastAsiaTheme="minorEastAsia" w:cstheme="minorBidi"/>
            <w:i w:val="0"/>
            <w:iCs w:val="0"/>
            <w:noProof/>
            <w:sz w:val="22"/>
            <w:szCs w:val="22"/>
            <w:lang w:eastAsia="cs-CZ"/>
          </w:rPr>
          <w:tab/>
        </w:r>
        <w:r w:rsidR="000066CE" w:rsidRPr="00174ABC">
          <w:rPr>
            <w:rStyle w:val="Hypertextovodkaz"/>
            <w:noProof/>
          </w:rPr>
          <w:t>Dotčené orgány (DO)</w:t>
        </w:r>
        <w:r w:rsidR="000066CE">
          <w:rPr>
            <w:noProof/>
            <w:webHidden/>
          </w:rPr>
          <w:tab/>
        </w:r>
        <w:r w:rsidR="000066CE">
          <w:rPr>
            <w:noProof/>
            <w:webHidden/>
          </w:rPr>
          <w:fldChar w:fldCharType="begin"/>
        </w:r>
        <w:r w:rsidR="000066CE">
          <w:rPr>
            <w:noProof/>
            <w:webHidden/>
          </w:rPr>
          <w:instrText xml:space="preserve"> PAGEREF _Toc536553918 \h </w:instrText>
        </w:r>
        <w:r w:rsidR="000066CE">
          <w:rPr>
            <w:noProof/>
            <w:webHidden/>
          </w:rPr>
        </w:r>
        <w:r w:rsidR="000066CE">
          <w:rPr>
            <w:noProof/>
            <w:webHidden/>
          </w:rPr>
          <w:fldChar w:fldCharType="separate"/>
        </w:r>
        <w:r w:rsidR="00263A1B">
          <w:rPr>
            <w:noProof/>
            <w:webHidden/>
          </w:rPr>
          <w:t>71</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19" w:history="1">
        <w:r w:rsidR="000066CE" w:rsidRPr="00174ABC">
          <w:rPr>
            <w:rStyle w:val="Hypertextovodkaz"/>
            <w:noProof/>
          </w:rPr>
          <w:t>A.2.1. Popis současného stavu:</w:t>
        </w:r>
        <w:r w:rsidR="000066CE">
          <w:rPr>
            <w:noProof/>
            <w:webHidden/>
          </w:rPr>
          <w:tab/>
        </w:r>
        <w:r w:rsidR="000066CE">
          <w:rPr>
            <w:noProof/>
            <w:webHidden/>
          </w:rPr>
          <w:fldChar w:fldCharType="begin"/>
        </w:r>
        <w:r w:rsidR="000066CE">
          <w:rPr>
            <w:noProof/>
            <w:webHidden/>
          </w:rPr>
          <w:instrText xml:space="preserve"> PAGEREF _Toc536553919 \h </w:instrText>
        </w:r>
        <w:r w:rsidR="000066CE">
          <w:rPr>
            <w:noProof/>
            <w:webHidden/>
          </w:rPr>
        </w:r>
        <w:r w:rsidR="000066CE">
          <w:rPr>
            <w:noProof/>
            <w:webHidden/>
          </w:rPr>
          <w:fldChar w:fldCharType="separate"/>
        </w:r>
        <w:r w:rsidR="00263A1B">
          <w:rPr>
            <w:noProof/>
            <w:webHidden/>
          </w:rPr>
          <w:t>71</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0" w:history="1">
        <w:r w:rsidR="000066CE" w:rsidRPr="00174ABC">
          <w:rPr>
            <w:rStyle w:val="Hypertextovodkaz"/>
            <w:noProof/>
          </w:rPr>
          <w:t>A.2.2 Definice problému</w:t>
        </w:r>
        <w:r w:rsidR="000066CE">
          <w:rPr>
            <w:noProof/>
            <w:webHidden/>
          </w:rPr>
          <w:tab/>
        </w:r>
        <w:r w:rsidR="000066CE">
          <w:rPr>
            <w:noProof/>
            <w:webHidden/>
          </w:rPr>
          <w:fldChar w:fldCharType="begin"/>
        </w:r>
        <w:r w:rsidR="000066CE">
          <w:rPr>
            <w:noProof/>
            <w:webHidden/>
          </w:rPr>
          <w:instrText xml:space="preserve"> PAGEREF _Toc536553920 \h </w:instrText>
        </w:r>
        <w:r w:rsidR="000066CE">
          <w:rPr>
            <w:noProof/>
            <w:webHidden/>
          </w:rPr>
        </w:r>
        <w:r w:rsidR="000066CE">
          <w:rPr>
            <w:noProof/>
            <w:webHidden/>
          </w:rPr>
          <w:fldChar w:fldCharType="separate"/>
        </w:r>
        <w:r w:rsidR="00263A1B">
          <w:rPr>
            <w:noProof/>
            <w:webHidden/>
          </w:rPr>
          <w:t>72</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1" w:history="1">
        <w:r w:rsidR="000066CE" w:rsidRPr="00174ABC">
          <w:rPr>
            <w:rStyle w:val="Hypertextovodkaz"/>
            <w:noProof/>
          </w:rPr>
          <w:t>A.2.3 Hodnocení řešeného věcného okruhu</w:t>
        </w:r>
        <w:r w:rsidR="000066CE">
          <w:rPr>
            <w:noProof/>
            <w:webHidden/>
          </w:rPr>
          <w:tab/>
        </w:r>
        <w:r w:rsidR="000066CE">
          <w:rPr>
            <w:noProof/>
            <w:webHidden/>
          </w:rPr>
          <w:fldChar w:fldCharType="begin"/>
        </w:r>
        <w:r w:rsidR="000066CE">
          <w:rPr>
            <w:noProof/>
            <w:webHidden/>
          </w:rPr>
          <w:instrText xml:space="preserve"> PAGEREF _Toc536553921 \h </w:instrText>
        </w:r>
        <w:r w:rsidR="000066CE">
          <w:rPr>
            <w:noProof/>
            <w:webHidden/>
          </w:rPr>
        </w:r>
        <w:r w:rsidR="000066CE">
          <w:rPr>
            <w:noProof/>
            <w:webHidden/>
          </w:rPr>
          <w:fldChar w:fldCharType="separate"/>
        </w:r>
        <w:r w:rsidR="00263A1B">
          <w:rPr>
            <w:noProof/>
            <w:webHidden/>
          </w:rPr>
          <w:t>73</w:t>
        </w:r>
        <w:r w:rsidR="000066CE">
          <w:rPr>
            <w:noProof/>
            <w:webHidden/>
          </w:rPr>
          <w:fldChar w:fldCharType="end"/>
        </w:r>
      </w:hyperlink>
    </w:p>
    <w:p w:rsidR="000066CE" w:rsidRDefault="007750E9">
      <w:pPr>
        <w:pStyle w:val="Obsah3"/>
        <w:tabs>
          <w:tab w:val="left" w:pos="960"/>
          <w:tab w:val="right" w:leader="dot" w:pos="9060"/>
        </w:tabs>
        <w:rPr>
          <w:rFonts w:eastAsiaTheme="minorEastAsia" w:cstheme="minorBidi"/>
          <w:i w:val="0"/>
          <w:iCs w:val="0"/>
          <w:noProof/>
          <w:sz w:val="22"/>
          <w:szCs w:val="22"/>
          <w:lang w:eastAsia="cs-CZ"/>
        </w:rPr>
      </w:pPr>
      <w:hyperlink w:anchor="_Toc536553922" w:history="1">
        <w:r w:rsidR="000066CE" w:rsidRPr="00174ABC">
          <w:rPr>
            <w:rStyle w:val="Hypertextovodkaz"/>
            <w:rFonts w:asciiTheme="majorHAnsi" w:hAnsiTheme="majorHAnsi"/>
            <w:noProof/>
          </w:rPr>
          <w:t>A.3</w:t>
        </w:r>
        <w:r w:rsidR="000066CE">
          <w:rPr>
            <w:rFonts w:eastAsiaTheme="minorEastAsia" w:cstheme="minorBidi"/>
            <w:i w:val="0"/>
            <w:iCs w:val="0"/>
            <w:noProof/>
            <w:sz w:val="22"/>
            <w:szCs w:val="22"/>
            <w:lang w:eastAsia="cs-CZ"/>
          </w:rPr>
          <w:tab/>
        </w:r>
        <w:r w:rsidR="000066CE" w:rsidRPr="00174ABC">
          <w:rPr>
            <w:rStyle w:val="Hypertextovodkaz"/>
            <w:noProof/>
          </w:rPr>
          <w:t>Elektronizace agendy stavebních úřadů</w:t>
        </w:r>
        <w:r w:rsidR="000066CE">
          <w:rPr>
            <w:noProof/>
            <w:webHidden/>
          </w:rPr>
          <w:tab/>
        </w:r>
        <w:r w:rsidR="000066CE">
          <w:rPr>
            <w:noProof/>
            <w:webHidden/>
          </w:rPr>
          <w:fldChar w:fldCharType="begin"/>
        </w:r>
        <w:r w:rsidR="000066CE">
          <w:rPr>
            <w:noProof/>
            <w:webHidden/>
          </w:rPr>
          <w:instrText xml:space="preserve"> PAGEREF _Toc536553922 \h </w:instrText>
        </w:r>
        <w:r w:rsidR="000066CE">
          <w:rPr>
            <w:noProof/>
            <w:webHidden/>
          </w:rPr>
        </w:r>
        <w:r w:rsidR="000066CE">
          <w:rPr>
            <w:noProof/>
            <w:webHidden/>
          </w:rPr>
          <w:fldChar w:fldCharType="separate"/>
        </w:r>
        <w:r w:rsidR="00263A1B">
          <w:rPr>
            <w:noProof/>
            <w:webHidden/>
          </w:rPr>
          <w:t>76</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3" w:history="1">
        <w:r w:rsidR="000066CE" w:rsidRPr="00174ABC">
          <w:rPr>
            <w:rStyle w:val="Hypertextovodkaz"/>
            <w:noProof/>
          </w:rPr>
          <w:t>A.3.1 Popis současného stavu a definice problému:</w:t>
        </w:r>
        <w:r w:rsidR="000066CE">
          <w:rPr>
            <w:noProof/>
            <w:webHidden/>
          </w:rPr>
          <w:tab/>
        </w:r>
        <w:r w:rsidR="000066CE">
          <w:rPr>
            <w:noProof/>
            <w:webHidden/>
          </w:rPr>
          <w:fldChar w:fldCharType="begin"/>
        </w:r>
        <w:r w:rsidR="000066CE">
          <w:rPr>
            <w:noProof/>
            <w:webHidden/>
          </w:rPr>
          <w:instrText xml:space="preserve"> PAGEREF _Toc536553923 \h </w:instrText>
        </w:r>
        <w:r w:rsidR="000066CE">
          <w:rPr>
            <w:noProof/>
            <w:webHidden/>
          </w:rPr>
        </w:r>
        <w:r w:rsidR="000066CE">
          <w:rPr>
            <w:noProof/>
            <w:webHidden/>
          </w:rPr>
          <w:fldChar w:fldCharType="separate"/>
        </w:r>
        <w:r w:rsidR="00263A1B">
          <w:rPr>
            <w:noProof/>
            <w:webHidden/>
          </w:rPr>
          <w:t>76</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4" w:history="1">
        <w:r w:rsidR="000066CE" w:rsidRPr="00174ABC">
          <w:rPr>
            <w:rStyle w:val="Hypertextovodkaz"/>
            <w:noProof/>
          </w:rPr>
          <w:t>A.3.2 Hodnocení řešeného věcného okruhu</w:t>
        </w:r>
        <w:r w:rsidR="000066CE">
          <w:rPr>
            <w:noProof/>
            <w:webHidden/>
          </w:rPr>
          <w:tab/>
        </w:r>
        <w:r w:rsidR="000066CE">
          <w:rPr>
            <w:noProof/>
            <w:webHidden/>
          </w:rPr>
          <w:fldChar w:fldCharType="begin"/>
        </w:r>
        <w:r w:rsidR="000066CE">
          <w:rPr>
            <w:noProof/>
            <w:webHidden/>
          </w:rPr>
          <w:instrText xml:space="preserve"> PAGEREF _Toc536553924 \h </w:instrText>
        </w:r>
        <w:r w:rsidR="000066CE">
          <w:rPr>
            <w:noProof/>
            <w:webHidden/>
          </w:rPr>
        </w:r>
        <w:r w:rsidR="000066CE">
          <w:rPr>
            <w:noProof/>
            <w:webHidden/>
          </w:rPr>
          <w:fldChar w:fldCharType="separate"/>
        </w:r>
        <w:r w:rsidR="00263A1B">
          <w:rPr>
            <w:noProof/>
            <w:webHidden/>
          </w:rPr>
          <w:t>78</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25" w:history="1">
        <w:r w:rsidR="000066CE" w:rsidRPr="00174ABC">
          <w:rPr>
            <w:rStyle w:val="Hypertextovodkaz"/>
            <w:noProof/>
          </w:rPr>
          <w:t>B.</w:t>
        </w:r>
        <w:r w:rsidR="000066CE">
          <w:rPr>
            <w:rFonts w:eastAsiaTheme="minorEastAsia" w:cstheme="minorBidi"/>
            <w:smallCaps w:val="0"/>
            <w:noProof/>
            <w:sz w:val="22"/>
            <w:szCs w:val="22"/>
            <w:lang w:eastAsia="cs-CZ"/>
          </w:rPr>
          <w:tab/>
        </w:r>
        <w:r w:rsidR="000066CE" w:rsidRPr="00174ABC">
          <w:rPr>
            <w:rStyle w:val="Hypertextovodkaz"/>
            <w:noProof/>
          </w:rPr>
          <w:t>ZMĚNY V OBLASTI ÚZEMNÍHO PLÁNOVÁNÍ</w:t>
        </w:r>
        <w:r w:rsidR="000066CE">
          <w:rPr>
            <w:noProof/>
            <w:webHidden/>
          </w:rPr>
          <w:tab/>
        </w:r>
        <w:r w:rsidR="000066CE">
          <w:rPr>
            <w:noProof/>
            <w:webHidden/>
          </w:rPr>
          <w:fldChar w:fldCharType="begin"/>
        </w:r>
        <w:r w:rsidR="000066CE">
          <w:rPr>
            <w:noProof/>
            <w:webHidden/>
          </w:rPr>
          <w:instrText xml:space="preserve"> PAGEREF _Toc536553925 \h </w:instrText>
        </w:r>
        <w:r w:rsidR="000066CE">
          <w:rPr>
            <w:noProof/>
            <w:webHidden/>
          </w:rPr>
        </w:r>
        <w:r w:rsidR="000066CE">
          <w:rPr>
            <w:noProof/>
            <w:webHidden/>
          </w:rPr>
          <w:fldChar w:fldCharType="separate"/>
        </w:r>
        <w:r w:rsidR="00263A1B">
          <w:rPr>
            <w:noProof/>
            <w:webHidden/>
          </w:rPr>
          <w:t>79</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26" w:history="1">
        <w:r w:rsidR="000066CE" w:rsidRPr="00174ABC">
          <w:rPr>
            <w:rStyle w:val="Hypertextovodkaz"/>
            <w:noProof/>
          </w:rPr>
          <w:t>C.</w:t>
        </w:r>
        <w:r w:rsidR="000066CE">
          <w:rPr>
            <w:rFonts w:eastAsiaTheme="minorEastAsia" w:cstheme="minorBidi"/>
            <w:smallCaps w:val="0"/>
            <w:noProof/>
            <w:sz w:val="22"/>
            <w:szCs w:val="22"/>
            <w:lang w:eastAsia="cs-CZ"/>
          </w:rPr>
          <w:tab/>
        </w:r>
        <w:r w:rsidR="000066CE" w:rsidRPr="00174ABC">
          <w:rPr>
            <w:rStyle w:val="Hypertextovodkaz"/>
            <w:noProof/>
          </w:rPr>
          <w:t>PROCESNÍ ZMĚNY V POVOLOVACÍM PROCESU – JEDNO ROZHODNUTÍ</w:t>
        </w:r>
        <w:r w:rsidR="000066CE">
          <w:rPr>
            <w:noProof/>
            <w:webHidden/>
          </w:rPr>
          <w:tab/>
        </w:r>
        <w:r w:rsidR="000066CE">
          <w:rPr>
            <w:noProof/>
            <w:webHidden/>
          </w:rPr>
          <w:fldChar w:fldCharType="begin"/>
        </w:r>
        <w:r w:rsidR="000066CE">
          <w:rPr>
            <w:noProof/>
            <w:webHidden/>
          </w:rPr>
          <w:instrText xml:space="preserve"> PAGEREF _Toc536553926 \h </w:instrText>
        </w:r>
        <w:r w:rsidR="000066CE">
          <w:rPr>
            <w:noProof/>
            <w:webHidden/>
          </w:rPr>
        </w:r>
        <w:r w:rsidR="000066CE">
          <w:rPr>
            <w:noProof/>
            <w:webHidden/>
          </w:rPr>
          <w:fldChar w:fldCharType="separate"/>
        </w:r>
        <w:r w:rsidR="00263A1B">
          <w:rPr>
            <w:noProof/>
            <w:webHidden/>
          </w:rPr>
          <w:t>86</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27" w:history="1">
        <w:r w:rsidR="000066CE" w:rsidRPr="00174ABC">
          <w:rPr>
            <w:rStyle w:val="Hypertextovodkaz"/>
            <w:caps/>
            <w:noProof/>
          </w:rPr>
          <w:t>D.</w:t>
        </w:r>
        <w:r w:rsidR="000066CE">
          <w:rPr>
            <w:rFonts w:eastAsiaTheme="minorEastAsia" w:cstheme="minorBidi"/>
            <w:smallCaps w:val="0"/>
            <w:noProof/>
            <w:sz w:val="22"/>
            <w:szCs w:val="22"/>
            <w:lang w:eastAsia="cs-CZ"/>
          </w:rPr>
          <w:tab/>
        </w:r>
        <w:r w:rsidR="000066CE" w:rsidRPr="00174ABC">
          <w:rPr>
            <w:rStyle w:val="Hypertextovodkaz"/>
            <w:caps/>
            <w:noProof/>
          </w:rPr>
          <w:t>Změny stavebního hmotného práva</w:t>
        </w:r>
        <w:r w:rsidR="000066CE">
          <w:rPr>
            <w:noProof/>
            <w:webHidden/>
          </w:rPr>
          <w:tab/>
        </w:r>
        <w:r w:rsidR="000066CE">
          <w:rPr>
            <w:noProof/>
            <w:webHidden/>
          </w:rPr>
          <w:fldChar w:fldCharType="begin"/>
        </w:r>
        <w:r w:rsidR="000066CE">
          <w:rPr>
            <w:noProof/>
            <w:webHidden/>
          </w:rPr>
          <w:instrText xml:space="preserve"> PAGEREF _Toc536553927 \h </w:instrText>
        </w:r>
        <w:r w:rsidR="000066CE">
          <w:rPr>
            <w:noProof/>
            <w:webHidden/>
          </w:rPr>
        </w:r>
        <w:r w:rsidR="000066CE">
          <w:rPr>
            <w:noProof/>
            <w:webHidden/>
          </w:rPr>
          <w:fldChar w:fldCharType="separate"/>
        </w:r>
        <w:r w:rsidR="00263A1B">
          <w:rPr>
            <w:noProof/>
            <w:webHidden/>
          </w:rPr>
          <w:t>87</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8" w:history="1">
        <w:r w:rsidR="000066CE" w:rsidRPr="00174ABC">
          <w:rPr>
            <w:rStyle w:val="Hypertextovodkaz"/>
            <w:noProof/>
          </w:rPr>
          <w:t>D.1 Požadavky na výstavbu, dokumentaci, základní pojmy, povinnosti a odpovědnost osob při přípravě, provádění a užívání staveb</w:t>
        </w:r>
        <w:r w:rsidR="000066CE">
          <w:rPr>
            <w:noProof/>
            <w:webHidden/>
          </w:rPr>
          <w:tab/>
        </w:r>
        <w:r w:rsidR="000066CE">
          <w:rPr>
            <w:noProof/>
            <w:webHidden/>
          </w:rPr>
          <w:fldChar w:fldCharType="begin"/>
        </w:r>
        <w:r w:rsidR="000066CE">
          <w:rPr>
            <w:noProof/>
            <w:webHidden/>
          </w:rPr>
          <w:instrText xml:space="preserve"> PAGEREF _Toc536553928 \h </w:instrText>
        </w:r>
        <w:r w:rsidR="000066CE">
          <w:rPr>
            <w:noProof/>
            <w:webHidden/>
          </w:rPr>
        </w:r>
        <w:r w:rsidR="000066CE">
          <w:rPr>
            <w:noProof/>
            <w:webHidden/>
          </w:rPr>
          <w:fldChar w:fldCharType="separate"/>
        </w:r>
        <w:r w:rsidR="00263A1B">
          <w:rPr>
            <w:noProof/>
            <w:webHidden/>
          </w:rPr>
          <w:t>88</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29" w:history="1">
        <w:r w:rsidR="000066CE" w:rsidRPr="00174ABC">
          <w:rPr>
            <w:rStyle w:val="Hypertextovodkaz"/>
            <w:noProof/>
          </w:rPr>
          <w:t>D.1.1. Popis současného stavu</w:t>
        </w:r>
        <w:r w:rsidR="000066CE">
          <w:rPr>
            <w:noProof/>
            <w:webHidden/>
          </w:rPr>
          <w:tab/>
        </w:r>
        <w:r w:rsidR="000066CE">
          <w:rPr>
            <w:noProof/>
            <w:webHidden/>
          </w:rPr>
          <w:fldChar w:fldCharType="begin"/>
        </w:r>
        <w:r w:rsidR="000066CE">
          <w:rPr>
            <w:noProof/>
            <w:webHidden/>
          </w:rPr>
          <w:instrText xml:space="preserve"> PAGEREF _Toc536553929 \h </w:instrText>
        </w:r>
        <w:r w:rsidR="000066CE">
          <w:rPr>
            <w:noProof/>
            <w:webHidden/>
          </w:rPr>
        </w:r>
        <w:r w:rsidR="000066CE">
          <w:rPr>
            <w:noProof/>
            <w:webHidden/>
          </w:rPr>
          <w:fldChar w:fldCharType="separate"/>
        </w:r>
        <w:r w:rsidR="00263A1B">
          <w:rPr>
            <w:noProof/>
            <w:webHidden/>
          </w:rPr>
          <w:t>88</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30" w:history="1">
        <w:r w:rsidR="000066CE" w:rsidRPr="00174ABC">
          <w:rPr>
            <w:rStyle w:val="Hypertextovodkaz"/>
            <w:noProof/>
          </w:rPr>
          <w:t>D.2 Technické normy (ČSN)</w:t>
        </w:r>
        <w:r w:rsidR="000066CE">
          <w:rPr>
            <w:noProof/>
            <w:webHidden/>
          </w:rPr>
          <w:tab/>
        </w:r>
        <w:r w:rsidR="000066CE">
          <w:rPr>
            <w:noProof/>
            <w:webHidden/>
          </w:rPr>
          <w:fldChar w:fldCharType="begin"/>
        </w:r>
        <w:r w:rsidR="000066CE">
          <w:rPr>
            <w:noProof/>
            <w:webHidden/>
          </w:rPr>
          <w:instrText xml:space="preserve"> PAGEREF _Toc536553930 \h </w:instrText>
        </w:r>
        <w:r w:rsidR="000066CE">
          <w:rPr>
            <w:noProof/>
            <w:webHidden/>
          </w:rPr>
        </w:r>
        <w:r w:rsidR="000066CE">
          <w:rPr>
            <w:noProof/>
            <w:webHidden/>
          </w:rPr>
          <w:fldChar w:fldCharType="separate"/>
        </w:r>
        <w:r w:rsidR="00263A1B">
          <w:rPr>
            <w:noProof/>
            <w:webHidden/>
          </w:rPr>
          <w:t>89</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31" w:history="1">
        <w:r w:rsidR="000066CE" w:rsidRPr="00174ABC">
          <w:rPr>
            <w:rStyle w:val="Hypertextovodkaz"/>
            <w:noProof/>
          </w:rPr>
          <w:t>D.2.1. Popis současného stavu:</w:t>
        </w:r>
        <w:r w:rsidR="000066CE">
          <w:rPr>
            <w:noProof/>
            <w:webHidden/>
          </w:rPr>
          <w:tab/>
        </w:r>
        <w:r w:rsidR="000066CE">
          <w:rPr>
            <w:noProof/>
            <w:webHidden/>
          </w:rPr>
          <w:fldChar w:fldCharType="begin"/>
        </w:r>
        <w:r w:rsidR="000066CE">
          <w:rPr>
            <w:noProof/>
            <w:webHidden/>
          </w:rPr>
          <w:instrText xml:space="preserve"> PAGEREF _Toc536553931 \h </w:instrText>
        </w:r>
        <w:r w:rsidR="000066CE">
          <w:rPr>
            <w:noProof/>
            <w:webHidden/>
          </w:rPr>
        </w:r>
        <w:r w:rsidR="000066CE">
          <w:rPr>
            <w:noProof/>
            <w:webHidden/>
          </w:rPr>
          <w:fldChar w:fldCharType="separate"/>
        </w:r>
        <w:r w:rsidR="00263A1B">
          <w:rPr>
            <w:noProof/>
            <w:webHidden/>
          </w:rPr>
          <w:t>89</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32" w:history="1">
        <w:r w:rsidR="000066CE" w:rsidRPr="00174ABC">
          <w:rPr>
            <w:rStyle w:val="Hypertextovodkaz"/>
            <w:noProof/>
          </w:rPr>
          <w:t>D.2.2 Definice problému</w:t>
        </w:r>
        <w:r w:rsidR="000066CE">
          <w:rPr>
            <w:noProof/>
            <w:webHidden/>
          </w:rPr>
          <w:tab/>
        </w:r>
        <w:r w:rsidR="000066CE">
          <w:rPr>
            <w:noProof/>
            <w:webHidden/>
          </w:rPr>
          <w:fldChar w:fldCharType="begin"/>
        </w:r>
        <w:r w:rsidR="000066CE">
          <w:rPr>
            <w:noProof/>
            <w:webHidden/>
          </w:rPr>
          <w:instrText xml:space="preserve"> PAGEREF _Toc536553932 \h </w:instrText>
        </w:r>
        <w:r w:rsidR="000066CE">
          <w:rPr>
            <w:noProof/>
            <w:webHidden/>
          </w:rPr>
        </w:r>
        <w:r w:rsidR="000066CE">
          <w:rPr>
            <w:noProof/>
            <w:webHidden/>
          </w:rPr>
          <w:fldChar w:fldCharType="separate"/>
        </w:r>
        <w:r w:rsidR="00263A1B">
          <w:rPr>
            <w:noProof/>
            <w:webHidden/>
          </w:rPr>
          <w:t>90</w:t>
        </w:r>
        <w:r w:rsidR="000066CE">
          <w:rPr>
            <w:noProof/>
            <w:webHidden/>
          </w:rPr>
          <w:fldChar w:fldCharType="end"/>
        </w:r>
      </w:hyperlink>
    </w:p>
    <w:p w:rsidR="000066CE" w:rsidRDefault="007750E9">
      <w:pPr>
        <w:pStyle w:val="Obsah3"/>
        <w:tabs>
          <w:tab w:val="right" w:leader="dot" w:pos="9060"/>
        </w:tabs>
        <w:rPr>
          <w:rFonts w:eastAsiaTheme="minorEastAsia" w:cstheme="minorBidi"/>
          <w:i w:val="0"/>
          <w:iCs w:val="0"/>
          <w:noProof/>
          <w:sz w:val="22"/>
          <w:szCs w:val="22"/>
          <w:lang w:eastAsia="cs-CZ"/>
        </w:rPr>
      </w:pPr>
      <w:hyperlink w:anchor="_Toc536553933" w:history="1">
        <w:r w:rsidR="000066CE" w:rsidRPr="00174ABC">
          <w:rPr>
            <w:rStyle w:val="Hypertextovodkaz"/>
            <w:noProof/>
          </w:rPr>
          <w:t>D.2.3 Hodnocení řešeného věcného okruhu</w:t>
        </w:r>
        <w:r w:rsidR="000066CE">
          <w:rPr>
            <w:noProof/>
            <w:webHidden/>
          </w:rPr>
          <w:tab/>
        </w:r>
        <w:r w:rsidR="000066CE">
          <w:rPr>
            <w:noProof/>
            <w:webHidden/>
          </w:rPr>
          <w:fldChar w:fldCharType="begin"/>
        </w:r>
        <w:r w:rsidR="000066CE">
          <w:rPr>
            <w:noProof/>
            <w:webHidden/>
          </w:rPr>
          <w:instrText xml:space="preserve"> PAGEREF _Toc536553933 \h </w:instrText>
        </w:r>
        <w:r w:rsidR="000066CE">
          <w:rPr>
            <w:noProof/>
            <w:webHidden/>
          </w:rPr>
        </w:r>
        <w:r w:rsidR="000066CE">
          <w:rPr>
            <w:noProof/>
            <w:webHidden/>
          </w:rPr>
          <w:fldChar w:fldCharType="separate"/>
        </w:r>
        <w:r w:rsidR="00263A1B">
          <w:rPr>
            <w:noProof/>
            <w:webHidden/>
          </w:rPr>
          <w:t>90</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34" w:history="1">
        <w:r w:rsidR="000066CE" w:rsidRPr="00174ABC">
          <w:rPr>
            <w:rStyle w:val="Hypertextovodkaz"/>
            <w:noProof/>
          </w:rPr>
          <w:t>E.</w:t>
        </w:r>
        <w:r w:rsidR="000066CE">
          <w:rPr>
            <w:rFonts w:eastAsiaTheme="minorEastAsia" w:cstheme="minorBidi"/>
            <w:smallCaps w:val="0"/>
            <w:noProof/>
            <w:sz w:val="22"/>
            <w:szCs w:val="22"/>
            <w:lang w:eastAsia="cs-CZ"/>
          </w:rPr>
          <w:tab/>
        </w:r>
        <w:r w:rsidR="000066CE" w:rsidRPr="00174ABC">
          <w:rPr>
            <w:rStyle w:val="Hypertextovodkaz"/>
            <w:noProof/>
          </w:rPr>
          <w:t>ZMĚNY V SOUDNÍM PŘEZKUMU ROZHODNUTÍ STAVEBNÍCH ÚŘADŮ</w:t>
        </w:r>
        <w:r w:rsidR="000066CE">
          <w:rPr>
            <w:noProof/>
            <w:webHidden/>
          </w:rPr>
          <w:tab/>
        </w:r>
        <w:r w:rsidR="000066CE">
          <w:rPr>
            <w:noProof/>
            <w:webHidden/>
          </w:rPr>
          <w:fldChar w:fldCharType="begin"/>
        </w:r>
        <w:r w:rsidR="000066CE">
          <w:rPr>
            <w:noProof/>
            <w:webHidden/>
          </w:rPr>
          <w:instrText xml:space="preserve"> PAGEREF _Toc536553934 \h </w:instrText>
        </w:r>
        <w:r w:rsidR="000066CE">
          <w:rPr>
            <w:noProof/>
            <w:webHidden/>
          </w:rPr>
        </w:r>
        <w:r w:rsidR="000066CE">
          <w:rPr>
            <w:noProof/>
            <w:webHidden/>
          </w:rPr>
          <w:fldChar w:fldCharType="separate"/>
        </w:r>
        <w:r w:rsidR="00263A1B">
          <w:rPr>
            <w:noProof/>
            <w:webHidden/>
          </w:rPr>
          <w:t>93</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35" w:history="1">
        <w:r w:rsidR="000066CE" w:rsidRPr="00174ABC">
          <w:rPr>
            <w:rStyle w:val="Hypertextovodkaz"/>
            <w:rFonts w:asciiTheme="majorHAnsi" w:hAnsiTheme="majorHAnsi"/>
            <w:noProof/>
          </w:rPr>
          <w:t>4</w:t>
        </w:r>
        <w:r w:rsidR="000066CE">
          <w:rPr>
            <w:rFonts w:eastAsiaTheme="minorEastAsia" w:cstheme="minorBidi"/>
            <w:b w:val="0"/>
            <w:bCs w:val="0"/>
            <w:caps w:val="0"/>
            <w:noProof/>
            <w:sz w:val="22"/>
            <w:szCs w:val="22"/>
            <w:lang w:eastAsia="cs-CZ"/>
          </w:rPr>
          <w:tab/>
        </w:r>
        <w:r w:rsidR="000066CE" w:rsidRPr="00174ABC">
          <w:rPr>
            <w:rStyle w:val="Hypertextovodkaz"/>
            <w:noProof/>
          </w:rPr>
          <w:t>Návrh řešení</w:t>
        </w:r>
        <w:r w:rsidR="000066CE">
          <w:rPr>
            <w:noProof/>
            <w:webHidden/>
          </w:rPr>
          <w:tab/>
        </w:r>
        <w:r w:rsidR="000066CE">
          <w:rPr>
            <w:noProof/>
            <w:webHidden/>
          </w:rPr>
          <w:fldChar w:fldCharType="begin"/>
        </w:r>
        <w:r w:rsidR="000066CE">
          <w:rPr>
            <w:noProof/>
            <w:webHidden/>
          </w:rPr>
          <w:instrText xml:space="preserve"> PAGEREF _Toc536553935 \h </w:instrText>
        </w:r>
        <w:r w:rsidR="000066CE">
          <w:rPr>
            <w:noProof/>
            <w:webHidden/>
          </w:rPr>
        </w:r>
        <w:r w:rsidR="000066CE">
          <w:rPr>
            <w:noProof/>
            <w:webHidden/>
          </w:rPr>
          <w:fldChar w:fldCharType="separate"/>
        </w:r>
        <w:r w:rsidR="00263A1B">
          <w:rPr>
            <w:noProof/>
            <w:webHidden/>
          </w:rPr>
          <w:t>94</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36" w:history="1">
        <w:r w:rsidR="000066CE" w:rsidRPr="00174ABC">
          <w:rPr>
            <w:rStyle w:val="Hypertextovodkaz"/>
            <w:noProof/>
          </w:rPr>
          <w:t>4.1</w:t>
        </w:r>
        <w:r w:rsidR="000066CE">
          <w:rPr>
            <w:rFonts w:eastAsiaTheme="minorEastAsia" w:cstheme="minorBidi"/>
            <w:smallCaps w:val="0"/>
            <w:noProof/>
            <w:sz w:val="22"/>
            <w:szCs w:val="22"/>
            <w:lang w:eastAsia="cs-CZ"/>
          </w:rPr>
          <w:tab/>
        </w:r>
        <w:r w:rsidR="000066CE" w:rsidRPr="00174ABC">
          <w:rPr>
            <w:rStyle w:val="Hypertextovodkaz"/>
            <w:noProof/>
          </w:rPr>
          <w:t>Institucionální změny</w:t>
        </w:r>
        <w:r w:rsidR="000066CE">
          <w:rPr>
            <w:noProof/>
            <w:webHidden/>
          </w:rPr>
          <w:tab/>
        </w:r>
        <w:r w:rsidR="000066CE">
          <w:rPr>
            <w:noProof/>
            <w:webHidden/>
          </w:rPr>
          <w:fldChar w:fldCharType="begin"/>
        </w:r>
        <w:r w:rsidR="000066CE">
          <w:rPr>
            <w:noProof/>
            <w:webHidden/>
          </w:rPr>
          <w:instrText xml:space="preserve"> PAGEREF _Toc536553936 \h </w:instrText>
        </w:r>
        <w:r w:rsidR="000066CE">
          <w:rPr>
            <w:noProof/>
            <w:webHidden/>
          </w:rPr>
        </w:r>
        <w:r w:rsidR="000066CE">
          <w:rPr>
            <w:noProof/>
            <w:webHidden/>
          </w:rPr>
          <w:fldChar w:fldCharType="separate"/>
        </w:r>
        <w:r w:rsidR="00263A1B">
          <w:rPr>
            <w:noProof/>
            <w:webHidden/>
          </w:rPr>
          <w:t>94</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37" w:history="1">
        <w:r w:rsidR="000066CE" w:rsidRPr="00174ABC">
          <w:rPr>
            <w:rStyle w:val="Hypertextovodkaz"/>
            <w:noProof/>
          </w:rPr>
          <w:t>4.2</w:t>
        </w:r>
        <w:r w:rsidR="000066CE">
          <w:rPr>
            <w:rFonts w:eastAsiaTheme="minorEastAsia" w:cstheme="minorBidi"/>
            <w:smallCaps w:val="0"/>
            <w:noProof/>
            <w:sz w:val="22"/>
            <w:szCs w:val="22"/>
            <w:lang w:eastAsia="cs-CZ"/>
          </w:rPr>
          <w:tab/>
        </w:r>
        <w:r w:rsidR="000066CE" w:rsidRPr="00174ABC">
          <w:rPr>
            <w:rStyle w:val="Hypertextovodkaz"/>
            <w:noProof/>
          </w:rPr>
          <w:t>Změny v oblasti územního plánování</w:t>
        </w:r>
        <w:r w:rsidR="000066CE">
          <w:rPr>
            <w:noProof/>
            <w:webHidden/>
          </w:rPr>
          <w:tab/>
        </w:r>
        <w:r w:rsidR="000066CE">
          <w:rPr>
            <w:noProof/>
            <w:webHidden/>
          </w:rPr>
          <w:fldChar w:fldCharType="begin"/>
        </w:r>
        <w:r w:rsidR="000066CE">
          <w:rPr>
            <w:noProof/>
            <w:webHidden/>
          </w:rPr>
          <w:instrText xml:space="preserve"> PAGEREF _Toc536553937 \h </w:instrText>
        </w:r>
        <w:r w:rsidR="000066CE">
          <w:rPr>
            <w:noProof/>
            <w:webHidden/>
          </w:rPr>
        </w:r>
        <w:r w:rsidR="000066CE">
          <w:rPr>
            <w:noProof/>
            <w:webHidden/>
          </w:rPr>
          <w:fldChar w:fldCharType="separate"/>
        </w:r>
        <w:r w:rsidR="00263A1B">
          <w:rPr>
            <w:noProof/>
            <w:webHidden/>
          </w:rPr>
          <w:t>96</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38" w:history="1">
        <w:r w:rsidR="000066CE" w:rsidRPr="00174ABC">
          <w:rPr>
            <w:rStyle w:val="Hypertextovodkaz"/>
            <w:noProof/>
          </w:rPr>
          <w:t>4.3</w:t>
        </w:r>
        <w:r w:rsidR="000066CE">
          <w:rPr>
            <w:rFonts w:eastAsiaTheme="minorEastAsia" w:cstheme="minorBidi"/>
            <w:smallCaps w:val="0"/>
            <w:noProof/>
            <w:sz w:val="22"/>
            <w:szCs w:val="22"/>
            <w:lang w:eastAsia="cs-CZ"/>
          </w:rPr>
          <w:tab/>
        </w:r>
        <w:r w:rsidR="000066CE" w:rsidRPr="00174ABC">
          <w:rPr>
            <w:rStyle w:val="Hypertextovodkaz"/>
            <w:noProof/>
          </w:rPr>
          <w:t>Procesní změny v povolovacím procesu – jedno rozhodnutí</w:t>
        </w:r>
        <w:r w:rsidR="000066CE">
          <w:rPr>
            <w:noProof/>
            <w:webHidden/>
          </w:rPr>
          <w:tab/>
        </w:r>
        <w:r w:rsidR="000066CE">
          <w:rPr>
            <w:noProof/>
            <w:webHidden/>
          </w:rPr>
          <w:fldChar w:fldCharType="begin"/>
        </w:r>
        <w:r w:rsidR="000066CE">
          <w:rPr>
            <w:noProof/>
            <w:webHidden/>
          </w:rPr>
          <w:instrText xml:space="preserve"> PAGEREF _Toc536553938 \h </w:instrText>
        </w:r>
        <w:r w:rsidR="000066CE">
          <w:rPr>
            <w:noProof/>
            <w:webHidden/>
          </w:rPr>
        </w:r>
        <w:r w:rsidR="000066CE">
          <w:rPr>
            <w:noProof/>
            <w:webHidden/>
          </w:rPr>
          <w:fldChar w:fldCharType="separate"/>
        </w:r>
        <w:r w:rsidR="00263A1B">
          <w:rPr>
            <w:noProof/>
            <w:webHidden/>
          </w:rPr>
          <w:t>96</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39" w:history="1">
        <w:r w:rsidR="000066CE" w:rsidRPr="00174ABC">
          <w:rPr>
            <w:rStyle w:val="Hypertextovodkaz"/>
            <w:noProof/>
          </w:rPr>
          <w:t>4.4</w:t>
        </w:r>
        <w:r w:rsidR="000066CE">
          <w:rPr>
            <w:rFonts w:eastAsiaTheme="minorEastAsia" w:cstheme="minorBidi"/>
            <w:smallCaps w:val="0"/>
            <w:noProof/>
            <w:sz w:val="22"/>
            <w:szCs w:val="22"/>
            <w:lang w:eastAsia="cs-CZ"/>
          </w:rPr>
          <w:tab/>
        </w:r>
        <w:r w:rsidR="000066CE" w:rsidRPr="00174ABC">
          <w:rPr>
            <w:rStyle w:val="Hypertextovodkaz"/>
            <w:noProof/>
          </w:rPr>
          <w:t>Změny v soudním přezkumu rozhodnut stavebních úřadů</w:t>
        </w:r>
        <w:r w:rsidR="000066CE">
          <w:rPr>
            <w:noProof/>
            <w:webHidden/>
          </w:rPr>
          <w:tab/>
        </w:r>
        <w:r w:rsidR="000066CE">
          <w:rPr>
            <w:noProof/>
            <w:webHidden/>
          </w:rPr>
          <w:fldChar w:fldCharType="begin"/>
        </w:r>
        <w:r w:rsidR="000066CE">
          <w:rPr>
            <w:noProof/>
            <w:webHidden/>
          </w:rPr>
          <w:instrText xml:space="preserve"> PAGEREF _Toc536553939 \h </w:instrText>
        </w:r>
        <w:r w:rsidR="000066CE">
          <w:rPr>
            <w:noProof/>
            <w:webHidden/>
          </w:rPr>
        </w:r>
        <w:r w:rsidR="000066CE">
          <w:rPr>
            <w:noProof/>
            <w:webHidden/>
          </w:rPr>
          <w:fldChar w:fldCharType="separate"/>
        </w:r>
        <w:r w:rsidR="00263A1B">
          <w:rPr>
            <w:noProof/>
            <w:webHidden/>
          </w:rPr>
          <w:t>97</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40" w:history="1">
        <w:r w:rsidR="000066CE" w:rsidRPr="00174ABC">
          <w:rPr>
            <w:rStyle w:val="Hypertextovodkaz"/>
            <w:noProof/>
          </w:rPr>
          <w:t>4.5</w:t>
        </w:r>
        <w:r w:rsidR="000066CE">
          <w:rPr>
            <w:rFonts w:eastAsiaTheme="minorEastAsia" w:cstheme="minorBidi"/>
            <w:smallCaps w:val="0"/>
            <w:noProof/>
            <w:sz w:val="22"/>
            <w:szCs w:val="22"/>
            <w:lang w:eastAsia="cs-CZ"/>
          </w:rPr>
          <w:tab/>
        </w:r>
        <w:r w:rsidR="000066CE" w:rsidRPr="00174ABC">
          <w:rPr>
            <w:rStyle w:val="Hypertextovodkaz"/>
            <w:noProof/>
          </w:rPr>
          <w:t>Závěrečné shrnutí</w:t>
        </w:r>
        <w:r w:rsidR="000066CE">
          <w:rPr>
            <w:noProof/>
            <w:webHidden/>
          </w:rPr>
          <w:tab/>
        </w:r>
        <w:r w:rsidR="000066CE">
          <w:rPr>
            <w:noProof/>
            <w:webHidden/>
          </w:rPr>
          <w:fldChar w:fldCharType="begin"/>
        </w:r>
        <w:r w:rsidR="000066CE">
          <w:rPr>
            <w:noProof/>
            <w:webHidden/>
          </w:rPr>
          <w:instrText xml:space="preserve"> PAGEREF _Toc536553940 \h </w:instrText>
        </w:r>
        <w:r w:rsidR="000066CE">
          <w:rPr>
            <w:noProof/>
            <w:webHidden/>
          </w:rPr>
        </w:r>
        <w:r w:rsidR="000066CE">
          <w:rPr>
            <w:noProof/>
            <w:webHidden/>
          </w:rPr>
          <w:fldChar w:fldCharType="separate"/>
        </w:r>
        <w:r w:rsidR="00263A1B">
          <w:rPr>
            <w:noProof/>
            <w:webHidden/>
          </w:rPr>
          <w:t>98</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41" w:history="1">
        <w:r w:rsidR="000066CE" w:rsidRPr="00174ABC">
          <w:rPr>
            <w:rStyle w:val="Hypertextovodkaz"/>
            <w:rFonts w:asciiTheme="majorHAnsi" w:hAnsiTheme="majorHAnsi"/>
            <w:noProof/>
          </w:rPr>
          <w:t>5</w:t>
        </w:r>
        <w:r w:rsidR="000066CE">
          <w:rPr>
            <w:rFonts w:eastAsiaTheme="minorEastAsia" w:cstheme="minorBidi"/>
            <w:b w:val="0"/>
            <w:bCs w:val="0"/>
            <w:caps w:val="0"/>
            <w:noProof/>
            <w:sz w:val="22"/>
            <w:szCs w:val="22"/>
            <w:lang w:eastAsia="cs-CZ"/>
          </w:rPr>
          <w:tab/>
        </w:r>
        <w:r w:rsidR="000066CE" w:rsidRPr="00174ABC">
          <w:rPr>
            <w:rStyle w:val="Hypertextovodkaz"/>
            <w:noProof/>
          </w:rPr>
          <w:t>Implementace doporučené varianty a vynucování</w:t>
        </w:r>
        <w:r w:rsidR="000066CE">
          <w:rPr>
            <w:noProof/>
            <w:webHidden/>
          </w:rPr>
          <w:tab/>
        </w:r>
        <w:r w:rsidR="000066CE">
          <w:rPr>
            <w:noProof/>
            <w:webHidden/>
          </w:rPr>
          <w:fldChar w:fldCharType="begin"/>
        </w:r>
        <w:r w:rsidR="000066CE">
          <w:rPr>
            <w:noProof/>
            <w:webHidden/>
          </w:rPr>
          <w:instrText xml:space="preserve"> PAGEREF _Toc536553941 \h </w:instrText>
        </w:r>
        <w:r w:rsidR="000066CE">
          <w:rPr>
            <w:noProof/>
            <w:webHidden/>
          </w:rPr>
        </w:r>
        <w:r w:rsidR="000066CE">
          <w:rPr>
            <w:noProof/>
            <w:webHidden/>
          </w:rPr>
          <w:fldChar w:fldCharType="separate"/>
        </w:r>
        <w:r w:rsidR="00263A1B">
          <w:rPr>
            <w:noProof/>
            <w:webHidden/>
          </w:rPr>
          <w:t>100</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42" w:history="1">
        <w:r w:rsidR="000066CE" w:rsidRPr="00174ABC">
          <w:rPr>
            <w:rStyle w:val="Hypertextovodkaz"/>
            <w:noProof/>
          </w:rPr>
          <w:t>5.1</w:t>
        </w:r>
        <w:r w:rsidR="000066CE">
          <w:rPr>
            <w:rFonts w:eastAsiaTheme="minorEastAsia" w:cstheme="minorBidi"/>
            <w:smallCaps w:val="0"/>
            <w:noProof/>
            <w:sz w:val="22"/>
            <w:szCs w:val="22"/>
            <w:lang w:eastAsia="cs-CZ"/>
          </w:rPr>
          <w:tab/>
        </w:r>
        <w:r w:rsidR="000066CE" w:rsidRPr="00174ABC">
          <w:rPr>
            <w:rStyle w:val="Hypertextovodkaz"/>
            <w:noProof/>
          </w:rPr>
          <w:t>Vynucování</w:t>
        </w:r>
        <w:r w:rsidR="000066CE">
          <w:rPr>
            <w:noProof/>
            <w:webHidden/>
          </w:rPr>
          <w:tab/>
        </w:r>
        <w:r w:rsidR="000066CE">
          <w:rPr>
            <w:noProof/>
            <w:webHidden/>
          </w:rPr>
          <w:fldChar w:fldCharType="begin"/>
        </w:r>
        <w:r w:rsidR="000066CE">
          <w:rPr>
            <w:noProof/>
            <w:webHidden/>
          </w:rPr>
          <w:instrText xml:space="preserve"> PAGEREF _Toc536553942 \h </w:instrText>
        </w:r>
        <w:r w:rsidR="000066CE">
          <w:rPr>
            <w:noProof/>
            <w:webHidden/>
          </w:rPr>
        </w:r>
        <w:r w:rsidR="000066CE">
          <w:rPr>
            <w:noProof/>
            <w:webHidden/>
          </w:rPr>
          <w:fldChar w:fldCharType="separate"/>
        </w:r>
        <w:r w:rsidR="00263A1B">
          <w:rPr>
            <w:noProof/>
            <w:webHidden/>
          </w:rPr>
          <w:t>101</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43" w:history="1">
        <w:r w:rsidR="000066CE" w:rsidRPr="00174ABC">
          <w:rPr>
            <w:rStyle w:val="Hypertextovodkaz"/>
            <w:rFonts w:asciiTheme="majorHAnsi" w:hAnsiTheme="majorHAnsi"/>
            <w:noProof/>
          </w:rPr>
          <w:t>6</w:t>
        </w:r>
        <w:r w:rsidR="000066CE">
          <w:rPr>
            <w:rFonts w:eastAsiaTheme="minorEastAsia" w:cstheme="minorBidi"/>
            <w:b w:val="0"/>
            <w:bCs w:val="0"/>
            <w:caps w:val="0"/>
            <w:noProof/>
            <w:sz w:val="22"/>
            <w:szCs w:val="22"/>
            <w:lang w:eastAsia="cs-CZ"/>
          </w:rPr>
          <w:tab/>
        </w:r>
        <w:r w:rsidR="000066CE" w:rsidRPr="00174ABC">
          <w:rPr>
            <w:rStyle w:val="Hypertextovodkaz"/>
            <w:noProof/>
          </w:rPr>
          <w:t>Přezkum účinnosti regulace</w:t>
        </w:r>
        <w:r w:rsidR="000066CE">
          <w:rPr>
            <w:noProof/>
            <w:webHidden/>
          </w:rPr>
          <w:tab/>
        </w:r>
        <w:r w:rsidR="000066CE">
          <w:rPr>
            <w:noProof/>
            <w:webHidden/>
          </w:rPr>
          <w:fldChar w:fldCharType="begin"/>
        </w:r>
        <w:r w:rsidR="000066CE">
          <w:rPr>
            <w:noProof/>
            <w:webHidden/>
          </w:rPr>
          <w:instrText xml:space="preserve"> PAGEREF _Toc536553943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44" w:history="1">
        <w:r w:rsidR="000066CE" w:rsidRPr="00174ABC">
          <w:rPr>
            <w:rStyle w:val="Hypertextovodkaz"/>
            <w:rFonts w:asciiTheme="majorHAnsi" w:hAnsiTheme="majorHAnsi"/>
            <w:noProof/>
          </w:rPr>
          <w:t>7</w:t>
        </w:r>
        <w:r w:rsidR="000066CE">
          <w:rPr>
            <w:rFonts w:eastAsiaTheme="minorEastAsia" w:cstheme="minorBidi"/>
            <w:b w:val="0"/>
            <w:bCs w:val="0"/>
            <w:caps w:val="0"/>
            <w:noProof/>
            <w:sz w:val="22"/>
            <w:szCs w:val="22"/>
            <w:lang w:eastAsia="cs-CZ"/>
          </w:rPr>
          <w:tab/>
        </w:r>
        <w:r w:rsidR="000066CE" w:rsidRPr="00174ABC">
          <w:rPr>
            <w:rStyle w:val="Hypertextovodkaz"/>
            <w:noProof/>
          </w:rPr>
          <w:t>Konzultace a zdroje dat</w:t>
        </w:r>
        <w:r w:rsidR="000066CE">
          <w:rPr>
            <w:noProof/>
            <w:webHidden/>
          </w:rPr>
          <w:tab/>
        </w:r>
        <w:r w:rsidR="000066CE">
          <w:rPr>
            <w:noProof/>
            <w:webHidden/>
          </w:rPr>
          <w:fldChar w:fldCharType="begin"/>
        </w:r>
        <w:r w:rsidR="000066CE">
          <w:rPr>
            <w:noProof/>
            <w:webHidden/>
          </w:rPr>
          <w:instrText xml:space="preserve"> PAGEREF _Toc536553944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45" w:history="1">
        <w:r w:rsidR="000066CE" w:rsidRPr="00174ABC">
          <w:rPr>
            <w:rStyle w:val="Hypertextovodkaz"/>
            <w:rFonts w:asciiTheme="majorHAnsi" w:hAnsiTheme="majorHAnsi"/>
            <w:noProof/>
          </w:rPr>
          <w:t>8</w:t>
        </w:r>
        <w:r w:rsidR="000066CE">
          <w:rPr>
            <w:rFonts w:eastAsiaTheme="minorEastAsia" w:cstheme="minorBidi"/>
            <w:b w:val="0"/>
            <w:bCs w:val="0"/>
            <w:caps w:val="0"/>
            <w:noProof/>
            <w:sz w:val="22"/>
            <w:szCs w:val="22"/>
            <w:lang w:eastAsia="cs-CZ"/>
          </w:rPr>
          <w:tab/>
        </w:r>
        <w:r w:rsidR="000066CE" w:rsidRPr="00174ABC">
          <w:rPr>
            <w:rStyle w:val="Hypertextovodkaz"/>
            <w:noProof/>
          </w:rPr>
          <w:t>Hodnocení korupčních rizik zvoleného řešení</w:t>
        </w:r>
        <w:r w:rsidR="000066CE">
          <w:rPr>
            <w:noProof/>
            <w:webHidden/>
          </w:rPr>
          <w:tab/>
        </w:r>
        <w:r w:rsidR="000066CE">
          <w:rPr>
            <w:noProof/>
            <w:webHidden/>
          </w:rPr>
          <w:fldChar w:fldCharType="begin"/>
        </w:r>
        <w:r w:rsidR="000066CE">
          <w:rPr>
            <w:noProof/>
            <w:webHidden/>
          </w:rPr>
          <w:instrText xml:space="preserve"> PAGEREF _Toc536553945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46" w:history="1">
        <w:r w:rsidR="000066CE" w:rsidRPr="00174ABC">
          <w:rPr>
            <w:rStyle w:val="Hypertextovodkaz"/>
            <w:noProof/>
          </w:rPr>
          <w:t>8.1</w:t>
        </w:r>
        <w:r w:rsidR="000066CE">
          <w:rPr>
            <w:rFonts w:eastAsiaTheme="minorEastAsia" w:cstheme="minorBidi"/>
            <w:smallCaps w:val="0"/>
            <w:noProof/>
            <w:sz w:val="22"/>
            <w:szCs w:val="22"/>
            <w:lang w:eastAsia="cs-CZ"/>
          </w:rPr>
          <w:tab/>
        </w:r>
        <w:r w:rsidR="000066CE" w:rsidRPr="00174ABC">
          <w:rPr>
            <w:rStyle w:val="Hypertextovodkaz"/>
            <w:noProof/>
          </w:rPr>
          <w:t>Posouzení stanovených kritérií</w:t>
        </w:r>
        <w:r w:rsidR="000066CE">
          <w:rPr>
            <w:noProof/>
            <w:webHidden/>
          </w:rPr>
          <w:tab/>
        </w:r>
        <w:r w:rsidR="000066CE">
          <w:rPr>
            <w:noProof/>
            <w:webHidden/>
          </w:rPr>
          <w:fldChar w:fldCharType="begin"/>
        </w:r>
        <w:r w:rsidR="000066CE">
          <w:rPr>
            <w:noProof/>
            <w:webHidden/>
          </w:rPr>
          <w:instrText xml:space="preserve"> PAGEREF _Toc536553946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47" w:history="1">
        <w:r w:rsidR="000066CE" w:rsidRPr="00174ABC">
          <w:rPr>
            <w:rStyle w:val="Hypertextovodkaz"/>
            <w:noProof/>
          </w:rPr>
          <w:t>8.1.1</w:t>
        </w:r>
        <w:r w:rsidR="000066CE">
          <w:rPr>
            <w:rFonts w:eastAsiaTheme="minorEastAsia" w:cstheme="minorBidi"/>
            <w:i w:val="0"/>
            <w:iCs w:val="0"/>
            <w:noProof/>
            <w:sz w:val="22"/>
            <w:szCs w:val="22"/>
            <w:lang w:eastAsia="cs-CZ"/>
          </w:rPr>
          <w:tab/>
        </w:r>
        <w:r w:rsidR="000066CE" w:rsidRPr="00174ABC">
          <w:rPr>
            <w:rStyle w:val="Hypertextovodkaz"/>
            <w:noProof/>
          </w:rPr>
          <w:t>Přiměřenost</w:t>
        </w:r>
        <w:r w:rsidR="000066CE">
          <w:rPr>
            <w:noProof/>
            <w:webHidden/>
          </w:rPr>
          <w:tab/>
        </w:r>
        <w:r w:rsidR="000066CE">
          <w:rPr>
            <w:noProof/>
            <w:webHidden/>
          </w:rPr>
          <w:fldChar w:fldCharType="begin"/>
        </w:r>
        <w:r w:rsidR="000066CE">
          <w:rPr>
            <w:noProof/>
            <w:webHidden/>
          </w:rPr>
          <w:instrText xml:space="preserve"> PAGEREF _Toc536553947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48" w:history="1">
        <w:r w:rsidR="000066CE" w:rsidRPr="00174ABC">
          <w:rPr>
            <w:rStyle w:val="Hypertextovodkaz"/>
            <w:noProof/>
          </w:rPr>
          <w:t>8.1.2</w:t>
        </w:r>
        <w:r w:rsidR="000066CE">
          <w:rPr>
            <w:rFonts w:eastAsiaTheme="minorEastAsia" w:cstheme="minorBidi"/>
            <w:i w:val="0"/>
            <w:iCs w:val="0"/>
            <w:noProof/>
            <w:sz w:val="22"/>
            <w:szCs w:val="22"/>
            <w:lang w:eastAsia="cs-CZ"/>
          </w:rPr>
          <w:tab/>
        </w:r>
        <w:r w:rsidR="000066CE" w:rsidRPr="00174ABC">
          <w:rPr>
            <w:rStyle w:val="Hypertextovodkaz"/>
            <w:noProof/>
          </w:rPr>
          <w:t>Efektivita</w:t>
        </w:r>
        <w:r w:rsidR="000066CE">
          <w:rPr>
            <w:noProof/>
            <w:webHidden/>
          </w:rPr>
          <w:tab/>
        </w:r>
        <w:r w:rsidR="000066CE">
          <w:rPr>
            <w:noProof/>
            <w:webHidden/>
          </w:rPr>
          <w:fldChar w:fldCharType="begin"/>
        </w:r>
        <w:r w:rsidR="000066CE">
          <w:rPr>
            <w:noProof/>
            <w:webHidden/>
          </w:rPr>
          <w:instrText xml:space="preserve"> PAGEREF _Toc536553948 \h </w:instrText>
        </w:r>
        <w:r w:rsidR="000066CE">
          <w:rPr>
            <w:noProof/>
            <w:webHidden/>
          </w:rPr>
        </w:r>
        <w:r w:rsidR="000066CE">
          <w:rPr>
            <w:noProof/>
            <w:webHidden/>
          </w:rPr>
          <w:fldChar w:fldCharType="separate"/>
        </w:r>
        <w:r w:rsidR="00263A1B">
          <w:rPr>
            <w:noProof/>
            <w:webHidden/>
          </w:rPr>
          <w:t>103</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49" w:history="1">
        <w:r w:rsidR="000066CE" w:rsidRPr="00174ABC">
          <w:rPr>
            <w:rStyle w:val="Hypertextovodkaz"/>
            <w:noProof/>
          </w:rPr>
          <w:t>8.1.3</w:t>
        </w:r>
        <w:r w:rsidR="000066CE">
          <w:rPr>
            <w:rFonts w:eastAsiaTheme="minorEastAsia" w:cstheme="minorBidi"/>
            <w:i w:val="0"/>
            <w:iCs w:val="0"/>
            <w:noProof/>
            <w:sz w:val="22"/>
            <w:szCs w:val="22"/>
            <w:lang w:eastAsia="cs-CZ"/>
          </w:rPr>
          <w:tab/>
        </w:r>
        <w:r w:rsidR="000066CE" w:rsidRPr="00174ABC">
          <w:rPr>
            <w:rStyle w:val="Hypertextovodkaz"/>
            <w:noProof/>
          </w:rPr>
          <w:t>Odpovědnost</w:t>
        </w:r>
        <w:r w:rsidR="000066CE">
          <w:rPr>
            <w:noProof/>
            <w:webHidden/>
          </w:rPr>
          <w:tab/>
        </w:r>
        <w:r w:rsidR="000066CE">
          <w:rPr>
            <w:noProof/>
            <w:webHidden/>
          </w:rPr>
          <w:fldChar w:fldCharType="begin"/>
        </w:r>
        <w:r w:rsidR="000066CE">
          <w:rPr>
            <w:noProof/>
            <w:webHidden/>
          </w:rPr>
          <w:instrText xml:space="preserve"> PAGEREF _Toc536553949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50" w:history="1">
        <w:r w:rsidR="000066CE" w:rsidRPr="00174ABC">
          <w:rPr>
            <w:rStyle w:val="Hypertextovodkaz"/>
            <w:noProof/>
          </w:rPr>
          <w:t>8.1.4</w:t>
        </w:r>
        <w:r w:rsidR="000066CE">
          <w:rPr>
            <w:rFonts w:eastAsiaTheme="minorEastAsia" w:cstheme="minorBidi"/>
            <w:i w:val="0"/>
            <w:iCs w:val="0"/>
            <w:noProof/>
            <w:sz w:val="22"/>
            <w:szCs w:val="22"/>
            <w:lang w:eastAsia="cs-CZ"/>
          </w:rPr>
          <w:tab/>
        </w:r>
        <w:r w:rsidR="000066CE" w:rsidRPr="00174ABC">
          <w:rPr>
            <w:rStyle w:val="Hypertextovodkaz"/>
            <w:noProof/>
          </w:rPr>
          <w:t>Opravné prostředky</w:t>
        </w:r>
        <w:r w:rsidR="000066CE">
          <w:rPr>
            <w:noProof/>
            <w:webHidden/>
          </w:rPr>
          <w:tab/>
        </w:r>
        <w:r w:rsidR="000066CE">
          <w:rPr>
            <w:noProof/>
            <w:webHidden/>
          </w:rPr>
          <w:fldChar w:fldCharType="begin"/>
        </w:r>
        <w:r w:rsidR="000066CE">
          <w:rPr>
            <w:noProof/>
            <w:webHidden/>
          </w:rPr>
          <w:instrText xml:space="preserve"> PAGEREF _Toc536553950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51" w:history="1">
        <w:r w:rsidR="000066CE" w:rsidRPr="00174ABC">
          <w:rPr>
            <w:rStyle w:val="Hypertextovodkaz"/>
            <w:noProof/>
          </w:rPr>
          <w:t>8.1.5</w:t>
        </w:r>
        <w:r w:rsidR="000066CE">
          <w:rPr>
            <w:rFonts w:eastAsiaTheme="minorEastAsia" w:cstheme="minorBidi"/>
            <w:i w:val="0"/>
            <w:iCs w:val="0"/>
            <w:noProof/>
            <w:sz w:val="22"/>
            <w:szCs w:val="22"/>
            <w:lang w:eastAsia="cs-CZ"/>
          </w:rPr>
          <w:tab/>
        </w:r>
        <w:r w:rsidR="000066CE" w:rsidRPr="00174ABC">
          <w:rPr>
            <w:rStyle w:val="Hypertextovodkaz"/>
            <w:noProof/>
          </w:rPr>
          <w:t>Kontrolní mechanismy</w:t>
        </w:r>
        <w:r w:rsidR="000066CE">
          <w:rPr>
            <w:noProof/>
            <w:webHidden/>
          </w:rPr>
          <w:tab/>
        </w:r>
        <w:r w:rsidR="000066CE">
          <w:rPr>
            <w:noProof/>
            <w:webHidden/>
          </w:rPr>
          <w:fldChar w:fldCharType="begin"/>
        </w:r>
        <w:r w:rsidR="000066CE">
          <w:rPr>
            <w:noProof/>
            <w:webHidden/>
          </w:rPr>
          <w:instrText xml:space="preserve"> PAGEREF _Toc536553951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52" w:history="1">
        <w:r w:rsidR="000066CE" w:rsidRPr="00174ABC">
          <w:rPr>
            <w:rStyle w:val="Hypertextovodkaz"/>
            <w:noProof/>
          </w:rPr>
          <w:t>8.2</w:t>
        </w:r>
        <w:r w:rsidR="000066CE">
          <w:rPr>
            <w:rFonts w:eastAsiaTheme="minorEastAsia" w:cstheme="minorBidi"/>
            <w:smallCaps w:val="0"/>
            <w:noProof/>
            <w:sz w:val="22"/>
            <w:szCs w:val="22"/>
            <w:lang w:eastAsia="cs-CZ"/>
          </w:rPr>
          <w:tab/>
        </w:r>
        <w:r w:rsidR="000066CE" w:rsidRPr="00174ABC">
          <w:rPr>
            <w:rStyle w:val="Hypertextovodkaz"/>
            <w:noProof/>
          </w:rPr>
          <w:t>Specifické podmínky vyplývající z charakteru korupčních příležitostí a jejich dopad</w:t>
        </w:r>
        <w:r w:rsidR="000066CE">
          <w:rPr>
            <w:noProof/>
            <w:webHidden/>
          </w:rPr>
          <w:tab/>
        </w:r>
        <w:r w:rsidR="000066CE">
          <w:rPr>
            <w:noProof/>
            <w:webHidden/>
          </w:rPr>
          <w:fldChar w:fldCharType="begin"/>
        </w:r>
        <w:r w:rsidR="000066CE">
          <w:rPr>
            <w:noProof/>
            <w:webHidden/>
          </w:rPr>
          <w:instrText xml:space="preserve"> PAGEREF _Toc536553952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53" w:history="1">
        <w:r w:rsidR="000066CE" w:rsidRPr="00174ABC">
          <w:rPr>
            <w:rStyle w:val="Hypertextovodkaz"/>
            <w:noProof/>
          </w:rPr>
          <w:t>8.2.1</w:t>
        </w:r>
        <w:r w:rsidR="000066CE">
          <w:rPr>
            <w:rFonts w:eastAsiaTheme="minorEastAsia" w:cstheme="minorBidi"/>
            <w:i w:val="0"/>
            <w:iCs w:val="0"/>
            <w:noProof/>
            <w:sz w:val="22"/>
            <w:szCs w:val="22"/>
            <w:lang w:eastAsia="cs-CZ"/>
          </w:rPr>
          <w:tab/>
        </w:r>
        <w:r w:rsidR="000066CE" w:rsidRPr="00174ABC">
          <w:rPr>
            <w:rStyle w:val="Hypertextovodkaz"/>
            <w:noProof/>
          </w:rPr>
          <w:t>„Poptávková“ strana</w:t>
        </w:r>
        <w:r w:rsidR="000066CE">
          <w:rPr>
            <w:noProof/>
            <w:webHidden/>
          </w:rPr>
          <w:tab/>
        </w:r>
        <w:r w:rsidR="000066CE">
          <w:rPr>
            <w:noProof/>
            <w:webHidden/>
          </w:rPr>
          <w:fldChar w:fldCharType="begin"/>
        </w:r>
        <w:r w:rsidR="000066CE">
          <w:rPr>
            <w:noProof/>
            <w:webHidden/>
          </w:rPr>
          <w:instrText xml:space="preserve"> PAGEREF _Toc536553953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3"/>
        <w:tabs>
          <w:tab w:val="left" w:pos="1200"/>
          <w:tab w:val="right" w:leader="dot" w:pos="9060"/>
        </w:tabs>
        <w:rPr>
          <w:rFonts w:eastAsiaTheme="minorEastAsia" w:cstheme="minorBidi"/>
          <w:i w:val="0"/>
          <w:iCs w:val="0"/>
          <w:noProof/>
          <w:sz w:val="22"/>
          <w:szCs w:val="22"/>
          <w:lang w:eastAsia="cs-CZ"/>
        </w:rPr>
      </w:pPr>
      <w:hyperlink w:anchor="_Toc536553954" w:history="1">
        <w:r w:rsidR="000066CE" w:rsidRPr="00174ABC">
          <w:rPr>
            <w:rStyle w:val="Hypertextovodkaz"/>
            <w:noProof/>
          </w:rPr>
          <w:t>8.2.2</w:t>
        </w:r>
        <w:r w:rsidR="000066CE">
          <w:rPr>
            <w:rFonts w:eastAsiaTheme="minorEastAsia" w:cstheme="minorBidi"/>
            <w:i w:val="0"/>
            <w:iCs w:val="0"/>
            <w:noProof/>
            <w:sz w:val="22"/>
            <w:szCs w:val="22"/>
            <w:lang w:eastAsia="cs-CZ"/>
          </w:rPr>
          <w:tab/>
        </w:r>
        <w:r w:rsidR="000066CE" w:rsidRPr="00174ABC">
          <w:rPr>
            <w:rStyle w:val="Hypertextovodkaz"/>
            <w:noProof/>
          </w:rPr>
          <w:t>Nabídková strana</w:t>
        </w:r>
        <w:r w:rsidR="000066CE">
          <w:rPr>
            <w:noProof/>
            <w:webHidden/>
          </w:rPr>
          <w:tab/>
        </w:r>
        <w:r w:rsidR="000066CE">
          <w:rPr>
            <w:noProof/>
            <w:webHidden/>
          </w:rPr>
          <w:fldChar w:fldCharType="begin"/>
        </w:r>
        <w:r w:rsidR="000066CE">
          <w:rPr>
            <w:noProof/>
            <w:webHidden/>
          </w:rPr>
          <w:instrText xml:space="preserve"> PAGEREF _Toc536553954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55" w:history="1">
        <w:r w:rsidR="000066CE" w:rsidRPr="00174ABC">
          <w:rPr>
            <w:rStyle w:val="Hypertextovodkaz"/>
            <w:noProof/>
          </w:rPr>
          <w:t>8.3</w:t>
        </w:r>
        <w:r w:rsidR="000066CE">
          <w:rPr>
            <w:rFonts w:eastAsiaTheme="minorEastAsia" w:cstheme="minorBidi"/>
            <w:smallCaps w:val="0"/>
            <w:noProof/>
            <w:sz w:val="22"/>
            <w:szCs w:val="22"/>
            <w:lang w:eastAsia="cs-CZ"/>
          </w:rPr>
          <w:tab/>
        </w:r>
        <w:r w:rsidR="000066CE" w:rsidRPr="00174ABC">
          <w:rPr>
            <w:rStyle w:val="Hypertextovodkaz"/>
            <w:noProof/>
          </w:rPr>
          <w:t>Transparence a otevřená data</w:t>
        </w:r>
        <w:r w:rsidR="000066CE">
          <w:rPr>
            <w:noProof/>
            <w:webHidden/>
          </w:rPr>
          <w:tab/>
        </w:r>
        <w:r w:rsidR="000066CE">
          <w:rPr>
            <w:noProof/>
            <w:webHidden/>
          </w:rPr>
          <w:fldChar w:fldCharType="begin"/>
        </w:r>
        <w:r w:rsidR="000066CE">
          <w:rPr>
            <w:noProof/>
            <w:webHidden/>
          </w:rPr>
          <w:instrText xml:space="preserve"> PAGEREF _Toc536553955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2"/>
        <w:tabs>
          <w:tab w:val="left" w:pos="720"/>
          <w:tab w:val="right" w:leader="dot" w:pos="9060"/>
        </w:tabs>
        <w:rPr>
          <w:rFonts w:eastAsiaTheme="minorEastAsia" w:cstheme="minorBidi"/>
          <w:smallCaps w:val="0"/>
          <w:noProof/>
          <w:sz w:val="22"/>
          <w:szCs w:val="22"/>
          <w:lang w:eastAsia="cs-CZ"/>
        </w:rPr>
      </w:pPr>
      <w:hyperlink w:anchor="_Toc536553956" w:history="1">
        <w:r w:rsidR="000066CE" w:rsidRPr="00174ABC">
          <w:rPr>
            <w:rStyle w:val="Hypertextovodkaz"/>
            <w:noProof/>
          </w:rPr>
          <w:t>8.4</w:t>
        </w:r>
        <w:r w:rsidR="000066CE">
          <w:rPr>
            <w:rFonts w:eastAsiaTheme="minorEastAsia" w:cstheme="minorBidi"/>
            <w:smallCaps w:val="0"/>
            <w:noProof/>
            <w:sz w:val="22"/>
            <w:szCs w:val="22"/>
            <w:lang w:eastAsia="cs-CZ"/>
          </w:rPr>
          <w:tab/>
        </w:r>
        <w:r w:rsidR="000066CE" w:rsidRPr="00174ABC">
          <w:rPr>
            <w:rStyle w:val="Hypertextovodkaz"/>
            <w:noProof/>
          </w:rPr>
          <w:t>Shoda s dobrou praxí, přiměřenost ke stávající legislativě</w:t>
        </w:r>
        <w:r w:rsidR="000066CE">
          <w:rPr>
            <w:noProof/>
            <w:webHidden/>
          </w:rPr>
          <w:tab/>
        </w:r>
        <w:r w:rsidR="000066CE">
          <w:rPr>
            <w:noProof/>
            <w:webHidden/>
          </w:rPr>
          <w:fldChar w:fldCharType="begin"/>
        </w:r>
        <w:r w:rsidR="000066CE">
          <w:rPr>
            <w:noProof/>
            <w:webHidden/>
          </w:rPr>
          <w:instrText xml:space="preserve"> PAGEREF _Toc536553956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57" w:history="1">
        <w:r w:rsidR="000066CE" w:rsidRPr="00174ABC">
          <w:rPr>
            <w:rStyle w:val="Hypertextovodkaz"/>
            <w:rFonts w:asciiTheme="majorHAnsi" w:hAnsiTheme="majorHAnsi"/>
            <w:noProof/>
          </w:rPr>
          <w:t>9</w:t>
        </w:r>
        <w:r w:rsidR="000066CE">
          <w:rPr>
            <w:rFonts w:eastAsiaTheme="minorEastAsia" w:cstheme="minorBidi"/>
            <w:b w:val="0"/>
            <w:bCs w:val="0"/>
            <w:caps w:val="0"/>
            <w:noProof/>
            <w:sz w:val="22"/>
            <w:szCs w:val="22"/>
            <w:lang w:eastAsia="cs-CZ"/>
          </w:rPr>
          <w:tab/>
        </w:r>
        <w:r w:rsidR="000066CE" w:rsidRPr="00174ABC">
          <w:rPr>
            <w:rStyle w:val="Hypertextovodkaz"/>
            <w:noProof/>
          </w:rPr>
          <w:t>Seznam zkratek</w:t>
        </w:r>
        <w:r w:rsidR="000066CE">
          <w:rPr>
            <w:noProof/>
            <w:webHidden/>
          </w:rPr>
          <w:tab/>
        </w:r>
        <w:r w:rsidR="000066CE">
          <w:rPr>
            <w:noProof/>
            <w:webHidden/>
          </w:rPr>
          <w:fldChar w:fldCharType="begin"/>
        </w:r>
        <w:r w:rsidR="000066CE">
          <w:rPr>
            <w:noProof/>
            <w:webHidden/>
          </w:rPr>
          <w:instrText xml:space="preserve"> PAGEREF _Toc536553957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7750E9">
      <w:pPr>
        <w:pStyle w:val="Obsah1"/>
        <w:rPr>
          <w:rFonts w:eastAsiaTheme="minorEastAsia" w:cstheme="minorBidi"/>
          <w:b w:val="0"/>
          <w:bCs w:val="0"/>
          <w:caps w:val="0"/>
          <w:noProof/>
          <w:sz w:val="22"/>
          <w:szCs w:val="22"/>
          <w:lang w:eastAsia="cs-CZ"/>
        </w:rPr>
      </w:pPr>
      <w:hyperlink w:anchor="_Toc536553958" w:history="1">
        <w:r w:rsidR="000066CE" w:rsidRPr="00174ABC">
          <w:rPr>
            <w:rStyle w:val="Hypertextovodkaz"/>
            <w:rFonts w:asciiTheme="majorHAnsi" w:hAnsiTheme="majorHAnsi"/>
            <w:noProof/>
          </w:rPr>
          <w:t>10</w:t>
        </w:r>
        <w:r w:rsidR="000066CE">
          <w:rPr>
            <w:rFonts w:eastAsiaTheme="minorEastAsia" w:cstheme="minorBidi"/>
            <w:b w:val="0"/>
            <w:bCs w:val="0"/>
            <w:caps w:val="0"/>
            <w:noProof/>
            <w:sz w:val="22"/>
            <w:szCs w:val="22"/>
            <w:lang w:eastAsia="cs-CZ"/>
          </w:rPr>
          <w:tab/>
        </w:r>
        <w:r w:rsidR="000066CE" w:rsidRPr="00174ABC">
          <w:rPr>
            <w:rStyle w:val="Hypertextovodkaz"/>
            <w:noProof/>
          </w:rPr>
          <w:t>Kontakt na zpracovatele RIA</w:t>
        </w:r>
        <w:r w:rsidR="000066CE">
          <w:rPr>
            <w:noProof/>
            <w:webHidden/>
          </w:rPr>
          <w:tab/>
        </w:r>
        <w:r w:rsidR="000066CE">
          <w:rPr>
            <w:noProof/>
            <w:webHidden/>
          </w:rPr>
          <w:fldChar w:fldCharType="begin"/>
        </w:r>
        <w:r w:rsidR="000066CE">
          <w:rPr>
            <w:noProof/>
            <w:webHidden/>
          </w:rPr>
          <w:instrText xml:space="preserve"> PAGEREF _Toc536553958 \h </w:instrText>
        </w:r>
        <w:r w:rsidR="000066CE">
          <w:rPr>
            <w:noProof/>
            <w:webHidden/>
          </w:rPr>
        </w:r>
        <w:r w:rsidR="000066CE">
          <w:rPr>
            <w:noProof/>
            <w:webHidden/>
          </w:rPr>
          <w:fldChar w:fldCharType="separate"/>
        </w:r>
        <w:r w:rsidR="00263A1B">
          <w:rPr>
            <w:noProof/>
            <w:webHidden/>
          </w:rPr>
          <w:t>107</w:t>
        </w:r>
        <w:r w:rsidR="000066CE">
          <w:rPr>
            <w:noProof/>
            <w:webHidden/>
          </w:rPr>
          <w:fldChar w:fldCharType="end"/>
        </w:r>
      </w:hyperlink>
    </w:p>
    <w:p w:rsidR="00D004D9" w:rsidRPr="0089559F" w:rsidRDefault="00AB65E9" w:rsidP="0089559F">
      <w:pPr>
        <w:widowControl w:val="0"/>
        <w:outlineLvl w:val="0"/>
        <w:rPr>
          <w:rFonts w:ascii="Calibri" w:hAnsi="Calibri"/>
          <w:sz w:val="22"/>
          <w:lang w:eastAsia="cs-CZ"/>
        </w:rPr>
      </w:pPr>
      <w:r>
        <w:rPr>
          <w:rFonts w:ascii="Calibri" w:hAnsi="Calibri"/>
          <w:sz w:val="20"/>
          <w:szCs w:val="20"/>
          <w:lang w:eastAsia="cs-CZ"/>
        </w:rPr>
        <w:fldChar w:fldCharType="end"/>
      </w:r>
      <w:r w:rsidR="00D004D9">
        <w:br w:type="page"/>
      </w:r>
    </w:p>
    <w:p w:rsidR="00345ACF" w:rsidRPr="00F17D93" w:rsidRDefault="00345ACF" w:rsidP="003E4A5D">
      <w:pPr>
        <w:pStyle w:val="Nadpis10"/>
        <w:rPr>
          <w:rFonts w:eastAsia="Calibri"/>
        </w:rPr>
      </w:pPr>
      <w:bookmarkStart w:id="5" w:name="_Toc536553881"/>
      <w:r w:rsidRPr="00F17D93">
        <w:lastRenderedPageBreak/>
        <w:t>Důvod předložení a cíle</w:t>
      </w:r>
      <w:bookmarkEnd w:id="5"/>
    </w:p>
    <w:p w:rsidR="00345ACF" w:rsidRPr="00F17D93" w:rsidRDefault="00345ACF" w:rsidP="003E4A5D">
      <w:pPr>
        <w:pStyle w:val="Nadpis20"/>
        <w:keepNext w:val="0"/>
        <w:widowControl w:val="0"/>
      </w:pPr>
      <w:bookmarkStart w:id="6" w:name="_Toc536553882"/>
      <w:r w:rsidRPr="00F17D93">
        <w:t>Název</w:t>
      </w:r>
      <w:bookmarkEnd w:id="6"/>
      <w:r w:rsidRPr="00F17D93">
        <w:t xml:space="preserve"> </w:t>
      </w:r>
    </w:p>
    <w:p w:rsidR="00EC7D36" w:rsidRPr="00F17D93" w:rsidRDefault="001D7237" w:rsidP="003E4A5D">
      <w:pPr>
        <w:widowControl w:val="0"/>
      </w:pPr>
      <w:r>
        <w:t>VĚCNÝ ZÁMĚR</w:t>
      </w:r>
      <w:r w:rsidR="005C58EA">
        <w:t xml:space="preserve"> </w:t>
      </w:r>
      <w:r w:rsidR="00FD54D4">
        <w:tab/>
      </w:r>
      <w:r w:rsidR="008B0435">
        <w:t>STAVEBNÍHO ZÁKONA</w:t>
      </w:r>
    </w:p>
    <w:p w:rsidR="008F2B87" w:rsidRDefault="00345ACF" w:rsidP="003E4A5D">
      <w:pPr>
        <w:pStyle w:val="Nadpis20"/>
        <w:keepNext w:val="0"/>
        <w:widowControl w:val="0"/>
      </w:pPr>
      <w:bookmarkStart w:id="7" w:name="_Ref380057366"/>
      <w:bookmarkStart w:id="8" w:name="_Toc536553883"/>
      <w:r w:rsidRPr="00F17D93">
        <w:t>Definice problému</w:t>
      </w:r>
      <w:bookmarkEnd w:id="7"/>
      <w:bookmarkEnd w:id="8"/>
      <w:r w:rsidRPr="00F17D93">
        <w:t xml:space="preserve"> </w:t>
      </w:r>
    </w:p>
    <w:p w:rsidR="00957A71" w:rsidRPr="00391E39" w:rsidRDefault="00243EB8" w:rsidP="00391E39">
      <w:pPr>
        <w:pStyle w:val="Nadpis30"/>
      </w:pPr>
      <w:bookmarkStart w:id="9" w:name="_Toc536553884"/>
      <w:r w:rsidRPr="00391E39">
        <w:t>Popis současného stavu</w:t>
      </w:r>
      <w:bookmarkEnd w:id="9"/>
    </w:p>
    <w:p w:rsidR="00A916CC" w:rsidRPr="00A916CC" w:rsidRDefault="00025D6B" w:rsidP="003E4A5D">
      <w:pPr>
        <w:pStyle w:val="Nadpis4"/>
        <w:keepNext w:val="0"/>
        <w:keepLines w:val="0"/>
        <w:widowControl w:val="0"/>
        <w:rPr>
          <w:rStyle w:val="Text-NormalnChar"/>
          <w:rFonts w:eastAsia="Calibri"/>
        </w:rPr>
      </w:pPr>
      <w:bookmarkStart w:id="10" w:name="_Toc536553885"/>
      <w:r>
        <w:t>Stavebnictví, jeho vývoj a souvislosti s právní úpravou stavebního práva</w:t>
      </w:r>
      <w:bookmarkEnd w:id="10"/>
    </w:p>
    <w:p w:rsidR="000A3462" w:rsidRPr="000A3462" w:rsidRDefault="000A3462" w:rsidP="003E4A5D">
      <w:pPr>
        <w:pStyle w:val="Citace1"/>
        <w:rPr>
          <w:rStyle w:val="Text-NormalnChar"/>
          <w:rFonts w:eastAsia="Calibri"/>
        </w:rPr>
      </w:pPr>
      <w:r w:rsidRPr="000A3462">
        <w:rPr>
          <w:rStyle w:val="Text-NormalnChar"/>
          <w:rFonts w:eastAsia="Calibri"/>
        </w:rPr>
        <w:t>Následující text ilustruje, proč je pro českou ekonomiku stavebnictví a jeho vývoj důležitý. Jde</w:t>
      </w:r>
      <w:r w:rsidR="00FD54D4">
        <w:rPr>
          <w:rStyle w:val="Text-NormalnChar"/>
          <w:rFonts w:eastAsia="Calibri"/>
        </w:rPr>
        <w:t> </w:t>
      </w:r>
      <w:r w:rsidRPr="000A3462">
        <w:rPr>
          <w:rStyle w:val="Text-NormalnChar"/>
          <w:rFonts w:eastAsia="Calibri"/>
        </w:rPr>
        <w:t>o</w:t>
      </w:r>
      <w:r w:rsidR="00FD54D4">
        <w:rPr>
          <w:rStyle w:val="Text-NormalnChar"/>
          <w:rFonts w:eastAsia="Calibri"/>
        </w:rPr>
        <w:t> </w:t>
      </w:r>
      <w:r w:rsidRPr="000A3462">
        <w:rPr>
          <w:rStyle w:val="Text-NormalnChar"/>
          <w:rFonts w:eastAsia="Calibri"/>
        </w:rPr>
        <w:t>klíčové odvětví našeho hospodářství, ovlivňující ostatní sektory</w:t>
      </w:r>
      <w:r w:rsidR="00D0132A">
        <w:rPr>
          <w:rStyle w:val="Text-NormalnChar"/>
          <w:rFonts w:eastAsia="Calibri"/>
        </w:rPr>
        <w:t xml:space="preserve">. </w:t>
      </w:r>
      <w:r w:rsidRPr="000A3462">
        <w:rPr>
          <w:rStyle w:val="Text-NormalnChar"/>
          <w:rFonts w:eastAsia="Calibri"/>
        </w:rPr>
        <w:t xml:space="preserve">Proto je třeba k jeho </w:t>
      </w:r>
      <w:r w:rsidRPr="00104913">
        <w:rPr>
          <w:rStyle w:val="Text-NormalnChar"/>
          <w:rFonts w:eastAsia="Calibri"/>
          <w:u w:val="single"/>
        </w:rPr>
        <w:t>regulaci přistupovat velmi obezřetně</w:t>
      </w:r>
      <w:r w:rsidRPr="000A3462">
        <w:rPr>
          <w:rStyle w:val="Text-NormalnChar"/>
          <w:rFonts w:eastAsia="Calibri"/>
        </w:rPr>
        <w:t xml:space="preserve"> tak, aby </w:t>
      </w:r>
      <w:r w:rsidR="00801B9A">
        <w:rPr>
          <w:rStyle w:val="Text-NormalnChar"/>
          <w:rFonts w:eastAsia="Calibri"/>
        </w:rPr>
        <w:t>nepodvazovala potenciál stavebnictví pro celou ekonomiku, nebránila rozvoji České republiky</w:t>
      </w:r>
      <w:r w:rsidR="00B35C93">
        <w:rPr>
          <w:rStyle w:val="Text-NormalnChar"/>
          <w:rFonts w:eastAsia="Calibri"/>
        </w:rPr>
        <w:t xml:space="preserve"> (ČR)</w:t>
      </w:r>
      <w:r w:rsidR="00801B9A">
        <w:rPr>
          <w:rStyle w:val="Text-NormalnChar"/>
          <w:rFonts w:eastAsia="Calibri"/>
        </w:rPr>
        <w:t xml:space="preserve">, ale zároveň aby dostatečně zajišťovala </w:t>
      </w:r>
      <w:r w:rsidR="00325D6C">
        <w:rPr>
          <w:rStyle w:val="Text-NormalnChar"/>
          <w:rFonts w:eastAsia="Calibri"/>
        </w:rPr>
        <w:t xml:space="preserve">respekt k právům </w:t>
      </w:r>
      <w:r w:rsidR="005449E5">
        <w:rPr>
          <w:rStyle w:val="Text-NormalnChar"/>
          <w:rFonts w:eastAsia="Calibri"/>
        </w:rPr>
        <w:t xml:space="preserve">dotčených </w:t>
      </w:r>
      <w:r w:rsidR="00325D6C">
        <w:rPr>
          <w:rStyle w:val="Text-NormalnChar"/>
          <w:rFonts w:eastAsia="Calibri"/>
        </w:rPr>
        <w:t xml:space="preserve">osob a </w:t>
      </w:r>
      <w:r w:rsidR="00801B9A">
        <w:rPr>
          <w:rStyle w:val="Text-NormalnChar"/>
          <w:rFonts w:eastAsia="Calibri"/>
        </w:rPr>
        <w:t>ochranu všech vz</w:t>
      </w:r>
      <w:r w:rsidR="00325D6C">
        <w:rPr>
          <w:rStyle w:val="Text-NormalnChar"/>
          <w:rFonts w:eastAsia="Calibri"/>
        </w:rPr>
        <w:t xml:space="preserve">ájemně kolidujících </w:t>
      </w:r>
      <w:r w:rsidR="00801B9A">
        <w:rPr>
          <w:rStyle w:val="Text-NormalnChar"/>
          <w:rFonts w:eastAsia="Calibri"/>
        </w:rPr>
        <w:t>souk</w:t>
      </w:r>
      <w:r w:rsidR="00325D6C">
        <w:rPr>
          <w:rStyle w:val="Text-NormalnChar"/>
          <w:rFonts w:eastAsia="Calibri"/>
        </w:rPr>
        <w:t>r</w:t>
      </w:r>
      <w:r w:rsidR="00801B9A">
        <w:rPr>
          <w:rStyle w:val="Text-NormalnChar"/>
          <w:rFonts w:eastAsia="Calibri"/>
        </w:rPr>
        <w:t xml:space="preserve">omých </w:t>
      </w:r>
      <w:r w:rsidR="005449E5">
        <w:rPr>
          <w:rStyle w:val="Text-NormalnChar"/>
          <w:rFonts w:eastAsia="Calibri"/>
        </w:rPr>
        <w:t xml:space="preserve">i veřejných </w:t>
      </w:r>
      <w:r w:rsidR="00801B9A">
        <w:rPr>
          <w:rStyle w:val="Text-NormalnChar"/>
          <w:rFonts w:eastAsia="Calibri"/>
        </w:rPr>
        <w:t>zájmů v</w:t>
      </w:r>
      <w:r w:rsidR="008A682F">
        <w:rPr>
          <w:rStyle w:val="Text-NormalnChar"/>
          <w:rFonts w:eastAsia="Calibri"/>
        </w:rPr>
        <w:t> </w:t>
      </w:r>
      <w:r w:rsidR="00801B9A">
        <w:rPr>
          <w:rStyle w:val="Text-NormalnChar"/>
          <w:rFonts w:eastAsia="Calibri"/>
        </w:rPr>
        <w:t>území</w:t>
      </w:r>
      <w:r w:rsidR="008A682F">
        <w:rPr>
          <w:rStyle w:val="Text-NormalnChar"/>
          <w:rFonts w:eastAsia="Calibri"/>
        </w:rPr>
        <w:t xml:space="preserve">. </w:t>
      </w:r>
    </w:p>
    <w:p w:rsidR="00213DCD" w:rsidRDefault="00213DCD" w:rsidP="003E4A5D">
      <w:pPr>
        <w:pStyle w:val="Text-Normaln"/>
        <w:widowControl w:val="0"/>
      </w:pPr>
      <w:r>
        <w:t xml:space="preserve">Česká ekonomika prošla v 90. letech zásadní transformací. Stavebnictví patřilo mezi odvětví ekonomiky, na kterých se změny projevily nejvýrazněji. Velké státní stavební organizace se rozdělily na menší až drobné podniky. Vznikly firmy vlastněné zahraničními subjekty a firmy mezinárodní. Změnila se velikostní struktura nárůstem podílu </w:t>
      </w:r>
      <w:r w:rsidR="00FD54D4">
        <w:t>malých a středních podnikatelů (</w:t>
      </w:r>
      <w:r w:rsidR="004F1E30">
        <w:t>MSP</w:t>
      </w:r>
      <w:r w:rsidR="00FD54D4">
        <w:t>)</w:t>
      </w:r>
      <w:r w:rsidR="00FE0F06">
        <w:t xml:space="preserve"> ve stavebnictví</w:t>
      </w:r>
      <w:r>
        <w:t>. V důsledku transformace došlo k výraznému reálnému poklesu objemu stavební produkce. Nejvážněji se projevil útlum státních dotací do bytové výstavby, jenž vedl v</w:t>
      </w:r>
      <w:r w:rsidR="00FE0F06">
        <w:t> </w:t>
      </w:r>
      <w:r>
        <w:t>roce 1991 ke snížení počtu zahájených</w:t>
      </w:r>
      <w:r w:rsidR="00516113">
        <w:t xml:space="preserve"> staveb</w:t>
      </w:r>
      <w:r>
        <w:t xml:space="preserve"> bytů na šestinu proti minulému roku. V roce 1992 stavební produkce vzrostla zejména vlivem zvýšené fakturace před zavedením daně z</w:t>
      </w:r>
      <w:r w:rsidR="00FE0F06">
        <w:t> </w:t>
      </w:r>
      <w:r>
        <w:t>přidané hodnoty od 1. ledna 1993. V roce 1993 klesla stavební produkce na své dno.</w:t>
      </w:r>
    </w:p>
    <w:p w:rsidR="00213DCD" w:rsidRDefault="00213DCD" w:rsidP="003E4A5D">
      <w:pPr>
        <w:pStyle w:val="Text-Normaln"/>
        <w:widowControl w:val="0"/>
      </w:pPr>
      <w:r>
        <w:t xml:space="preserve">Ve druhé polovině 90. let se situace stabilizovala. Pokračovaly tendence koncentrace vlastnictví (majoritní vlastníci), slučování stavebních firem do větších celků při zachování samostatnosti podniků v holdingu. Stavební firmy byly převážně v soukromém vlastnictví a měly možnost využívat mnohem širší materiálovou základnu. V důsledku restitucí a privatizace se začal stavební sektor přibližovat struktuře běžné v tržní ekonomice, kde malé množství velkých stavebních firem je doplněno značným počtem malých firem zaměřených především na </w:t>
      </w:r>
      <w:r w:rsidR="001E1C6E">
        <w:t xml:space="preserve">menší projekty, </w:t>
      </w:r>
      <w:r>
        <w:t xml:space="preserve">opravy, údržbu a rekonstrukce nebo modernizace. Toto uspořádání umožňuje pružnější reakce na změnu v poptávce po stavebních pracích. Stále častěji se začaly objevovat inženýrské </w:t>
      </w:r>
      <w:r w:rsidR="00516113">
        <w:t>a</w:t>
      </w:r>
      <w:r w:rsidR="001E1C6E">
        <w:t> </w:t>
      </w:r>
      <w:r w:rsidR="00516113">
        <w:t xml:space="preserve">obchodní </w:t>
      </w:r>
      <w:r>
        <w:t xml:space="preserve">organizace </w:t>
      </w:r>
      <w:r w:rsidR="00516113">
        <w:t xml:space="preserve">činné ve výstavbě </w:t>
      </w:r>
      <w:r>
        <w:t>v podstatě bez vlastních stavebních kapacit.</w:t>
      </w:r>
    </w:p>
    <w:p w:rsidR="00213DCD" w:rsidRDefault="00213DCD" w:rsidP="003E4A5D">
      <w:pPr>
        <w:pStyle w:val="Text-Normaln"/>
        <w:widowControl w:val="0"/>
      </w:pPr>
      <w:r>
        <w:t xml:space="preserve">V letech 1994–1996 se reálná stavební produkce zvyšovala, nejvíce v roce 1995, kdy roční růst </w:t>
      </w:r>
      <w:r w:rsidR="001E1C6E">
        <w:t xml:space="preserve">produkce </w:t>
      </w:r>
      <w:r>
        <w:t>ve</w:t>
      </w:r>
      <w:r w:rsidR="00516113">
        <w:t> </w:t>
      </w:r>
      <w:r>
        <w:t xml:space="preserve">srovnatelných cenách překročil 8 %. </w:t>
      </w:r>
      <w:r w:rsidR="004F1E30">
        <w:t>V</w:t>
      </w:r>
      <w:r>
        <w:t xml:space="preserve"> letech 1997–1999 </w:t>
      </w:r>
      <w:r w:rsidR="00516113">
        <w:t xml:space="preserve">docházelo naopak </w:t>
      </w:r>
      <w:r>
        <w:t>k</w:t>
      </w:r>
      <w:r w:rsidR="001E1C6E">
        <w:t> </w:t>
      </w:r>
      <w:r>
        <w:t>poklesu objemu produkce, kterou lze označit za recesi, případně až krizi odvětví související s</w:t>
      </w:r>
      <w:r w:rsidR="001E1C6E">
        <w:t> </w:t>
      </w:r>
      <w:r>
        <w:t xml:space="preserve">obdobným vývojem celého hospodářství </w:t>
      </w:r>
      <w:r w:rsidR="00C85BD6">
        <w:t>ČR</w:t>
      </w:r>
      <w:r>
        <w:t>. Stavebnictví se ocitlo v hlubokém útlumu, pro který byl charakteristický výrazný pokles poptávky při přebytku kapacit a zhoršující se finanční situace firem. Po věcné stránce je pro stavební produkci 90. let charakteristický vysoký podíl novostaveb. Relativně významně vzrostl v druhé polovině dekády podíl bytové výstavby.</w:t>
      </w:r>
    </w:p>
    <w:p w:rsidR="00213DCD" w:rsidRDefault="00213DCD" w:rsidP="003E4A5D">
      <w:pPr>
        <w:pStyle w:val="Text-Normaln"/>
        <w:widowControl w:val="0"/>
      </w:pPr>
      <w:r>
        <w:t xml:space="preserve">Po roce 2000 byla obnovena dynamika růstu výkonnosti českého stavebnictví. Bytová výstavba </w:t>
      </w:r>
      <w:r w:rsidR="00A62A05">
        <w:t>se</w:t>
      </w:r>
      <w:r w:rsidR="00B61A05">
        <w:t> </w:t>
      </w:r>
      <w:r>
        <w:t>výrazně oživila. Projevila se také snaha modernizovat průmyslové, obchodní i správní budovy zejména ve formě „inteligentních budov“. Také proto si objem rekonstrukcí udržoval plynulý růst, dokonce vyšší, než byl zaznamenán u nové výstavby. Rostoucí tlaky na fungující moderní infrastrukturu vyvolávaly další podněty k růstu poptávky. Ta se projevila zejména na výstavbě transevropské dopravní infrastruktury a energetických a vodních sítí. Vrcholu bylo dosaženo v</w:t>
      </w:r>
      <w:r w:rsidR="00A62A05">
        <w:t> </w:t>
      </w:r>
      <w:r>
        <w:t>roce 2008, ale již tehdy se začalo projevovat postupné zpomalování ekonomického růstu. Rychle rostl objem nových zakázek u inženýrských staveb (dálnice, železnice, inženýrské sítě), jejichž výstavba byla podporována z evropských fondů</w:t>
      </w:r>
      <w:r w:rsidR="00A62A05">
        <w:t>,</w:t>
      </w:r>
      <w:r>
        <w:t xml:space="preserve"> a zpravidla šlo o veřejné zakázky. Pokles </w:t>
      </w:r>
      <w:r>
        <w:lastRenderedPageBreak/>
        <w:t>byl zaznamenán především u nebytových výrobních budov (průmyslových a zemědělských staveb) a podle očekávání u bytové výstavby, což signalizovalo zhoršení sociální situace obyvatelstva. Právě pozemní stavitelství pokračovalo v dlouhodobém propadu.</w:t>
      </w:r>
    </w:p>
    <w:p w:rsidR="00026645" w:rsidRDefault="00213DCD" w:rsidP="003E4A5D">
      <w:pPr>
        <w:pStyle w:val="Text-Normaln"/>
        <w:widowControl w:val="0"/>
      </w:pPr>
      <w:r>
        <w:t xml:space="preserve">V roce 2008 se poptávka po nemovitostech oproti roku 2007 snížila zhruba o třetinu až polovinu. Došlo k omezování stavebních investic. Propad se projevil u všech velikostních kategorií firem. Investoři a developeři začali omezovat nebo pozastavili některé akce, dokonce i řadu velkých projektů prakticky ve všech regionech. Developeři začali stavět pouze pro konkrétní klienty, nikoli </w:t>
      </w:r>
      <w:r w:rsidR="002D6D3A">
        <w:t>již na vlastní riziko pro budoucí možný prodej</w:t>
      </w:r>
      <w:r w:rsidR="00CB535C">
        <w:t xml:space="preserve"> či jiné budoucí využití</w:t>
      </w:r>
      <w:r>
        <w:t>. (</w:t>
      </w:r>
      <w:r w:rsidRPr="00213DCD">
        <w:rPr>
          <w:i/>
        </w:rPr>
        <w:t xml:space="preserve">Zdroj: </w:t>
      </w:r>
      <w:hyperlink r:id="rId10" w:history="1">
        <w:r w:rsidR="001B3136" w:rsidRPr="00A06A9A">
          <w:rPr>
            <w:rStyle w:val="Hypertextovodkaz"/>
            <w:i/>
          </w:rPr>
          <w:t>http://www.statistikaamy.cz/2015/09/vzestupy-a-pady-ceskeho-stavebnictvi/</w:t>
        </w:r>
      </w:hyperlink>
      <w:r>
        <w:t>)</w:t>
      </w:r>
    </w:p>
    <w:p w:rsidR="00BB5C81" w:rsidRDefault="00BB5C81" w:rsidP="003E4A5D">
      <w:pPr>
        <w:pStyle w:val="Text-Normaln"/>
        <w:widowControl w:val="0"/>
      </w:pPr>
      <w:r>
        <w:t xml:space="preserve">Od roku 2008 do roku 2010, v období první fáze recese, se ještě podíl stavebnictví na </w:t>
      </w:r>
      <w:r w:rsidR="00E20097">
        <w:t>hrubé přidané hodnotě (</w:t>
      </w:r>
      <w:r>
        <w:t>HPH</w:t>
      </w:r>
      <w:r w:rsidR="00E20097">
        <w:t>)</w:t>
      </w:r>
      <w:r>
        <w:t xml:space="preserve"> </w:t>
      </w:r>
      <w:r w:rsidR="00A15049">
        <w:t xml:space="preserve">celé ekonomiky ČR </w:t>
      </w:r>
      <w:r>
        <w:t xml:space="preserve">zvyšoval, na úkor podílu ostatních odvětví ekonomiky. </w:t>
      </w:r>
      <w:r w:rsidR="009D707E">
        <w:t>V </w:t>
      </w:r>
      <w:r>
        <w:t xml:space="preserve">roce 2010 začal podíl stavebnictví klesat a s výjimkou roku 2015 se snižoval až do roku 2016. </w:t>
      </w:r>
      <w:r w:rsidR="009D707E">
        <w:t> V </w:t>
      </w:r>
      <w:r>
        <w:t xml:space="preserve">roce 2015 došlo ke zvýšení podílu odvětví a také k výraznému nárůstu vytvořené HPH, ale </w:t>
      </w:r>
      <w:r w:rsidR="009D707E">
        <w:t>v </w:t>
      </w:r>
      <w:r>
        <w:t xml:space="preserve">dalším roce se jeho podíl opět snížil. Vytvořená HPH byla v roce 2016 meziročně vyšší, ale </w:t>
      </w:r>
      <w:r w:rsidR="009D707E">
        <w:t>s </w:t>
      </w:r>
      <w:r>
        <w:t xml:space="preserve">nižším podílem, když se v tomto roce zvýšil podíl zejména zpracovatelského průmyslu, obchodu </w:t>
      </w:r>
      <w:r w:rsidR="009D707E">
        <w:t>a </w:t>
      </w:r>
      <w:r>
        <w:t>ubytování a stravování.</w:t>
      </w:r>
    </w:p>
    <w:p w:rsidR="009158C1" w:rsidRDefault="009158C1"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w:t>
      </w:r>
      <w:r w:rsidR="00AB65E9">
        <w:rPr>
          <w:noProof/>
        </w:rPr>
        <w:fldChar w:fldCharType="end"/>
      </w:r>
      <w:r>
        <w:t>: HPH a podíl HPH stavebnictví na celé ekonomice</w:t>
      </w:r>
    </w:p>
    <w:p w:rsidR="00BB5C81" w:rsidRDefault="009158C1" w:rsidP="003E4A5D">
      <w:pPr>
        <w:pStyle w:val="Text-Normaln"/>
        <w:widowControl w:val="0"/>
      </w:pPr>
      <w:r>
        <w:rPr>
          <w:noProof/>
          <w:lang w:eastAsia="cs-CZ"/>
        </w:rPr>
        <w:drawing>
          <wp:inline distT="0" distB="0" distL="0" distR="0" wp14:anchorId="183F1E10" wp14:editId="487106B5">
            <wp:extent cx="5751260" cy="2740689"/>
            <wp:effectExtent l="0" t="0" r="1905"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213" cy="2802140"/>
                    </a:xfrm>
                    <a:prstGeom prst="rect">
                      <a:avLst/>
                    </a:prstGeom>
                    <a:noFill/>
                  </pic:spPr>
                </pic:pic>
              </a:graphicData>
            </a:graphic>
          </wp:inline>
        </w:drawing>
      </w:r>
    </w:p>
    <w:p w:rsidR="000A3462" w:rsidRDefault="000A3462" w:rsidP="003E4A5D">
      <w:pPr>
        <w:pStyle w:val="Citt"/>
      </w:pPr>
      <w:r>
        <w:t>Zdroj: ČSÚ</w:t>
      </w:r>
    </w:p>
    <w:p w:rsidR="002C0B33" w:rsidRDefault="002C0B33" w:rsidP="003E4A5D">
      <w:pPr>
        <w:pStyle w:val="Text-Normaln"/>
        <w:widowControl w:val="0"/>
      </w:pPr>
      <w:r w:rsidRPr="0017271B">
        <w:t>Dalším ukazatelem charakterizujícím postavení stavebnictví je zaměstnanost v tomto odvětví, která se až do roku 2010 zvyšovala. Od té doby však zaměstnanost klesala až do roku 2016 a</w:t>
      </w:r>
      <w:r w:rsidR="00254213">
        <w:t> </w:t>
      </w:r>
      <w:r w:rsidRPr="0017271B">
        <w:t>pozice stavebnictví na zaměstnanosti celé ekonomiky oslabila.</w:t>
      </w:r>
    </w:p>
    <w:p w:rsidR="003E4A5D" w:rsidRDefault="003E4A5D">
      <w:pPr>
        <w:spacing w:before="0" w:after="0"/>
        <w:jc w:val="left"/>
        <w:rPr>
          <w:rFonts w:eastAsia="Times New Roman"/>
          <w:b/>
          <w:bCs/>
          <w:color w:val="000000"/>
          <w:sz w:val="22"/>
          <w:szCs w:val="20"/>
          <w:lang w:eastAsia="cs-CZ"/>
        </w:rPr>
      </w:pPr>
      <w:r>
        <w:br w:type="page"/>
      </w:r>
    </w:p>
    <w:p w:rsidR="00511C3A" w:rsidRDefault="00511C3A"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2</w:t>
      </w:r>
      <w:r w:rsidR="00AB65E9">
        <w:rPr>
          <w:noProof/>
        </w:rPr>
        <w:fldChar w:fldCharType="end"/>
      </w:r>
      <w:r>
        <w:t>: Zaměstnané osoby a podíl zaměstnaných osob stavebnictví na celé ekonomice</w:t>
      </w:r>
    </w:p>
    <w:p w:rsidR="004F1E30" w:rsidRDefault="00511C3A" w:rsidP="003E4A5D">
      <w:pPr>
        <w:pStyle w:val="Text-Normaln"/>
        <w:widowControl w:val="0"/>
        <w:ind w:right="-2"/>
      </w:pPr>
      <w:r>
        <w:rPr>
          <w:noProof/>
          <w:lang w:eastAsia="cs-CZ"/>
        </w:rPr>
        <w:drawing>
          <wp:inline distT="0" distB="0" distL="0" distR="0" wp14:anchorId="331B1EC1" wp14:editId="32779327">
            <wp:extent cx="5747431" cy="1950720"/>
            <wp:effectExtent l="0" t="0" r="571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775" cy="1967128"/>
                    </a:xfrm>
                    <a:prstGeom prst="rect">
                      <a:avLst/>
                    </a:prstGeom>
                    <a:noFill/>
                  </pic:spPr>
                </pic:pic>
              </a:graphicData>
            </a:graphic>
          </wp:inline>
        </w:drawing>
      </w:r>
    </w:p>
    <w:p w:rsidR="0076372F" w:rsidRDefault="0076372F" w:rsidP="003E4A5D">
      <w:pPr>
        <w:pStyle w:val="Citt"/>
      </w:pPr>
      <w:r>
        <w:t>Zdroj: ČSÚ</w:t>
      </w:r>
    </w:p>
    <w:p w:rsidR="008B77DC" w:rsidRDefault="00DF59DF" w:rsidP="003E4A5D">
      <w:pPr>
        <w:pStyle w:val="Text-Normaln"/>
        <w:widowControl w:val="0"/>
      </w:pPr>
      <w:r w:rsidRPr="00416263">
        <w:t>Produkc</w:t>
      </w:r>
      <w:r w:rsidR="00790696">
        <w:t>e</w:t>
      </w:r>
      <w:r w:rsidRPr="00416263">
        <w:t xml:space="preserve"> </w:t>
      </w:r>
      <w:r w:rsidR="00790696">
        <w:t>ve stavebnictví je více než jiné odvětví specifická tím</w:t>
      </w:r>
      <w:r w:rsidR="00A53D9E">
        <w:t xml:space="preserve">, že je přímo závislá na </w:t>
      </w:r>
      <w:r w:rsidRPr="00416263">
        <w:t>předch</w:t>
      </w:r>
      <w:r w:rsidR="00A53D9E">
        <w:t xml:space="preserve">ozím </w:t>
      </w:r>
      <w:r w:rsidR="008F0CB0">
        <w:t xml:space="preserve">rozhodnutí o </w:t>
      </w:r>
      <w:r w:rsidR="00C02225">
        <w:t xml:space="preserve">předpokládaném </w:t>
      </w:r>
      <w:r w:rsidR="008F0CB0">
        <w:t xml:space="preserve">využití území (územní plánování) a na </w:t>
      </w:r>
      <w:r w:rsidR="00EE4D21">
        <w:t xml:space="preserve">výsledku správního </w:t>
      </w:r>
      <w:r w:rsidRPr="00416263">
        <w:t>povolovací</w:t>
      </w:r>
      <w:r w:rsidR="00EE4D21">
        <w:t>ho</w:t>
      </w:r>
      <w:r w:rsidRPr="00416263">
        <w:t xml:space="preserve"> proces</w:t>
      </w:r>
      <w:r w:rsidR="00A53D9E">
        <w:t>u</w:t>
      </w:r>
      <w:r w:rsidR="0076372F" w:rsidRPr="00416263">
        <w:t>.</w:t>
      </w:r>
      <w:r w:rsidRPr="00416263">
        <w:t xml:space="preserve"> </w:t>
      </w:r>
    </w:p>
    <w:p w:rsidR="008B77DC" w:rsidRDefault="00EA4155" w:rsidP="003E4A5D">
      <w:pPr>
        <w:pStyle w:val="Text-Normaln"/>
        <w:widowControl w:val="0"/>
      </w:pPr>
      <w:r>
        <w:t xml:space="preserve">Nejvýznamnějšími územně plánovacími dokumentacemi </w:t>
      </w:r>
      <w:r w:rsidRPr="00EA4155">
        <w:t>(ÚPD)</w:t>
      </w:r>
      <w:r>
        <w:t xml:space="preserve"> v ČR jsou zásady územního rozvoje (ZÚR) a územní plán (ÚP)</w:t>
      </w:r>
      <w:r w:rsidR="007812E6">
        <w:t>. Jejich pořízení nebo aktualizace/změna</w:t>
      </w:r>
      <w:r w:rsidR="008B77DC">
        <w:t xml:space="preserve"> v sobě zahrnuje </w:t>
      </w:r>
      <w:r w:rsidR="00242C7A">
        <w:t>řadu fází</w:t>
      </w:r>
      <w:r w:rsidR="00190AC0">
        <w:t xml:space="preserve">. Pokud se nepostupuje zkráceným postupem, jedná se o návrh </w:t>
      </w:r>
      <w:r w:rsidR="00366F81" w:rsidRPr="00366F81">
        <w:t>zadání</w:t>
      </w:r>
      <w:r w:rsidR="00190AC0">
        <w:t xml:space="preserve"> (</w:t>
      </w:r>
      <w:r>
        <w:t>návrh zprávy o</w:t>
      </w:r>
      <w:r w:rsidR="007812E6">
        <w:t> </w:t>
      </w:r>
      <w:r>
        <w:t>uplatňování)</w:t>
      </w:r>
      <w:r w:rsidR="00366F81">
        <w:t xml:space="preserve">, </w:t>
      </w:r>
      <w:r w:rsidR="00190AC0">
        <w:t>schválení zadání</w:t>
      </w:r>
      <w:r>
        <w:t xml:space="preserve"> </w:t>
      </w:r>
      <w:r w:rsidRPr="00EA4155">
        <w:t>(</w:t>
      </w:r>
      <w:r>
        <w:t>schválení</w:t>
      </w:r>
      <w:r w:rsidRPr="00EA4155">
        <w:t xml:space="preserve"> zprávy o</w:t>
      </w:r>
      <w:r>
        <w:t> </w:t>
      </w:r>
      <w:r w:rsidRPr="00EA4155">
        <w:t>uplatňování)</w:t>
      </w:r>
      <w:r w:rsidR="00190AC0">
        <w:t xml:space="preserve">, </w:t>
      </w:r>
      <w:r w:rsidR="00366F81">
        <w:t>n</w:t>
      </w:r>
      <w:r w:rsidR="00366F81" w:rsidRPr="00366F81">
        <w:t xml:space="preserve">ávrh </w:t>
      </w:r>
      <w:r w:rsidR="007812E6">
        <w:t>ÚPD</w:t>
      </w:r>
      <w:r w:rsidR="00D942C5">
        <w:t xml:space="preserve">, společné jednání, veřejné projednání, </w:t>
      </w:r>
      <w:r w:rsidR="00D942C5" w:rsidRPr="00D942C5">
        <w:t xml:space="preserve">návrh rozhodnutí o námitkách a návrh vyhodnocení připomínek uplatněných k návrhu </w:t>
      </w:r>
      <w:r w:rsidR="003C48EE">
        <w:t>ÚPD</w:t>
      </w:r>
      <w:r w:rsidR="00D942C5">
        <w:t>, stanoviska k</w:t>
      </w:r>
      <w:r w:rsidR="00AF7855">
        <w:t xml:space="preserve"> připomínkám až po </w:t>
      </w:r>
      <w:r w:rsidR="00AF7855" w:rsidRPr="00D46380">
        <w:t xml:space="preserve">samotné schválení a vydání </w:t>
      </w:r>
      <w:r w:rsidR="003C48EE" w:rsidRPr="00D46380">
        <w:t>ÚPD příslušným zastupitelstvem</w:t>
      </w:r>
      <w:r w:rsidR="00AF7855" w:rsidRPr="00D46380">
        <w:t xml:space="preserve"> ve formě opatření obecné povahy. </w:t>
      </w:r>
      <w:r w:rsidR="007812E6">
        <w:t xml:space="preserve">Zákonnost vydané </w:t>
      </w:r>
      <w:r w:rsidR="0048182C">
        <w:t xml:space="preserve">ÚPD lze ve stanovené lhůtě přezkoumávat v přezkumném řízení. Zákon také </w:t>
      </w:r>
      <w:r w:rsidR="00AF7855" w:rsidRPr="00D46380">
        <w:t xml:space="preserve">umožňuje </w:t>
      </w:r>
      <w:r w:rsidR="00D46380" w:rsidRPr="00D46380">
        <w:t>zákonem stanovenému okruhu subjektů (</w:t>
      </w:r>
      <w:r w:rsidR="00D46380" w:rsidRPr="009D707E">
        <w:t>např</w:t>
      </w:r>
      <w:r w:rsidR="008201FA">
        <w:t>íklad</w:t>
      </w:r>
      <w:r w:rsidR="00D45E0B" w:rsidRPr="009D707E">
        <w:t xml:space="preserve"> ten, </w:t>
      </w:r>
      <w:r w:rsidR="003C48EE" w:rsidRPr="009D707E">
        <w:rPr>
          <w:noProof/>
        </w:rPr>
        <w:t xml:space="preserve">kdo by </w:t>
      </w:r>
      <w:r w:rsidR="0025130E" w:rsidRPr="009D707E">
        <w:rPr>
          <w:noProof/>
        </w:rPr>
        <w:t xml:space="preserve">vydaným opatřením obecné povahy </w:t>
      </w:r>
      <w:r w:rsidR="003C48EE" w:rsidRPr="009D707E">
        <w:rPr>
          <w:noProof/>
        </w:rPr>
        <w:t>mohl být zkrácen na svých právech</w:t>
      </w:r>
      <w:r w:rsidR="00D46380" w:rsidRPr="009D707E">
        <w:rPr>
          <w:noProof/>
        </w:rPr>
        <w:t>)</w:t>
      </w:r>
      <w:r w:rsidR="003C48EE" w:rsidRPr="009D707E">
        <w:rPr>
          <w:noProof/>
        </w:rPr>
        <w:t xml:space="preserve"> </w:t>
      </w:r>
      <w:r w:rsidR="00AF7855" w:rsidRPr="009D707E">
        <w:t>již</w:t>
      </w:r>
      <w:r w:rsidR="00AF7855">
        <w:t xml:space="preserve"> vydan</w:t>
      </w:r>
      <w:r w:rsidR="007812E6">
        <w:t>ou</w:t>
      </w:r>
      <w:r w:rsidR="00AF7855">
        <w:t xml:space="preserve"> </w:t>
      </w:r>
      <w:r w:rsidR="007812E6">
        <w:t>ÚPD</w:t>
      </w:r>
      <w:r w:rsidR="00AF7855">
        <w:t xml:space="preserve"> napadat </w:t>
      </w:r>
      <w:r w:rsidR="00DB5DFA">
        <w:t>u správních soudů, a to jak obecně v rámci tzv. abstraktního přezkumu, tak i konkrétně v rámci tzv. incidenčního přezkumu v souvislosti s konkrétní věc</w:t>
      </w:r>
      <w:r w:rsidR="00220365">
        <w:t>í</w:t>
      </w:r>
      <w:r w:rsidR="00DB5DFA">
        <w:t xml:space="preserve">, pro </w:t>
      </w:r>
      <w:r w:rsidR="003F4534">
        <w:t xml:space="preserve">kterou </w:t>
      </w:r>
      <w:r w:rsidR="00DB5DFA">
        <w:t xml:space="preserve">je </w:t>
      </w:r>
      <w:r w:rsidR="0025130E">
        <w:t>platná ÚPD</w:t>
      </w:r>
      <w:r w:rsidR="00DB5DFA">
        <w:t xml:space="preserve"> podkladem</w:t>
      </w:r>
      <w:r w:rsidR="00261CA7">
        <w:t xml:space="preserve">, a </w:t>
      </w:r>
      <w:r w:rsidR="0048182C">
        <w:t xml:space="preserve">podle judikatury </w:t>
      </w:r>
      <w:r w:rsidR="00261CA7">
        <w:t>i (v </w:t>
      </w:r>
      <w:r w:rsidR="00392CA0">
        <w:t>obou případech) se zpětnými účinky (viz dále)</w:t>
      </w:r>
      <w:r w:rsidR="00DB5DFA">
        <w:t>.</w:t>
      </w:r>
      <w:r w:rsidR="00261CA7">
        <w:t xml:space="preserve"> To sice zvyšuje dodatečnou ochranu práv dotčených osob</w:t>
      </w:r>
      <w:r w:rsidR="003122A1">
        <w:t>, ovšem na úkor právní jistoty všech ostatních, rovněž dotčených osob.</w:t>
      </w:r>
      <w:r w:rsidR="00F11F6B">
        <w:t xml:space="preserve"> Fenomén soudního přezkumu a rušení již vydaných </w:t>
      </w:r>
      <w:r w:rsidR="0025130E">
        <w:t xml:space="preserve">zejména </w:t>
      </w:r>
      <w:r w:rsidR="00B35C93">
        <w:t>ÚP</w:t>
      </w:r>
      <w:r w:rsidR="00F11F6B">
        <w:t xml:space="preserve"> </w:t>
      </w:r>
      <w:r w:rsidR="009B3534">
        <w:t xml:space="preserve">se rozšířil až ve druhé dekádě třetího tisíciletí, po nabytí účinnosti stávajícího stavebního zákona č. </w:t>
      </w:r>
      <w:r w:rsidR="006A2E9E" w:rsidRPr="006A2E9E">
        <w:t>zákona č. 183/2006 Sb., o územním plánování a stavebním řádu (stavební zákon), ve znění pozdějších předpisů</w:t>
      </w:r>
      <w:r w:rsidR="006A2E9E">
        <w:t xml:space="preserve"> (</w:t>
      </w:r>
      <w:r w:rsidR="00BA30EC">
        <w:t>stávající</w:t>
      </w:r>
      <w:r w:rsidR="006A2E9E">
        <w:t xml:space="preserve"> stavební zákon nebo SZ),</w:t>
      </w:r>
      <w:r w:rsidR="009B3534">
        <w:t xml:space="preserve"> a </w:t>
      </w:r>
      <w:r w:rsidR="00EE0246">
        <w:t xml:space="preserve">změně výkladové praxe v důsledku judikatury Ústavního soudu </w:t>
      </w:r>
      <w:r w:rsidR="00966820">
        <w:t>(zejm. nález Ústavního soudu</w:t>
      </w:r>
      <w:r w:rsidR="00966820" w:rsidRPr="00966820">
        <w:t xml:space="preserve"> ze dne 19. 11. 2008</w:t>
      </w:r>
      <w:r w:rsidR="00966820">
        <w:t xml:space="preserve">, sp. zn. Pl. ÚS 14/07). </w:t>
      </w:r>
      <w:r w:rsidR="00AD4DCF">
        <w:t xml:space="preserve">Rozšíření přezkumu </w:t>
      </w:r>
      <w:r w:rsidR="0025130E">
        <w:t xml:space="preserve">zejména </w:t>
      </w:r>
      <w:r w:rsidR="00B35C93">
        <w:t>ÚP</w:t>
      </w:r>
      <w:r w:rsidR="00AD4DCF">
        <w:t xml:space="preserve"> </w:t>
      </w:r>
      <w:r w:rsidR="0025130E">
        <w:t>a </w:t>
      </w:r>
      <w:r w:rsidR="00AD4DCF">
        <w:t xml:space="preserve">jejich </w:t>
      </w:r>
      <w:r w:rsidR="00E44C50">
        <w:t xml:space="preserve">následné </w:t>
      </w:r>
      <w:r w:rsidR="00AD4DCF">
        <w:t xml:space="preserve">rušení se zpětnými účinky vyvolalo </w:t>
      </w:r>
      <w:r w:rsidR="00E46CBA">
        <w:t xml:space="preserve">enormní </w:t>
      </w:r>
      <w:r w:rsidR="00261CA7">
        <w:t xml:space="preserve">právní </w:t>
      </w:r>
      <w:r w:rsidR="00E46CBA">
        <w:t xml:space="preserve">nejistotu pro investory, a to </w:t>
      </w:r>
      <w:r w:rsidR="00072D58">
        <w:t>zejména v případě větších a náročnějších staveb.</w:t>
      </w:r>
      <w:r w:rsidR="006A09B3">
        <w:t xml:space="preserve"> Řada investičních projektů s platným povolením</w:t>
      </w:r>
      <w:r w:rsidR="00F60D5D">
        <w:t xml:space="preserve"> (minimálně územním rozhodnutím)</w:t>
      </w:r>
      <w:r w:rsidR="006A09B3">
        <w:t xml:space="preserve"> z důvodu pozdějšího zrušení </w:t>
      </w:r>
      <w:r w:rsidR="00B35C93">
        <w:t>(např</w:t>
      </w:r>
      <w:r w:rsidR="008201FA">
        <w:t>íklad</w:t>
      </w:r>
      <w:r w:rsidR="00B35C93">
        <w:t xml:space="preserve"> v důsledku zrušení části ÚP) </w:t>
      </w:r>
      <w:r w:rsidR="00830DE9">
        <w:t xml:space="preserve">se pak stala </w:t>
      </w:r>
      <w:r w:rsidR="00830DE9" w:rsidRPr="00A3110D">
        <w:t>předmětem dalších</w:t>
      </w:r>
      <w:r w:rsidR="00830DE9">
        <w:t xml:space="preserve"> soudních sporů o náhradu škod způsobených výkonem veřejné moci.</w:t>
      </w:r>
    </w:p>
    <w:p w:rsidR="00EE4D21" w:rsidRDefault="00AF7855" w:rsidP="003E4A5D">
      <w:pPr>
        <w:pStyle w:val="Text-Normaln"/>
        <w:widowControl w:val="0"/>
      </w:pPr>
      <w:r>
        <w:t>Povolovací proces</w:t>
      </w:r>
      <w:r w:rsidR="008F0CB0">
        <w:t xml:space="preserve"> </w:t>
      </w:r>
      <w:r w:rsidR="00C349ED">
        <w:t xml:space="preserve">staveb </w:t>
      </w:r>
      <w:r w:rsidR="008F0CB0">
        <w:t>je v </w:t>
      </w:r>
      <w:r w:rsidR="00C85BD6" w:rsidRPr="00C85BD6">
        <w:t>ČR</w:t>
      </w:r>
      <w:r w:rsidR="008F0CB0">
        <w:t xml:space="preserve"> </w:t>
      </w:r>
      <w:r w:rsidR="00C349ED">
        <w:t>upraven jako trojfázový</w:t>
      </w:r>
      <w:r w:rsidR="008F0CB0">
        <w:t>, v podobě územního rozhodnutí, stavebního povolení a </w:t>
      </w:r>
      <w:r w:rsidR="00CA1E1D">
        <w:t>povolení užívání dokončené stavby (</w:t>
      </w:r>
      <w:r w:rsidR="008F0CB0">
        <w:t>kolaudace staveb</w:t>
      </w:r>
      <w:r w:rsidR="00CA1E1D">
        <w:t>)</w:t>
      </w:r>
      <w:r w:rsidR="008F0CB0">
        <w:t xml:space="preserve">. </w:t>
      </w:r>
      <w:r w:rsidR="00C349ED">
        <w:t xml:space="preserve">Každý z těchto procesů se odehrává ve </w:t>
      </w:r>
      <w:r w:rsidR="00045B10">
        <w:t>dvou stupních správního řízení</w:t>
      </w:r>
      <w:r w:rsidR="00F80B06">
        <w:t xml:space="preserve"> </w:t>
      </w:r>
      <w:r w:rsidR="00CA1E1D">
        <w:t xml:space="preserve">(u povolení užívání dokončené stavby pokud se vede kolaudační řízení) </w:t>
      </w:r>
      <w:r w:rsidR="00F80B06">
        <w:t>a ve dvou stupních soudního řízení</w:t>
      </w:r>
      <w:r w:rsidR="00E4226D">
        <w:t xml:space="preserve"> ve správním soudnictví</w:t>
      </w:r>
      <w:r w:rsidR="00F80B06">
        <w:t xml:space="preserve">, jemuž jsou často </w:t>
      </w:r>
      <w:r w:rsidR="00E4226D">
        <w:t xml:space="preserve">téměř až </w:t>
      </w:r>
      <w:r w:rsidR="00F80B06">
        <w:t>automatizovaně přiznávány odkladné účinky</w:t>
      </w:r>
      <w:r w:rsidR="006D21E8">
        <w:t xml:space="preserve">. Správní řízení </w:t>
      </w:r>
      <w:r w:rsidR="00E4226D">
        <w:t>je</w:t>
      </w:r>
      <w:r w:rsidR="006D21E8">
        <w:t> </w:t>
      </w:r>
      <w:r w:rsidR="00E4226D">
        <w:t xml:space="preserve">komplikováno jak pluralitou obecných, speciálních a jiných stavebních úřadů, jejichž funkce vykonává více než 10 zcela odlišných </w:t>
      </w:r>
      <w:r w:rsidR="001D7B73">
        <w:t xml:space="preserve">druhů </w:t>
      </w:r>
      <w:r w:rsidR="00E4226D">
        <w:t>správních orgánů</w:t>
      </w:r>
      <w:r w:rsidR="001D7B73">
        <w:t>, tak i pluralitou závazných stanovisek, jimiž jsou stavební úřady vázány, která vydává</w:t>
      </w:r>
      <w:r w:rsidR="006D21E8">
        <w:t xml:space="preserve"> více než 40 dotčených orgánů </w:t>
      </w:r>
      <w:r w:rsidR="00854F38">
        <w:t xml:space="preserve">(DO) </w:t>
      </w:r>
      <w:r w:rsidR="006D21E8">
        <w:t>a </w:t>
      </w:r>
      <w:r w:rsidR="001D7B73">
        <w:t xml:space="preserve">přezkoumávají je nadřízené orgány těchto </w:t>
      </w:r>
      <w:r w:rsidR="00854F38" w:rsidRPr="00854F38">
        <w:t>DO</w:t>
      </w:r>
      <w:r w:rsidR="001D7B73">
        <w:t xml:space="preserve"> zcela mimo gesci stavebních úřadů a jejich nadřízených orgánů. </w:t>
      </w:r>
      <w:r w:rsidR="006D21E8">
        <w:t xml:space="preserve">Výsledkem je mimořádně </w:t>
      </w:r>
      <w:r w:rsidR="00BD4834">
        <w:t xml:space="preserve">zdlouhavý, </w:t>
      </w:r>
      <w:r w:rsidR="006D21E8">
        <w:t xml:space="preserve">komplikovaný </w:t>
      </w:r>
      <w:r w:rsidR="00D86442">
        <w:t xml:space="preserve">a </w:t>
      </w:r>
      <w:r w:rsidR="00347392">
        <w:t xml:space="preserve">zároveň atomizovaný </w:t>
      </w:r>
      <w:r w:rsidR="006D21E8">
        <w:lastRenderedPageBreak/>
        <w:t>administrativní systém</w:t>
      </w:r>
      <w:r w:rsidR="00702BD0">
        <w:t xml:space="preserve">, který většinu své energie spotřebovává na vedení </w:t>
      </w:r>
      <w:r w:rsidR="00BD4834">
        <w:t>a </w:t>
      </w:r>
      <w:r w:rsidR="00702BD0">
        <w:t xml:space="preserve">přezkumy </w:t>
      </w:r>
      <w:r w:rsidR="00946C46">
        <w:t xml:space="preserve">relativně </w:t>
      </w:r>
      <w:r w:rsidR="00702BD0">
        <w:t>izolovaných formalizovaných procesů</w:t>
      </w:r>
      <w:r w:rsidR="00347392">
        <w:t>, aniž by existovala jednotná autorita s</w:t>
      </w:r>
      <w:r w:rsidR="00946C46">
        <w:t xml:space="preserve"> jasnou </w:t>
      </w:r>
      <w:r w:rsidR="00347392">
        <w:t xml:space="preserve">odpovědností </w:t>
      </w:r>
      <w:r w:rsidR="00946C46">
        <w:t>za stavební právo jako celek.</w:t>
      </w:r>
      <w:r w:rsidR="008F787B">
        <w:t xml:space="preserve"> </w:t>
      </w:r>
      <w:r w:rsidR="00D45244">
        <w:t>V</w:t>
      </w:r>
      <w:r w:rsidR="005918FC">
        <w:t>e</w:t>
      </w:r>
      <w:r w:rsidR="00D45244">
        <w:t> </w:t>
      </w:r>
      <w:r w:rsidR="005918FC">
        <w:t xml:space="preserve">svém </w:t>
      </w:r>
      <w:r w:rsidR="00D45244">
        <w:t xml:space="preserve">souhrnu jde </w:t>
      </w:r>
      <w:r w:rsidR="008F787B">
        <w:t>o systém kolektivní neodpovědnosti</w:t>
      </w:r>
      <w:r w:rsidR="00116D1D">
        <w:t xml:space="preserve">, kdy v množství </w:t>
      </w:r>
      <w:r w:rsidR="00854F38" w:rsidRPr="00854F38">
        <w:t>DO</w:t>
      </w:r>
      <w:r w:rsidR="00854F38" w:rsidRPr="00854F38" w:rsidDel="00854F38">
        <w:t xml:space="preserve"> </w:t>
      </w:r>
      <w:r w:rsidR="0043533A">
        <w:t xml:space="preserve">a </w:t>
      </w:r>
      <w:r w:rsidR="005918FC">
        <w:t xml:space="preserve">v množství </w:t>
      </w:r>
      <w:r w:rsidR="0043533A">
        <w:t>stavebních úřadů, z nichž většinu</w:t>
      </w:r>
      <w:r w:rsidR="005918FC">
        <w:t xml:space="preserve"> netvoří ani státní orgány, ale orgány územních samosprávných celků, přestože jde </w:t>
      </w:r>
      <w:r w:rsidR="00E007FB">
        <w:t>o </w:t>
      </w:r>
      <w:r w:rsidR="005918FC">
        <w:t xml:space="preserve">výkon státní správy, </w:t>
      </w:r>
      <w:r w:rsidR="00962DE0">
        <w:t xml:space="preserve">dochází k takovému rozmělnění </w:t>
      </w:r>
      <w:r w:rsidR="00BD4834">
        <w:t>odpovědnost</w:t>
      </w:r>
      <w:r w:rsidR="00962DE0">
        <w:t>i</w:t>
      </w:r>
      <w:r w:rsidR="00BD4834">
        <w:t xml:space="preserve"> za výsledek</w:t>
      </w:r>
      <w:r w:rsidR="00962DE0">
        <w:t>, že je prakticky nevymahatelná</w:t>
      </w:r>
      <w:r w:rsidR="00BD4834">
        <w:t>.</w:t>
      </w:r>
      <w:r w:rsidR="00962DE0">
        <w:t xml:space="preserve"> </w:t>
      </w:r>
      <w:r w:rsidR="00E44CE1">
        <w:t xml:space="preserve">Nemožnost reálně se domoci náhrady škod způsobených nezákonnými rozhodnutími, průtahy a nesprávným úředním postupem </w:t>
      </w:r>
      <w:r w:rsidR="0087231B">
        <w:t xml:space="preserve">při povolování staveb dlouhodobě </w:t>
      </w:r>
      <w:r w:rsidR="00D93298">
        <w:t xml:space="preserve">tíží dotčenou veřejnost a </w:t>
      </w:r>
      <w:r w:rsidR="0087231B">
        <w:t xml:space="preserve">kritizuje </w:t>
      </w:r>
      <w:r w:rsidR="00D93298">
        <w:t xml:space="preserve">ji </w:t>
      </w:r>
      <w:r w:rsidR="0087231B">
        <w:t xml:space="preserve">i </w:t>
      </w:r>
      <w:r w:rsidR="00D93298">
        <w:t>veřejný ochránce práv.</w:t>
      </w:r>
      <w:r w:rsidR="00BD4834">
        <w:t xml:space="preserve"> </w:t>
      </w:r>
    </w:p>
    <w:p w:rsidR="004F1E30" w:rsidRDefault="0076372F" w:rsidP="003E4A5D">
      <w:pPr>
        <w:pStyle w:val="Text-Normaln"/>
        <w:widowControl w:val="0"/>
      </w:pPr>
      <w:r w:rsidRPr="00416263">
        <w:t>M</w:t>
      </w:r>
      <w:r w:rsidR="00DF59DF" w:rsidRPr="00416263">
        <w:t xml:space="preserve">íra regulace </w:t>
      </w:r>
      <w:r w:rsidRPr="00416263">
        <w:t xml:space="preserve">tak přímo </w:t>
      </w:r>
      <w:r w:rsidR="00DF59DF" w:rsidRPr="00416263">
        <w:t>ovlivňuje produkci</w:t>
      </w:r>
      <w:r w:rsidRPr="00416263">
        <w:t xml:space="preserve">, tj. počet stavebních povolení </w:t>
      </w:r>
      <w:r w:rsidR="00416263" w:rsidRPr="00416263">
        <w:t xml:space="preserve">a </w:t>
      </w:r>
      <w:r w:rsidR="00DF59DF" w:rsidRPr="00416263">
        <w:t>počet dokončených staveb (produkc</w:t>
      </w:r>
      <w:r w:rsidR="00416263" w:rsidRPr="00416263">
        <w:t>i</w:t>
      </w:r>
      <w:r w:rsidR="00DF59DF" w:rsidRPr="00416263">
        <w:t>, HPH)</w:t>
      </w:r>
      <w:r w:rsidR="00416263" w:rsidRPr="00416263">
        <w:t>.</w:t>
      </w:r>
    </w:p>
    <w:p w:rsidR="00511C3A" w:rsidRDefault="00511C3A"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1</w:t>
      </w:r>
      <w:r w:rsidR="00AB65E9">
        <w:rPr>
          <w:noProof/>
        </w:rPr>
        <w:fldChar w:fldCharType="end"/>
      </w:r>
      <w:r>
        <w:t>:</w:t>
      </w:r>
      <w:r w:rsidRPr="00511C3A">
        <w:t xml:space="preserve"> </w:t>
      </w:r>
      <w:r w:rsidRPr="00E45013">
        <w:t>Vydaná stavební povolení a jejich orientační hodnota*), 2008–2017 (%)</w:t>
      </w:r>
    </w:p>
    <w:tbl>
      <w:tblPr>
        <w:tblStyle w:val="TableNormal"/>
        <w:tblW w:w="9072" w:type="dxa"/>
        <w:tblLayout w:type="fixed"/>
        <w:tblLook w:val="01E0" w:firstRow="1" w:lastRow="1" w:firstColumn="1" w:lastColumn="1" w:noHBand="0" w:noVBand="0"/>
      </w:tblPr>
      <w:tblGrid>
        <w:gridCol w:w="1701"/>
        <w:gridCol w:w="737"/>
        <w:gridCol w:w="737"/>
        <w:gridCol w:w="737"/>
        <w:gridCol w:w="737"/>
        <w:gridCol w:w="737"/>
        <w:gridCol w:w="737"/>
        <w:gridCol w:w="737"/>
        <w:gridCol w:w="737"/>
        <w:gridCol w:w="737"/>
        <w:gridCol w:w="738"/>
      </w:tblGrid>
      <w:tr w:rsidR="00511C3A" w:rsidRPr="003C13D2" w:rsidTr="00511C3A">
        <w:trPr>
          <w:trHeight w:val="283"/>
        </w:trPr>
        <w:tc>
          <w:tcPr>
            <w:tcW w:w="1701"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jc w:val="left"/>
              <w:rPr>
                <w:rFonts w:asciiTheme="minorHAnsi" w:hAnsiTheme="minorHAnsi"/>
                <w:b/>
                <w:sz w:val="18"/>
                <w:szCs w:val="18"/>
                <w:lang w:val="cs-CZ"/>
              </w:rPr>
            </w:pPr>
            <w:r>
              <w:rPr>
                <w:rFonts w:asciiTheme="minorHAnsi" w:hAnsiTheme="minorHAnsi"/>
                <w:b/>
                <w:sz w:val="18"/>
                <w:szCs w:val="18"/>
                <w:lang w:val="cs-CZ"/>
              </w:rPr>
              <w:t>Rok</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80"/>
              <w:jc w:val="center"/>
              <w:rPr>
                <w:rFonts w:asciiTheme="minorHAnsi" w:hAnsiTheme="minorHAnsi"/>
                <w:b/>
                <w:sz w:val="18"/>
                <w:szCs w:val="18"/>
                <w:lang w:val="cs-CZ"/>
              </w:rPr>
            </w:pPr>
            <w:r>
              <w:rPr>
                <w:rFonts w:asciiTheme="minorHAnsi" w:hAnsiTheme="minorHAnsi"/>
                <w:b/>
                <w:sz w:val="18"/>
                <w:szCs w:val="18"/>
                <w:lang w:val="cs-CZ"/>
              </w:rPr>
              <w:t>2008</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37"/>
              <w:jc w:val="center"/>
              <w:rPr>
                <w:rFonts w:asciiTheme="minorHAnsi" w:hAnsiTheme="minorHAnsi"/>
                <w:b/>
                <w:sz w:val="18"/>
                <w:szCs w:val="18"/>
                <w:lang w:val="cs-CZ"/>
              </w:rPr>
            </w:pPr>
            <w:r>
              <w:rPr>
                <w:rFonts w:asciiTheme="minorHAnsi" w:hAnsiTheme="minorHAnsi"/>
                <w:b/>
                <w:sz w:val="18"/>
                <w:szCs w:val="18"/>
                <w:lang w:val="cs-CZ"/>
              </w:rPr>
              <w:t>2009</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28"/>
              <w:jc w:val="center"/>
              <w:rPr>
                <w:rFonts w:asciiTheme="minorHAnsi" w:hAnsiTheme="minorHAnsi"/>
                <w:b/>
                <w:sz w:val="18"/>
                <w:szCs w:val="18"/>
                <w:lang w:val="cs-CZ"/>
              </w:rPr>
            </w:pPr>
            <w:r>
              <w:rPr>
                <w:rFonts w:asciiTheme="minorHAnsi" w:hAnsiTheme="minorHAnsi"/>
                <w:b/>
                <w:sz w:val="18"/>
                <w:szCs w:val="18"/>
                <w:lang w:val="cs-CZ"/>
              </w:rPr>
              <w:t>2010</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61"/>
              <w:jc w:val="center"/>
              <w:rPr>
                <w:rFonts w:asciiTheme="minorHAnsi" w:hAnsiTheme="minorHAnsi"/>
                <w:b/>
                <w:sz w:val="18"/>
                <w:szCs w:val="18"/>
                <w:lang w:val="cs-CZ"/>
              </w:rPr>
            </w:pPr>
            <w:r>
              <w:rPr>
                <w:rFonts w:asciiTheme="minorHAnsi" w:hAnsiTheme="minorHAnsi"/>
                <w:b/>
                <w:sz w:val="18"/>
                <w:szCs w:val="18"/>
                <w:lang w:val="cs-CZ"/>
              </w:rPr>
              <w:t>2011</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68"/>
              <w:jc w:val="center"/>
              <w:rPr>
                <w:rFonts w:asciiTheme="minorHAnsi" w:hAnsiTheme="minorHAnsi"/>
                <w:b/>
                <w:sz w:val="18"/>
                <w:szCs w:val="18"/>
                <w:lang w:val="cs-CZ"/>
              </w:rPr>
            </w:pPr>
            <w:r>
              <w:rPr>
                <w:rFonts w:asciiTheme="minorHAnsi" w:hAnsiTheme="minorHAnsi"/>
                <w:b/>
                <w:sz w:val="18"/>
                <w:szCs w:val="18"/>
                <w:lang w:val="cs-CZ"/>
              </w:rPr>
              <w:t>2012</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208"/>
              <w:jc w:val="center"/>
              <w:rPr>
                <w:rFonts w:asciiTheme="minorHAnsi" w:hAnsiTheme="minorHAnsi"/>
                <w:b/>
                <w:sz w:val="18"/>
                <w:szCs w:val="18"/>
                <w:lang w:val="cs-CZ"/>
              </w:rPr>
            </w:pPr>
            <w:r>
              <w:rPr>
                <w:rFonts w:asciiTheme="minorHAnsi" w:hAnsiTheme="minorHAnsi"/>
                <w:b/>
                <w:sz w:val="18"/>
                <w:szCs w:val="18"/>
                <w:lang w:val="cs-CZ"/>
              </w:rPr>
              <w:t>2013</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2014</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2015</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2016</w:t>
            </w:r>
          </w:p>
        </w:tc>
        <w:tc>
          <w:tcPr>
            <w:tcW w:w="738"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2017</w:t>
            </w:r>
          </w:p>
        </w:tc>
      </w:tr>
      <w:tr w:rsidR="00511C3A" w:rsidRPr="003C13D2" w:rsidTr="00511C3A">
        <w:trPr>
          <w:trHeight w:val="283"/>
        </w:trPr>
        <w:tc>
          <w:tcPr>
            <w:tcW w:w="1701" w:type="dxa"/>
            <w:tcBorders>
              <w:top w:val="single" w:sz="4" w:space="0" w:color="auto"/>
            </w:tcBorders>
            <w:noWrap/>
            <w:tcMar>
              <w:left w:w="57" w:type="dxa"/>
              <w:right w:w="57" w:type="dxa"/>
            </w:tcMar>
            <w:vAlign w:val="center"/>
          </w:tcPr>
          <w:p w:rsidR="00511C3A" w:rsidRPr="003C13D2" w:rsidRDefault="00511C3A" w:rsidP="003E4A5D">
            <w:pPr>
              <w:pStyle w:val="TableParagraph"/>
              <w:ind w:left="55"/>
              <w:jc w:val="left"/>
              <w:rPr>
                <w:rFonts w:asciiTheme="minorHAnsi" w:hAnsiTheme="minorHAnsi"/>
                <w:sz w:val="18"/>
                <w:szCs w:val="18"/>
                <w:lang w:val="cs-CZ"/>
              </w:rPr>
            </w:pPr>
            <w:r>
              <w:rPr>
                <w:rFonts w:asciiTheme="minorHAnsi" w:hAnsiTheme="minorHAnsi"/>
                <w:sz w:val="18"/>
                <w:szCs w:val="18"/>
                <w:lang w:val="cs-CZ"/>
              </w:rPr>
              <w:t>Počet</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5"/>
              <w:rPr>
                <w:rFonts w:asciiTheme="minorHAnsi" w:hAnsiTheme="minorHAnsi"/>
                <w:sz w:val="16"/>
                <w:szCs w:val="16"/>
                <w:lang w:val="cs-CZ"/>
              </w:rPr>
            </w:pPr>
            <w:r>
              <w:rPr>
                <w:rFonts w:asciiTheme="minorHAnsi" w:hAnsiTheme="minorHAnsi"/>
                <w:sz w:val="16"/>
                <w:szCs w:val="16"/>
                <w:lang w:val="cs-CZ"/>
              </w:rPr>
              <w:t>4,1</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11"/>
              <w:rPr>
                <w:rFonts w:asciiTheme="minorHAnsi" w:hAnsiTheme="minorHAnsi"/>
                <w:sz w:val="16"/>
                <w:szCs w:val="16"/>
                <w:lang w:val="cs-CZ"/>
              </w:rPr>
            </w:pPr>
            <w:r>
              <w:rPr>
                <w:rFonts w:asciiTheme="minorHAnsi" w:hAnsiTheme="minorHAnsi"/>
                <w:sz w:val="16"/>
                <w:szCs w:val="16"/>
                <w:lang w:val="cs-CZ"/>
              </w:rPr>
              <w:t>-7,8</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35"/>
              <w:rPr>
                <w:rFonts w:asciiTheme="minorHAnsi" w:hAnsiTheme="minorHAnsi"/>
                <w:sz w:val="16"/>
                <w:szCs w:val="16"/>
                <w:lang w:val="cs-CZ"/>
              </w:rPr>
            </w:pPr>
            <w:r>
              <w:rPr>
                <w:rFonts w:asciiTheme="minorHAnsi" w:hAnsiTheme="minorHAnsi"/>
                <w:sz w:val="16"/>
                <w:szCs w:val="16"/>
                <w:lang w:val="cs-CZ"/>
              </w:rPr>
              <w:t>-6,2</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8"/>
              <w:rPr>
                <w:rFonts w:asciiTheme="minorHAnsi" w:hAnsiTheme="minorHAnsi"/>
                <w:sz w:val="16"/>
                <w:szCs w:val="16"/>
                <w:lang w:val="cs-CZ"/>
              </w:rPr>
            </w:pPr>
            <w:r>
              <w:rPr>
                <w:rFonts w:asciiTheme="minorHAnsi" w:hAnsiTheme="minorHAnsi"/>
                <w:sz w:val="16"/>
                <w:szCs w:val="16"/>
                <w:lang w:val="cs-CZ"/>
              </w:rPr>
              <w:t>1,4</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63"/>
              <w:rPr>
                <w:rFonts w:asciiTheme="minorHAnsi" w:hAnsiTheme="minorHAnsi"/>
                <w:sz w:val="16"/>
                <w:szCs w:val="16"/>
                <w:lang w:val="cs-CZ"/>
              </w:rPr>
            </w:pPr>
            <w:r>
              <w:rPr>
                <w:rFonts w:asciiTheme="minorHAnsi" w:hAnsiTheme="minorHAnsi"/>
                <w:sz w:val="16"/>
                <w:szCs w:val="16"/>
                <w:lang w:val="cs-CZ"/>
              </w:rPr>
              <w:t>-8,8</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9"/>
              <w:rPr>
                <w:rFonts w:asciiTheme="minorHAnsi" w:hAnsiTheme="minorHAnsi"/>
                <w:sz w:val="16"/>
                <w:szCs w:val="16"/>
                <w:lang w:val="cs-CZ"/>
              </w:rPr>
            </w:pPr>
            <w:r>
              <w:rPr>
                <w:rFonts w:asciiTheme="minorHAnsi" w:hAnsiTheme="minorHAnsi"/>
                <w:sz w:val="16"/>
                <w:szCs w:val="16"/>
                <w:lang w:val="cs-CZ"/>
              </w:rPr>
              <w:t>-13,2</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-6,5</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1,4</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3,6</w:t>
            </w:r>
          </w:p>
        </w:tc>
        <w:tc>
          <w:tcPr>
            <w:tcW w:w="738"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1,0</w:t>
            </w:r>
          </w:p>
        </w:tc>
      </w:tr>
      <w:tr w:rsidR="00511C3A" w:rsidRPr="003C13D2" w:rsidTr="00511C3A">
        <w:trPr>
          <w:trHeight w:val="283"/>
        </w:trPr>
        <w:tc>
          <w:tcPr>
            <w:tcW w:w="1701"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left="55"/>
              <w:jc w:val="left"/>
              <w:rPr>
                <w:rFonts w:asciiTheme="minorHAnsi" w:hAnsiTheme="minorHAnsi"/>
                <w:sz w:val="18"/>
                <w:szCs w:val="18"/>
                <w:lang w:val="cs-CZ"/>
              </w:rPr>
            </w:pPr>
            <w:r>
              <w:rPr>
                <w:rFonts w:asciiTheme="minorHAnsi" w:hAnsiTheme="minorHAnsi"/>
                <w:sz w:val="18"/>
                <w:szCs w:val="18"/>
                <w:lang w:val="cs-CZ"/>
              </w:rPr>
              <w:t>Orientační hodnota</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5"/>
              <w:rPr>
                <w:rFonts w:asciiTheme="minorHAnsi" w:hAnsiTheme="minorHAnsi"/>
                <w:sz w:val="16"/>
                <w:szCs w:val="16"/>
                <w:lang w:val="cs-CZ"/>
              </w:rPr>
            </w:pPr>
            <w:r>
              <w:rPr>
                <w:rFonts w:asciiTheme="minorHAnsi" w:hAnsiTheme="minorHAnsi"/>
                <w:sz w:val="16"/>
                <w:szCs w:val="16"/>
                <w:lang w:val="cs-CZ"/>
              </w:rPr>
              <w:t>9,3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11"/>
              <w:rPr>
                <w:rFonts w:asciiTheme="minorHAnsi" w:hAnsiTheme="minorHAnsi"/>
                <w:sz w:val="16"/>
                <w:szCs w:val="16"/>
                <w:lang w:val="cs-CZ"/>
              </w:rPr>
            </w:pPr>
            <w:r>
              <w:rPr>
                <w:rFonts w:asciiTheme="minorHAnsi" w:hAnsiTheme="minorHAnsi"/>
                <w:sz w:val="16"/>
                <w:szCs w:val="16"/>
                <w:lang w:val="cs-CZ"/>
              </w:rPr>
              <w:t>4,3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35"/>
              <w:rPr>
                <w:rFonts w:asciiTheme="minorHAnsi" w:hAnsiTheme="minorHAnsi"/>
                <w:sz w:val="16"/>
                <w:szCs w:val="16"/>
                <w:lang w:val="cs-CZ"/>
              </w:rPr>
            </w:pPr>
            <w:r>
              <w:rPr>
                <w:rFonts w:asciiTheme="minorHAnsi" w:hAnsiTheme="minorHAnsi"/>
                <w:sz w:val="16"/>
                <w:szCs w:val="16"/>
                <w:lang w:val="cs-CZ"/>
              </w:rPr>
              <w:t>-2,2</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8"/>
              <w:rPr>
                <w:rFonts w:asciiTheme="minorHAnsi" w:hAnsiTheme="minorHAnsi"/>
                <w:sz w:val="16"/>
                <w:szCs w:val="16"/>
                <w:lang w:val="cs-CZ"/>
              </w:rPr>
            </w:pPr>
            <w:r>
              <w:rPr>
                <w:rFonts w:asciiTheme="minorHAnsi" w:hAnsiTheme="minorHAnsi"/>
                <w:sz w:val="16"/>
                <w:szCs w:val="16"/>
                <w:lang w:val="cs-CZ"/>
              </w:rPr>
              <w:t>-14,8</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63"/>
              <w:rPr>
                <w:rFonts w:asciiTheme="minorHAnsi" w:hAnsiTheme="minorHAnsi"/>
                <w:sz w:val="16"/>
                <w:szCs w:val="16"/>
                <w:lang w:val="cs-CZ"/>
              </w:rPr>
            </w:pPr>
            <w:r>
              <w:rPr>
                <w:rFonts w:asciiTheme="minorHAnsi" w:hAnsiTheme="minorHAnsi"/>
                <w:sz w:val="16"/>
                <w:szCs w:val="16"/>
                <w:lang w:val="cs-CZ"/>
              </w:rPr>
              <w:t>-6,3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9"/>
              <w:rPr>
                <w:rFonts w:asciiTheme="minorHAnsi" w:hAnsiTheme="minorHAnsi"/>
                <w:sz w:val="16"/>
                <w:szCs w:val="16"/>
                <w:lang w:val="cs-CZ"/>
              </w:rPr>
            </w:pPr>
            <w:r>
              <w:rPr>
                <w:rFonts w:asciiTheme="minorHAnsi" w:hAnsiTheme="minorHAnsi"/>
                <w:sz w:val="16"/>
                <w:szCs w:val="16"/>
                <w:lang w:val="cs-CZ"/>
              </w:rPr>
              <w:t>-19,1</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-3,1</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2,0</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11,5</w:t>
            </w:r>
          </w:p>
        </w:tc>
        <w:tc>
          <w:tcPr>
            <w:tcW w:w="738"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24,1</w:t>
            </w:r>
          </w:p>
        </w:tc>
      </w:tr>
    </w:tbl>
    <w:p w:rsidR="00DF59DF" w:rsidRPr="00E45013" w:rsidRDefault="00DF59DF" w:rsidP="003E4A5D">
      <w:pPr>
        <w:pStyle w:val="Citt"/>
      </w:pPr>
      <w:r w:rsidRPr="00E45013">
        <w:t>*)POZN.: MEZIROČNÍ ZMĚNY.</w:t>
      </w:r>
    </w:p>
    <w:p w:rsidR="00DF59DF" w:rsidRDefault="00DF59DF" w:rsidP="003E4A5D">
      <w:pPr>
        <w:pStyle w:val="Citt"/>
      </w:pPr>
      <w:r w:rsidRPr="00E45013">
        <w:t>ZDROJ: ČSÚ</w:t>
      </w:r>
    </w:p>
    <w:p w:rsidR="00F6205C" w:rsidRDefault="008B5454" w:rsidP="003E4A5D">
      <w:pPr>
        <w:pStyle w:val="Textkomente"/>
        <w:widowControl w:val="0"/>
        <w:rPr>
          <w:sz w:val="24"/>
          <w:szCs w:val="22"/>
        </w:rPr>
      </w:pPr>
      <w:r>
        <w:rPr>
          <w:sz w:val="24"/>
          <w:szCs w:val="22"/>
        </w:rPr>
        <w:t xml:space="preserve">Z tabulky je patrné, že od účinnosti stavebního zákona, </w:t>
      </w:r>
      <w:r w:rsidR="00480E91">
        <w:rPr>
          <w:sz w:val="24"/>
          <w:szCs w:val="22"/>
        </w:rPr>
        <w:t xml:space="preserve">neustále </w:t>
      </w:r>
      <w:r w:rsidR="00EF3508">
        <w:rPr>
          <w:sz w:val="24"/>
          <w:szCs w:val="22"/>
        </w:rPr>
        <w:t>klesá počet vydaných stavebních povolení</w:t>
      </w:r>
      <w:r w:rsidR="00480E91">
        <w:rPr>
          <w:sz w:val="24"/>
          <w:szCs w:val="22"/>
        </w:rPr>
        <w:t xml:space="preserve">. Za posledních 10 let </w:t>
      </w:r>
      <w:r w:rsidR="006C59B5">
        <w:rPr>
          <w:sz w:val="24"/>
          <w:szCs w:val="22"/>
        </w:rPr>
        <w:t>klesl o více než 30 % oproti stavu z roku 2007. V jednotlivých letech, kdy klesal</w:t>
      </w:r>
      <w:r w:rsidR="00FF420C">
        <w:rPr>
          <w:sz w:val="24"/>
          <w:szCs w:val="22"/>
        </w:rPr>
        <w:t xml:space="preserve">, klesal </w:t>
      </w:r>
      <w:r w:rsidR="00EF3508">
        <w:rPr>
          <w:sz w:val="24"/>
          <w:szCs w:val="22"/>
        </w:rPr>
        <w:t xml:space="preserve">více, než </w:t>
      </w:r>
      <w:r w:rsidR="008D68BC">
        <w:rPr>
          <w:sz w:val="24"/>
          <w:szCs w:val="22"/>
        </w:rPr>
        <w:t xml:space="preserve">se měnila </w:t>
      </w:r>
      <w:r w:rsidR="00EF3508">
        <w:rPr>
          <w:sz w:val="24"/>
          <w:szCs w:val="22"/>
        </w:rPr>
        <w:t>ekonomika</w:t>
      </w:r>
      <w:r w:rsidR="00FF420C">
        <w:rPr>
          <w:sz w:val="24"/>
          <w:szCs w:val="22"/>
        </w:rPr>
        <w:t xml:space="preserve">; </w:t>
      </w:r>
      <w:r w:rsidR="008D68BC">
        <w:rPr>
          <w:sz w:val="24"/>
          <w:szCs w:val="22"/>
        </w:rPr>
        <w:t xml:space="preserve">i </w:t>
      </w:r>
      <w:r w:rsidR="00FF420C">
        <w:rPr>
          <w:sz w:val="24"/>
          <w:szCs w:val="22"/>
        </w:rPr>
        <w:t xml:space="preserve">v letech, kdy rostl, rostl méně, než </w:t>
      </w:r>
      <w:r w:rsidR="008D68BC">
        <w:rPr>
          <w:sz w:val="24"/>
          <w:szCs w:val="22"/>
        </w:rPr>
        <w:t xml:space="preserve">by dovolovala </w:t>
      </w:r>
      <w:r w:rsidR="00FF420C">
        <w:rPr>
          <w:sz w:val="24"/>
          <w:szCs w:val="22"/>
        </w:rPr>
        <w:t>ekonomika.</w:t>
      </w:r>
      <w:r w:rsidR="00EF3508">
        <w:rPr>
          <w:sz w:val="24"/>
          <w:szCs w:val="22"/>
        </w:rPr>
        <w:t xml:space="preserve"> </w:t>
      </w:r>
      <w:r w:rsidR="00076859" w:rsidRPr="00EE28D1">
        <w:rPr>
          <w:sz w:val="24"/>
          <w:szCs w:val="22"/>
        </w:rPr>
        <w:t xml:space="preserve">V roce 2017 </w:t>
      </w:r>
      <w:r w:rsidR="008D68BC">
        <w:rPr>
          <w:sz w:val="24"/>
          <w:szCs w:val="22"/>
        </w:rPr>
        <w:t xml:space="preserve">sice </w:t>
      </w:r>
      <w:r w:rsidR="00076859" w:rsidRPr="00EE28D1">
        <w:rPr>
          <w:sz w:val="24"/>
          <w:szCs w:val="22"/>
        </w:rPr>
        <w:t>už třetím rokem rostl počet stavebních povolení, a to hlavně na budovy bytové a ostatní stavby</w:t>
      </w:r>
      <w:r w:rsidR="00D94471">
        <w:rPr>
          <w:sz w:val="24"/>
          <w:szCs w:val="22"/>
        </w:rPr>
        <w:t>, ovšem mnohem méně, než by odpovídalo ekonomicky a sociálně odůvodněným požadavkům a poměrům na trhu</w:t>
      </w:r>
      <w:r w:rsidR="00076859" w:rsidRPr="00EE28D1">
        <w:rPr>
          <w:sz w:val="24"/>
          <w:szCs w:val="22"/>
        </w:rPr>
        <w:t xml:space="preserve">. </w:t>
      </w:r>
      <w:r w:rsidR="00A3110D">
        <w:rPr>
          <w:sz w:val="24"/>
          <w:szCs w:val="22"/>
        </w:rPr>
        <w:t xml:space="preserve">Podle </w:t>
      </w:r>
      <w:r w:rsidR="008443EA">
        <w:rPr>
          <w:sz w:val="24"/>
          <w:szCs w:val="22"/>
        </w:rPr>
        <w:t xml:space="preserve">údajů </w:t>
      </w:r>
      <w:r w:rsidR="00A3110D" w:rsidRPr="00500458">
        <w:rPr>
          <w:sz w:val="24"/>
          <w:szCs w:val="22"/>
        </w:rPr>
        <w:t xml:space="preserve">společnosti EEIP, a.s. stavební </w:t>
      </w:r>
      <w:r w:rsidR="00076859" w:rsidRPr="00500458">
        <w:rPr>
          <w:sz w:val="24"/>
          <w:szCs w:val="22"/>
        </w:rPr>
        <w:t>úřady vydaly celkem 84 164 stavebních povolení.</w:t>
      </w:r>
      <w:r w:rsidR="00076859" w:rsidRPr="00EE28D1">
        <w:rPr>
          <w:sz w:val="24"/>
          <w:szCs w:val="22"/>
        </w:rPr>
        <w:t xml:space="preserve"> </w:t>
      </w:r>
    </w:p>
    <w:p w:rsidR="00164C97" w:rsidRDefault="00076859" w:rsidP="003E4A5D">
      <w:pPr>
        <w:pStyle w:val="Textkomente"/>
        <w:widowControl w:val="0"/>
      </w:pPr>
      <w:r w:rsidRPr="00EE28D1">
        <w:rPr>
          <w:sz w:val="24"/>
          <w:szCs w:val="22"/>
        </w:rPr>
        <w:t xml:space="preserve">U orientační hodnoty povolených staveb byl zaznamenán největší pokles v roce 2014, od roku 2015 plánované investice rostly. Na růst orientační hodnoty měla </w:t>
      </w:r>
      <w:r w:rsidRPr="009D707E">
        <w:rPr>
          <w:sz w:val="24"/>
          <w:szCs w:val="22"/>
        </w:rPr>
        <w:t xml:space="preserve">vliv </w:t>
      </w:r>
      <w:r w:rsidR="00530152" w:rsidRPr="009D707E">
        <w:rPr>
          <w:sz w:val="24"/>
          <w:szCs w:val="22"/>
        </w:rPr>
        <w:t xml:space="preserve">vydaná </w:t>
      </w:r>
      <w:r w:rsidRPr="009D707E">
        <w:rPr>
          <w:sz w:val="24"/>
          <w:szCs w:val="22"/>
        </w:rPr>
        <w:t xml:space="preserve">povolení </w:t>
      </w:r>
      <w:r w:rsidR="00530152" w:rsidRPr="009D707E">
        <w:rPr>
          <w:sz w:val="24"/>
          <w:szCs w:val="22"/>
        </w:rPr>
        <w:t xml:space="preserve">pro stavby významnější veřejné </w:t>
      </w:r>
      <w:r w:rsidRPr="009D707E">
        <w:rPr>
          <w:sz w:val="24"/>
          <w:szCs w:val="22"/>
        </w:rPr>
        <w:t>infrastruktur</w:t>
      </w:r>
      <w:r w:rsidR="00530152" w:rsidRPr="009D707E">
        <w:rPr>
          <w:sz w:val="24"/>
          <w:szCs w:val="22"/>
        </w:rPr>
        <w:t>y</w:t>
      </w:r>
      <w:r w:rsidRPr="009D707E">
        <w:rPr>
          <w:sz w:val="24"/>
          <w:szCs w:val="22"/>
        </w:rPr>
        <w:t xml:space="preserve"> a </w:t>
      </w:r>
      <w:r w:rsidR="00530152" w:rsidRPr="009D707E">
        <w:rPr>
          <w:sz w:val="24"/>
          <w:szCs w:val="22"/>
        </w:rPr>
        <w:t>pro </w:t>
      </w:r>
      <w:r w:rsidRPr="009D707E">
        <w:rPr>
          <w:sz w:val="24"/>
          <w:szCs w:val="22"/>
        </w:rPr>
        <w:t>výstavbu</w:t>
      </w:r>
      <w:r w:rsidRPr="00EE28D1">
        <w:rPr>
          <w:sz w:val="24"/>
          <w:szCs w:val="22"/>
        </w:rPr>
        <w:t xml:space="preserve"> velkých průmyslových staveb. Orientační hodnota staveb povolených v roce 2017 činila 352,9 mld. Kč, tj.</w:t>
      </w:r>
      <w:r w:rsidR="00DE76AE">
        <w:rPr>
          <w:sz w:val="24"/>
          <w:szCs w:val="22"/>
        </w:rPr>
        <w:t> </w:t>
      </w:r>
      <w:r w:rsidRPr="00EE28D1">
        <w:rPr>
          <w:sz w:val="24"/>
          <w:szCs w:val="22"/>
        </w:rPr>
        <w:t xml:space="preserve">byla </w:t>
      </w:r>
      <w:r w:rsidR="00DE76AE">
        <w:rPr>
          <w:sz w:val="24"/>
          <w:szCs w:val="22"/>
        </w:rPr>
        <w:t xml:space="preserve">pouze </w:t>
      </w:r>
      <w:r w:rsidR="00846F74">
        <w:rPr>
          <w:sz w:val="24"/>
          <w:szCs w:val="22"/>
        </w:rPr>
        <w:t xml:space="preserve">zhruba </w:t>
      </w:r>
      <w:r w:rsidRPr="00EE28D1">
        <w:rPr>
          <w:sz w:val="24"/>
          <w:szCs w:val="22"/>
        </w:rPr>
        <w:t xml:space="preserve">na úrovni roku 2007. </w:t>
      </w:r>
      <w:r w:rsidR="009B1D2E">
        <w:rPr>
          <w:sz w:val="24"/>
          <w:szCs w:val="22"/>
        </w:rPr>
        <w:t xml:space="preserve">Navíc růst hodnoty staveb během posledních tří let byl dán zcela zjevně příznivou ekonomickou situací, </w:t>
      </w:r>
      <w:r w:rsidR="00C56184">
        <w:rPr>
          <w:sz w:val="24"/>
          <w:szCs w:val="22"/>
        </w:rPr>
        <w:t xml:space="preserve">nikoli vhodnými </w:t>
      </w:r>
      <w:r w:rsidR="009B1D2E">
        <w:rPr>
          <w:sz w:val="24"/>
          <w:szCs w:val="22"/>
        </w:rPr>
        <w:t xml:space="preserve">parametry stavebního práva. </w:t>
      </w:r>
      <w:r w:rsidR="00530152" w:rsidRPr="009D707E">
        <w:rPr>
          <w:sz w:val="24"/>
          <w:szCs w:val="22"/>
        </w:rPr>
        <w:t xml:space="preserve">Srovnáním </w:t>
      </w:r>
      <w:r w:rsidR="00F6205C" w:rsidRPr="009D707E">
        <w:rPr>
          <w:sz w:val="24"/>
          <w:szCs w:val="22"/>
        </w:rPr>
        <w:t>dat</w:t>
      </w:r>
      <w:r w:rsidR="00F6205C">
        <w:rPr>
          <w:sz w:val="24"/>
          <w:szCs w:val="22"/>
        </w:rPr>
        <w:t xml:space="preserve"> z let 2007 až </w:t>
      </w:r>
      <w:r w:rsidR="00C56184">
        <w:rPr>
          <w:sz w:val="24"/>
          <w:szCs w:val="22"/>
        </w:rPr>
        <w:t xml:space="preserve">2014, </w:t>
      </w:r>
      <w:r w:rsidR="00530152" w:rsidRPr="009D707E">
        <w:rPr>
          <w:sz w:val="24"/>
          <w:szCs w:val="22"/>
        </w:rPr>
        <w:t>vyplyne</w:t>
      </w:r>
      <w:r w:rsidR="00C56184">
        <w:rPr>
          <w:sz w:val="24"/>
          <w:szCs w:val="22"/>
        </w:rPr>
        <w:t xml:space="preserve"> </w:t>
      </w:r>
      <w:r w:rsidR="00077D02">
        <w:rPr>
          <w:sz w:val="24"/>
          <w:szCs w:val="22"/>
        </w:rPr>
        <w:t xml:space="preserve">kumulovaný </w:t>
      </w:r>
      <w:r w:rsidR="00C56184">
        <w:rPr>
          <w:sz w:val="24"/>
          <w:szCs w:val="22"/>
        </w:rPr>
        <w:t>propad hodnoty stavebních investic za účinnosti stávajícího stavebního zákona</w:t>
      </w:r>
      <w:r w:rsidR="00C56184" w:rsidRPr="00EE28D1">
        <w:rPr>
          <w:sz w:val="24"/>
          <w:szCs w:val="22"/>
        </w:rPr>
        <w:t xml:space="preserve"> </w:t>
      </w:r>
      <w:r w:rsidR="00077D02">
        <w:rPr>
          <w:sz w:val="24"/>
          <w:szCs w:val="22"/>
        </w:rPr>
        <w:t>31,9 %</w:t>
      </w:r>
      <w:r w:rsidR="0059704E">
        <w:rPr>
          <w:sz w:val="24"/>
          <w:szCs w:val="22"/>
        </w:rPr>
        <w:t>, a to bez započtení míry inflace</w:t>
      </w:r>
      <w:r w:rsidR="00077D02">
        <w:rPr>
          <w:sz w:val="24"/>
          <w:szCs w:val="22"/>
        </w:rPr>
        <w:t xml:space="preserve">. </w:t>
      </w:r>
      <w:r w:rsidRPr="00EE28D1">
        <w:rPr>
          <w:sz w:val="24"/>
          <w:szCs w:val="22"/>
        </w:rPr>
        <w:t>Proti roku 2014 plánované investice v roce 2017 vzrostly o třetinu</w:t>
      </w:r>
      <w:r w:rsidR="00530152">
        <w:rPr>
          <w:sz w:val="24"/>
          <w:szCs w:val="22"/>
        </w:rPr>
        <w:t xml:space="preserve"> a</w:t>
      </w:r>
      <w:r w:rsidRPr="00EE28D1">
        <w:rPr>
          <w:sz w:val="24"/>
          <w:szCs w:val="22"/>
        </w:rPr>
        <w:t xml:space="preserve"> týkaly se všech kategorií výstavby. Jednalo se o nejvyšší hodnoty u kategorií staveb od roku 2010. Pouze u staveb na ochranu životního prostředí, i přes jejich meziroční růst, se jednalo o druhou nejnižší hodnotu. Téměř ve všech čtvrtletích roku 2017 zaznamenala orientační hodnota třetinové růsty. Pouze ve 2. čtvrtletí nastal mírný pokles vlivem nižších investic na ostatní stavby.</w:t>
      </w:r>
      <w:r w:rsidR="00FE0543">
        <w:rPr>
          <w:sz w:val="24"/>
          <w:szCs w:val="22"/>
        </w:rPr>
        <w:t xml:space="preserve"> </w:t>
      </w:r>
      <w:r w:rsidR="00947D17">
        <w:rPr>
          <w:sz w:val="24"/>
          <w:szCs w:val="22"/>
        </w:rPr>
        <w:t>T</w:t>
      </w:r>
      <w:r w:rsidR="00C06453">
        <w:rPr>
          <w:sz w:val="24"/>
          <w:szCs w:val="22"/>
        </w:rPr>
        <w:t xml:space="preserve">ento aktuální vývoj </w:t>
      </w:r>
      <w:r w:rsidR="00B1074A">
        <w:rPr>
          <w:sz w:val="24"/>
          <w:szCs w:val="22"/>
        </w:rPr>
        <w:t>se uvádí</w:t>
      </w:r>
      <w:r w:rsidR="00947D17">
        <w:rPr>
          <w:sz w:val="24"/>
          <w:szCs w:val="22"/>
        </w:rPr>
        <w:t xml:space="preserve"> proto, aby bylo zřejmé, k jakému současnému stavu varianty v RIA </w:t>
      </w:r>
      <w:r w:rsidR="00B1074A">
        <w:rPr>
          <w:sz w:val="24"/>
          <w:szCs w:val="22"/>
        </w:rPr>
        <w:t xml:space="preserve">jsou vztaženy </w:t>
      </w:r>
      <w:r w:rsidR="00947D17">
        <w:rPr>
          <w:sz w:val="24"/>
          <w:szCs w:val="22"/>
        </w:rPr>
        <w:t xml:space="preserve">a jaký může být výchozí bod pro novou právní úpravu.  </w:t>
      </w:r>
      <w:r w:rsidR="00164C97">
        <w:t xml:space="preserve"> </w:t>
      </w:r>
    </w:p>
    <w:p w:rsidR="007273A5" w:rsidRDefault="007273A5" w:rsidP="003E4A5D">
      <w:pPr>
        <w:pStyle w:val="Textkomente"/>
        <w:widowControl w:val="0"/>
      </w:pPr>
    </w:p>
    <w:p w:rsidR="003E4A5D" w:rsidRDefault="003E4A5D">
      <w:pPr>
        <w:spacing w:before="0" w:after="0"/>
        <w:jc w:val="left"/>
        <w:rPr>
          <w:rFonts w:eastAsia="Times New Roman"/>
          <w:b/>
          <w:bCs/>
          <w:color w:val="000000"/>
          <w:sz w:val="22"/>
          <w:szCs w:val="20"/>
          <w:lang w:eastAsia="cs-CZ"/>
        </w:rPr>
      </w:pPr>
      <w:r>
        <w:br w:type="page"/>
      </w:r>
    </w:p>
    <w:p w:rsidR="003C7E07" w:rsidRDefault="003C7E07" w:rsidP="003E4A5D">
      <w:pPr>
        <w:pStyle w:val="Titulek"/>
      </w:pPr>
      <w:r>
        <w:lastRenderedPageBreak/>
        <w:t xml:space="preserve">Obrázek </w:t>
      </w:r>
      <w:r w:rsidR="00AB65E9">
        <w:rPr>
          <w:noProof/>
        </w:rPr>
        <w:fldChar w:fldCharType="begin"/>
      </w:r>
      <w:r w:rsidR="00790BCF">
        <w:rPr>
          <w:noProof/>
        </w:rPr>
        <w:instrText xml:space="preserve"> SEQ Obrázek \* ARABIC </w:instrText>
      </w:r>
      <w:r w:rsidR="00AB65E9">
        <w:rPr>
          <w:noProof/>
        </w:rPr>
        <w:fldChar w:fldCharType="separate"/>
      </w:r>
      <w:r w:rsidR="00263A1B">
        <w:rPr>
          <w:noProof/>
        </w:rPr>
        <w:t>1</w:t>
      </w:r>
      <w:r w:rsidR="00AB65E9">
        <w:rPr>
          <w:noProof/>
        </w:rPr>
        <w:fldChar w:fldCharType="end"/>
      </w:r>
      <w:r>
        <w:t xml:space="preserve">: POROVNÁNÍ UKAZATELŮ VE STAVEBNICTVÍ, </w:t>
      </w:r>
      <w:r w:rsidR="00914D3B">
        <w:t>t</w:t>
      </w:r>
      <w:r>
        <w:t>rendy v letech 2000 až 2017</w:t>
      </w:r>
    </w:p>
    <w:p w:rsidR="00BB5C81" w:rsidRDefault="006C2D64" w:rsidP="003E4A5D">
      <w:pPr>
        <w:pStyle w:val="Text-Normaln"/>
        <w:widowControl w:val="0"/>
      </w:pPr>
      <w:r w:rsidRPr="006C2D64">
        <w:rPr>
          <w:noProof/>
          <w:lang w:eastAsia="cs-CZ"/>
        </w:rPr>
        <w:drawing>
          <wp:inline distT="0" distB="0" distL="0" distR="0" wp14:anchorId="30550C1F" wp14:editId="49BEC9A4">
            <wp:extent cx="5753819" cy="256204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6745" cy="2563348"/>
                    </a:xfrm>
                    <a:prstGeom prst="rect">
                      <a:avLst/>
                    </a:prstGeom>
                  </pic:spPr>
                </pic:pic>
              </a:graphicData>
            </a:graphic>
          </wp:inline>
        </w:drawing>
      </w:r>
    </w:p>
    <w:p w:rsidR="00A34AB3" w:rsidRDefault="00A34AB3" w:rsidP="003E4A5D">
      <w:pPr>
        <w:pStyle w:val="Citt"/>
      </w:pPr>
      <w:r w:rsidRPr="00B80ACE">
        <w:t>ZDROJ: ČSÚ</w:t>
      </w:r>
    </w:p>
    <w:p w:rsidR="00E45013" w:rsidRDefault="00E45013" w:rsidP="003E4A5D">
      <w:pPr>
        <w:pStyle w:val="Text-Normaln"/>
        <w:widowControl w:val="0"/>
      </w:pPr>
      <w:r w:rsidRPr="00E45013">
        <w:t xml:space="preserve">Více investic je dlouhodobě plánováno na novou výstavbu </w:t>
      </w:r>
      <w:r w:rsidR="00B1074A">
        <w:rPr>
          <w:rFonts w:ascii="Times New Roman" w:hAnsi="Times New Roman"/>
        </w:rPr>
        <w:t>[</w:t>
      </w:r>
      <w:r w:rsidRPr="00E45013">
        <w:t>(215,5 mld. Kč, tj. 61 % z celkové hodnoty</w:t>
      </w:r>
      <w:r w:rsidR="00480E56">
        <w:t xml:space="preserve"> (2017</w:t>
      </w:r>
      <w:r w:rsidRPr="00E45013">
        <w:t>)</w:t>
      </w:r>
      <w:r w:rsidR="00B1074A">
        <w:rPr>
          <w:rFonts w:ascii="Times New Roman" w:hAnsi="Times New Roman"/>
        </w:rPr>
        <w:t>]</w:t>
      </w:r>
      <w:r w:rsidRPr="00E45013">
        <w:t xml:space="preserve"> než na změny d</w:t>
      </w:r>
      <w:r w:rsidR="00480E56">
        <w:t xml:space="preserve">okončených staveb </w:t>
      </w:r>
      <w:r w:rsidR="00B1074A">
        <w:rPr>
          <w:rFonts w:ascii="Times New Roman" w:hAnsi="Times New Roman"/>
        </w:rPr>
        <w:t>[</w:t>
      </w:r>
      <w:r w:rsidR="00480E56">
        <w:t>(</w:t>
      </w:r>
      <w:r w:rsidR="003A23B6">
        <w:t>1</w:t>
      </w:r>
      <w:r w:rsidR="00480E56">
        <w:t>37,5 mld. Kč (2017</w:t>
      </w:r>
      <w:r w:rsidR="007273A5">
        <w:t>)</w:t>
      </w:r>
      <w:r w:rsidR="005211F7">
        <w:rPr>
          <w:rFonts w:ascii="Times New Roman" w:hAnsi="Times New Roman"/>
        </w:rPr>
        <w:t>]</w:t>
      </w:r>
      <w:r w:rsidR="007273A5">
        <w:t>. Na nové výstavbě se </w:t>
      </w:r>
      <w:r w:rsidRPr="00E45013">
        <w:t>nejvíce podílely bytové budovy a na změnách dokončených staveb nebytové budovy.</w:t>
      </w:r>
    </w:p>
    <w:p w:rsidR="00416263" w:rsidRPr="00E45013" w:rsidRDefault="00416263" w:rsidP="0089559F">
      <w:pPr>
        <w:pStyle w:val="Titulek"/>
        <w:keepNext/>
      </w:pPr>
      <w:r>
        <w:t xml:space="preserve">Obrázek </w:t>
      </w:r>
      <w:r w:rsidR="00AB65E9">
        <w:rPr>
          <w:noProof/>
        </w:rPr>
        <w:fldChar w:fldCharType="begin"/>
      </w:r>
      <w:r w:rsidR="006D15AE">
        <w:rPr>
          <w:noProof/>
        </w:rPr>
        <w:instrText xml:space="preserve"> SEQ Obrázek \* ARABIC </w:instrText>
      </w:r>
      <w:r w:rsidR="00AB65E9">
        <w:rPr>
          <w:noProof/>
        </w:rPr>
        <w:fldChar w:fldCharType="separate"/>
      </w:r>
      <w:r w:rsidR="00263A1B">
        <w:rPr>
          <w:noProof/>
        </w:rPr>
        <w:t>2</w:t>
      </w:r>
      <w:r w:rsidR="00AB65E9">
        <w:rPr>
          <w:noProof/>
        </w:rPr>
        <w:fldChar w:fldCharType="end"/>
      </w:r>
      <w:r>
        <w:t xml:space="preserve">: </w:t>
      </w:r>
      <w:r w:rsidRPr="00B80ACE">
        <w:t>Orientační hodnota staveb, 2009–2017 (mil. Kč)</w:t>
      </w:r>
      <w:r w:rsidR="00164C97">
        <w:t xml:space="preserve"> </w:t>
      </w:r>
    </w:p>
    <w:p w:rsidR="00480E56" w:rsidRDefault="006F13D5" w:rsidP="0089559F">
      <w:pPr>
        <w:pStyle w:val="Text-Normaln"/>
        <w:keepNext/>
        <w:widowControl w:val="0"/>
      </w:pPr>
      <w:r w:rsidRPr="006F13D5">
        <w:rPr>
          <w:noProof/>
          <w:lang w:eastAsia="cs-CZ"/>
        </w:rPr>
        <w:drawing>
          <wp:inline distT="0" distB="0" distL="0" distR="0" wp14:anchorId="374A8440" wp14:editId="40C065C3">
            <wp:extent cx="2888060" cy="3295291"/>
            <wp:effectExtent l="0" t="0" r="762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42492" cy="3357398"/>
                    </a:xfrm>
                    <a:prstGeom prst="rect">
                      <a:avLst/>
                    </a:prstGeom>
                  </pic:spPr>
                </pic:pic>
              </a:graphicData>
            </a:graphic>
          </wp:inline>
        </w:drawing>
      </w:r>
    </w:p>
    <w:p w:rsidR="00480E56" w:rsidRDefault="00480E56" w:rsidP="0089559F">
      <w:pPr>
        <w:pStyle w:val="Citt"/>
        <w:keepNext/>
      </w:pPr>
      <w:r w:rsidRPr="00B80ACE">
        <w:t>ZDROJ: ČSÚ</w:t>
      </w:r>
      <w:r w:rsidR="006F13D5">
        <w:rPr>
          <w:rStyle w:val="Znakapoznpodarou"/>
        </w:rPr>
        <w:footnoteReference w:id="1"/>
      </w:r>
    </w:p>
    <w:p w:rsidR="00E45013" w:rsidRDefault="00E45013" w:rsidP="003E4A5D">
      <w:pPr>
        <w:pStyle w:val="Text-Normaln"/>
        <w:widowControl w:val="0"/>
      </w:pPr>
      <w:r w:rsidRPr="00E45013">
        <w:t>Podle kategorií výstavby se dlouhodobě více investuje do výstavby nebytových než bytových budov. Výjimkou byly roky 2014 a 2015</w:t>
      </w:r>
      <w:r w:rsidR="005211F7">
        <w:t>;</w:t>
      </w:r>
      <w:r w:rsidR="005211F7" w:rsidRPr="00E45013">
        <w:t xml:space="preserve"> </w:t>
      </w:r>
      <w:r w:rsidRPr="00E45013">
        <w:t xml:space="preserve">v roce 2016 se </w:t>
      </w:r>
      <w:r w:rsidR="00B80ACE">
        <w:t>trend zase</w:t>
      </w:r>
      <w:r w:rsidR="002E3F08">
        <w:t xml:space="preserve"> </w:t>
      </w:r>
      <w:r w:rsidR="00B80ACE">
        <w:t>obrátil.</w:t>
      </w:r>
      <w:r w:rsidR="002E3F08">
        <w:t xml:space="preserve"> </w:t>
      </w:r>
      <w:r w:rsidR="00B80ACE">
        <w:t>V roce 2017</w:t>
      </w:r>
      <w:r w:rsidR="002E3F08">
        <w:t xml:space="preserve"> </w:t>
      </w:r>
      <w:r w:rsidRPr="00E45013">
        <w:t>byly</w:t>
      </w:r>
      <w:r w:rsidR="002E3F08">
        <w:t xml:space="preserve"> </w:t>
      </w:r>
      <w:r w:rsidRPr="00E45013">
        <w:t xml:space="preserve">předpokládané investice do nebytových budov ve výši 129,2 mld. Kč, což bylo 37 % z celkové orientační hodnoty vydaných stavebních povolení. Ve srovnání s rokem 2016 byl zaznamenán růst o sedminu. Podíl orientační hodnoty stavebních povolení vydaných na budovy bytové je </w:t>
      </w:r>
      <w:r w:rsidRPr="00E45013">
        <w:lastRenderedPageBreak/>
        <w:t>nižší než v případě nebytových budov. V roce 2017 meziročně vzrostla orientační hodnota bytových budov o 19,6 %. Předpokládané investice činily 102,8 mld. Kč (29 %). Orientační hodnota ostatních staveb měla nejvyšší podíl na celkové očekávané hodnotě v roce 2014 (31 %) a </w:t>
      </w:r>
      <w:r w:rsidR="00500458">
        <w:t>v roce 201</w:t>
      </w:r>
      <w:r w:rsidR="00267738">
        <w:t>7</w:t>
      </w:r>
      <w:r w:rsidR="00500458" w:rsidRPr="00E45013">
        <w:t xml:space="preserve"> </w:t>
      </w:r>
      <w:r w:rsidRPr="00E45013">
        <w:t>(29 %). Plánované investice na ostatní stavby činily 102,7 mld. Kč, což bylo meziročně více o 43,7 %.</w:t>
      </w:r>
    </w:p>
    <w:p w:rsidR="00500458" w:rsidRDefault="00E45013" w:rsidP="0005519D">
      <w:pPr>
        <w:pStyle w:val="Text-Normaln"/>
        <w:widowControl w:val="0"/>
      </w:pPr>
      <w:r>
        <w:t>Nejnižší podíl na celkové hodnotě vydaných stavebních povolení tvoří dlouhodobě plánované investice pro stavby na ochranu životního prostředí. V roce 2017 meziročně vzrostla orientační hodnota pro tyto stavby na 28,7 mld. Kč. Pětiprocentní podíl byl od roku 2000 nejnižší. Města a obce je využívají na výstavby čistíren odpadních vod, kanalizací a vodovodů. Výši plánovaných investic na stavby pro ochranu životního prostředí, nebytové budovy a zejména na ostatní stavby ovlivňuje čerpání financí z evropských fondů a přidělování veřejných financí.</w:t>
      </w:r>
      <w:r w:rsidR="00500458">
        <w:t xml:space="preserve"> </w:t>
      </w:r>
    </w:p>
    <w:p w:rsidR="00500458" w:rsidRDefault="00E45013" w:rsidP="0005519D">
      <w:pPr>
        <w:pStyle w:val="Text-Normaln"/>
        <w:widowControl w:val="0"/>
      </w:pPr>
      <w:r>
        <w:t>Nejvyšší orientační hodnota vydaných stavebních povolení byla ve Středočeském kraji, kde se jednalo hlavně o nové bytové budovy, nejnižší pak v nejmenším kraji republiky – Karlovarském.</w:t>
      </w:r>
    </w:p>
    <w:p w:rsidR="0005519D" w:rsidRDefault="00E45013" w:rsidP="0005519D">
      <w:pPr>
        <w:pStyle w:val="Text-Normaln"/>
        <w:widowControl w:val="0"/>
      </w:pPr>
      <w:r>
        <w:t xml:space="preserve">Až do roku 2015 se do staveb nebytových budov investovalo především v hl. m. Praze. Od roku 2016 to již bylo v krajích Jihomoravském, Středočeském a Ústeckém, </w:t>
      </w:r>
      <w:r w:rsidR="00500458">
        <w:t>v roce 201</w:t>
      </w:r>
      <w:r w:rsidR="00267738">
        <w:t>7</w:t>
      </w:r>
      <w:r w:rsidR="00500458">
        <w:t xml:space="preserve"> </w:t>
      </w:r>
      <w:r>
        <w:t>pak hlavně v Ústeckém kraji zejména na výstavbu velkých průmyslových staveb a na infrastrukturu. Nejvíce peněz na ochranu životního prostředí se vydalo v krajích Jihomoravském, Středočeském a Moravskoslezském, kde byl vysoký podíl investic do ostatních staveb, zejména do dopravní infrastruktury.</w:t>
      </w:r>
    </w:p>
    <w:p w:rsidR="00416263" w:rsidRDefault="00416263" w:rsidP="0005519D">
      <w:pPr>
        <w:pStyle w:val="Text-Normaln"/>
        <w:widowControl w:val="0"/>
      </w:pPr>
      <w:r>
        <w:t xml:space="preserve">Obrázek </w:t>
      </w:r>
      <w:r w:rsidR="00AB65E9">
        <w:rPr>
          <w:noProof/>
        </w:rPr>
        <w:fldChar w:fldCharType="begin"/>
      </w:r>
      <w:r w:rsidR="006D15AE">
        <w:rPr>
          <w:noProof/>
        </w:rPr>
        <w:instrText xml:space="preserve"> SEQ Obrázek \* ARABIC </w:instrText>
      </w:r>
      <w:r w:rsidR="00AB65E9">
        <w:rPr>
          <w:noProof/>
        </w:rPr>
        <w:fldChar w:fldCharType="separate"/>
      </w:r>
      <w:r w:rsidR="00263A1B">
        <w:rPr>
          <w:noProof/>
        </w:rPr>
        <w:t>3</w:t>
      </w:r>
      <w:r w:rsidR="00AB65E9">
        <w:rPr>
          <w:noProof/>
        </w:rPr>
        <w:fldChar w:fldCharType="end"/>
      </w:r>
      <w:r>
        <w:t xml:space="preserve">: </w:t>
      </w:r>
      <w:r w:rsidRPr="00B80ACE">
        <w:t>Meziroční změny orientační hodnoty stavebních povolení, 2010</w:t>
      </w:r>
      <w:r w:rsidR="0088215E">
        <w:t xml:space="preserve"> - </w:t>
      </w:r>
      <w:r w:rsidRPr="00B80ACE">
        <w:t>Q</w:t>
      </w:r>
      <w:r w:rsidR="0088215E">
        <w:t>1</w:t>
      </w:r>
      <w:r w:rsidRPr="00B80ACE">
        <w:t xml:space="preserve"> 2018</w:t>
      </w:r>
      <w:r w:rsidR="00164C97">
        <w:t xml:space="preserve"> </w:t>
      </w:r>
    </w:p>
    <w:p w:rsidR="00E45013" w:rsidRDefault="006F13D5" w:rsidP="0089559F">
      <w:pPr>
        <w:pStyle w:val="Normlnweb"/>
        <w:keepNext/>
        <w:widowControl w:val="0"/>
        <w:shd w:val="clear" w:color="auto" w:fill="FFFFFF"/>
        <w:spacing w:before="0" w:beforeAutospacing="0" w:after="120" w:afterAutospacing="0"/>
        <w:textAlignment w:val="baseline"/>
        <w:rPr>
          <w:rFonts w:ascii="Arial" w:hAnsi="Arial" w:cs="Arial"/>
          <w:color w:val="222222"/>
          <w:sz w:val="19"/>
          <w:szCs w:val="19"/>
        </w:rPr>
      </w:pPr>
      <w:r w:rsidRPr="006F13D5">
        <w:rPr>
          <w:noProof/>
        </w:rPr>
        <w:drawing>
          <wp:inline distT="0" distB="0" distL="0" distR="0" wp14:anchorId="300CD3DD" wp14:editId="77289FF2">
            <wp:extent cx="5751260" cy="3563007"/>
            <wp:effectExtent l="0" t="0" r="190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09357" cy="3598999"/>
                    </a:xfrm>
                    <a:prstGeom prst="rect">
                      <a:avLst/>
                    </a:prstGeom>
                  </pic:spPr>
                </pic:pic>
              </a:graphicData>
            </a:graphic>
          </wp:inline>
        </w:drawing>
      </w:r>
    </w:p>
    <w:p w:rsidR="00B80ACE" w:rsidRPr="00B80ACE" w:rsidRDefault="00B80ACE" w:rsidP="0089559F">
      <w:pPr>
        <w:pStyle w:val="Citt"/>
        <w:keepNext/>
        <w:rPr>
          <w:rStyle w:val="CittChar"/>
        </w:rPr>
      </w:pPr>
      <w:r w:rsidRPr="00B80ACE">
        <w:t>ZDROJ: ČSÚ</w:t>
      </w:r>
      <w:r w:rsidR="006F13D5">
        <w:rPr>
          <w:rStyle w:val="Znakapoznpodarou"/>
        </w:rPr>
        <w:footnoteReference w:id="2"/>
      </w:r>
    </w:p>
    <w:p w:rsidR="00E45013" w:rsidRDefault="00E45013" w:rsidP="003E4A5D">
      <w:pPr>
        <w:pStyle w:val="Text-Normaln"/>
        <w:widowControl w:val="0"/>
      </w:pPr>
      <w:r w:rsidRPr="00B80ACE">
        <w:t xml:space="preserve">V lednu až březnu 2018 bylo </w:t>
      </w:r>
      <w:r w:rsidR="00267738">
        <w:t>p</w:t>
      </w:r>
      <w:r w:rsidR="00267738" w:rsidRPr="00267738">
        <w:t>odle společnosti EEIP, a.s.</w:t>
      </w:r>
      <w:r w:rsidR="00267738">
        <w:t xml:space="preserve"> </w:t>
      </w:r>
      <w:r w:rsidRPr="00B80ACE">
        <w:t>stavebními úřady vydáno 18 086 stavebních povolení, což v porovnání se stejným obdobím roku 2017 představuje pokles o 4,1 %. Jednalo se o čtvrtou nejnižší hodnotu od roku 1999. Počet vydaných stavebních povolení klesl téměř ve všech kategoriích výstavby, mírně</w:t>
      </w:r>
      <w:r w:rsidR="002E3F08">
        <w:t xml:space="preserve"> </w:t>
      </w:r>
      <w:r w:rsidRPr="00B80ACE">
        <w:t>rostl</w:t>
      </w:r>
      <w:r w:rsidR="002E3F08">
        <w:t xml:space="preserve"> </w:t>
      </w:r>
      <w:r w:rsidRPr="00B80ACE">
        <w:t>u staveb na ochranu životního prostředí.</w:t>
      </w:r>
      <w:r w:rsidR="002E3F08">
        <w:t xml:space="preserve"> </w:t>
      </w:r>
      <w:r w:rsidRPr="00B80ACE">
        <w:lastRenderedPageBreak/>
        <w:t>Orientační hodnota povolených staveb</w:t>
      </w:r>
      <w:r w:rsidR="002E3F08">
        <w:t xml:space="preserve"> </w:t>
      </w:r>
      <w:r w:rsidRPr="00B80ACE">
        <w:t>činila 77,6 mld. Kč. V porovnání se stejným obdobím roku 2017 klesla o 2,8 % z důvodu vysoké základny (tehdy byla povolena velká průmyslová stavba; pokud by se modelově odečetla tato hodnota, činil by meziroční růst více než 10 %).</w:t>
      </w:r>
      <w:r w:rsidR="0005519D">
        <w:t xml:space="preserve"> </w:t>
      </w:r>
      <w:r w:rsidRPr="00B80ACE">
        <w:t>Na celkové výstavbě měly vyšší podíl plánované investice na novou výstavbu (63 %). Jejich orientační hodnota meziročně klesla o 2,2 %, když dosáhla 48,5 mld. Kč. Orientační hodnota stavebních povolení na změny dokončených staveb klesla od počátku roku do konce března meziročně o 3,7 % a činila 29,0 mld. Kč.</w:t>
      </w:r>
    </w:p>
    <w:p w:rsidR="00164C97" w:rsidRDefault="00104913" w:rsidP="0089559F">
      <w:pPr>
        <w:pStyle w:val="Textkomente"/>
        <w:keepNext/>
        <w:widowControl w:val="0"/>
      </w:pPr>
      <w:r w:rsidRPr="00EE28D1">
        <w:rPr>
          <w:rStyle w:val="TitulekChar"/>
          <w:rFonts w:eastAsia="Calibri"/>
        </w:rPr>
        <w:t xml:space="preserve">Obrázek </w:t>
      </w:r>
      <w:r w:rsidR="00AB65E9" w:rsidRPr="00EE28D1">
        <w:rPr>
          <w:rStyle w:val="TitulekChar"/>
          <w:rFonts w:eastAsia="Calibri"/>
        </w:rPr>
        <w:fldChar w:fldCharType="begin"/>
      </w:r>
      <w:r w:rsidR="006D15AE" w:rsidRPr="00EE28D1">
        <w:rPr>
          <w:rStyle w:val="TitulekChar"/>
          <w:rFonts w:eastAsia="Calibri"/>
        </w:rPr>
        <w:instrText xml:space="preserve"> SEQ Obrázek \* ARABIC </w:instrText>
      </w:r>
      <w:r w:rsidR="00AB65E9" w:rsidRPr="00EE28D1">
        <w:rPr>
          <w:rStyle w:val="TitulekChar"/>
          <w:rFonts w:eastAsia="Calibri"/>
        </w:rPr>
        <w:fldChar w:fldCharType="separate"/>
      </w:r>
      <w:r w:rsidR="00263A1B">
        <w:rPr>
          <w:rStyle w:val="TitulekChar"/>
          <w:rFonts w:eastAsia="Calibri"/>
          <w:noProof/>
        </w:rPr>
        <w:t>4</w:t>
      </w:r>
      <w:r w:rsidR="00AB65E9" w:rsidRPr="00EE28D1">
        <w:rPr>
          <w:rStyle w:val="TitulekChar"/>
          <w:rFonts w:eastAsia="Calibri"/>
        </w:rPr>
        <w:fldChar w:fldCharType="end"/>
      </w:r>
      <w:r w:rsidRPr="00EE28D1">
        <w:rPr>
          <w:rStyle w:val="TitulekChar"/>
          <w:rFonts w:eastAsia="Calibri"/>
        </w:rPr>
        <w:t>: Orientační hodnota stavebních povolení podle kategorií výstavby, 2017</w:t>
      </w:r>
      <w:r w:rsidR="00164C97">
        <w:t xml:space="preserve"> </w:t>
      </w:r>
    </w:p>
    <w:p w:rsidR="00E45013" w:rsidRDefault="00E45013" w:rsidP="0089559F">
      <w:pPr>
        <w:pStyle w:val="Titulek"/>
        <w:keepNext/>
      </w:pPr>
      <w:r>
        <w:rPr>
          <w:noProof/>
        </w:rPr>
        <w:drawing>
          <wp:inline distT="0" distB="0" distL="0" distR="0" wp14:anchorId="6C8CFEDF" wp14:editId="781AA9DE">
            <wp:extent cx="5751260" cy="4038589"/>
            <wp:effectExtent l="0" t="0" r="1905" b="635"/>
            <wp:docPr id="1" name="Obrázek 1" descr="Orientační hodnota stavebních povolení podle kategorií výstavb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entační hodnota stavebních povolení podle kategorií výstavby,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990" cy="4041208"/>
                    </a:xfrm>
                    <a:prstGeom prst="rect">
                      <a:avLst/>
                    </a:prstGeom>
                    <a:noFill/>
                    <a:ln>
                      <a:noFill/>
                    </a:ln>
                  </pic:spPr>
                </pic:pic>
              </a:graphicData>
            </a:graphic>
          </wp:inline>
        </w:drawing>
      </w:r>
    </w:p>
    <w:p w:rsidR="00B80ACE" w:rsidRDefault="00B80ACE" w:rsidP="0089559F">
      <w:pPr>
        <w:pStyle w:val="Citt"/>
        <w:keepNext/>
      </w:pPr>
      <w:r w:rsidRPr="00B80ACE">
        <w:t>ZDROJ: ČSÚ</w:t>
      </w:r>
      <w:r w:rsidR="006F13D5">
        <w:rPr>
          <w:rStyle w:val="Znakapoznpodarou"/>
        </w:rPr>
        <w:footnoteReference w:id="3"/>
      </w:r>
    </w:p>
    <w:p w:rsidR="00A8492F" w:rsidRDefault="00A8492F" w:rsidP="003E4A5D">
      <w:pPr>
        <w:pStyle w:val="Text-Normaln"/>
        <w:widowControl w:val="0"/>
      </w:pPr>
      <w:r>
        <w:t>V roce 2017 bylo postaveno celkem 16 365 nových bytových budov, ve kterých bylo dokončeno 28 569 bytů. Více než polovina bytů byla dokončena v rodinných domech. Na jejich výstavbu se vynaložilo 51 mld. Kč. Náklady na výstavbu jednoho bytu činily 3,4 mil. Kč.</w:t>
      </w:r>
      <w:r w:rsidR="00E978E6">
        <w:t xml:space="preserve"> </w:t>
      </w:r>
      <w:r>
        <w:t>Rodinné domy se nejčastěji stavěly v dispozici 4+1, menších bytů bylo naprosté minimum. Obytná plocha rodinných domů dokončených v roce 2017 se pohybovala od 20 m</w:t>
      </w:r>
      <w:r w:rsidRPr="00914D3B">
        <w:rPr>
          <w:vertAlign w:val="superscript"/>
        </w:rPr>
        <w:t>2</w:t>
      </w:r>
      <w:r>
        <w:t xml:space="preserve"> do 500–700 m</w:t>
      </w:r>
      <w:r w:rsidRPr="00914D3B">
        <w:rPr>
          <w:vertAlign w:val="superscript"/>
        </w:rPr>
        <w:t>2</w:t>
      </w:r>
      <w:r>
        <w:t xml:space="preserve"> a v průměru činila 92 m</w:t>
      </w:r>
      <w:r w:rsidRPr="00914D3B">
        <w:rPr>
          <w:vertAlign w:val="superscript"/>
        </w:rPr>
        <w:t>2</w:t>
      </w:r>
      <w:r>
        <w:t xml:space="preserve">. Výstavba jednoho rodinného domu trvala v průměru tři a půl roku, ale jednotlivé domy se stavěly od půl roku po desítky let. </w:t>
      </w:r>
      <w:r w:rsidR="00104913">
        <w:t>(</w:t>
      </w:r>
      <w:r w:rsidR="00104913" w:rsidRPr="00104913">
        <w:rPr>
          <w:i/>
        </w:rPr>
        <w:t xml:space="preserve">Zdroj: </w:t>
      </w:r>
      <w:hyperlink r:id="rId17" w:history="1">
        <w:r w:rsidR="00104913" w:rsidRPr="00104913">
          <w:rPr>
            <w:rStyle w:val="Hypertextovodkaz"/>
            <w:i/>
          </w:rPr>
          <w:t>http://www.statistikaamy.cz/2018/07/naklady-na-dokonceny-byt-v-rodinnem-domku-34-mil-v-bytovem-dome-22-mil-kc/</w:t>
        </w:r>
      </w:hyperlink>
      <w:r w:rsidR="00104913">
        <w:rPr>
          <w:rStyle w:val="Hypertextovodkaz"/>
        </w:rPr>
        <w:t>)</w:t>
      </w:r>
    </w:p>
    <w:p w:rsidR="003E4A5D" w:rsidRDefault="009F1594">
      <w:pPr>
        <w:spacing w:before="0" w:after="0"/>
        <w:jc w:val="left"/>
        <w:rPr>
          <w:rFonts w:eastAsia="Times New Roman"/>
          <w:b/>
          <w:bCs/>
          <w:color w:val="000000"/>
          <w:sz w:val="22"/>
          <w:szCs w:val="20"/>
          <w:lang w:eastAsia="cs-CZ"/>
        </w:rPr>
      </w:pPr>
      <w:r>
        <w:rPr>
          <w:rFonts w:eastAsia="Times New Roman"/>
          <w:b/>
          <w:bCs/>
          <w:color w:val="000000"/>
          <w:sz w:val="22"/>
          <w:szCs w:val="20"/>
          <w:lang w:eastAsia="cs-CZ"/>
        </w:rPr>
        <w:br w:type="page"/>
      </w:r>
    </w:p>
    <w:p w:rsidR="00AD5792" w:rsidRDefault="00AD5792"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3</w:t>
      </w:r>
      <w:r w:rsidR="00AB65E9">
        <w:rPr>
          <w:noProof/>
        </w:rPr>
        <w:fldChar w:fldCharType="end"/>
      </w:r>
      <w:r>
        <w:t>: STAVEBNÍ PRÁCE „S“, Podle klasifikace stavebních děl</w:t>
      </w:r>
    </w:p>
    <w:p w:rsidR="00941743" w:rsidRPr="00941743" w:rsidRDefault="00AD5792" w:rsidP="003E4A5D">
      <w:pPr>
        <w:widowControl w:val="0"/>
        <w:spacing w:before="0" w:after="0"/>
        <w:rPr>
          <w:lang w:eastAsia="cs-CZ"/>
        </w:rPr>
      </w:pPr>
      <w:r>
        <w:rPr>
          <w:noProof/>
          <w:lang w:eastAsia="cs-CZ"/>
        </w:rPr>
        <w:drawing>
          <wp:inline distT="0" distB="0" distL="0" distR="0" wp14:anchorId="31F3A967" wp14:editId="6BB6A2B7">
            <wp:extent cx="5718132" cy="2354580"/>
            <wp:effectExtent l="0" t="0" r="0"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5" r="4509"/>
                    <a:stretch/>
                  </pic:blipFill>
                  <pic:spPr bwMode="auto">
                    <a:xfrm>
                      <a:off x="0" y="0"/>
                      <a:ext cx="5763519" cy="2373269"/>
                    </a:xfrm>
                    <a:prstGeom prst="rect">
                      <a:avLst/>
                    </a:prstGeom>
                    <a:noFill/>
                    <a:ln>
                      <a:noFill/>
                    </a:ln>
                    <a:extLst>
                      <a:ext uri="{53640926-AAD7-44D8-BBD7-CCE9431645EC}">
                        <a14:shadowObscured xmlns:a14="http://schemas.microsoft.com/office/drawing/2010/main"/>
                      </a:ext>
                    </a:extLst>
                  </pic:spPr>
                </pic:pic>
              </a:graphicData>
            </a:graphic>
          </wp:inline>
        </w:drawing>
      </w:r>
    </w:p>
    <w:p w:rsidR="001B3136" w:rsidRPr="00944FFD" w:rsidRDefault="00E978E6" w:rsidP="003E4A5D">
      <w:pPr>
        <w:pStyle w:val="Citt"/>
      </w:pPr>
      <w:r w:rsidRPr="00944FFD">
        <w:t>Zdroj: ČSÚ</w:t>
      </w:r>
      <w:r w:rsidR="00941743">
        <w:t>, MPO</w:t>
      </w:r>
    </w:p>
    <w:p w:rsidR="003C13D2" w:rsidRPr="00CD2466" w:rsidRDefault="003C13D2" w:rsidP="003E4A5D">
      <w:pPr>
        <w:pStyle w:val="Titulek"/>
        <w:rPr>
          <w:rFonts w:eastAsia="Calibri"/>
          <w:b w:val="0"/>
          <w:bCs w:val="0"/>
          <w:color w:val="auto"/>
          <w:sz w:val="24"/>
          <w:szCs w:val="22"/>
          <w:lang w:eastAsia="en-US"/>
        </w:rPr>
      </w:pPr>
      <w:r w:rsidRPr="00CD2466">
        <w:rPr>
          <w:rFonts w:eastAsia="Calibri"/>
          <w:b w:val="0"/>
          <w:bCs w:val="0"/>
          <w:color w:val="auto"/>
          <w:sz w:val="24"/>
          <w:szCs w:val="22"/>
          <w:lang w:eastAsia="en-US"/>
        </w:rPr>
        <w:t xml:space="preserve">Poslední dvě tabulky v této části zachycují počet veřejných zakázek ve stavebnictví, neboť veřejný sektor je jedním z největších poptávajících stavební práce. </w:t>
      </w:r>
      <w:r w:rsidR="00914D3B" w:rsidRPr="00CD2466">
        <w:rPr>
          <w:rFonts w:eastAsia="Calibri"/>
          <w:b w:val="0"/>
          <w:bCs w:val="0"/>
          <w:color w:val="auto"/>
          <w:sz w:val="24"/>
          <w:szCs w:val="22"/>
          <w:lang w:eastAsia="en-US"/>
        </w:rPr>
        <w:t xml:space="preserve">V tabulkách lze pozorovat negativní trend, pokud jde o počet i výslednou cenu zadaných veřejných zakázek.  </w:t>
      </w:r>
    </w:p>
    <w:p w:rsidR="0042724E" w:rsidRDefault="0042724E"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2</w:t>
      </w:r>
      <w:r w:rsidR="00AB65E9">
        <w:rPr>
          <w:noProof/>
        </w:rPr>
        <w:fldChar w:fldCharType="end"/>
      </w:r>
      <w:r>
        <w:t>:</w:t>
      </w:r>
      <w:r w:rsidRPr="0042724E">
        <w:rPr>
          <w:u w:color="000000"/>
        </w:rPr>
        <w:t xml:space="preserve"> </w:t>
      </w:r>
      <w:r>
        <w:rPr>
          <w:u w:color="000000"/>
        </w:rPr>
        <w:t>Zadané zakázky na stavební práce v letech</w:t>
      </w:r>
      <w:r>
        <w:rPr>
          <w:spacing w:val="-16"/>
          <w:u w:color="000000"/>
        </w:rPr>
        <w:t xml:space="preserve"> </w:t>
      </w:r>
      <w:r>
        <w:rPr>
          <w:u w:color="000000"/>
        </w:rPr>
        <w:t>2014–2016</w:t>
      </w:r>
      <w:r>
        <w:rPr>
          <w:u w:color="000000"/>
        </w:rPr>
        <w:tab/>
      </w:r>
      <w:r w:rsidR="00164C97">
        <w:rPr>
          <w:u w:color="000000"/>
        </w:rPr>
        <w:t xml:space="preserve"> </w:t>
      </w:r>
    </w:p>
    <w:tbl>
      <w:tblPr>
        <w:tblStyle w:val="TableNormal"/>
        <w:tblW w:w="9090" w:type="dxa"/>
        <w:jc w:val="center"/>
        <w:tblLayout w:type="fixed"/>
        <w:tblLook w:val="01E0" w:firstRow="1" w:lastRow="1" w:firstColumn="1" w:lastColumn="1" w:noHBand="0" w:noVBand="0"/>
      </w:tblPr>
      <w:tblGrid>
        <w:gridCol w:w="1701"/>
        <w:gridCol w:w="1244"/>
        <w:gridCol w:w="1165"/>
        <w:gridCol w:w="1245"/>
        <w:gridCol w:w="1245"/>
        <w:gridCol w:w="1245"/>
        <w:gridCol w:w="1245"/>
      </w:tblGrid>
      <w:tr w:rsidR="0096230A" w:rsidRPr="003C13D2" w:rsidTr="00914D3B">
        <w:trPr>
          <w:trHeight w:val="283"/>
          <w:jc w:val="center"/>
        </w:trPr>
        <w:tc>
          <w:tcPr>
            <w:tcW w:w="1701" w:type="dxa"/>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p>
        </w:tc>
        <w:tc>
          <w:tcPr>
            <w:tcW w:w="2409"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24"/>
              <w:jc w:val="center"/>
              <w:rPr>
                <w:rFonts w:asciiTheme="minorHAnsi" w:hAnsiTheme="minorHAnsi"/>
                <w:b/>
                <w:sz w:val="18"/>
                <w:szCs w:val="18"/>
                <w:lang w:val="cs-CZ"/>
              </w:rPr>
            </w:pPr>
            <w:r w:rsidRPr="003C13D2">
              <w:rPr>
                <w:rFonts w:asciiTheme="minorHAnsi" w:hAnsiTheme="minorHAnsi"/>
                <w:b/>
                <w:sz w:val="18"/>
                <w:szCs w:val="18"/>
                <w:lang w:val="cs-CZ"/>
              </w:rPr>
              <w:t>2014</w:t>
            </w:r>
          </w:p>
        </w:tc>
        <w:tc>
          <w:tcPr>
            <w:tcW w:w="2490"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162"/>
              <w:jc w:val="center"/>
              <w:rPr>
                <w:rFonts w:asciiTheme="minorHAnsi" w:hAnsiTheme="minorHAnsi"/>
                <w:b/>
                <w:sz w:val="18"/>
                <w:szCs w:val="18"/>
                <w:lang w:val="cs-CZ"/>
              </w:rPr>
            </w:pPr>
            <w:r w:rsidRPr="003C13D2">
              <w:rPr>
                <w:rFonts w:asciiTheme="minorHAnsi" w:hAnsiTheme="minorHAnsi"/>
                <w:b/>
                <w:sz w:val="18"/>
                <w:szCs w:val="18"/>
                <w:lang w:val="cs-CZ"/>
              </w:rPr>
              <w:t>2015</w:t>
            </w:r>
          </w:p>
        </w:tc>
        <w:tc>
          <w:tcPr>
            <w:tcW w:w="2490"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204"/>
              <w:jc w:val="center"/>
              <w:rPr>
                <w:rFonts w:asciiTheme="minorHAnsi" w:hAnsiTheme="minorHAnsi"/>
                <w:b/>
                <w:sz w:val="18"/>
                <w:szCs w:val="18"/>
                <w:lang w:val="cs-CZ"/>
              </w:rPr>
            </w:pPr>
            <w:r w:rsidRPr="003C13D2">
              <w:rPr>
                <w:rFonts w:asciiTheme="minorHAnsi" w:hAnsiTheme="minorHAnsi"/>
                <w:b/>
                <w:sz w:val="18"/>
                <w:szCs w:val="18"/>
                <w:lang w:val="cs-CZ"/>
              </w:rPr>
              <w:t>2016</w:t>
            </w:r>
          </w:p>
        </w:tc>
      </w:tr>
      <w:tr w:rsidR="00A340B4" w:rsidRPr="003C13D2" w:rsidTr="00914D3B">
        <w:trPr>
          <w:trHeight w:val="283"/>
          <w:jc w:val="center"/>
        </w:trPr>
        <w:tc>
          <w:tcPr>
            <w:tcW w:w="1701"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jc w:val="left"/>
              <w:rPr>
                <w:rFonts w:asciiTheme="minorHAnsi" w:hAnsiTheme="minorHAnsi"/>
                <w:b/>
                <w:sz w:val="18"/>
                <w:szCs w:val="18"/>
                <w:lang w:val="cs-CZ"/>
              </w:rPr>
            </w:pPr>
            <w:r w:rsidRPr="003C13D2">
              <w:rPr>
                <w:rFonts w:asciiTheme="minorHAnsi" w:hAnsiTheme="minorHAnsi"/>
                <w:b/>
                <w:sz w:val="18"/>
                <w:szCs w:val="18"/>
                <w:lang w:val="cs-CZ"/>
              </w:rPr>
              <w:t>Kategorie stavebních prací</w:t>
            </w:r>
          </w:p>
        </w:tc>
        <w:tc>
          <w:tcPr>
            <w:tcW w:w="1244"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80"/>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16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37"/>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28"/>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61"/>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68"/>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208"/>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r>
      <w:tr w:rsidR="00A340B4" w:rsidRPr="003C13D2" w:rsidTr="00914D3B">
        <w:trPr>
          <w:trHeight w:val="283"/>
          <w:jc w:val="center"/>
        </w:trPr>
        <w:tc>
          <w:tcPr>
            <w:tcW w:w="1701" w:type="dxa"/>
            <w:tcBorders>
              <w:top w:val="single" w:sz="4" w:space="0" w:color="auto"/>
            </w:tcBorders>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Výstavba a rekonstrukce budov</w:t>
            </w:r>
          </w:p>
        </w:tc>
        <w:tc>
          <w:tcPr>
            <w:tcW w:w="1244" w:type="dxa"/>
            <w:tcBorders>
              <w:top w:val="single" w:sz="4" w:space="0" w:color="auto"/>
            </w:tcBorders>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1 213</w:t>
            </w:r>
          </w:p>
        </w:tc>
        <w:tc>
          <w:tcPr>
            <w:tcW w:w="1165" w:type="dxa"/>
            <w:tcBorders>
              <w:top w:val="single" w:sz="4" w:space="0" w:color="auto"/>
            </w:tcBorders>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19 031 255 727</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1 103</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11 348 642 327</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713</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11 647 224 003</w:t>
            </w:r>
          </w:p>
        </w:tc>
      </w:tr>
      <w:tr w:rsidR="00A340B4" w:rsidRPr="003C13D2" w:rsidTr="00914D3B">
        <w:trPr>
          <w:trHeight w:val="283"/>
          <w:jc w:val="center"/>
        </w:trPr>
        <w:tc>
          <w:tcPr>
            <w:tcW w:w="1701"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Liniové a inženýrské stavby</w:t>
            </w:r>
          </w:p>
        </w:tc>
        <w:tc>
          <w:tcPr>
            <w:tcW w:w="1244"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2 446</w:t>
            </w:r>
          </w:p>
        </w:tc>
        <w:tc>
          <w:tcPr>
            <w:tcW w:w="116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63 422 709 990</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2 438</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70 019 272 444</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2 000</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44 798 257 281</w:t>
            </w:r>
          </w:p>
        </w:tc>
      </w:tr>
      <w:tr w:rsidR="00A340B4" w:rsidRPr="003C13D2" w:rsidTr="00914D3B">
        <w:trPr>
          <w:trHeight w:val="283"/>
          <w:jc w:val="center"/>
        </w:trPr>
        <w:tc>
          <w:tcPr>
            <w:tcW w:w="1701" w:type="dxa"/>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Pomocné stavební práce</w:t>
            </w:r>
          </w:p>
        </w:tc>
        <w:tc>
          <w:tcPr>
            <w:tcW w:w="1244" w:type="dxa"/>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596</w:t>
            </w:r>
          </w:p>
        </w:tc>
        <w:tc>
          <w:tcPr>
            <w:tcW w:w="1165" w:type="dxa"/>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14 587 067 380</w:t>
            </w:r>
          </w:p>
        </w:tc>
        <w:tc>
          <w:tcPr>
            <w:tcW w:w="1245" w:type="dxa"/>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636</w:t>
            </w:r>
          </w:p>
        </w:tc>
        <w:tc>
          <w:tcPr>
            <w:tcW w:w="1245" w:type="dxa"/>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14 842 513 745</w:t>
            </w:r>
          </w:p>
        </w:tc>
        <w:tc>
          <w:tcPr>
            <w:tcW w:w="1245" w:type="dxa"/>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355</w:t>
            </w:r>
          </w:p>
        </w:tc>
        <w:tc>
          <w:tcPr>
            <w:tcW w:w="1245" w:type="dxa"/>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6 545 701 984</w:t>
            </w:r>
          </w:p>
        </w:tc>
      </w:tr>
      <w:tr w:rsidR="00A340B4" w:rsidRPr="003C13D2" w:rsidTr="00914D3B">
        <w:trPr>
          <w:trHeight w:val="283"/>
          <w:jc w:val="center"/>
        </w:trPr>
        <w:tc>
          <w:tcPr>
            <w:tcW w:w="1701"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left="55" w:right="36"/>
              <w:jc w:val="left"/>
              <w:rPr>
                <w:rFonts w:asciiTheme="minorHAnsi" w:hAnsiTheme="minorHAnsi"/>
                <w:sz w:val="18"/>
                <w:szCs w:val="18"/>
                <w:lang w:val="cs-CZ"/>
              </w:rPr>
            </w:pPr>
            <w:r w:rsidRPr="003C13D2">
              <w:rPr>
                <w:rFonts w:asciiTheme="minorHAnsi" w:hAnsiTheme="minorHAnsi"/>
                <w:sz w:val="18"/>
                <w:szCs w:val="18"/>
                <w:lang w:val="cs-CZ"/>
              </w:rPr>
              <w:t>Ostatní blíže nespecifikované stavební práce</w:t>
            </w:r>
          </w:p>
        </w:tc>
        <w:tc>
          <w:tcPr>
            <w:tcW w:w="1244"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2 014</w:t>
            </w:r>
          </w:p>
        </w:tc>
        <w:tc>
          <w:tcPr>
            <w:tcW w:w="116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31 272 594 246</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1 975</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22 519 743 557</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1 274</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16 313 051 822</w:t>
            </w:r>
          </w:p>
        </w:tc>
      </w:tr>
    </w:tbl>
    <w:p w:rsidR="00A340B4" w:rsidRDefault="00AD5792" w:rsidP="003E4A5D">
      <w:pPr>
        <w:pStyle w:val="Citt"/>
      </w:pPr>
      <w:r>
        <w:t>Zdroj</w:t>
      </w:r>
      <w:r w:rsidR="00A340B4">
        <w:t>: MMR</w:t>
      </w:r>
    </w:p>
    <w:p w:rsidR="003C13D2" w:rsidRDefault="003C13D2" w:rsidP="003E4A5D">
      <w:pPr>
        <w:widowControl w:val="0"/>
        <w:spacing w:before="0" w:after="0"/>
        <w:jc w:val="left"/>
        <w:rPr>
          <w:rFonts w:eastAsia="Times New Roman"/>
          <w:b/>
          <w:bCs/>
          <w:color w:val="000000"/>
          <w:sz w:val="22"/>
          <w:szCs w:val="20"/>
          <w:lang w:eastAsia="cs-CZ"/>
        </w:rPr>
      </w:pPr>
    </w:p>
    <w:p w:rsidR="0042724E" w:rsidRPr="00DB067D" w:rsidRDefault="0042724E" w:rsidP="003E4A5D">
      <w:pPr>
        <w:pStyle w:val="Titulek"/>
        <w:rPr>
          <w:u w:color="000000"/>
        </w:rPr>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3</w:t>
      </w:r>
      <w:r w:rsidR="00AB65E9">
        <w:rPr>
          <w:noProof/>
        </w:rPr>
        <w:fldChar w:fldCharType="end"/>
      </w:r>
      <w:r>
        <w:t>:</w:t>
      </w:r>
      <w:r w:rsidRPr="0042724E">
        <w:rPr>
          <w:u w:color="000000"/>
        </w:rPr>
        <w:t xml:space="preserve"> </w:t>
      </w:r>
      <w:r>
        <w:rPr>
          <w:u w:color="000000"/>
        </w:rPr>
        <w:t>Zadané zakázky na stavební práce v letech 2014–2016 – průměrná velikost zakázky v</w:t>
      </w:r>
      <w:r w:rsidR="008443EA">
        <w:rPr>
          <w:u w:color="000000"/>
        </w:rPr>
        <w:t> </w:t>
      </w:r>
      <w:r>
        <w:rPr>
          <w:u w:color="000000"/>
        </w:rPr>
        <w:t xml:space="preserve">mil. Kč   </w:t>
      </w:r>
      <w:r w:rsidR="00164C97">
        <w:rPr>
          <w:u w:color="000000"/>
        </w:rPr>
        <w:t xml:space="preserve"> </w:t>
      </w:r>
      <w:r>
        <w:rPr>
          <w:u w:color="000000"/>
        </w:rPr>
        <w:t xml:space="preserve">  </w:t>
      </w:r>
    </w:p>
    <w:tbl>
      <w:tblPr>
        <w:tblStyle w:val="TableNormal"/>
        <w:tblW w:w="9134" w:type="dxa"/>
        <w:tblInd w:w="-5" w:type="dxa"/>
        <w:tblLayout w:type="fixed"/>
        <w:tblLook w:val="01E0" w:firstRow="1" w:lastRow="1" w:firstColumn="1" w:lastColumn="1" w:noHBand="0" w:noVBand="0"/>
      </w:tblPr>
      <w:tblGrid>
        <w:gridCol w:w="3930"/>
        <w:gridCol w:w="1740"/>
        <w:gridCol w:w="1741"/>
        <w:gridCol w:w="1723"/>
      </w:tblGrid>
      <w:tr w:rsidR="00A340B4" w:rsidRPr="003C13D2" w:rsidTr="003C13D2">
        <w:trPr>
          <w:trHeight w:val="283"/>
        </w:trPr>
        <w:tc>
          <w:tcPr>
            <w:tcW w:w="3930"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left"/>
              <w:rPr>
                <w:rFonts w:asciiTheme="minorHAnsi" w:hAnsiTheme="minorHAnsi"/>
                <w:b/>
                <w:sz w:val="18"/>
                <w:szCs w:val="18"/>
                <w:lang w:val="cs-CZ"/>
              </w:rPr>
            </w:pPr>
            <w:r w:rsidRPr="003C13D2">
              <w:rPr>
                <w:rFonts w:asciiTheme="minorHAnsi" w:hAnsiTheme="minorHAnsi"/>
                <w:b/>
                <w:sz w:val="18"/>
                <w:szCs w:val="18"/>
                <w:lang w:val="cs-CZ"/>
              </w:rPr>
              <w:t>Rok</w:t>
            </w:r>
          </w:p>
        </w:tc>
        <w:tc>
          <w:tcPr>
            <w:tcW w:w="1740"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2014</w:t>
            </w:r>
          </w:p>
        </w:tc>
        <w:tc>
          <w:tcPr>
            <w:tcW w:w="1741"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2015</w:t>
            </w:r>
          </w:p>
        </w:tc>
        <w:tc>
          <w:tcPr>
            <w:tcW w:w="1723"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2016</w:t>
            </w:r>
          </w:p>
        </w:tc>
      </w:tr>
      <w:tr w:rsidR="0096230A" w:rsidRPr="003C13D2" w:rsidTr="003C13D2">
        <w:trPr>
          <w:trHeight w:val="283"/>
        </w:trPr>
        <w:tc>
          <w:tcPr>
            <w:tcW w:w="3930" w:type="dxa"/>
            <w:tcBorders>
              <w:top w:val="single" w:sz="4" w:space="0" w:color="auto"/>
            </w:tcBorders>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Liniové a inženýrské stavby</w:t>
            </w:r>
          </w:p>
        </w:tc>
        <w:tc>
          <w:tcPr>
            <w:tcW w:w="1740" w:type="dxa"/>
            <w:tcBorders>
              <w:top w:val="single" w:sz="4" w:space="0" w:color="auto"/>
            </w:tcBorders>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26</w:t>
            </w:r>
          </w:p>
        </w:tc>
        <w:tc>
          <w:tcPr>
            <w:tcW w:w="1741" w:type="dxa"/>
            <w:tcBorders>
              <w:top w:val="single" w:sz="4" w:space="0" w:color="auto"/>
            </w:tcBorders>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29</w:t>
            </w:r>
          </w:p>
        </w:tc>
        <w:tc>
          <w:tcPr>
            <w:tcW w:w="1723" w:type="dxa"/>
            <w:tcBorders>
              <w:top w:val="single" w:sz="4" w:space="0" w:color="auto"/>
            </w:tcBorders>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22</w:t>
            </w:r>
          </w:p>
        </w:tc>
      </w:tr>
      <w:tr w:rsidR="0096230A" w:rsidRPr="003C13D2" w:rsidTr="003C13D2">
        <w:trPr>
          <w:trHeight w:val="283"/>
        </w:trPr>
        <w:tc>
          <w:tcPr>
            <w:tcW w:w="3930" w:type="dxa"/>
            <w:shd w:val="clear" w:color="auto" w:fill="F2F2F2" w:themeFill="background1" w:themeFillShade="F2"/>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Pomocné stavební práce</w:t>
            </w:r>
          </w:p>
        </w:tc>
        <w:tc>
          <w:tcPr>
            <w:tcW w:w="1740"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24</w:t>
            </w:r>
          </w:p>
        </w:tc>
        <w:tc>
          <w:tcPr>
            <w:tcW w:w="1741"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23</w:t>
            </w:r>
          </w:p>
        </w:tc>
        <w:tc>
          <w:tcPr>
            <w:tcW w:w="1723"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18</w:t>
            </w:r>
          </w:p>
        </w:tc>
      </w:tr>
      <w:tr w:rsidR="0096230A" w:rsidRPr="003C13D2" w:rsidTr="003C13D2">
        <w:trPr>
          <w:trHeight w:val="283"/>
        </w:trPr>
        <w:tc>
          <w:tcPr>
            <w:tcW w:w="3930" w:type="dxa"/>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Výstavba a rekonstrukce budov</w:t>
            </w:r>
          </w:p>
        </w:tc>
        <w:tc>
          <w:tcPr>
            <w:tcW w:w="1740" w:type="dxa"/>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16</w:t>
            </w:r>
          </w:p>
        </w:tc>
        <w:tc>
          <w:tcPr>
            <w:tcW w:w="1741" w:type="dxa"/>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10</w:t>
            </w:r>
          </w:p>
        </w:tc>
        <w:tc>
          <w:tcPr>
            <w:tcW w:w="1723" w:type="dxa"/>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16</w:t>
            </w:r>
          </w:p>
        </w:tc>
      </w:tr>
      <w:tr w:rsidR="0096230A" w:rsidRPr="003C13D2" w:rsidTr="003C13D2">
        <w:trPr>
          <w:trHeight w:val="283"/>
        </w:trPr>
        <w:tc>
          <w:tcPr>
            <w:tcW w:w="3930" w:type="dxa"/>
            <w:shd w:val="clear" w:color="auto" w:fill="F2F2F2" w:themeFill="background1" w:themeFillShade="F2"/>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Ostatní - blíže nespecifikované stavební práce</w:t>
            </w:r>
          </w:p>
        </w:tc>
        <w:tc>
          <w:tcPr>
            <w:tcW w:w="1740"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16</w:t>
            </w:r>
          </w:p>
        </w:tc>
        <w:tc>
          <w:tcPr>
            <w:tcW w:w="1741"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11</w:t>
            </w:r>
          </w:p>
        </w:tc>
        <w:tc>
          <w:tcPr>
            <w:tcW w:w="1723"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13</w:t>
            </w:r>
          </w:p>
        </w:tc>
      </w:tr>
      <w:tr w:rsidR="0096230A" w:rsidRPr="003C13D2" w:rsidTr="003C13D2">
        <w:trPr>
          <w:trHeight w:val="283"/>
        </w:trPr>
        <w:tc>
          <w:tcPr>
            <w:tcW w:w="3930" w:type="dxa"/>
            <w:tcBorders>
              <w:bottom w:val="single" w:sz="4" w:space="0" w:color="auto"/>
            </w:tcBorders>
            <w:tcMar>
              <w:left w:w="57" w:type="dxa"/>
              <w:right w:w="57" w:type="dxa"/>
            </w:tcMar>
            <w:vAlign w:val="center"/>
          </w:tcPr>
          <w:p w:rsidR="0096230A" w:rsidRPr="003C13D2" w:rsidRDefault="0096230A" w:rsidP="003E4A5D">
            <w:pPr>
              <w:pStyle w:val="TableParagraph"/>
              <w:jc w:val="both"/>
              <w:rPr>
                <w:rFonts w:asciiTheme="minorHAnsi" w:hAnsiTheme="minorHAnsi"/>
                <w:sz w:val="18"/>
                <w:szCs w:val="18"/>
                <w:lang w:val="cs-CZ"/>
              </w:rPr>
            </w:pPr>
            <w:r w:rsidRPr="003C13D2">
              <w:rPr>
                <w:rFonts w:asciiTheme="minorHAnsi" w:hAnsiTheme="minorHAnsi"/>
                <w:sz w:val="18"/>
                <w:szCs w:val="18"/>
                <w:lang w:val="cs-CZ"/>
              </w:rPr>
              <w:t>Stavební práce celkem</w:t>
            </w:r>
          </w:p>
        </w:tc>
        <w:tc>
          <w:tcPr>
            <w:tcW w:w="1740" w:type="dxa"/>
            <w:tcBorders>
              <w:bottom w:val="single" w:sz="4" w:space="0" w:color="auto"/>
            </w:tcBorders>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20</w:t>
            </w:r>
          </w:p>
        </w:tc>
        <w:tc>
          <w:tcPr>
            <w:tcW w:w="1741" w:type="dxa"/>
            <w:tcBorders>
              <w:bottom w:val="single" w:sz="4" w:space="0" w:color="auto"/>
            </w:tcBorders>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19</w:t>
            </w:r>
          </w:p>
        </w:tc>
        <w:tc>
          <w:tcPr>
            <w:tcW w:w="1723" w:type="dxa"/>
            <w:tcBorders>
              <w:bottom w:val="single" w:sz="4" w:space="0" w:color="auto"/>
            </w:tcBorders>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18</w:t>
            </w:r>
          </w:p>
        </w:tc>
      </w:tr>
    </w:tbl>
    <w:p w:rsidR="00A340B4" w:rsidRDefault="00AD5792" w:rsidP="003E4A5D">
      <w:pPr>
        <w:pStyle w:val="Citt"/>
      </w:pPr>
      <w:r>
        <w:t>Zdroj</w:t>
      </w:r>
      <w:r w:rsidR="00A340B4" w:rsidRPr="00DB067D">
        <w:t>: MMR</w:t>
      </w:r>
    </w:p>
    <w:p w:rsidR="000C0AAE" w:rsidRPr="002609A7" w:rsidRDefault="000C0AAE" w:rsidP="003E4A5D">
      <w:pPr>
        <w:widowControl w:val="0"/>
      </w:pPr>
      <w:r w:rsidRPr="002609A7">
        <w:t>Procesní dynamiku v oblasti stavebnictví lze odvodit i ze statistiky počtu stavebních povolení. V</w:t>
      </w:r>
      <w:r w:rsidR="00E603D8">
        <w:t> </w:t>
      </w:r>
      <w:r w:rsidRPr="002609A7">
        <w:t>rámci zdrojů ČS</w:t>
      </w:r>
      <w:r w:rsidR="002609A7">
        <w:t>Ú</w:t>
      </w:r>
      <w:r w:rsidRPr="002609A7">
        <w:t xml:space="preserve"> jsou dostupná data z této oblasti za období 2005 </w:t>
      </w:r>
      <w:r w:rsidR="002609A7">
        <w:t>-</w:t>
      </w:r>
      <w:r w:rsidRPr="002609A7">
        <w:t xml:space="preserve"> 2017 jak pro celou ČR, tak i pro jednotlivé kraje. Pro představu o dynamice a trendu jejich změn slouží indexová analýza uvedená v následující tabulce.  Indexy jsou konstruovány tak, že výsledné poměry jsou vždy vztaženy k pevné základně</w:t>
      </w:r>
      <w:r w:rsidR="002609A7">
        <w:t>, tj.</w:t>
      </w:r>
      <w:r w:rsidRPr="002609A7">
        <w:t xml:space="preserve"> roku 2005. </w:t>
      </w:r>
    </w:p>
    <w:p w:rsidR="000C0AAE" w:rsidRDefault="000C0AAE" w:rsidP="003E4A5D">
      <w:pPr>
        <w:widowControl w:val="0"/>
      </w:pPr>
      <w:r w:rsidRPr="002609A7">
        <w:t>Z analýzy vyplývá jednoznačný a dlouhodobě klesa</w:t>
      </w:r>
      <w:r w:rsidR="002609A7">
        <w:t>j</w:t>
      </w:r>
      <w:r w:rsidRPr="002609A7">
        <w:t>ící trend počtu vydaných stavebních povolení. Není bez zajímavosti, že v roce 2017 dosahuje hodnota veškerých vydaných stavebních povolení v ČR úrovně cca 59</w:t>
      </w:r>
      <w:r w:rsidR="002609A7">
        <w:t xml:space="preserve"> </w:t>
      </w:r>
      <w:r w:rsidRPr="002609A7">
        <w:t xml:space="preserve">% ve srovnání s rokem 2005. Ohledně mezních hodnot v rámci jednotlivých </w:t>
      </w:r>
      <w:r w:rsidRPr="002609A7">
        <w:lastRenderedPageBreak/>
        <w:t xml:space="preserve">krajů vykazuje největší pokles </w:t>
      </w:r>
      <w:r w:rsidR="00E603D8">
        <w:t>h</w:t>
      </w:r>
      <w:r w:rsidRPr="002609A7">
        <w:t>l</w:t>
      </w:r>
      <w:r w:rsidR="00E603D8">
        <w:t>avní</w:t>
      </w:r>
      <w:r w:rsidRPr="002609A7">
        <w:t xml:space="preserve"> město Praha (dosahuje cca 41% úrovně roku 2005) a</w:t>
      </w:r>
      <w:r w:rsidR="00E603D8">
        <w:t> </w:t>
      </w:r>
      <w:r w:rsidRPr="002609A7">
        <w:t>nejmenší pokles vykazuje Pardubický kraj (dosahuje cca 79% úrovně roku 2005).</w:t>
      </w:r>
    </w:p>
    <w:p w:rsidR="002A25D1" w:rsidRPr="002609A7" w:rsidRDefault="002A25D1" w:rsidP="003E4A5D">
      <w:pPr>
        <w:widowControl w:val="0"/>
      </w:pPr>
      <w:r>
        <w:t xml:space="preserve">V této souvislosti je třeba upozornit, že v roce 2017 nabyl účinnosti nový stavební zákon, který rozšířil okruh staveb, které nevyžadují stavební povolení. </w:t>
      </w:r>
      <w:r w:rsidR="00AD0359">
        <w:t>Tento</w:t>
      </w:r>
      <w:r>
        <w:t xml:space="preserve"> okruh staveb byl dále rozšířen velkou novelou stavebního zákona, která nabyla účinnosti v roce 2013.</w:t>
      </w:r>
      <w:r w:rsidR="00AD0359">
        <w:t xml:space="preserve"> Data, která by zohledňovala tyto právní úpravy, nejsou k dispozici. </w:t>
      </w:r>
    </w:p>
    <w:p w:rsidR="002609A7" w:rsidRDefault="002609A7"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4</w:t>
      </w:r>
      <w:r w:rsidR="00AB65E9">
        <w:rPr>
          <w:noProof/>
        </w:rPr>
        <w:fldChar w:fldCharType="end"/>
      </w:r>
      <w:r>
        <w:t>: Počet stavebních povolení v ČR za období 2005 – 2017 – indexová srovnávací analýza (výchozí srovnávací báze je období 2005)</w:t>
      </w:r>
    </w:p>
    <w:tbl>
      <w:tblPr>
        <w:tblStyle w:val="Svtlstnovn1"/>
        <w:tblW w:w="9182" w:type="dxa"/>
        <w:tblInd w:w="108" w:type="dxa"/>
        <w:tblLook w:val="04A0" w:firstRow="1" w:lastRow="0" w:firstColumn="1" w:lastColumn="0" w:noHBand="0" w:noVBand="1"/>
      </w:tblPr>
      <w:tblGrid>
        <w:gridCol w:w="1701"/>
        <w:gridCol w:w="1053"/>
        <w:gridCol w:w="1053"/>
        <w:gridCol w:w="1053"/>
        <w:gridCol w:w="1054"/>
        <w:gridCol w:w="1053"/>
        <w:gridCol w:w="1053"/>
        <w:gridCol w:w="1162"/>
      </w:tblGrid>
      <w:tr w:rsidR="00355BEA" w:rsidRPr="00355BEA" w:rsidTr="007E44A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2006/2005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2007/2005</w:t>
            </w:r>
          </w:p>
        </w:tc>
        <w:tc>
          <w:tcPr>
            <w:tcW w:w="1054"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2008/2005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2009/2005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2010/2005</w:t>
            </w:r>
          </w:p>
        </w:tc>
        <w:tc>
          <w:tcPr>
            <w:tcW w:w="1162" w:type="dxa"/>
            <w:vAlign w:val="center"/>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2011/2005</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Česká republika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0,95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0,82</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0,86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0,74</w:t>
            </w:r>
          </w:p>
        </w:tc>
        <w:tc>
          <w:tcPr>
            <w:tcW w:w="1162" w:type="dxa"/>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z toho kraj:</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 </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Hl. m. Praha</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Středočeský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0,74</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0,77</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Jihočeský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0,84</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0,87</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Plzeňský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0,78</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0,68</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Karlovarský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0,73</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Ústecký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0,85</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0,85</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0,81</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Liberecký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Královéhradecký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0,70</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0,69</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Pardubický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0,96</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Vysočina</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0,93</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Jihomoravský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0,59</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Olomoucký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0,61</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Zlínský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0,74</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Moravskoslezský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0,94</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noWrap/>
            <w:vAlign w:val="center"/>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4"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 w:val="18"/>
                <w:szCs w:val="18"/>
                <w:lang w:eastAsia="cs-CZ"/>
              </w:rPr>
            </w:pPr>
          </w:p>
        </w:tc>
        <w:tc>
          <w:tcPr>
            <w:tcW w:w="1162" w:type="dxa"/>
            <w:tcBorders>
              <w:bottom w:val="single" w:sz="4" w:space="0" w:color="auto"/>
            </w:tcBorders>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2012/2005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2013/2005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2014/2005</w:t>
            </w:r>
          </w:p>
        </w:tc>
        <w:tc>
          <w:tcPr>
            <w:tcW w:w="1054"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2015/2005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2016/2005</w:t>
            </w:r>
          </w:p>
        </w:tc>
        <w:tc>
          <w:tcPr>
            <w:tcW w:w="1053" w:type="dxa"/>
            <w:tcBorders>
              <w:top w:val="single" w:sz="4" w:space="0" w:color="auto"/>
              <w:bottom w:val="single" w:sz="4" w:space="0" w:color="auto"/>
            </w:tcBorders>
            <w:shd w:val="clear" w:color="auto" w:fill="FEFCBE" w:themeFill="text2" w:themeFillTint="33"/>
            <w:noWrap/>
            <w:vAlign w:val="center"/>
            <w:hideMark/>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Cs/>
                <w:sz w:val="18"/>
                <w:szCs w:val="18"/>
                <w:lang w:eastAsia="cs-CZ"/>
              </w:rPr>
            </w:pPr>
            <w:r w:rsidRPr="004D7A61">
              <w:rPr>
                <w:rFonts w:asciiTheme="minorHAnsi" w:eastAsia="Times New Roman" w:hAnsiTheme="minorHAnsi" w:cstheme="minorHAnsi"/>
                <w:b/>
                <w:bCs/>
                <w:iCs/>
                <w:sz w:val="18"/>
                <w:szCs w:val="18"/>
                <w:lang w:eastAsia="cs-CZ"/>
              </w:rPr>
              <w:t>2017/2005</w:t>
            </w:r>
          </w:p>
        </w:tc>
        <w:tc>
          <w:tcPr>
            <w:tcW w:w="1162" w:type="dxa"/>
            <w:tcBorders>
              <w:top w:val="single" w:sz="4" w:space="0" w:color="auto"/>
              <w:bottom w:val="single" w:sz="4" w:space="0" w:color="auto"/>
            </w:tcBorders>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iCs/>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Česká republika </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tcBorders>
              <w:top w:val="single" w:sz="4" w:space="0" w:color="auto"/>
            </w:tcBorders>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162" w:type="dxa"/>
            <w:tcBorders>
              <w:top w:val="single" w:sz="4" w:space="0" w:color="auto"/>
            </w:tcBorders>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z toho kraj:</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Hl. m. Praha</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0,45</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0,44</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0,41</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Středočeský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Jihočeský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0,67</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Plzeňský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Karlovarský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Ústecký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Liberecký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Královéhradecký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Pardubický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0,70</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Vysočina</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0,83</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Jihomoravský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Olomoucký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0,46</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0,50</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Zlínský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0,63</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Moravskoslezský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bl>
    <w:p w:rsidR="000C0AAE" w:rsidRDefault="007A025F" w:rsidP="003E4A5D">
      <w:pPr>
        <w:pStyle w:val="Citt"/>
      </w:pPr>
      <w:r>
        <w:t>Zdroj: ČSÚ</w:t>
      </w:r>
    </w:p>
    <w:p w:rsidR="00AD0359" w:rsidRDefault="00AD0359">
      <w:pPr>
        <w:spacing w:before="0" w:after="0"/>
        <w:jc w:val="left"/>
        <w:rPr>
          <w:lang w:eastAsia="cs-CZ"/>
        </w:rPr>
      </w:pPr>
      <w:r>
        <w:rPr>
          <w:lang w:eastAsia="cs-CZ"/>
        </w:rPr>
        <w:br w:type="page"/>
      </w:r>
    </w:p>
    <w:p w:rsidR="007C1DBF" w:rsidRPr="00E414AC" w:rsidRDefault="000A2F0D" w:rsidP="003E4A5D">
      <w:pPr>
        <w:pStyle w:val="Nadpis30"/>
        <w:keepNext w:val="0"/>
        <w:widowControl w:val="0"/>
      </w:pPr>
      <w:bookmarkStart w:id="11" w:name="_Toc536553886"/>
      <w:r w:rsidRPr="00E414AC">
        <w:lastRenderedPageBreak/>
        <w:t>Definice problému</w:t>
      </w:r>
      <w:bookmarkEnd w:id="11"/>
    </w:p>
    <w:p w:rsidR="00775EF6" w:rsidRPr="00392CA0" w:rsidRDefault="00775EF6" w:rsidP="003E4A5D">
      <w:pPr>
        <w:pStyle w:val="Nadpis4"/>
        <w:keepNext w:val="0"/>
        <w:keepLines w:val="0"/>
        <w:widowControl w:val="0"/>
      </w:pPr>
      <w:bookmarkStart w:id="12" w:name="_Toc536553887"/>
      <w:r w:rsidRPr="00207323">
        <w:t>Ztráta makroekonomického výstupu</w:t>
      </w:r>
      <w:r w:rsidR="001E55B9" w:rsidRPr="00207323">
        <w:t xml:space="preserve"> z oddalování realizace výstavby</w:t>
      </w:r>
      <w:bookmarkEnd w:id="12"/>
    </w:p>
    <w:p w:rsidR="002E3F08" w:rsidRPr="00A120A2" w:rsidRDefault="002E3F08" w:rsidP="003E4A5D">
      <w:pPr>
        <w:widowControl w:val="0"/>
      </w:pPr>
      <w:r w:rsidRPr="00A120A2">
        <w:t xml:space="preserve">Investice do </w:t>
      </w:r>
      <w:r w:rsidR="003C2587">
        <w:t xml:space="preserve">výstavby </w:t>
      </w:r>
      <w:r w:rsidRPr="00A120A2">
        <w:t>se všeobecně považují za investice s vysokým fiskálním multiplikátorem, tedy s vysokým vlivem na hrubý domácí produkt</w:t>
      </w:r>
      <w:r w:rsidR="00AD0359">
        <w:t xml:space="preserve"> (HDP)</w:t>
      </w:r>
      <w:r w:rsidR="00585986">
        <w:t>, a tím pádem i na daňové příjmy do veřejných rozpočtů</w:t>
      </w:r>
      <w:r w:rsidR="003C2587">
        <w:rPr>
          <w:rStyle w:val="Znakapoznpodarou"/>
        </w:rPr>
        <w:footnoteReference w:id="4"/>
      </w:r>
      <w:r w:rsidR="003C2587">
        <w:t xml:space="preserve">. </w:t>
      </w:r>
      <w:r w:rsidR="003C2587" w:rsidRPr="00A120A2">
        <w:t xml:space="preserve">V této kapitole </w:t>
      </w:r>
      <w:r w:rsidR="00711240">
        <w:t>je snaha</w:t>
      </w:r>
      <w:r w:rsidR="003C2587" w:rsidRPr="00A120A2">
        <w:t xml:space="preserve"> přiblížit a kvantifikovat, jakým způsobem ovlivňují investice do </w:t>
      </w:r>
      <w:r w:rsidR="003C2587">
        <w:t>výstavby</w:t>
      </w:r>
      <w:r w:rsidR="003C2587" w:rsidRPr="00A120A2">
        <w:t xml:space="preserve"> ekonomiku země.</w:t>
      </w:r>
      <w:r w:rsidR="003C2587">
        <w:t xml:space="preserve"> Tato kvantifikace</w:t>
      </w:r>
      <w:r w:rsidR="002B5CF2">
        <w:t xml:space="preserve"> bude pracovat pouze s dopady v </w:t>
      </w:r>
      <w:r w:rsidRPr="00A120A2">
        <w:t xml:space="preserve">investiční fázi projektu, tedy </w:t>
      </w:r>
      <w:r w:rsidR="003C2587">
        <w:t xml:space="preserve">prozatím </w:t>
      </w:r>
      <w:r w:rsidRPr="00A120A2">
        <w:t>nezohled</w:t>
      </w:r>
      <w:r w:rsidR="003C2587">
        <w:t>ní,</w:t>
      </w:r>
      <w:r w:rsidRPr="00A120A2">
        <w:t xml:space="preserve"> jaké </w:t>
      </w:r>
      <w:r w:rsidR="002B5CF2">
        <w:t>přínosy má stavba po uvedení do </w:t>
      </w:r>
      <w:r w:rsidRPr="00A120A2">
        <w:t xml:space="preserve">provozu. </w:t>
      </w:r>
    </w:p>
    <w:p w:rsidR="002E3F08" w:rsidRPr="00A120A2" w:rsidRDefault="002E3F08" w:rsidP="003E4A5D">
      <w:pPr>
        <w:pStyle w:val="Default"/>
        <w:widowControl w:val="0"/>
        <w:jc w:val="both"/>
        <w:rPr>
          <w:rFonts w:ascii="Garamond" w:hAnsi="Garamond" w:cs="Times New Roman"/>
          <w:i/>
          <w:color w:val="auto"/>
          <w:szCs w:val="22"/>
        </w:rPr>
      </w:pPr>
      <w:r w:rsidRPr="00A120A2">
        <w:rPr>
          <w:rFonts w:ascii="Garamond" w:hAnsi="Garamond" w:cs="Times New Roman"/>
          <w:color w:val="auto"/>
          <w:szCs w:val="22"/>
        </w:rPr>
        <w:t>Nejprve se zvýšení produkce projeví skrze zvýšení poptávky po stavebních pracích (</w:t>
      </w:r>
      <w:r w:rsidR="003C2587" w:rsidRPr="009D707E">
        <w:rPr>
          <w:rFonts w:ascii="Garamond" w:hAnsi="Garamond" w:cs="Times New Roman"/>
          <w:color w:val="auto"/>
          <w:szCs w:val="22"/>
        </w:rPr>
        <w:t>nezohlední</w:t>
      </w:r>
      <w:r w:rsidRPr="009D707E">
        <w:rPr>
          <w:rFonts w:ascii="Garamond" w:hAnsi="Garamond" w:cs="Times New Roman"/>
          <w:color w:val="auto"/>
          <w:szCs w:val="22"/>
        </w:rPr>
        <w:t xml:space="preserve">-li </w:t>
      </w:r>
      <w:r w:rsidR="00530152" w:rsidRPr="009D707E">
        <w:rPr>
          <w:rFonts w:ascii="Garamond" w:hAnsi="Garamond" w:cs="Times New Roman"/>
          <w:color w:val="auto"/>
          <w:szCs w:val="22"/>
        </w:rPr>
        <w:t xml:space="preserve">se </w:t>
      </w:r>
      <w:r w:rsidRPr="009D707E">
        <w:rPr>
          <w:rFonts w:ascii="Garamond" w:hAnsi="Garamond" w:cs="Times New Roman"/>
          <w:color w:val="auto"/>
          <w:szCs w:val="22"/>
        </w:rPr>
        <w:t>pro</w:t>
      </w:r>
      <w:r w:rsidRPr="00A120A2">
        <w:rPr>
          <w:rFonts w:ascii="Garamond" w:hAnsi="Garamond" w:cs="Times New Roman"/>
          <w:color w:val="auto"/>
          <w:szCs w:val="22"/>
        </w:rPr>
        <w:t xml:space="preserve"> jednoduchost projekční práce před samotnou výstavbou). </w:t>
      </w:r>
      <w:r w:rsidRPr="009D707E">
        <w:rPr>
          <w:rFonts w:ascii="Garamond" w:hAnsi="Garamond" w:cs="Times New Roman"/>
          <w:color w:val="auto"/>
          <w:szCs w:val="22"/>
        </w:rPr>
        <w:t xml:space="preserve">Tento </w:t>
      </w:r>
      <w:r w:rsidR="00530152" w:rsidRPr="009D707E">
        <w:rPr>
          <w:rFonts w:ascii="Garamond" w:hAnsi="Garamond" w:cs="Times New Roman"/>
          <w:color w:val="auto"/>
          <w:szCs w:val="22"/>
        </w:rPr>
        <w:t>jev</w:t>
      </w:r>
      <w:r w:rsidR="00530152" w:rsidRPr="00A120A2">
        <w:rPr>
          <w:rFonts w:ascii="Garamond" w:hAnsi="Garamond" w:cs="Times New Roman"/>
          <w:color w:val="auto"/>
          <w:szCs w:val="22"/>
        </w:rPr>
        <w:t xml:space="preserve"> </w:t>
      </w:r>
      <w:r w:rsidR="00530152" w:rsidRPr="009D707E">
        <w:rPr>
          <w:rFonts w:ascii="Garamond" w:hAnsi="Garamond" w:cs="Times New Roman"/>
          <w:color w:val="auto"/>
          <w:szCs w:val="22"/>
        </w:rPr>
        <w:t>lze</w:t>
      </w:r>
      <w:r w:rsidR="00530152" w:rsidRPr="00A120A2">
        <w:rPr>
          <w:rFonts w:ascii="Garamond" w:hAnsi="Garamond" w:cs="Times New Roman"/>
          <w:color w:val="auto"/>
          <w:szCs w:val="22"/>
        </w:rPr>
        <w:t xml:space="preserve"> </w:t>
      </w:r>
      <w:r w:rsidRPr="00A120A2">
        <w:rPr>
          <w:rFonts w:ascii="Garamond" w:hAnsi="Garamond" w:cs="Times New Roman"/>
          <w:color w:val="auto"/>
          <w:szCs w:val="22"/>
        </w:rPr>
        <w:t xml:space="preserve">rozdělit na přímý </w:t>
      </w:r>
      <w:r w:rsidR="00D50E32" w:rsidRPr="00A120A2">
        <w:rPr>
          <w:rFonts w:ascii="Garamond" w:hAnsi="Garamond" w:cs="Times New Roman"/>
          <w:color w:val="auto"/>
          <w:szCs w:val="22"/>
        </w:rPr>
        <w:t>a</w:t>
      </w:r>
      <w:r w:rsidR="00D50E32">
        <w:rPr>
          <w:rFonts w:ascii="Garamond" w:hAnsi="Garamond" w:cs="Times New Roman"/>
          <w:color w:val="auto"/>
          <w:szCs w:val="22"/>
        </w:rPr>
        <w:t> </w:t>
      </w:r>
      <w:r w:rsidRPr="00A120A2">
        <w:rPr>
          <w:rFonts w:ascii="Garamond" w:hAnsi="Garamond" w:cs="Times New Roman"/>
          <w:color w:val="auto"/>
          <w:szCs w:val="22"/>
        </w:rPr>
        <w:t>nepřímý multiplikační efekt. Nepřímý multiplikační efekt je způsoben tím, že výstup jednoho odvětví je zároveň vstupem dalších odvětví národního hospodářství a naopak. Meziodvětvová tabulka explicitně zachycuje vztahy mezi jednotlivými odvětvími a poskytuje detailní statistický obraz ekonomiky v daném roce.</w:t>
      </w:r>
      <w:r w:rsidR="006E3E9F">
        <w:rPr>
          <w:rFonts w:ascii="Garamond" w:hAnsi="Garamond" w:cs="Times New Roman"/>
          <w:color w:val="auto"/>
          <w:szCs w:val="22"/>
        </w:rPr>
        <w:t xml:space="preserve"> </w:t>
      </w:r>
      <w:r w:rsidR="006E2417">
        <w:rPr>
          <w:rFonts w:ascii="Garamond" w:hAnsi="Garamond" w:cs="Times New Roman"/>
          <w:color w:val="auto"/>
          <w:szCs w:val="22"/>
        </w:rPr>
        <w:t>Široké spektrum odvětví dodávajících</w:t>
      </w:r>
      <w:r w:rsidR="006E3E9F">
        <w:rPr>
          <w:rFonts w:ascii="Garamond" w:hAnsi="Garamond" w:cs="Times New Roman"/>
          <w:color w:val="auto"/>
          <w:szCs w:val="22"/>
        </w:rPr>
        <w:t xml:space="preserve"> do stavebnictví a užití dodávek zachycují následující obrázky. Z těchto obrázků je vidět, kteří dodavatelé budou těžit z prosperity stavebnictví </w:t>
      </w:r>
      <w:r w:rsidR="006E2417">
        <w:rPr>
          <w:rFonts w:ascii="Garamond" w:hAnsi="Garamond" w:cs="Times New Roman"/>
          <w:color w:val="auto"/>
          <w:szCs w:val="22"/>
        </w:rPr>
        <w:t xml:space="preserve">podpořené příznivější regulací </w:t>
      </w:r>
      <w:r w:rsidR="006E3E9F">
        <w:rPr>
          <w:rFonts w:ascii="Garamond" w:hAnsi="Garamond" w:cs="Times New Roman"/>
          <w:color w:val="auto"/>
          <w:szCs w:val="22"/>
        </w:rPr>
        <w:t>a jakým způsobem budou využity zdroje vytvořené stavebním sektorem.</w:t>
      </w:r>
      <w:r w:rsidR="006E2417">
        <w:rPr>
          <w:rFonts w:ascii="Garamond" w:hAnsi="Garamond" w:cs="Times New Roman"/>
          <w:color w:val="auto"/>
          <w:szCs w:val="22"/>
        </w:rPr>
        <w:t xml:space="preserve"> </w:t>
      </w:r>
    </w:p>
    <w:p w:rsidR="007A025F" w:rsidRDefault="007A025F" w:rsidP="003E4A5D">
      <w:pPr>
        <w:widowControl w:val="0"/>
        <w:spacing w:before="0" w:after="0"/>
        <w:jc w:val="left"/>
        <w:rPr>
          <w:rFonts w:eastAsia="Times New Roman"/>
          <w:b/>
          <w:bCs/>
          <w:color w:val="000000"/>
          <w:sz w:val="22"/>
          <w:szCs w:val="20"/>
          <w:lang w:eastAsia="cs-CZ"/>
        </w:rPr>
      </w:pPr>
    </w:p>
    <w:p w:rsidR="003C13D2" w:rsidRDefault="003C13D2" w:rsidP="003E4A5D">
      <w:pPr>
        <w:pStyle w:val="Titulek"/>
      </w:pPr>
      <w:r>
        <w:t xml:space="preserve">Obrázek </w:t>
      </w:r>
      <w:r w:rsidR="00AB65E9">
        <w:rPr>
          <w:noProof/>
        </w:rPr>
        <w:fldChar w:fldCharType="begin"/>
      </w:r>
      <w:r w:rsidR="004D7258">
        <w:rPr>
          <w:noProof/>
        </w:rPr>
        <w:instrText xml:space="preserve"> SEQ Obrázek \* ARABIC </w:instrText>
      </w:r>
      <w:r w:rsidR="00AB65E9">
        <w:rPr>
          <w:noProof/>
        </w:rPr>
        <w:fldChar w:fldCharType="separate"/>
      </w:r>
      <w:r w:rsidR="00263A1B">
        <w:rPr>
          <w:noProof/>
        </w:rPr>
        <w:t>5</w:t>
      </w:r>
      <w:r w:rsidR="00AB65E9">
        <w:rPr>
          <w:noProof/>
        </w:rPr>
        <w:fldChar w:fldCharType="end"/>
      </w:r>
      <w:r>
        <w:t>: Dodávky do stavebnictví</w:t>
      </w:r>
      <w:r w:rsidR="00164C97">
        <w:t xml:space="preserve"> </w:t>
      </w:r>
    </w:p>
    <w:p w:rsidR="003C2587" w:rsidRDefault="003C2587" w:rsidP="003E4A5D">
      <w:pPr>
        <w:widowControl w:val="0"/>
        <w:spacing w:before="0" w:after="0"/>
      </w:pPr>
      <w:r w:rsidRPr="003C2587">
        <w:rPr>
          <w:noProof/>
          <w:lang w:eastAsia="cs-CZ"/>
        </w:rPr>
        <w:drawing>
          <wp:inline distT="0" distB="0" distL="0" distR="0" wp14:anchorId="588D3F90" wp14:editId="3DCC6588">
            <wp:extent cx="5593605" cy="3827868"/>
            <wp:effectExtent l="0" t="0" r="7620"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104" t="5157" r="1610" b="5763"/>
                    <a:stretch/>
                  </pic:blipFill>
                  <pic:spPr bwMode="auto">
                    <a:xfrm>
                      <a:off x="0" y="0"/>
                      <a:ext cx="5604414" cy="3835265"/>
                    </a:xfrm>
                    <a:prstGeom prst="rect">
                      <a:avLst/>
                    </a:prstGeom>
                    <a:ln>
                      <a:noFill/>
                    </a:ln>
                    <a:extLst>
                      <a:ext uri="{53640926-AAD7-44D8-BBD7-CCE9431645EC}">
                        <a14:shadowObscured xmlns:a14="http://schemas.microsoft.com/office/drawing/2010/main"/>
                      </a:ext>
                    </a:extLst>
                  </pic:spPr>
                </pic:pic>
              </a:graphicData>
            </a:graphic>
          </wp:inline>
        </w:drawing>
      </w:r>
    </w:p>
    <w:p w:rsidR="009C144A" w:rsidRDefault="009C144A" w:rsidP="003E4A5D">
      <w:pPr>
        <w:pStyle w:val="Citt"/>
      </w:pPr>
      <w:r>
        <w:t>Zdroj: Stavebnictví České republiky 2017, MPO</w:t>
      </w:r>
    </w:p>
    <w:p w:rsidR="003C13D2" w:rsidRDefault="003C13D2" w:rsidP="0089559F">
      <w:pPr>
        <w:pStyle w:val="Titulek"/>
        <w:keepNext/>
      </w:pPr>
      <w:r>
        <w:lastRenderedPageBreak/>
        <w:t xml:space="preserve">Obrázek </w:t>
      </w:r>
      <w:r w:rsidR="00AB65E9">
        <w:rPr>
          <w:noProof/>
        </w:rPr>
        <w:fldChar w:fldCharType="begin"/>
      </w:r>
      <w:r w:rsidR="004D7258">
        <w:rPr>
          <w:noProof/>
        </w:rPr>
        <w:instrText xml:space="preserve"> SEQ Obrázek \* ARABIC </w:instrText>
      </w:r>
      <w:r w:rsidR="00AB65E9">
        <w:rPr>
          <w:noProof/>
        </w:rPr>
        <w:fldChar w:fldCharType="separate"/>
      </w:r>
      <w:r w:rsidR="00263A1B">
        <w:rPr>
          <w:noProof/>
        </w:rPr>
        <w:t>6</w:t>
      </w:r>
      <w:r w:rsidR="00AB65E9">
        <w:rPr>
          <w:noProof/>
        </w:rPr>
        <w:fldChar w:fldCharType="end"/>
      </w:r>
      <w:r>
        <w:t>: Užití dodávek do stavebnictví</w:t>
      </w:r>
      <w:r w:rsidR="00164C97">
        <w:t xml:space="preserve"> </w:t>
      </w:r>
    </w:p>
    <w:p w:rsidR="003C2587" w:rsidRDefault="003C2587" w:rsidP="0089559F">
      <w:pPr>
        <w:keepNext/>
        <w:widowControl w:val="0"/>
      </w:pPr>
      <w:r w:rsidRPr="003C2587">
        <w:rPr>
          <w:noProof/>
          <w:lang w:eastAsia="cs-CZ"/>
        </w:rPr>
        <w:drawing>
          <wp:inline distT="0" distB="0" distL="0" distR="0" wp14:anchorId="655FF3A9" wp14:editId="2D1391C2">
            <wp:extent cx="5689600" cy="3695065"/>
            <wp:effectExtent l="0" t="0" r="635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41" t="4441" r="774" b="4378"/>
                    <a:stretch/>
                  </pic:blipFill>
                  <pic:spPr bwMode="auto">
                    <a:xfrm>
                      <a:off x="0" y="0"/>
                      <a:ext cx="5690710" cy="3695786"/>
                    </a:xfrm>
                    <a:prstGeom prst="rect">
                      <a:avLst/>
                    </a:prstGeom>
                    <a:ln>
                      <a:noFill/>
                    </a:ln>
                    <a:extLst>
                      <a:ext uri="{53640926-AAD7-44D8-BBD7-CCE9431645EC}">
                        <a14:shadowObscured xmlns:a14="http://schemas.microsoft.com/office/drawing/2010/main"/>
                      </a:ext>
                    </a:extLst>
                  </pic:spPr>
                </pic:pic>
              </a:graphicData>
            </a:graphic>
          </wp:inline>
        </w:drawing>
      </w:r>
    </w:p>
    <w:p w:rsidR="006E2417" w:rsidRDefault="006E2417" w:rsidP="0089559F">
      <w:pPr>
        <w:pStyle w:val="Citt"/>
        <w:keepNext/>
      </w:pPr>
      <w:r>
        <w:t>Zdroj: Stavebnictví České republiky 2017, MPO</w:t>
      </w:r>
    </w:p>
    <w:p w:rsidR="006A3407" w:rsidRDefault="002E3F08" w:rsidP="003E4A5D">
      <w:pPr>
        <w:widowControl w:val="0"/>
      </w:pPr>
      <w:r w:rsidRPr="00A120A2">
        <w:t xml:space="preserve">Na základě symetrické input-output tabulky lze vypočítat transakční multiplikátor jednotlivých odvětví, tedy o kolik se v průměru zvýší produkce ekonomiky při realizaci investice. K výpočtu transakčního multiplikátoru se využije tzv. Leontiefovy inverzní matice, což je pro počet s maticemi obdoba vzorce pro výpočet součtu nekonečné řady. Tím </w:t>
      </w:r>
      <w:r w:rsidR="008947BE" w:rsidRPr="009D707E">
        <w:t>se získají</w:t>
      </w:r>
      <w:r w:rsidR="008947BE" w:rsidRPr="00A120A2">
        <w:t xml:space="preserve"> </w:t>
      </w:r>
      <w:r w:rsidRPr="00A120A2">
        <w:t xml:space="preserve">transakční multiplikátory jednotlivých odvětví. </w:t>
      </w:r>
    </w:p>
    <w:p w:rsidR="002E3F08" w:rsidRPr="00A120A2" w:rsidRDefault="002E3F08" w:rsidP="003E4A5D">
      <w:pPr>
        <w:widowControl w:val="0"/>
      </w:pPr>
      <w:r w:rsidRPr="00A120A2">
        <w:t xml:space="preserve">Pokud chceme zjistit multiplikátor </w:t>
      </w:r>
      <w:r w:rsidR="00526096">
        <w:t>HPH</w:t>
      </w:r>
      <w:r w:rsidRPr="00A120A2">
        <w:t xml:space="preserve">, </w:t>
      </w:r>
      <w:r w:rsidR="006A3407">
        <w:t>musíme</w:t>
      </w:r>
      <w:r w:rsidRPr="00A120A2">
        <w:t xml:space="preserve"> ještě Leontiefovu inverzní matici vynásobit vektorem poměrů přidaných hodnot všech produktů na jejich produkci. Podobně lze postupovat i v případě importu, osobních nákladů a daní z produkce bez dotací (obsahující především nepřímé daně</w:t>
      </w:r>
      <w:r w:rsidR="006A3407">
        <w:t xml:space="preserve"> </w:t>
      </w:r>
      <w:r w:rsidRPr="00A120A2">
        <w:t xml:space="preserve">- DPH a spotřební daně). Následující </w:t>
      </w:r>
      <w:r w:rsidR="00261777">
        <w:t>tabulka</w:t>
      </w:r>
      <w:r w:rsidRPr="00A120A2">
        <w:t xml:space="preserve"> shrnuje </w:t>
      </w:r>
      <w:r w:rsidR="00261777">
        <w:t>výši</w:t>
      </w:r>
      <w:r w:rsidRPr="00A120A2">
        <w:t xml:space="preserve"> multiplikátorů při investici do výstavby</w:t>
      </w:r>
      <w:r w:rsidR="00261777">
        <w:t>.</w:t>
      </w:r>
    </w:p>
    <w:p w:rsidR="0042724E" w:rsidRDefault="0042724E"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5</w:t>
      </w:r>
      <w:r w:rsidR="00AB65E9">
        <w:rPr>
          <w:noProof/>
        </w:rPr>
        <w:fldChar w:fldCharType="end"/>
      </w:r>
      <w:r w:rsidRPr="0042724E">
        <w:t>: Multiplikační efekty z meziodvětvové analýzy (na základě dat 2015)</w:t>
      </w:r>
      <w:r w:rsidR="00BB7844">
        <w:rPr>
          <w:rStyle w:val="Znakapoznpodarou"/>
        </w:rPr>
        <w:footnoteReference w:id="5"/>
      </w:r>
      <w:r w:rsidRPr="0042724E">
        <w:t xml:space="preserve"> </w:t>
      </w:r>
    </w:p>
    <w:tbl>
      <w:tblPr>
        <w:tblStyle w:val="Svtlstnovn1"/>
        <w:tblW w:w="9021" w:type="dxa"/>
        <w:tblInd w:w="108" w:type="dxa"/>
        <w:tblLook w:val="04A0" w:firstRow="1" w:lastRow="0" w:firstColumn="1" w:lastColumn="0" w:noHBand="0" w:noVBand="1"/>
      </w:tblPr>
      <w:tblGrid>
        <w:gridCol w:w="2174"/>
        <w:gridCol w:w="2282"/>
        <w:gridCol w:w="2282"/>
        <w:gridCol w:w="2283"/>
      </w:tblGrid>
      <w:tr w:rsidR="00E85354" w:rsidRPr="00BB7844" w:rsidTr="00FD65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 </w:t>
            </w:r>
            <w:r w:rsidR="00796A13" w:rsidRPr="00BB7844">
              <w:rPr>
                <w:rFonts w:asciiTheme="minorHAnsi" w:hAnsiTheme="minorHAnsi" w:cstheme="minorHAnsi"/>
                <w:sz w:val="18"/>
                <w:szCs w:val="18"/>
              </w:rPr>
              <w:t>2015</w:t>
            </w:r>
          </w:p>
        </w:tc>
        <w:tc>
          <w:tcPr>
            <w:tcW w:w="2282"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41 - Budovy a jejich výstavba</w:t>
            </w:r>
          </w:p>
        </w:tc>
        <w:tc>
          <w:tcPr>
            <w:tcW w:w="2282"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42 - Inženýrské stavby a jejich výstavba</w:t>
            </w:r>
          </w:p>
        </w:tc>
        <w:tc>
          <w:tcPr>
            <w:tcW w:w="2283"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43 - Specializované stavební práce</w:t>
            </w:r>
          </w:p>
        </w:tc>
      </w:tr>
      <w:tr w:rsidR="00E85354" w:rsidRPr="00BB7844" w:rsidTr="00FD65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přímý a nepřímý</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2,403216546</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2,387823914</w:t>
            </w:r>
          </w:p>
        </w:tc>
        <w:tc>
          <w:tcPr>
            <w:tcW w:w="2283"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1,87859852</w:t>
            </w:r>
          </w:p>
        </w:tc>
      </w:tr>
      <w:tr w:rsidR="00E85354" w:rsidRPr="00BB7844" w:rsidTr="00FD656C">
        <w:trPr>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indukovaný</w:t>
            </w:r>
          </w:p>
        </w:tc>
        <w:tc>
          <w:tcPr>
            <w:tcW w:w="2282"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0,683735465</w:t>
            </w:r>
          </w:p>
        </w:tc>
        <w:tc>
          <w:tcPr>
            <w:tcW w:w="2282"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0,598888711</w:t>
            </w:r>
          </w:p>
        </w:tc>
        <w:tc>
          <w:tcPr>
            <w:tcW w:w="2283"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0,779101008</w:t>
            </w:r>
          </w:p>
        </w:tc>
      </w:tr>
      <w:tr w:rsidR="00E85354" w:rsidRPr="00BB7844" w:rsidTr="00FD65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celkový dopad</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3,086952011</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2,986712625</w:t>
            </w:r>
          </w:p>
        </w:tc>
        <w:tc>
          <w:tcPr>
            <w:tcW w:w="2283"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2,657699528</w:t>
            </w:r>
          </w:p>
        </w:tc>
      </w:tr>
    </w:tbl>
    <w:p w:rsidR="0042724E" w:rsidRDefault="0042724E" w:rsidP="003E4A5D">
      <w:pPr>
        <w:pStyle w:val="Citt"/>
      </w:pPr>
      <w:r w:rsidRPr="0042724E">
        <w:t>Zdroj: EEIP na základě input-output tabulek CSÚ</w:t>
      </w:r>
    </w:p>
    <w:p w:rsidR="002E3F08" w:rsidRPr="00A120A2" w:rsidRDefault="00611970" w:rsidP="003E4A5D">
      <w:pPr>
        <w:widowControl w:val="0"/>
      </w:pPr>
      <w:r>
        <w:t xml:space="preserve">Z výše uvedené </w:t>
      </w:r>
      <w:r w:rsidR="000F20DE">
        <w:t>tabulky</w:t>
      </w:r>
      <w:r>
        <w:t xml:space="preserve"> je patrné</w:t>
      </w:r>
      <w:r w:rsidR="002E3F08" w:rsidRPr="00E9303D">
        <w:t xml:space="preserve">, </w:t>
      </w:r>
      <w:r>
        <w:t xml:space="preserve">že </w:t>
      </w:r>
      <w:r w:rsidR="002E3F08" w:rsidRPr="00E9303D">
        <w:t xml:space="preserve">jeden investovaný milion do výstavby zvýší domácí produkci </w:t>
      </w:r>
      <w:r w:rsidR="002E3F08" w:rsidRPr="00E9303D">
        <w:lastRenderedPageBreak/>
        <w:t xml:space="preserve">o </w:t>
      </w:r>
      <w:r w:rsidR="00E9303D">
        <w:t>1</w:t>
      </w:r>
      <w:r w:rsidR="002E3F08" w:rsidRPr="00E9303D">
        <w:t>,</w:t>
      </w:r>
      <w:r w:rsidR="00E9303D">
        <w:t>88</w:t>
      </w:r>
      <w:r w:rsidR="00E9303D" w:rsidRPr="00E9303D">
        <w:t xml:space="preserve"> – </w:t>
      </w:r>
      <w:r w:rsidR="00E9303D">
        <w:t>2</w:t>
      </w:r>
      <w:r w:rsidR="00E9303D" w:rsidRPr="00E9303D">
        <w:t>,</w:t>
      </w:r>
      <w:r w:rsidR="00E9303D">
        <w:t>4</w:t>
      </w:r>
      <w:r w:rsidR="00E9303D" w:rsidRPr="00E9303D">
        <w:t> </w:t>
      </w:r>
      <w:r w:rsidR="002E3F08" w:rsidRPr="00E9303D">
        <w:t>mil. Kč</w:t>
      </w:r>
      <w:r w:rsidR="00116877">
        <w:t xml:space="preserve"> dle kategorie stavby</w:t>
      </w:r>
      <w:r w:rsidR="002E3F08" w:rsidRPr="00E9303D">
        <w:t xml:space="preserve">. Růst </w:t>
      </w:r>
      <w:r w:rsidR="00E9303D" w:rsidRPr="00E9303D">
        <w:t>produkce</w:t>
      </w:r>
      <w:r w:rsidR="002E3F08" w:rsidRPr="00E9303D">
        <w:t xml:space="preserve"> se však neprojeví pouze skrze stavby a</w:t>
      </w:r>
      <w:r w:rsidR="000253D8">
        <w:t> </w:t>
      </w:r>
      <w:r w:rsidR="002E3F08" w:rsidRPr="00E9303D">
        <w:t>stavební práce, ale i přes ostatní produkty, které jsou vstupy při realizaci staveb (přibližně 47% celkového multiplikátoru se projeví díky nepřímému multiplikačnímu efektu).</w:t>
      </w:r>
      <w:r w:rsidR="002E3F08" w:rsidRPr="00A120A2">
        <w:t xml:space="preserve"> </w:t>
      </w:r>
    </w:p>
    <w:p w:rsidR="00C5565E" w:rsidRDefault="002E3F08" w:rsidP="003E4A5D">
      <w:pPr>
        <w:widowControl w:val="0"/>
      </w:pPr>
      <w:r w:rsidRPr="00A120A2">
        <w:t xml:space="preserve">Toto však nejsou zdaleka všechny přínosy </w:t>
      </w:r>
      <w:r w:rsidR="006A3407">
        <w:t>realizace staveb</w:t>
      </w:r>
      <w:r w:rsidRPr="00A120A2">
        <w:t>. Zvýšení poptávky ve všech odvětvích, zapříčiněné nárůstem stavebních prací, přináší i vyšší příjmy zaměstnanců a provozní přebytek. Zvýšení příjmů zaměstnanců vede k nárůstu spotřeby jejich domácností (</w:t>
      </w:r>
      <w:r w:rsidR="006A3407">
        <w:t>míra nárůstu</w:t>
      </w:r>
      <w:r w:rsidRPr="00A120A2">
        <w:t xml:space="preserve"> závisí na mezním sklonu ke spotřebě). Provozní přebytek je zdaněn a pak buď převeden do zahraničí, nebo zůstane v ČR a je využit pro investice nebo spotřebu majitelů společností. To opět přináší dodatečný nárůst spotřeby, přičemž část spotřeby je uspokojena domácí produkcí a část importem. </w:t>
      </w:r>
    </w:p>
    <w:p w:rsidR="00C5565E" w:rsidRDefault="002E3F08" w:rsidP="003E4A5D">
      <w:pPr>
        <w:widowControl w:val="0"/>
      </w:pPr>
      <w:r w:rsidRPr="00A120A2">
        <w:t>Na základě meziodvětvové analýzy a zjednodušených předpokladů</w:t>
      </w:r>
      <w:r w:rsidRPr="00A120A2">
        <w:rPr>
          <w:rStyle w:val="Znakapoznpodarou"/>
        </w:rPr>
        <w:footnoteReference w:id="6"/>
      </w:r>
      <w:r w:rsidRPr="00A120A2">
        <w:t xml:space="preserve"> lze kvantifikovat fiskální multiplikátory (zatím pro </w:t>
      </w:r>
      <w:r w:rsidR="006A3407">
        <w:t>realizační</w:t>
      </w:r>
      <w:r w:rsidRPr="00A120A2">
        <w:t xml:space="preserve"> fázi). Důležité je zmínit, že se jedná o multiplikátory, které předpokládají nekonečnou řadu, tedy, že na základě popsaného mechanismu bude docházet k navýšení spotřeby dále, </w:t>
      </w:r>
      <w:r w:rsidRPr="00E9303D">
        <w:t>do nekonečna. Z tohoto důvodu budou v</w:t>
      </w:r>
      <w:r w:rsidR="006A3407" w:rsidRPr="00E9303D">
        <w:t>e</w:t>
      </w:r>
      <w:r w:rsidRPr="00E9303D">
        <w:t> </w:t>
      </w:r>
      <w:r w:rsidR="006A3407" w:rsidRPr="00E9303D">
        <w:t>skutečnosti</w:t>
      </w:r>
      <w:r w:rsidRPr="00E9303D">
        <w:t xml:space="preserve"> fiskální multiplikátory </w:t>
      </w:r>
      <w:r w:rsidR="006A3407" w:rsidRPr="00E9303D">
        <w:t>mírně</w:t>
      </w:r>
      <w:r w:rsidRPr="00E9303D">
        <w:t xml:space="preserve"> nižší než zde vyčíslené. </w:t>
      </w:r>
    </w:p>
    <w:p w:rsidR="002E3F08" w:rsidRPr="00A120A2" w:rsidRDefault="00E9303D" w:rsidP="003E4A5D">
      <w:pPr>
        <w:widowControl w:val="0"/>
      </w:pPr>
      <w:r w:rsidRPr="00E9303D">
        <w:t>Celkově tak j</w:t>
      </w:r>
      <w:r w:rsidR="002E3F08" w:rsidRPr="00E9303D">
        <w:t xml:space="preserve">eden investovaný milion Kč </w:t>
      </w:r>
      <w:r w:rsidR="005E0BBA">
        <w:t xml:space="preserve">ve stavebnictví </w:t>
      </w:r>
      <w:r w:rsidR="002E3F08" w:rsidRPr="00E9303D">
        <w:t xml:space="preserve">má potenciál zvýšit </w:t>
      </w:r>
      <w:r w:rsidRPr="00E9303D">
        <w:t>produkci</w:t>
      </w:r>
      <w:r w:rsidR="002B5CF2">
        <w:t xml:space="preserve"> ČR až </w:t>
      </w:r>
      <w:r w:rsidR="00C5565E">
        <w:t>o </w:t>
      </w:r>
      <w:r w:rsidRPr="00E9303D">
        <w:t>3,09</w:t>
      </w:r>
      <w:r w:rsidR="002E3F08" w:rsidRPr="00E9303D">
        <w:t xml:space="preserve"> mil.</w:t>
      </w:r>
      <w:r w:rsidR="002E3F08" w:rsidRPr="00A120A2">
        <w:t xml:space="preserve"> Kč. Další přínosy </w:t>
      </w:r>
      <w:r w:rsidR="006A3407">
        <w:t>n</w:t>
      </w:r>
      <w:r w:rsidR="002E3F08" w:rsidRPr="00A120A2">
        <w:t>árodní</w:t>
      </w:r>
      <w:r w:rsidR="006A3407">
        <w:t>mu</w:t>
      </w:r>
      <w:r w:rsidR="002E3F08" w:rsidRPr="00A120A2">
        <w:t xml:space="preserve"> hospodářství </w:t>
      </w:r>
      <w:r w:rsidR="006A3407">
        <w:t>poplynou</w:t>
      </w:r>
      <w:r w:rsidR="002E3F08" w:rsidRPr="00A120A2">
        <w:t xml:space="preserve"> i po dokončení a uvedení stavby do </w:t>
      </w:r>
      <w:r w:rsidR="006A3407">
        <w:t>užívání</w:t>
      </w:r>
      <w:r w:rsidR="002E3F08" w:rsidRPr="00A120A2">
        <w:t xml:space="preserve">. </w:t>
      </w:r>
      <w:r w:rsidR="006A3407">
        <w:t>P</w:t>
      </w:r>
      <w:r w:rsidR="002E3F08" w:rsidRPr="00A120A2">
        <w:t xml:space="preserve">rojekty jsou realizovány jen tehdy, </w:t>
      </w:r>
      <w:r w:rsidR="00E70644">
        <w:t>je</w:t>
      </w:r>
      <w:r w:rsidR="002E3F08" w:rsidRPr="00A120A2">
        <w:t xml:space="preserve">-li </w:t>
      </w:r>
      <w:r w:rsidR="00E70644" w:rsidRPr="00E70644">
        <w:t>IRR</w:t>
      </w:r>
      <w:r w:rsidR="00BB7844">
        <w:t xml:space="preserve"> </w:t>
      </w:r>
      <w:r w:rsidR="006E4E10">
        <w:rPr>
          <w:rFonts w:ascii="Times New Roman" w:hAnsi="Times New Roman"/>
        </w:rPr>
        <w:t>[</w:t>
      </w:r>
      <w:r w:rsidR="00BB7844">
        <w:t>vnitřní výnosové procento (</w:t>
      </w:r>
      <w:r w:rsidR="00D40D60">
        <w:t>I</w:t>
      </w:r>
      <w:r w:rsidR="00BB7844">
        <w:t xml:space="preserve">nternal </w:t>
      </w:r>
      <w:r w:rsidR="00D40D60">
        <w:t>R</w:t>
      </w:r>
      <w:r w:rsidR="00BB7844">
        <w:t xml:space="preserve">ate of </w:t>
      </w:r>
      <w:r w:rsidR="00D40D60">
        <w:t>R</w:t>
      </w:r>
      <w:r w:rsidR="00BB7844">
        <w:t>eturn)</w:t>
      </w:r>
      <w:r w:rsidR="006E4E10">
        <w:rPr>
          <w:rFonts w:ascii="Times New Roman" w:hAnsi="Times New Roman"/>
        </w:rPr>
        <w:t>]</w:t>
      </w:r>
      <w:r w:rsidR="00E70644" w:rsidRPr="00E70644">
        <w:t xml:space="preserve"> &gt; stanovená minimální míra návratnosti </w:t>
      </w:r>
      <w:r w:rsidR="006E4E10">
        <w:rPr>
          <w:rFonts w:ascii="Times New Roman" w:hAnsi="Times New Roman"/>
        </w:rPr>
        <w:t>[</w:t>
      </w:r>
      <w:r w:rsidR="00E70644" w:rsidRPr="00E70644">
        <w:t>často WACC</w:t>
      </w:r>
      <w:r w:rsidR="00BB7844" w:rsidRPr="00BB7844">
        <w:t xml:space="preserve"> </w:t>
      </w:r>
      <w:r w:rsidR="00BB7844">
        <w:t>- p</w:t>
      </w:r>
      <w:r w:rsidR="00BB7844" w:rsidRPr="00BB7844">
        <w:t>růměrné náklady kapitálu (W</w:t>
      </w:r>
      <w:r w:rsidR="00BB7844">
        <w:t>e</w:t>
      </w:r>
      <w:r w:rsidR="00BB7844" w:rsidRPr="00BB7844">
        <w:t>ighted Average Cost of Capital)</w:t>
      </w:r>
      <w:r w:rsidR="00BB7844">
        <w:t xml:space="preserve">; </w:t>
      </w:r>
      <w:r w:rsidR="00BB7844" w:rsidRPr="00BB7844">
        <w:t>alternativní náklady kapitálu</w:t>
      </w:r>
      <w:r w:rsidR="00BB7844">
        <w:t xml:space="preserve"> či</w:t>
      </w:r>
      <w:r w:rsidR="00BB7844" w:rsidRPr="00BB7844">
        <w:t xml:space="preserve"> </w:t>
      </w:r>
      <w:r w:rsidR="00BB7844">
        <w:t xml:space="preserve">jinak </w:t>
      </w:r>
      <w:r w:rsidR="00BB7844" w:rsidRPr="00BB7844">
        <w:t>průměrn</w:t>
      </w:r>
      <w:r w:rsidR="00BB7844">
        <w:t>á</w:t>
      </w:r>
      <w:r w:rsidR="00BB7844" w:rsidRPr="00BB7844">
        <w:t xml:space="preserve"> cen</w:t>
      </w:r>
      <w:r w:rsidR="00BB7844">
        <w:t>a</w:t>
      </w:r>
      <w:r w:rsidR="00BB7844" w:rsidRPr="00BB7844">
        <w:t xml:space="preserve">, za kterou </w:t>
      </w:r>
      <w:r w:rsidR="00BB7844">
        <w:t>je</w:t>
      </w:r>
      <w:r w:rsidR="00BB7844" w:rsidRPr="00BB7844">
        <w:t xml:space="preserve"> využívá</w:t>
      </w:r>
      <w:r w:rsidR="00BB7844">
        <w:t>n</w:t>
      </w:r>
      <w:r w:rsidR="00BB7844" w:rsidRPr="00BB7844">
        <w:t xml:space="preserve"> poskytnutý kapitál</w:t>
      </w:r>
      <w:r w:rsidR="006E4E10" w:rsidRPr="006E4E10">
        <w:t>]</w:t>
      </w:r>
      <w:r w:rsidR="002E3F08" w:rsidRPr="00A120A2">
        <w:t xml:space="preserve">. </w:t>
      </w:r>
    </w:p>
    <w:p w:rsidR="002E3F08" w:rsidRPr="00A120A2" w:rsidRDefault="002E3F08" w:rsidP="003E4A5D">
      <w:pPr>
        <w:widowControl w:val="0"/>
      </w:pPr>
      <w:r w:rsidRPr="00A120A2">
        <w:t xml:space="preserve">Oddalování realizace stavby zapříčiňuje nejen oddálení </w:t>
      </w:r>
      <w:r w:rsidR="00695698">
        <w:t xml:space="preserve">či v některých případech i zmaření </w:t>
      </w:r>
      <w:r w:rsidRPr="00A120A2">
        <w:t xml:space="preserve">přínosů staveb, ale </w:t>
      </w:r>
      <w:r w:rsidR="00704A6F">
        <w:t xml:space="preserve">u veřejných zakázek </w:t>
      </w:r>
      <w:r w:rsidR="003C13D2">
        <w:t xml:space="preserve">pak </w:t>
      </w:r>
      <w:r w:rsidRPr="00A120A2">
        <w:t xml:space="preserve">zde </w:t>
      </w:r>
      <w:r w:rsidR="00704A6F">
        <w:t xml:space="preserve">hraje roli </w:t>
      </w:r>
      <w:r w:rsidRPr="00A120A2">
        <w:t>i další element</w:t>
      </w:r>
      <w:r w:rsidR="00704A6F">
        <w:t>,</w:t>
      </w:r>
      <w:r w:rsidRPr="00A120A2">
        <w:t xml:space="preserve"> a t</w:t>
      </w:r>
      <w:r w:rsidR="00704A6F">
        <w:t>ím</w:t>
      </w:r>
      <w:r w:rsidRPr="00A120A2">
        <w:t xml:space="preserve"> je </w:t>
      </w:r>
      <w:r w:rsidR="00704A6F">
        <w:t xml:space="preserve">možnost </w:t>
      </w:r>
      <w:r w:rsidRPr="00A120A2">
        <w:t xml:space="preserve">využití evropských strukturálních fondů pro financování </w:t>
      </w:r>
      <w:r w:rsidR="00704A6F">
        <w:t>vybraných projektů (objemově nejčastěji dopravní či energetické infrastruktury)</w:t>
      </w:r>
      <w:r w:rsidRPr="00A120A2">
        <w:t xml:space="preserve">. Při nedostatečném </w:t>
      </w:r>
      <w:r w:rsidR="00A86752">
        <w:t>z</w:t>
      </w:r>
      <w:r w:rsidRPr="00A120A2">
        <w:t xml:space="preserve">rychlení povolovacího procesu </w:t>
      </w:r>
      <w:r w:rsidR="00A86752">
        <w:t xml:space="preserve">se zvyšuje riziko </w:t>
      </w:r>
      <w:r w:rsidRPr="00A120A2">
        <w:t xml:space="preserve">nevyčerpání </w:t>
      </w:r>
      <w:r w:rsidR="00A86752">
        <w:t xml:space="preserve">těchto </w:t>
      </w:r>
      <w:r w:rsidRPr="00A120A2">
        <w:t xml:space="preserve">prostředků. </w:t>
      </w:r>
    </w:p>
    <w:p w:rsidR="002E3F08" w:rsidRPr="00A120A2" w:rsidRDefault="002E3F08" w:rsidP="003E4A5D">
      <w:pPr>
        <w:widowControl w:val="0"/>
      </w:pPr>
      <w:r w:rsidRPr="00A120A2">
        <w:t xml:space="preserve">Z makroekonomického </w:t>
      </w:r>
      <w:r w:rsidR="00A86752">
        <w:t>hlediska</w:t>
      </w:r>
      <w:r w:rsidRPr="00A120A2">
        <w:t xml:space="preserve"> mají strukturální fondy hlavní přínos pro ČR především skrze veřejné výdaje a soukromé investice, u kterých je dosaženo multiplikativního efektu díky spolufinancování ze zdrojů EU. Tyto investice mají významný vliv na </w:t>
      </w:r>
      <w:r w:rsidR="00D50E32">
        <w:t>HDP</w:t>
      </w:r>
      <w:r w:rsidRPr="00A120A2">
        <w:t xml:space="preserve">, zaměstnanost a další důležité makroekonomické indikátory především </w:t>
      </w:r>
      <w:r w:rsidR="00BB57E1">
        <w:t>díky</w:t>
      </w:r>
      <w:r w:rsidRPr="00A120A2">
        <w:t xml:space="preserve"> pákové</w:t>
      </w:r>
      <w:r w:rsidR="00BB57E1">
        <w:t>mu</w:t>
      </w:r>
      <w:r w:rsidRPr="00A120A2">
        <w:t xml:space="preserve"> efektu. Následující schéma ilustruje, jak konkrétně investice do </w:t>
      </w:r>
      <w:r w:rsidR="00BB57E1">
        <w:t>výstavby</w:t>
      </w:r>
      <w:r w:rsidRPr="00A120A2">
        <w:t>, podpořená z evropských fondů, ovlivňuje přes tvorbu HPH českou ekonomiku.</w:t>
      </w:r>
    </w:p>
    <w:p w:rsidR="002E3F08" w:rsidRPr="00A120A2" w:rsidRDefault="002E3F08" w:rsidP="0089559F">
      <w:pPr>
        <w:pStyle w:val="Titulek"/>
        <w:keepNext/>
      </w:pPr>
      <w:r w:rsidRPr="00A120A2">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7</w:t>
      </w:r>
      <w:r w:rsidR="00AB65E9">
        <w:rPr>
          <w:noProof/>
        </w:rPr>
        <w:fldChar w:fldCharType="end"/>
      </w:r>
      <w:r w:rsidRPr="00A120A2">
        <w:t xml:space="preserve">: Vliv zdrojů investic do </w:t>
      </w:r>
      <w:r w:rsidR="00BB57E1">
        <w:t>výstavby</w:t>
      </w:r>
      <w:r w:rsidRPr="00A120A2">
        <w:t xml:space="preserve"> v rámci </w:t>
      </w:r>
      <w:r w:rsidR="00BB57E1">
        <w:t>operačních programů</w:t>
      </w:r>
      <w:r w:rsidRPr="00A120A2">
        <w:t xml:space="preserve"> na českou ekonomiku</w:t>
      </w:r>
      <w:r w:rsidR="005E78BB">
        <w:t xml:space="preserve"> </w:t>
      </w:r>
    </w:p>
    <w:p w:rsidR="002E3F08" w:rsidRPr="00A120A2" w:rsidRDefault="002E3F08" w:rsidP="0089559F">
      <w:pPr>
        <w:keepNext/>
        <w:widowControl w:val="0"/>
      </w:pPr>
      <w:r w:rsidRPr="00A120A2">
        <w:rPr>
          <w:noProof/>
          <w:lang w:eastAsia="cs-CZ"/>
        </w:rPr>
        <w:drawing>
          <wp:inline distT="0" distB="0" distL="0" distR="0" wp14:anchorId="62CB8083" wp14:editId="340E14E8">
            <wp:extent cx="5751260" cy="3026979"/>
            <wp:effectExtent l="0" t="0" r="190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283" cy="3029623"/>
                    </a:xfrm>
                    <a:prstGeom prst="rect">
                      <a:avLst/>
                    </a:prstGeom>
                    <a:noFill/>
                    <a:ln>
                      <a:noFill/>
                    </a:ln>
                  </pic:spPr>
                </pic:pic>
              </a:graphicData>
            </a:graphic>
          </wp:inline>
        </w:drawing>
      </w:r>
    </w:p>
    <w:p w:rsidR="002E3F08" w:rsidRPr="00A120A2" w:rsidRDefault="002E3F08" w:rsidP="0089559F">
      <w:pPr>
        <w:pStyle w:val="Citt"/>
        <w:keepNext/>
      </w:pPr>
      <w:r w:rsidRPr="00A120A2">
        <w:t>Zdroj: EEIP - Přínosy strukturálních fondů a kohezní politiky v České republice, 2014</w:t>
      </w:r>
    </w:p>
    <w:p w:rsidR="002E3F08" w:rsidRPr="00A120A2" w:rsidRDefault="002E3F08" w:rsidP="003E4A5D">
      <w:pPr>
        <w:widowControl w:val="0"/>
      </w:pPr>
      <w:r w:rsidRPr="00A120A2">
        <w:t>Obrázek znázorňuje pákový efekt, kterého je dosaženo díky možnosti využívat zdroje z</w:t>
      </w:r>
      <w:r w:rsidR="00777DDE">
        <w:t> </w:t>
      </w:r>
      <w:r w:rsidRPr="00A120A2">
        <w:t>evropských fondů. Nejprve je za evropské prostředky doplněné o veřejné zdroje ČR</w:t>
      </w:r>
      <w:r w:rsidR="002B5CF2">
        <w:t>, případně i </w:t>
      </w:r>
      <w:r w:rsidR="0099000F">
        <w:t>o soukromé prostředky</w:t>
      </w:r>
      <w:r w:rsidRPr="00A120A2">
        <w:t xml:space="preserve"> na základ</w:t>
      </w:r>
      <w:r w:rsidR="00533C4B">
        <w:t>ě principu spolufinancování zrealizována stavba</w:t>
      </w:r>
      <w:r w:rsidRPr="00A120A2">
        <w:t xml:space="preserve">, která má přímý dopad na </w:t>
      </w:r>
      <w:r w:rsidR="003B4D78">
        <w:t>HPH</w:t>
      </w:r>
      <w:r w:rsidRPr="00A120A2">
        <w:t xml:space="preserve"> stavebního sektoru. Dále již fungují multiplikativní efekty popsané v předešlé části. Po ukončení realizace stavby přichází fáze užití stavby, která přináší řadu dalších pozitivních synergických efektů.</w:t>
      </w:r>
    </w:p>
    <w:p w:rsidR="002E3F08" w:rsidRPr="00A120A2" w:rsidRDefault="002E3F08" w:rsidP="003E4A5D">
      <w:pPr>
        <w:widowControl w:val="0"/>
      </w:pPr>
      <w:r w:rsidRPr="00A120A2">
        <w:t>Ztráta z oddálení uvedení stavby do provozu závisí na vnitřním výnosovém procentu a výnosu z alternativního využití finančních prostředků. Při výpočtu ekonomické ztráty je proto důležité</w:t>
      </w:r>
      <w:r w:rsidR="00EA22C2">
        <w:t>,</w:t>
      </w:r>
      <w:r w:rsidRPr="00A120A2">
        <w:t xml:space="preserve"> v jaké fázi projektu byla stavba zdržena, a tedy jaké bylo alternativní využití zdrojů v okamžiku, kdy došlo ke zdržení. Pro ilustraci si představme, že ke zdržení o jeden rok došlo ve fázi stavebního řízení,</w:t>
      </w:r>
      <w:r w:rsidR="001C61F1">
        <w:t xml:space="preserve"> kde </w:t>
      </w:r>
      <w:r w:rsidRPr="00A120A2">
        <w:t xml:space="preserve">již </w:t>
      </w:r>
      <w:r w:rsidR="001C61F1">
        <w:t>byla zpracována</w:t>
      </w:r>
      <w:r w:rsidRPr="00A120A2">
        <w:t xml:space="preserve"> kompletní </w:t>
      </w:r>
      <w:r w:rsidR="001C61F1" w:rsidRPr="00A120A2">
        <w:t>projektov</w:t>
      </w:r>
      <w:r w:rsidR="001C61F1">
        <w:t>á</w:t>
      </w:r>
      <w:r w:rsidR="001C61F1" w:rsidRPr="00A120A2">
        <w:t xml:space="preserve"> </w:t>
      </w:r>
      <w:r w:rsidRPr="00A120A2">
        <w:t xml:space="preserve">dokumentace. Dále předpokládejme, že 10% investičních nákladů představují </w:t>
      </w:r>
      <w:r w:rsidR="00EA22C2">
        <w:t>výdaje v přípravné fázi</w:t>
      </w:r>
      <w:r w:rsidRPr="00A120A2">
        <w:t xml:space="preserve"> a zbylých 90% samotná výstavba. Při oddálení </w:t>
      </w:r>
      <w:r w:rsidR="00EA22C2">
        <w:t>realizace stavby</w:t>
      </w:r>
      <w:r w:rsidRPr="00A120A2">
        <w:t xml:space="preserve"> dochází k vyšší ztrátě z důvodu již investovaných prostředků na vypracování dokumentace</w:t>
      </w:r>
      <w:r w:rsidR="00EA22C2">
        <w:t xml:space="preserve"> apod.</w:t>
      </w:r>
      <w:r w:rsidRPr="00A120A2">
        <w:t xml:space="preserve">, protože tyto prostředky již nemají alternativní využití, </w:t>
      </w:r>
      <w:r w:rsidR="00EA22C2">
        <w:t>při němž</w:t>
      </w:r>
      <w:r w:rsidRPr="00A120A2">
        <w:t xml:space="preserve"> by došlo ke zhodnocení. </w:t>
      </w:r>
      <w:r w:rsidR="00EA22C2">
        <w:t>Naopak z</w:t>
      </w:r>
      <w:r w:rsidRPr="00A120A2">
        <w:t xml:space="preserve">tráta z oddálení </w:t>
      </w:r>
      <w:r w:rsidR="00EA22C2">
        <w:t xml:space="preserve">realizace stavby </w:t>
      </w:r>
      <w:r w:rsidRPr="00A120A2">
        <w:t xml:space="preserve">je </w:t>
      </w:r>
      <w:r w:rsidR="00EA22C2">
        <w:t>v</w:t>
      </w:r>
      <w:r w:rsidRPr="00A120A2">
        <w:t xml:space="preserve"> případ</w:t>
      </w:r>
      <w:r w:rsidR="00EA22C2">
        <w:t>ě</w:t>
      </w:r>
      <w:r w:rsidRPr="00A120A2">
        <w:t xml:space="preserve">, kdy ještě nebyly vynaloženy žádné prostředky (nebo jejich větší část – v uváděném případě 90% z celkových nákladů) menší než u již proinvestovaných </w:t>
      </w:r>
      <w:r w:rsidR="00EA22C2">
        <w:t>projektů</w:t>
      </w:r>
      <w:r w:rsidRPr="00A120A2">
        <w:t xml:space="preserve">. </w:t>
      </w:r>
      <w:r w:rsidR="00EA22C2">
        <w:t>Výše</w:t>
      </w:r>
      <w:r w:rsidRPr="00A120A2">
        <w:t xml:space="preserve"> ztráty pak závisí na diskontní míře, která odpovídá rizikovosti projektu. </w:t>
      </w:r>
      <w:r w:rsidR="00354112">
        <w:t xml:space="preserve">Pro vysvětlení uveďme teoretický příklad s jednoduchými hodnotami pro ilustraci postupu výpočtu, který budeme při hodnocení přínosů využívat. </w:t>
      </w:r>
      <w:r w:rsidRPr="00A120A2">
        <w:t xml:space="preserve">Předpokládejme </w:t>
      </w:r>
      <w:r w:rsidR="00EA22C2">
        <w:t xml:space="preserve">pro ilustraci </w:t>
      </w:r>
      <w:r w:rsidRPr="00A120A2">
        <w:t>vnitřní výnosové procento</w:t>
      </w:r>
      <w:r w:rsidR="00354112">
        <w:t xml:space="preserve"> konkrétní</w:t>
      </w:r>
      <w:r w:rsidRPr="00A120A2">
        <w:t xml:space="preserve"> stavby 6 % </w:t>
      </w:r>
      <w:r w:rsidR="001C61F1" w:rsidRPr="00A120A2">
        <w:t>a</w:t>
      </w:r>
      <w:r w:rsidR="001C61F1">
        <w:t> </w:t>
      </w:r>
      <w:r w:rsidRPr="00A120A2">
        <w:t>požadovanou diskontní míru 5 %</w:t>
      </w:r>
      <w:r w:rsidR="00EA22C2">
        <w:t>. P</w:t>
      </w:r>
      <w:r w:rsidRPr="00A120A2">
        <w:t xml:space="preserve">ak </w:t>
      </w:r>
      <w:r w:rsidR="00354112">
        <w:t xml:space="preserve">teoretická </w:t>
      </w:r>
      <w:r w:rsidRPr="00A120A2">
        <w:t xml:space="preserve">ztráta při ročním zdržení projektu za 1 mld. Kč </w:t>
      </w:r>
      <w:r w:rsidR="00EA22C2">
        <w:t>v případě</w:t>
      </w:r>
      <w:r w:rsidRPr="00A120A2">
        <w:t xml:space="preserve"> již investovaných </w:t>
      </w:r>
      <w:r w:rsidR="00EA22C2">
        <w:t xml:space="preserve">10 % </w:t>
      </w:r>
      <w:r w:rsidRPr="00A120A2">
        <w:t xml:space="preserve">prostředků </w:t>
      </w:r>
      <w:r w:rsidR="00354112" w:rsidRPr="00A120A2">
        <w:t>bude</w:t>
      </w:r>
      <w:r w:rsidR="00354112">
        <w:t xml:space="preserve"> </w:t>
      </w:r>
      <w:r w:rsidR="00EA22C2">
        <w:t xml:space="preserve">činit </w:t>
      </w:r>
      <w:r w:rsidRPr="00A120A2">
        <w:t xml:space="preserve">5,66 mil. Kč a ztráta počítaná z oddálení výstavby (včetně oddálení </w:t>
      </w:r>
      <w:r w:rsidR="00EA22C2">
        <w:t>vynaložení finančních prostředků</w:t>
      </w:r>
      <w:r w:rsidRPr="00A120A2">
        <w:t xml:space="preserve">) 8,91 mil. Kč, celkově tedy 14,571 mil. Kč. </w:t>
      </w:r>
    </w:p>
    <w:p w:rsidR="002E3F08" w:rsidRPr="00A120A2" w:rsidRDefault="002E3F08" w:rsidP="003E4A5D">
      <w:pPr>
        <w:widowControl w:val="0"/>
      </w:pPr>
      <w:r w:rsidRPr="00A120A2">
        <w:t xml:space="preserve">Další aspekt výpočtu ztráty představují evropské fondy. Pro ně neplatí jako pro případ zdrojů </w:t>
      </w:r>
      <w:r w:rsidR="00EA22C2">
        <w:t xml:space="preserve">soukromých investorů či </w:t>
      </w:r>
      <w:r w:rsidRPr="00A120A2">
        <w:t xml:space="preserve">ze státního rozpočtu, že v případě, kdy nejsou čerpány, tak mají alternativní využití v jiném projektu s kladným výnosem. I kdybychom předpokládali optimistickou variantu, že se nevyčerpané zdroje ze strukturálních fondů převedou do příštího programového období, budou převedeny jen v nominální výši, </w:t>
      </w:r>
      <w:r w:rsidR="00AA6168">
        <w:t xml:space="preserve">tj. nebude </w:t>
      </w:r>
      <w:r w:rsidRPr="00A120A2">
        <w:t>docházet k jejich zhodnocení. U projektů, u nichž je počítáno s kofinancováním ze strukturálních fondů</w:t>
      </w:r>
      <w:r w:rsidR="00AA6168">
        <w:t>,</w:t>
      </w:r>
      <w:r w:rsidRPr="00A120A2">
        <w:t xml:space="preserve"> je proto </w:t>
      </w:r>
      <w:r w:rsidRPr="00A120A2">
        <w:lastRenderedPageBreak/>
        <w:t xml:space="preserve">racionální předpokládat, že v případě </w:t>
      </w:r>
      <w:r w:rsidR="00AA6168">
        <w:t>posunu realizace</w:t>
      </w:r>
      <w:r w:rsidRPr="00A120A2">
        <w:t xml:space="preserve"> stavby nebude docházet k</w:t>
      </w:r>
      <w:r w:rsidR="00AA6168">
        <w:t>e</w:t>
      </w:r>
      <w:r w:rsidRPr="00A120A2">
        <w:t xml:space="preserve"> zhodnocení </w:t>
      </w:r>
      <w:r w:rsidR="00AA6168">
        <w:t>příslušných</w:t>
      </w:r>
      <w:r w:rsidR="00AA6168" w:rsidRPr="00A120A2">
        <w:t xml:space="preserve"> </w:t>
      </w:r>
      <w:r w:rsidRPr="00A120A2">
        <w:t xml:space="preserve">evropských prostředků. </w:t>
      </w:r>
      <w:r w:rsidR="0099000F">
        <w:t>V horším, a nikoli nepravděpodobném případě nebudou čerpány vůbec a bude docházet nejen k jejich čisté ztrátě, ale i ke ztrátě příležitosti jejich multiplikace.</w:t>
      </w:r>
    </w:p>
    <w:p w:rsidR="002E3F08" w:rsidRPr="00A120A2" w:rsidRDefault="002E3F08" w:rsidP="003E4A5D">
      <w:pPr>
        <w:widowControl w:val="0"/>
      </w:pPr>
      <w:r>
        <w:t xml:space="preserve">Důvody </w:t>
      </w:r>
      <w:r w:rsidR="00D71CF0">
        <w:t>časových posunů</w:t>
      </w:r>
      <w:r>
        <w:t xml:space="preserve"> </w:t>
      </w:r>
      <w:r w:rsidR="00D71CF0">
        <w:t xml:space="preserve">uvedení </w:t>
      </w:r>
      <w:r>
        <w:t xml:space="preserve">jednotlivých staveb </w:t>
      </w:r>
      <w:r w:rsidR="00D71CF0">
        <w:t xml:space="preserve">do provozu </w:t>
      </w:r>
      <w:r>
        <w:t>se v rámci ČR různí</w:t>
      </w:r>
      <w:r w:rsidR="00D71CF0">
        <w:t>.</w:t>
      </w:r>
      <w:r>
        <w:t xml:space="preserve"> </w:t>
      </w:r>
      <w:r w:rsidR="00D71CF0">
        <w:t>P</w:t>
      </w:r>
      <w:r>
        <w:t xml:space="preserve">ro účely tohoto dokumentu </w:t>
      </w:r>
      <w:r w:rsidRPr="00A120A2">
        <w:t xml:space="preserve">budeme vycházet z průměrných poměrů nákladovosti mezi </w:t>
      </w:r>
      <w:r w:rsidR="000B63CA">
        <w:t>před</w:t>
      </w:r>
      <w:r w:rsidR="008A4A31">
        <w:t>-</w:t>
      </w:r>
      <w:r w:rsidR="000B63CA">
        <w:t>přípravnou a</w:t>
      </w:r>
      <w:r w:rsidR="008A4A31">
        <w:t> </w:t>
      </w:r>
      <w:r w:rsidR="000B63CA">
        <w:t>přípravnou fází</w:t>
      </w:r>
      <w:r w:rsidRPr="00A120A2">
        <w:t xml:space="preserve"> a </w:t>
      </w:r>
      <w:r w:rsidR="000B63CA">
        <w:t>realizační</w:t>
      </w:r>
      <w:r w:rsidRPr="00A120A2">
        <w:t xml:space="preserve"> částí projektů, odhadnutých na základě konzultací</w:t>
      </w:r>
      <w:r w:rsidRPr="00A120A2">
        <w:rPr>
          <w:rStyle w:val="Znakapoznpodarou"/>
        </w:rPr>
        <w:footnoteReference w:id="7"/>
      </w:r>
      <w:r w:rsidRPr="00A120A2">
        <w:t>. Dále budeme při kalkulaci socioekonomických přín</w:t>
      </w:r>
      <w:r w:rsidR="000B63CA">
        <w:t>osů využívat diskontní míru 5 %</w:t>
      </w:r>
      <w:r w:rsidRPr="00A120A2">
        <w:t xml:space="preserve">. </w:t>
      </w:r>
    </w:p>
    <w:p w:rsidR="00A423FE" w:rsidRDefault="00A423FE" w:rsidP="003E4A5D">
      <w:pPr>
        <w:widowControl w:val="0"/>
      </w:pPr>
      <w:r>
        <w:t>Dle analýz provedených při přípravě</w:t>
      </w:r>
      <w:r w:rsidRPr="00A423FE">
        <w:t xml:space="preserve"> </w:t>
      </w:r>
      <w:r w:rsidR="00F6486B">
        <w:t xml:space="preserve">hodnocení dopadů regulace </w:t>
      </w:r>
      <w:r w:rsidR="002A1B2C">
        <w:t xml:space="preserve">(RIA) </w:t>
      </w:r>
      <w:r w:rsidR="00F6486B">
        <w:t>k věcnému záměru zákona o liniových dopravních stavbách (2014)</w:t>
      </w:r>
      <w:r w:rsidRPr="00416CE5">
        <w:t xml:space="preserve"> způsobují největší ztráty problémy ve fázi územního řízení a výkupu a vyvlastnění pozemků (obojí přibližně 40%). V těchto částech povolovacího procesu je proto největší potenciál pro zlepšení současného stavu. Jen u vybraných silničních staveb </w:t>
      </w:r>
      <w:r w:rsidR="00820ACF">
        <w:t xml:space="preserve">(viz následující tabulky – vybrány byly velké stavby, za které byly dostupná data) </w:t>
      </w:r>
      <w:r w:rsidRPr="00416CE5">
        <w:t>představovalo zdržení oproti investičnímu záměru ztrátu 22,4 mld. Kč</w:t>
      </w:r>
      <w:r w:rsidR="00F6486B">
        <w:t>;</w:t>
      </w:r>
      <w:r w:rsidR="00F6486B" w:rsidRPr="00416CE5">
        <w:t xml:space="preserve"> </w:t>
      </w:r>
      <w:r w:rsidRPr="00416CE5">
        <w:t>u železničních staveb 2,75 mld. Kč (menší výběr než v případě silničních staveb</w:t>
      </w:r>
      <w:r w:rsidR="00820ACF">
        <w:t xml:space="preserve"> provedený stejným postupem jako </w:t>
      </w:r>
      <w:r w:rsidR="00F6486B">
        <w:t>u </w:t>
      </w:r>
      <w:r w:rsidR="00820ACF">
        <w:t>silničních staveb</w:t>
      </w:r>
      <w:r w:rsidRPr="00416CE5">
        <w:t xml:space="preserve">). V průměru u silničních staveb vychází, že prodloužení povolovacího procesu </w:t>
      </w:r>
      <w:r w:rsidR="00F6486B" w:rsidRPr="00416CE5">
        <w:t>o</w:t>
      </w:r>
      <w:r w:rsidR="00F6486B">
        <w:t> </w:t>
      </w:r>
      <w:r w:rsidRPr="00416CE5">
        <w:t>jeden rok představuje zvýšení nákladů (jen na oddálení přínosů výstavby) o 5,07%. U</w:t>
      </w:r>
      <w:r w:rsidR="00F6486B">
        <w:t> </w:t>
      </w:r>
      <w:r w:rsidRPr="00416CE5">
        <w:t>železničních dopravních staveb je to 5,72%.</w:t>
      </w:r>
    </w:p>
    <w:p w:rsidR="00820ACF" w:rsidRDefault="00820ACF" w:rsidP="00820ACF">
      <w:pPr>
        <w:pStyle w:val="Titulek"/>
        <w:keepNext/>
      </w:pPr>
      <w:r>
        <w:t xml:space="preserve">Tabulka </w:t>
      </w:r>
      <w:r w:rsidR="00AB65E9">
        <w:rPr>
          <w:noProof/>
        </w:rPr>
        <w:fldChar w:fldCharType="begin"/>
      </w:r>
      <w:r w:rsidR="008416A6">
        <w:rPr>
          <w:noProof/>
        </w:rPr>
        <w:instrText xml:space="preserve"> SEQ Tabulka \* ARABIC </w:instrText>
      </w:r>
      <w:r w:rsidR="00AB65E9">
        <w:rPr>
          <w:noProof/>
        </w:rPr>
        <w:fldChar w:fldCharType="separate"/>
      </w:r>
      <w:r w:rsidR="00263A1B">
        <w:rPr>
          <w:noProof/>
        </w:rPr>
        <w:t>6</w:t>
      </w:r>
      <w:r w:rsidR="00AB65E9">
        <w:rPr>
          <w:noProof/>
        </w:rPr>
        <w:fldChar w:fldCharType="end"/>
      </w:r>
      <w:r w:rsidRPr="00A120A2">
        <w:t>: Ekonomické ztráty z oddálení přínosů vybraných silničních staveb</w:t>
      </w:r>
    </w:p>
    <w:tbl>
      <w:tblPr>
        <w:tblStyle w:val="Barevntabulkaseznamu6zvraznn51"/>
        <w:tblW w:w="9072" w:type="dxa"/>
        <w:tblInd w:w="108" w:type="dxa"/>
        <w:tblLook w:val="04A0" w:firstRow="1" w:lastRow="0" w:firstColumn="1" w:lastColumn="0" w:noHBand="0" w:noVBand="1"/>
      </w:tblPr>
      <w:tblGrid>
        <w:gridCol w:w="1955"/>
        <w:gridCol w:w="1374"/>
        <w:gridCol w:w="1367"/>
        <w:gridCol w:w="1542"/>
        <w:gridCol w:w="1371"/>
        <w:gridCol w:w="1463"/>
      </w:tblGrid>
      <w:tr w:rsidR="00354112" w:rsidRPr="00354112" w:rsidTr="008712F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820ACF" w:rsidRDefault="00354112" w:rsidP="00354112">
            <w:pPr>
              <w:spacing w:before="0" w:after="0"/>
              <w:jc w:val="center"/>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Název akce</w:t>
            </w:r>
          </w:p>
        </w:tc>
        <w:tc>
          <w:tcPr>
            <w:tcW w:w="1374"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Aktuální</w:t>
            </w:r>
            <w:r w:rsidRPr="00820ACF">
              <w:rPr>
                <w:rFonts w:asciiTheme="minorHAnsi" w:eastAsia="Times New Roman" w:hAnsiTheme="minorHAnsi" w:cstheme="minorHAnsi"/>
                <w:color w:val="auto"/>
                <w:sz w:val="18"/>
                <w:szCs w:val="18"/>
                <w:lang w:eastAsia="cs-CZ"/>
              </w:rPr>
              <w:br/>
              <w:t>stav</w:t>
            </w:r>
          </w:p>
        </w:tc>
        <w:tc>
          <w:tcPr>
            <w:tcW w:w="1367"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Délka hlavní trasy (v km)</w:t>
            </w:r>
          </w:p>
        </w:tc>
        <w:tc>
          <w:tcPr>
            <w:tcW w:w="154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 xml:space="preserve">Převládající důvod oddálení výstavby </w:t>
            </w:r>
          </w:p>
        </w:tc>
        <w:tc>
          <w:tcPr>
            <w:tcW w:w="1371"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Zdržení v letech</w:t>
            </w:r>
          </w:p>
        </w:tc>
        <w:tc>
          <w:tcPr>
            <w:tcW w:w="1463"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 xml:space="preserve">Ztráta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(v mil. Kč)</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D1 0136 Říkovice-Přerov</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10,10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11,0</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1 251,8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0301 Praha - Jílové</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9,33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7,4</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0302 Jílové - Hostěradice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4,85</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5,4</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112,9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0303 Hostěradice - Václavice</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11,30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5,4</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0304 Václavice - Voračice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16,52</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50,0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0305/I Voračice - Nová Hospoda</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16,83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7,5</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50,0</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0307 A Tábor - Soběslav</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16,30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1 351,5</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D3 0309/III Borek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Úsilné</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3,16</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514,9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0310/I Úsilné - Hodějovice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7,20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10,0</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0,1</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0310/II Hodějovice - Třebonín</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9,0</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R1 511 Běchovice - D1</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12,57</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1 500,0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R1 518 Ruzyně - Suchdol</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0,00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obstrukce OS a procesní chyby v ÚŘ</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1 375,4</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R1 519 Suchdol - Březiněves</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0,00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obstrukce OS a procesní chyby v ÚŘ</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1 375,4</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R35 Časy - Ostrov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3,5</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2 734,8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R35 Opatovice nad Labem - Časy</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12,61</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2 734,8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 Čimelice - Mirotice</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8,46</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11,2</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lastRenderedPageBreak/>
              <w:t>R4 Mirotice, rozšíření</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3,52</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4,6</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R48 Rychaltice - Frýdek Místek</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7,14</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5,3</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4901 Hulín - Fryšták</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17,30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stavební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1 158,7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4902.1 Fryšták - Lípa 1. etapa</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1,70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8,7</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748,3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4902.2 Fryšták - Lípa 2.etapa</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8,3</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735,7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4903 Lípa - Pozděchov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232,3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4904 Pozděchov - Horní Lideč</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11,1</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245,0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4905 Horní Lideč - hranice ČR/SR</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6,25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14,1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248,1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R52 5204 Pohořelice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Ivaň</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6,90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79,9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R52 5206 Perná - st. hranice ČR/Rakousko</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8,19</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6,9</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103,0</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5506 Napajedla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Babice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8,43</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1352,7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5507 Babice - Staré Město</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8,2</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1 209,4</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5508 Staré Město - Moravský Písek</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8,76</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5509 Moravský Písek - Bzenec</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4,13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5510 Bzenec - Bzenec Přívoz</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3,20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5511 Bzenec Přívoz - Rohatec</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10,60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5512 Rohatec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Lužice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11,50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5513 Lužice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Břeclav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12,00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R7 MÚK Droužkovice - MÚK Nové Spořice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6,40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407,7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R7 Postoloprty zkapacitnění obchvatu</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4,85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134,9</w:t>
            </w:r>
          </w:p>
        </w:tc>
      </w:tr>
    </w:tbl>
    <w:p w:rsidR="00354112" w:rsidRPr="00A120A2" w:rsidRDefault="00354112" w:rsidP="00354112">
      <w:pPr>
        <w:pStyle w:val="Citt"/>
      </w:pPr>
      <w:r w:rsidRPr="00A120A2">
        <w:t>Zdroj: výpočet EEIP na základě dat z ŘSD</w:t>
      </w:r>
    </w:p>
    <w:p w:rsidR="00354112" w:rsidRPr="00A120A2" w:rsidRDefault="00354112" w:rsidP="00354112"/>
    <w:p w:rsidR="00354112" w:rsidRPr="00A120A2" w:rsidRDefault="00354112" w:rsidP="00354112">
      <w:pPr>
        <w:pStyle w:val="Titulek"/>
      </w:pPr>
      <w:r w:rsidRPr="00A120A2">
        <w:t xml:space="preserve">Tabulka </w:t>
      </w:r>
      <w:r w:rsidR="00AB65E9">
        <w:rPr>
          <w:noProof/>
        </w:rPr>
        <w:fldChar w:fldCharType="begin"/>
      </w:r>
      <w:r w:rsidR="008416A6">
        <w:rPr>
          <w:noProof/>
        </w:rPr>
        <w:instrText xml:space="preserve"> SEQ Tabulka \* ARABIC </w:instrText>
      </w:r>
      <w:r w:rsidR="00AB65E9">
        <w:rPr>
          <w:noProof/>
        </w:rPr>
        <w:fldChar w:fldCharType="separate"/>
      </w:r>
      <w:r w:rsidR="00263A1B">
        <w:rPr>
          <w:noProof/>
        </w:rPr>
        <w:t>7</w:t>
      </w:r>
      <w:r w:rsidR="00AB65E9">
        <w:rPr>
          <w:noProof/>
        </w:rPr>
        <w:fldChar w:fldCharType="end"/>
      </w:r>
      <w:r w:rsidRPr="00A120A2">
        <w:t>: Ekonomické ztráty z oddálení přínosů vybraných železničních staveb</w:t>
      </w:r>
    </w:p>
    <w:tbl>
      <w:tblPr>
        <w:tblStyle w:val="Barevntabulkaseznamu6zvraznn51"/>
        <w:tblW w:w="9072" w:type="dxa"/>
        <w:tblInd w:w="108" w:type="dxa"/>
        <w:tblLook w:val="04A0" w:firstRow="1" w:lastRow="0" w:firstColumn="1" w:lastColumn="0" w:noHBand="0" w:noVBand="1"/>
      </w:tblPr>
      <w:tblGrid>
        <w:gridCol w:w="4372"/>
        <w:gridCol w:w="922"/>
        <w:gridCol w:w="992"/>
        <w:gridCol w:w="1701"/>
        <w:gridCol w:w="1085"/>
      </w:tblGrid>
      <w:tr w:rsidR="00354112" w:rsidRPr="00820ACF" w:rsidTr="008712FB">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center"/>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Název akce</w:t>
            </w:r>
          </w:p>
        </w:tc>
        <w:tc>
          <w:tcPr>
            <w:tcW w:w="92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Zdržení v letech</w:t>
            </w:r>
          </w:p>
        </w:tc>
        <w:tc>
          <w:tcPr>
            <w:tcW w:w="99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 xml:space="preserve">Investiční náklady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 mil. Kč)</w:t>
            </w:r>
          </w:p>
        </w:tc>
        <w:tc>
          <w:tcPr>
            <w:tcW w:w="1701"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Vnitřní výnosové procento</w:t>
            </w:r>
          </w:p>
        </w:tc>
        <w:tc>
          <w:tcPr>
            <w:tcW w:w="1085"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 xml:space="preserve">Ztráta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 mil. Kč)</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Optimalizace trati Bystřice nad Olší - Český Těšín</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3,0</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2 820,5</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2011)</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194,3</w:t>
            </w:r>
          </w:p>
        </w:tc>
      </w:tr>
      <w:tr w:rsidR="00354112" w:rsidRPr="00820ACF" w:rsidTr="008712FB">
        <w:trPr>
          <w:trHeight w:val="44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 xml:space="preserve">Optimalizace trati Český Těšín </w:t>
            </w:r>
            <w:r w:rsidR="00A53DB2">
              <w:rPr>
                <w:rFonts w:asciiTheme="minorHAnsi" w:eastAsia="Times New Roman" w:hAnsiTheme="minorHAnsi" w:cstheme="minorHAnsi"/>
                <w:color w:val="000000"/>
                <w:sz w:val="18"/>
                <w:szCs w:val="18"/>
                <w:lang w:eastAsia="cs-CZ"/>
              </w:rPr>
              <w:t>–</w:t>
            </w:r>
            <w:r w:rsidRPr="00820ACF">
              <w:rPr>
                <w:rFonts w:asciiTheme="minorHAnsi" w:eastAsia="Times New Roman" w:hAnsiTheme="minorHAnsi" w:cstheme="minorHAnsi"/>
                <w:color w:val="000000"/>
                <w:sz w:val="18"/>
                <w:szCs w:val="18"/>
                <w:lang w:eastAsia="cs-CZ"/>
              </w:rPr>
              <w:t xml:space="preserve"> Dětmarovice</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3,5</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2 798,5</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2011)</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190,4</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Ostrava Kunčice - Frýdek Místek - Český Těšín, vč. PEÚ a optimalizace žst. Č. Těšín, 1.</w:t>
            </w:r>
            <w:r w:rsidR="0059298E">
              <w:rPr>
                <w:rFonts w:asciiTheme="minorHAnsi" w:eastAsia="Times New Roman" w:hAnsiTheme="minorHAnsi" w:cstheme="minorHAnsi"/>
                <w:sz w:val="18"/>
                <w:szCs w:val="18"/>
                <w:lang w:eastAsia="cs-CZ"/>
              </w:rPr>
              <w:t xml:space="preserve"> </w:t>
            </w:r>
            <w:r w:rsidRPr="00820ACF">
              <w:rPr>
                <w:rFonts w:asciiTheme="minorHAnsi" w:eastAsia="Times New Roman" w:hAnsiTheme="minorHAnsi" w:cstheme="minorHAnsi"/>
                <w:sz w:val="18"/>
                <w:szCs w:val="18"/>
                <w:lang w:eastAsia="cs-CZ"/>
              </w:rPr>
              <w:t>část</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2 971,1</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7,6</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244,0</w:t>
            </w:r>
          </w:p>
        </w:tc>
      </w:tr>
      <w:tr w:rsidR="00354112" w:rsidRPr="00820ACF" w:rsidTr="008712FB">
        <w:trPr>
          <w:trHeight w:val="40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Ostrava Kunčice - Frýdek Místek - Český Těšín, vč. PEÚ a optimalizace žst. Č. Těšín, 2.</w:t>
            </w:r>
            <w:r w:rsidR="0059298E">
              <w:rPr>
                <w:rFonts w:asciiTheme="minorHAnsi" w:eastAsia="Times New Roman" w:hAnsiTheme="minorHAnsi" w:cstheme="minorHAnsi"/>
                <w:sz w:val="18"/>
                <w:szCs w:val="18"/>
                <w:lang w:eastAsia="cs-CZ"/>
              </w:rPr>
              <w:t xml:space="preserve"> </w:t>
            </w:r>
            <w:r w:rsidRPr="00820ACF">
              <w:rPr>
                <w:rFonts w:asciiTheme="minorHAnsi" w:eastAsia="Times New Roman" w:hAnsiTheme="minorHAnsi" w:cstheme="minorHAnsi"/>
                <w:sz w:val="18"/>
                <w:szCs w:val="18"/>
                <w:lang w:eastAsia="cs-CZ"/>
              </w:rPr>
              <w:t>část</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4,8</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4 596,0</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akce v přípravě</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Český Těšín - Dětmarovice, část v km 332,200 - 333,076</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1,6</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307,1</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16,9</w:t>
            </w:r>
          </w:p>
        </w:tc>
      </w:tr>
      <w:tr w:rsidR="00354112" w:rsidRPr="00820ACF" w:rsidTr="008712FB">
        <w:trPr>
          <w:trHeight w:val="432"/>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Praha Smíchov (mimo) - Černošice (mimo)</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3,5</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2 257,8</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122,6</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Optimalizace trati Černošice (včetně) – Beroun (mimo) </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4,3</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4 350,0</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235,9</w:t>
            </w:r>
          </w:p>
        </w:tc>
      </w:tr>
      <w:tr w:rsidR="00354112" w:rsidRPr="00820ACF" w:rsidTr="008712FB">
        <w:trPr>
          <w:trHeight w:val="194"/>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Modernizace traťového úseku Praha Běchovice - Úvaly</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1 736,1</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14,5</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502,9</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Elektrizace tratě vč. PEÚ Brno - Zastávka u Brna</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3,8</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3 706,8</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7,8</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316,6</w:t>
            </w:r>
          </w:p>
        </w:tc>
      </w:tr>
      <w:tr w:rsidR="00354112" w:rsidRPr="00820ACF" w:rsidTr="008712FB">
        <w:trPr>
          <w:trHeight w:val="172"/>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lastRenderedPageBreak/>
              <w:t>Rekonstrukce trati Praha Smíchov - Rudná - Beroun</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764,6</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54,8</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Průjezd železničním uzlem Ústí nad Orlicí</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1 082,2</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5,6</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50,8</w:t>
            </w:r>
          </w:p>
        </w:tc>
      </w:tr>
      <w:tr w:rsidR="00354112" w:rsidRPr="00820ACF" w:rsidTr="008712FB">
        <w:trPr>
          <w:trHeight w:val="17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traťového úseku Praha Hostivař - Praha hl. n., I. část - žst. Praha Hostivař</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1,4</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1 214,3</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6,2</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68,8</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Rokycany </w:t>
            </w:r>
            <w:r w:rsidR="00A53DB2">
              <w:rPr>
                <w:rFonts w:asciiTheme="minorHAnsi" w:eastAsia="Times New Roman" w:hAnsiTheme="minorHAnsi" w:cstheme="minorHAnsi"/>
                <w:sz w:val="18"/>
                <w:szCs w:val="18"/>
                <w:lang w:eastAsia="cs-CZ"/>
              </w:rPr>
              <w:t>–</w:t>
            </w:r>
            <w:r w:rsidRPr="00820ACF">
              <w:rPr>
                <w:rFonts w:asciiTheme="minorHAnsi" w:eastAsia="Times New Roman" w:hAnsiTheme="minorHAnsi" w:cstheme="minorHAnsi"/>
                <w:sz w:val="18"/>
                <w:szCs w:val="18"/>
                <w:lang w:eastAsia="cs-CZ"/>
              </w:rPr>
              <w:t xml:space="preserve"> Plzeň</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3,8</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4 995,4</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271,5</w:t>
            </w:r>
          </w:p>
        </w:tc>
      </w:tr>
      <w:tr w:rsidR="00354112" w:rsidRPr="00820ACF" w:rsidTr="008712FB">
        <w:trPr>
          <w:trHeight w:val="419"/>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Sudoměřice </w:t>
            </w:r>
            <w:r w:rsidR="00A53DB2">
              <w:rPr>
                <w:rFonts w:asciiTheme="minorHAnsi" w:eastAsia="Times New Roman" w:hAnsiTheme="minorHAnsi" w:cstheme="minorHAnsi"/>
                <w:sz w:val="18"/>
                <w:szCs w:val="18"/>
                <w:lang w:eastAsia="cs-CZ"/>
              </w:rPr>
              <w:t>–</w:t>
            </w:r>
            <w:r w:rsidRPr="00820ACF">
              <w:rPr>
                <w:rFonts w:asciiTheme="minorHAnsi" w:eastAsia="Times New Roman" w:hAnsiTheme="minorHAnsi" w:cstheme="minorHAnsi"/>
                <w:sz w:val="18"/>
                <w:szCs w:val="18"/>
                <w:lang w:eastAsia="cs-CZ"/>
              </w:rPr>
              <w:t xml:space="preserve"> Votice</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1,8</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5 999,5</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ASP 2012)</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295,5</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Veselí n. L. – Tábor - II. část, úsek </w:t>
            </w:r>
          </w:p>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Veselí n. L. - Doubí u Tábora 2. etapa: Soběslav - Doubí</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3 510,0</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ASP 2012)</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172,7</w:t>
            </w:r>
          </w:p>
        </w:tc>
      </w:tr>
    </w:tbl>
    <w:p w:rsidR="00354112" w:rsidRPr="00A120A2" w:rsidRDefault="00354112" w:rsidP="00354112">
      <w:pPr>
        <w:pStyle w:val="Citt"/>
      </w:pPr>
      <w:r w:rsidRPr="00A120A2">
        <w:t xml:space="preserve">Zdroj: EEIP na základě dat SŽDC </w:t>
      </w:r>
    </w:p>
    <w:p w:rsidR="00A423FE" w:rsidRPr="00416CE5" w:rsidRDefault="00A423FE" w:rsidP="003E4A5D">
      <w:pPr>
        <w:widowControl w:val="0"/>
        <w:rPr>
          <w:i/>
        </w:rPr>
      </w:pPr>
      <w:r>
        <w:t>Pokud s</w:t>
      </w:r>
      <w:r w:rsidRPr="00416CE5">
        <w:t xml:space="preserve">e podíváme na ostatní náklady </w:t>
      </w:r>
      <w:r w:rsidR="00AD4F3E">
        <w:t>vyjmen</w:t>
      </w:r>
      <w:r w:rsidR="002A1B2C">
        <w:t>ované v následujícím odstavci a </w:t>
      </w:r>
      <w:r w:rsidR="00AD4F3E">
        <w:t>indukované</w:t>
      </w:r>
      <w:r w:rsidRPr="00416CE5">
        <w:t xml:space="preserve"> dlouhým povolovacím procesem </w:t>
      </w:r>
      <w:r>
        <w:t xml:space="preserve">liniových </w:t>
      </w:r>
      <w:r w:rsidRPr="00416CE5">
        <w:t>dopravních staveb</w:t>
      </w:r>
      <w:r w:rsidR="002A1B2C">
        <w:t xml:space="preserve"> (tj. nejedná se o </w:t>
      </w:r>
      <w:r w:rsidR="00AD4F3E">
        <w:t>náklady spojené s tím, že stavbu mohu začít užívat a mít z ní přínosy déle, které byly odhadnuty výše)</w:t>
      </w:r>
      <w:r w:rsidR="00A840B0">
        <w:t xml:space="preserve">, </w:t>
      </w:r>
      <w:r w:rsidR="00AD4F3E" w:rsidRPr="00416CE5">
        <w:t xml:space="preserve">rostly </w:t>
      </w:r>
      <w:r w:rsidRPr="00416CE5">
        <w:t xml:space="preserve">dle Věstníku NKÚ (2013) </w:t>
      </w:r>
      <w:r w:rsidR="00AD4F3E">
        <w:t>v</w:t>
      </w:r>
      <w:r w:rsidR="00AD4F3E" w:rsidRPr="00416CE5">
        <w:t xml:space="preserve"> období 2008 – 9/2012 </w:t>
      </w:r>
      <w:r w:rsidRPr="00416CE5">
        <w:t xml:space="preserve">nejvíce předpokládané náklady v průběhu územních řízení </w:t>
      </w:r>
      <w:r w:rsidRPr="00416CE5">
        <w:rPr>
          <w:i/>
        </w:rPr>
        <w:t xml:space="preserve">(nárůst činil 21,9 mld. Kč) </w:t>
      </w:r>
      <w:r w:rsidRPr="005E78BB">
        <w:t xml:space="preserve">a stavebních řízení </w:t>
      </w:r>
      <w:r w:rsidRPr="00416CE5">
        <w:rPr>
          <w:i/>
        </w:rPr>
        <w:t>(nárůst činil 5,9 mld. Kč).</w:t>
      </w:r>
    </w:p>
    <w:p w:rsidR="00A423FE" w:rsidRPr="00416CE5" w:rsidRDefault="00A423FE" w:rsidP="003E4A5D">
      <w:pPr>
        <w:widowControl w:val="0"/>
      </w:pPr>
      <w:r w:rsidRPr="00416CE5">
        <w:t xml:space="preserve">Nejvíce rostly předpokládané náklady v průběhu územních řízení a stavebních řízení. Náklady zvyšovala rostoucí cena stavebních prací, náklady na přepracování dokumentace apod. Náklady zvyšovaly i požadavky účastníků územních a stavebních řízení na zařazení dodatečných stavebních objektů nebo na změny těch stávajících. Tyto požadavky však nebyly v některých případech dostatečně odůvodněné, a pokud byly odmítnuty, docházelo k dalším průtahům v přípravě staveb. Ne všechny tyto dodatečné náklady je však možné přičíst na vrub pouhému prodlužování přípravné fáze. Také není možné počítat zvýšené náklady na výstavbu z důvodu zařazení dodatečných stavebních objektů jako čistou ztrátu, protože i tyto objekty (ač mnohdy neefektivní) mají nějaké přínosy. Konzervativní odhad ztrát způsobených prodlužováním povolovacího procesu (bez efektu oddálení přínosů stavby) je </w:t>
      </w:r>
      <w:r w:rsidR="00AD4F3E">
        <w:t xml:space="preserve">dle údajů NKÚ a konzultací s ŘSD a SŽDC </w:t>
      </w:r>
      <w:r w:rsidRPr="00416CE5">
        <w:t xml:space="preserve">3 % na 1 rok. </w:t>
      </w:r>
    </w:p>
    <w:p w:rsidR="00A423FE" w:rsidRPr="00416CE5" w:rsidRDefault="00A423FE" w:rsidP="003E4A5D">
      <w:pPr>
        <w:widowControl w:val="0"/>
      </w:pPr>
      <w:r w:rsidRPr="00416CE5">
        <w:t xml:space="preserve">Z makroekonomického pohledu </w:t>
      </w:r>
      <w:r w:rsidR="00AD4F3E">
        <w:t xml:space="preserve">tedy </w:t>
      </w:r>
      <w:r w:rsidRPr="00416CE5">
        <w:t xml:space="preserve">budeme počítat, že pokud se podaří zkrátit povolovací proces liniových </w:t>
      </w:r>
      <w:r>
        <w:t xml:space="preserve">dopravních </w:t>
      </w:r>
      <w:r w:rsidRPr="00416CE5">
        <w:t>staveb o jeden rok, přínosy z tohoto zkrácení budou představovat 8,07% investičních nákladů u silničních staveb a 8,72% u železničních staveb</w:t>
      </w:r>
      <w:r w:rsidR="00AD4F3E">
        <w:t xml:space="preserve"> (jde o součet dvou výše uvedených hodnot)</w:t>
      </w:r>
      <w:r w:rsidRPr="00416CE5">
        <w:t>.</w:t>
      </w:r>
      <w:r w:rsidR="00837A41" w:rsidRPr="00837A41">
        <w:t xml:space="preserve"> </w:t>
      </w:r>
    </w:p>
    <w:p w:rsidR="00A423FE" w:rsidRDefault="00A423FE" w:rsidP="003E4A5D">
      <w:pPr>
        <w:widowControl w:val="0"/>
      </w:pPr>
      <w:r w:rsidRPr="00416CE5">
        <w:t>Jak se bude rozpočet SŽDC a ŘSD vyvíjet v budoucnu není jasné</w:t>
      </w:r>
      <w:r>
        <w:t xml:space="preserve">. Dle výše uvedené RIA </w:t>
      </w:r>
      <w:r w:rsidRPr="00416CE5">
        <w:t>budeme předpokládat, že přibližně 44 mld. Kč (25 mld. Kč u silničních staveb a 19 mld. Kč u</w:t>
      </w:r>
      <w:r w:rsidR="006A2E9E">
        <w:t> </w:t>
      </w:r>
      <w:r w:rsidRPr="00416CE5">
        <w:t xml:space="preserve">železničních) ročně bude investováno do výstavby nových liniových </w:t>
      </w:r>
      <w:r w:rsidRPr="007864DE">
        <w:t>dopravní</w:t>
      </w:r>
      <w:r>
        <w:t xml:space="preserve">ch </w:t>
      </w:r>
      <w:r w:rsidRPr="00416CE5">
        <w:t>staveb, které mu</w:t>
      </w:r>
      <w:r w:rsidR="00AD4F3E">
        <w:t>s</w:t>
      </w:r>
      <w:r w:rsidRPr="00416CE5">
        <w:t>í projít povolovacím procesem.</w:t>
      </w:r>
      <w:r>
        <w:t xml:space="preserve"> </w:t>
      </w:r>
      <w:r w:rsidRPr="00416CE5">
        <w:t xml:space="preserve">Podaří-li se zkrátit povolovací proces o jeden rok, očekáváme (na základě výpočtů a odhadů výše) roční přínosy </w:t>
      </w:r>
      <w:r w:rsidRPr="00416CE5">
        <w:rPr>
          <w:b/>
        </w:rPr>
        <w:t>2,02 mld. Kč</w:t>
      </w:r>
      <w:r w:rsidRPr="00416CE5">
        <w:t xml:space="preserve"> u silničních staveb a </w:t>
      </w:r>
      <w:r w:rsidRPr="00416CE5">
        <w:rPr>
          <w:b/>
        </w:rPr>
        <w:t>1,66 mld. Kč</w:t>
      </w:r>
      <w:r w:rsidRPr="00416CE5">
        <w:t xml:space="preserve"> u železničních staveb.</w:t>
      </w:r>
    </w:p>
    <w:p w:rsidR="002E3F08" w:rsidRDefault="00A423FE" w:rsidP="003E4A5D">
      <w:pPr>
        <w:widowControl w:val="0"/>
      </w:pPr>
      <w:r>
        <w:t>U ostatních kategorií staveb využijeme údajů z RIA k n</w:t>
      </w:r>
      <w:r w:rsidRPr="00A423FE">
        <w:t>ávrh</w:t>
      </w:r>
      <w:r>
        <w:t>u</w:t>
      </w:r>
      <w:r w:rsidRPr="00A423FE">
        <w:t xml:space="preserve"> </w:t>
      </w:r>
      <w:r w:rsidR="002A1B2C">
        <w:t xml:space="preserve">zákona, kterým se mění zákon </w:t>
      </w:r>
      <w:r w:rsidR="00BA30EC">
        <w:t>stávající stavební zákon</w:t>
      </w:r>
      <w:r w:rsidRPr="00A423FE">
        <w:t xml:space="preserve"> a další související zákony</w:t>
      </w:r>
      <w:r>
        <w:t xml:space="preserve"> (</w:t>
      </w:r>
      <w:r w:rsidR="00125057">
        <w:t>zákon č. 225/</w:t>
      </w:r>
      <w:r>
        <w:t>2017</w:t>
      </w:r>
      <w:r w:rsidR="00125057">
        <w:t>Sb.</w:t>
      </w:r>
      <w:r>
        <w:t>), abychom nemuseli dotčené subjekty zatěžovat vyplňováním dotazníkového šetření. Nepředpokládáme, že by se od roku 2017 níže uvedené hodnoty výrazněji změnily.</w:t>
      </w:r>
    </w:p>
    <w:p w:rsidR="006B3635" w:rsidRDefault="006B3635" w:rsidP="003E4A5D">
      <w:pPr>
        <w:widowControl w:val="0"/>
        <w:spacing w:before="0" w:after="0"/>
        <w:jc w:val="left"/>
        <w:rPr>
          <w:rFonts w:eastAsia="Times New Roman"/>
          <w:b/>
          <w:bCs/>
          <w:color w:val="000000"/>
          <w:sz w:val="22"/>
          <w:szCs w:val="20"/>
          <w:lang w:eastAsia="cs-CZ"/>
        </w:rPr>
      </w:pPr>
      <w:r>
        <w:br w:type="page"/>
      </w:r>
    </w:p>
    <w:p w:rsidR="00E56AB8" w:rsidRDefault="00E56AB8" w:rsidP="003E4A5D">
      <w:pPr>
        <w:pStyle w:val="Titulek"/>
      </w:pPr>
      <w:r>
        <w:lastRenderedPageBreak/>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8</w:t>
      </w:r>
      <w:r w:rsidR="00AB65E9">
        <w:rPr>
          <w:noProof/>
        </w:rPr>
        <w:fldChar w:fldCharType="end"/>
      </w:r>
      <w:r>
        <w:t xml:space="preserve">: </w:t>
      </w:r>
      <w:r w:rsidR="00031DFC">
        <w:t>Předpoklady pro výpočet přínosů ze zkrácení přípravné fáze výstavby komerčních nemovitostí a bytové výstavby</w:t>
      </w:r>
    </w:p>
    <w:tbl>
      <w:tblPr>
        <w:tblStyle w:val="Svtlstnovn1"/>
        <w:tblW w:w="0" w:type="auto"/>
        <w:tblInd w:w="108" w:type="dxa"/>
        <w:tblLook w:val="04A0" w:firstRow="1" w:lastRow="0" w:firstColumn="1" w:lastColumn="0" w:noHBand="0" w:noVBand="1"/>
      </w:tblPr>
      <w:tblGrid>
        <w:gridCol w:w="2803"/>
        <w:gridCol w:w="3024"/>
        <w:gridCol w:w="3245"/>
      </w:tblGrid>
      <w:tr w:rsidR="00D92381" w:rsidRPr="00D92381" w:rsidTr="008712F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p>
        </w:tc>
        <w:tc>
          <w:tcPr>
            <w:tcW w:w="3024" w:type="dxa"/>
            <w:vAlign w:val="center"/>
          </w:tcPr>
          <w:p w:rsidR="00D92381" w:rsidRPr="00D92381" w:rsidRDefault="00D92381"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92381">
              <w:rPr>
                <w:rFonts w:asciiTheme="minorHAnsi" w:hAnsiTheme="minorHAnsi" w:cstheme="minorHAnsi"/>
                <w:sz w:val="20"/>
                <w:szCs w:val="20"/>
              </w:rPr>
              <w:t>Komerční nemovitosti</w:t>
            </w:r>
          </w:p>
        </w:tc>
        <w:tc>
          <w:tcPr>
            <w:tcW w:w="3245" w:type="dxa"/>
            <w:vAlign w:val="center"/>
          </w:tcPr>
          <w:p w:rsidR="00D92381" w:rsidRPr="00D92381" w:rsidRDefault="00D92381"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92381">
              <w:rPr>
                <w:rFonts w:asciiTheme="minorHAnsi" w:hAnsiTheme="minorHAnsi" w:cstheme="minorHAnsi"/>
                <w:sz w:val="20"/>
                <w:szCs w:val="20"/>
              </w:rPr>
              <w:t>Developerská bytová výstavba</w:t>
            </w:r>
          </w:p>
        </w:tc>
      </w:tr>
      <w:tr w:rsidR="00D92381" w:rsidRPr="00D92381" w:rsidTr="00871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Roční přínos ze zkrácení</w:t>
            </w:r>
          </w:p>
        </w:tc>
        <w:tc>
          <w:tcPr>
            <w:tcW w:w="3024"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8 % investičních nákladů</w:t>
            </w:r>
          </w:p>
        </w:tc>
        <w:tc>
          <w:tcPr>
            <w:tcW w:w="3245"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8 % investičních nákladů</w:t>
            </w:r>
          </w:p>
        </w:tc>
      </w:tr>
      <w:tr w:rsidR="00D92381" w:rsidRPr="00D92381" w:rsidTr="008712FB">
        <w:trPr>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Přínos ze zkrácení o 1 měsíc</w:t>
            </w:r>
          </w:p>
        </w:tc>
        <w:tc>
          <w:tcPr>
            <w:tcW w:w="3024" w:type="dxa"/>
            <w:vAlign w:val="center"/>
          </w:tcPr>
          <w:p w:rsidR="00D92381" w:rsidRPr="00D92381" w:rsidRDefault="00D92381"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0,67</w:t>
            </w:r>
            <w:r>
              <w:rPr>
                <w:rFonts w:asciiTheme="minorHAnsi" w:hAnsiTheme="minorHAnsi" w:cstheme="minorHAnsi"/>
                <w:sz w:val="20"/>
                <w:szCs w:val="20"/>
              </w:rPr>
              <w:t xml:space="preserve"> </w:t>
            </w:r>
            <w:r w:rsidRPr="00D92381">
              <w:rPr>
                <w:rFonts w:asciiTheme="minorHAnsi" w:hAnsiTheme="minorHAnsi" w:cstheme="minorHAnsi"/>
                <w:sz w:val="20"/>
                <w:szCs w:val="20"/>
              </w:rPr>
              <w:t>%</w:t>
            </w:r>
          </w:p>
        </w:tc>
        <w:tc>
          <w:tcPr>
            <w:tcW w:w="3245" w:type="dxa"/>
            <w:vAlign w:val="center"/>
          </w:tcPr>
          <w:p w:rsidR="00D92381" w:rsidRPr="00D92381" w:rsidRDefault="00D92381"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0,67</w:t>
            </w:r>
            <w:r>
              <w:rPr>
                <w:rFonts w:asciiTheme="minorHAnsi" w:hAnsiTheme="minorHAnsi" w:cstheme="minorHAnsi"/>
                <w:sz w:val="20"/>
                <w:szCs w:val="20"/>
              </w:rPr>
              <w:t xml:space="preserve"> </w:t>
            </w:r>
            <w:r w:rsidRPr="00D92381">
              <w:rPr>
                <w:rFonts w:asciiTheme="minorHAnsi" w:hAnsiTheme="minorHAnsi" w:cstheme="minorHAnsi"/>
                <w:sz w:val="20"/>
                <w:szCs w:val="20"/>
              </w:rPr>
              <w:t>%</w:t>
            </w:r>
          </w:p>
        </w:tc>
      </w:tr>
      <w:tr w:rsidR="00D92381" w:rsidRPr="00D92381" w:rsidTr="00871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Výše investic / rok</w:t>
            </w:r>
          </w:p>
        </w:tc>
        <w:tc>
          <w:tcPr>
            <w:tcW w:w="3024"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20 mld. Kč</w:t>
            </w:r>
          </w:p>
        </w:tc>
        <w:tc>
          <w:tcPr>
            <w:tcW w:w="3245"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20 mld. Kč</w:t>
            </w:r>
          </w:p>
        </w:tc>
      </w:tr>
    </w:tbl>
    <w:p w:rsidR="00391E39" w:rsidRPr="00031DFC" w:rsidRDefault="00031DFC" w:rsidP="003E4A5D">
      <w:pPr>
        <w:widowControl w:val="0"/>
        <w:rPr>
          <w:rFonts w:eastAsia="Times New Roman"/>
          <w:i/>
          <w:iCs/>
          <w:color w:val="000000"/>
          <w:sz w:val="22"/>
          <w:szCs w:val="20"/>
          <w:lang w:eastAsia="cs-CZ"/>
        </w:rPr>
      </w:pPr>
      <w:r w:rsidRPr="00031DFC">
        <w:rPr>
          <w:rFonts w:eastAsia="Times New Roman"/>
          <w:i/>
          <w:iCs/>
          <w:color w:val="000000"/>
          <w:sz w:val="22"/>
          <w:szCs w:val="20"/>
          <w:lang w:eastAsia="cs-CZ"/>
        </w:rPr>
        <w:t>Zdroj: MMR</w:t>
      </w:r>
    </w:p>
    <w:p w:rsidR="003C13D2" w:rsidRDefault="003C13D2" w:rsidP="003E4A5D">
      <w:pPr>
        <w:pStyle w:val="Nadpis4"/>
        <w:keepNext w:val="0"/>
        <w:keepLines w:val="0"/>
        <w:widowControl w:val="0"/>
      </w:pPr>
      <w:bookmarkStart w:id="13" w:name="_Toc536553888"/>
      <w:r w:rsidRPr="003C13D2">
        <w:t>Konkrétní problémy spojené s oddalováním realizace výstavb</w:t>
      </w:r>
      <w:r w:rsidR="0032110B">
        <w:t>y</w:t>
      </w:r>
      <w:bookmarkEnd w:id="13"/>
    </w:p>
    <w:p w:rsidR="00F16D67" w:rsidRPr="0089559F" w:rsidRDefault="00E80D0F" w:rsidP="003E4A5D">
      <w:pPr>
        <w:pStyle w:val="Text-Normaln"/>
        <w:widowControl w:val="0"/>
      </w:pPr>
      <w:r w:rsidRPr="0089559F">
        <w:t>K</w:t>
      </w:r>
      <w:r w:rsidR="00297D3D" w:rsidRPr="0089559F">
        <w:t>onkrétní</w:t>
      </w:r>
      <w:r w:rsidR="00F16D67" w:rsidRPr="0089559F">
        <w:t xml:space="preserve"> problémy spojené s </w:t>
      </w:r>
      <w:r w:rsidRPr="0089559F">
        <w:t>oddalováním realizace výstavby</w:t>
      </w:r>
      <w:r w:rsidR="003C13D2" w:rsidRPr="0089559F">
        <w:t xml:space="preserve"> pak mohou být následující:</w:t>
      </w:r>
      <w:r w:rsidR="00837A41" w:rsidRPr="0089559F">
        <w:t xml:space="preserve"> </w:t>
      </w:r>
    </w:p>
    <w:p w:rsidR="00F16D67" w:rsidRPr="0089559F" w:rsidRDefault="00F16D67" w:rsidP="003E4A5D">
      <w:pPr>
        <w:pStyle w:val="Odstavecseseznamem"/>
        <w:widowControl w:val="0"/>
        <w:numPr>
          <w:ilvl w:val="0"/>
          <w:numId w:val="26"/>
        </w:numPr>
      </w:pPr>
      <w:r w:rsidRPr="0089559F">
        <w:t>oddalování realizace výstavby vede i ke zvyšování nákladů na stavbu oproti plánovaným investičním výdajům (v důsledku růstu cen stavebních prací, cen pozemků apod.);</w:t>
      </w:r>
    </w:p>
    <w:p w:rsidR="00F16D67" w:rsidRPr="0089559F" w:rsidRDefault="00F16D67" w:rsidP="003E4A5D">
      <w:pPr>
        <w:pStyle w:val="Odstavecseseznamem"/>
        <w:widowControl w:val="0"/>
        <w:numPr>
          <w:ilvl w:val="0"/>
          <w:numId w:val="26"/>
        </w:numPr>
      </w:pPr>
      <w:r w:rsidRPr="0089559F">
        <w:t xml:space="preserve">ztráty představuje i zbytečné vynakládání prostředků z důvodu přerušování </w:t>
      </w:r>
      <w:r w:rsidR="00125057">
        <w:t xml:space="preserve">stavební činnosti </w:t>
      </w:r>
      <w:r w:rsidRPr="0089559F">
        <w:t xml:space="preserve">(v případě nutnosti stavbu zakonzervovat), prodlužování a opakování činností; </w:t>
      </w:r>
    </w:p>
    <w:p w:rsidR="00F16D67" w:rsidRPr="0089559F" w:rsidRDefault="00F16D67" w:rsidP="003E4A5D">
      <w:pPr>
        <w:pStyle w:val="Odstavecseseznamem"/>
        <w:widowControl w:val="0"/>
        <w:numPr>
          <w:ilvl w:val="0"/>
          <w:numId w:val="26"/>
        </w:numPr>
      </w:pPr>
      <w:r w:rsidRPr="0089559F">
        <w:t>v důsledku oddalování výstavby a tím možných změn podmínek může dojít ke změně záměru znamenající náklady na nová řízení</w:t>
      </w:r>
      <w:r w:rsidR="006F7FBC" w:rsidRPr="0089559F">
        <w:t>,</w:t>
      </w:r>
      <w:r w:rsidRPr="0089559F">
        <w:t xml:space="preserve"> příp. dodatečné náklady výstavby spojené se změnou projektu;</w:t>
      </w:r>
    </w:p>
    <w:p w:rsidR="00F16D67" w:rsidRPr="0089559F" w:rsidRDefault="00F16D67" w:rsidP="003E4A5D">
      <w:pPr>
        <w:pStyle w:val="Odstavecseseznamem"/>
        <w:widowControl w:val="0"/>
        <w:numPr>
          <w:ilvl w:val="0"/>
          <w:numId w:val="26"/>
        </w:numPr>
      </w:pPr>
      <w:r w:rsidRPr="0089559F">
        <w:t>dochází k neefektivnímu plánování kapacit u všech dotčených stran;</w:t>
      </w:r>
    </w:p>
    <w:p w:rsidR="00F16D67" w:rsidRPr="0089559F" w:rsidRDefault="00F16D67" w:rsidP="003E4A5D">
      <w:pPr>
        <w:pStyle w:val="Odstavecseseznamem"/>
        <w:widowControl w:val="0"/>
        <w:numPr>
          <w:ilvl w:val="0"/>
          <w:numId w:val="26"/>
        </w:numPr>
      </w:pPr>
      <w:r w:rsidRPr="0089559F">
        <w:t xml:space="preserve">dochází k neúměrnému zdražování staveb v důsledku </w:t>
      </w:r>
      <w:r w:rsidR="005D728A" w:rsidRPr="0089559F">
        <w:t xml:space="preserve">obsahu </w:t>
      </w:r>
      <w:r w:rsidR="002A1B2C">
        <w:t>množství stanovisek, námitek a </w:t>
      </w:r>
      <w:r w:rsidRPr="0089559F">
        <w:t xml:space="preserve">připomínek, které je v průběhu jednotlivých řízení </w:t>
      </w:r>
      <w:r w:rsidR="00F01EEE">
        <w:t xml:space="preserve">nutné </w:t>
      </w:r>
      <w:r w:rsidRPr="0089559F">
        <w:t>zohlednit;</w:t>
      </w:r>
    </w:p>
    <w:p w:rsidR="00F16D67" w:rsidRDefault="00F16D67" w:rsidP="003E4A5D">
      <w:pPr>
        <w:pStyle w:val="Odstavecseseznamem"/>
        <w:widowControl w:val="0"/>
        <w:numPr>
          <w:ilvl w:val="0"/>
          <w:numId w:val="26"/>
        </w:numPr>
      </w:pPr>
      <w:r w:rsidRPr="0089559F">
        <w:t>u staveb ve veřejném zájmu</w:t>
      </w:r>
      <w:r>
        <w:t xml:space="preserve"> mohou v důsledku dlouho trvajícího procesu vyvlastňování vzniknout dodatečné náklady ve formě potřeby vybudovat provizorní napojení na stávající komunikace apod.</w:t>
      </w:r>
      <w:r w:rsidR="006F7FBC">
        <w:t>;</w:t>
      </w:r>
    </w:p>
    <w:p w:rsidR="00EF4818" w:rsidRDefault="00EF4818" w:rsidP="003E4A5D">
      <w:pPr>
        <w:pStyle w:val="Odstavecseseznamem"/>
        <w:widowControl w:val="0"/>
        <w:numPr>
          <w:ilvl w:val="0"/>
          <w:numId w:val="26"/>
        </w:numPr>
      </w:pPr>
      <w:r>
        <w:t xml:space="preserve">při přiznávání odkladných účinků žalobám soudy ve správním soudnictví </w:t>
      </w:r>
      <w:r w:rsidR="00D60A83">
        <w:t>vznikají konzervace projektů na mnoho let (průměrná doba rozhodování Městského soudu v Praze v prvním stupni ve správním soudnictví je 3-4 roky, doba rozhodován</w:t>
      </w:r>
      <w:r w:rsidR="00C30C6F">
        <w:t>í Nejvyššího správního soudu je </w:t>
      </w:r>
      <w:r w:rsidR="00D60A83">
        <w:t>dalších 6 měsíců až 1 rok)</w:t>
      </w:r>
      <w:r w:rsidR="00405401">
        <w:t>;</w:t>
      </w:r>
    </w:p>
    <w:p w:rsidR="00EF4818" w:rsidRDefault="00EF4818" w:rsidP="003E4A5D">
      <w:pPr>
        <w:pStyle w:val="Odstavecseseznamem"/>
        <w:widowControl w:val="0"/>
        <w:numPr>
          <w:ilvl w:val="0"/>
          <w:numId w:val="26"/>
        </w:numPr>
      </w:pPr>
      <w:r>
        <w:t xml:space="preserve">při rušení již </w:t>
      </w:r>
      <w:r w:rsidR="00C30C6F">
        <w:t xml:space="preserve">vydaných </w:t>
      </w:r>
      <w:r>
        <w:t xml:space="preserve">pravomocných povolení </w:t>
      </w:r>
      <w:r w:rsidR="00C30C6F">
        <w:t xml:space="preserve">správními orgány v rámci přezkumných řízení či obnov řízení a soudy ve správním soudnictví se povolovací procesy dostávají i po letech od </w:t>
      </w:r>
      <w:r w:rsidR="00475B1D">
        <w:t xml:space="preserve">jejich </w:t>
      </w:r>
      <w:r w:rsidR="00C30C6F">
        <w:t xml:space="preserve">skončení </w:t>
      </w:r>
      <w:r w:rsidR="00405401">
        <w:t>téměř na počátek a probíhají znovu bez ohledu na aktuální stav projektu či již probíhající stavby;</w:t>
      </w:r>
    </w:p>
    <w:p w:rsidR="00405401" w:rsidRDefault="00405401" w:rsidP="003E4A5D">
      <w:pPr>
        <w:pStyle w:val="Odstavecseseznamem"/>
        <w:widowControl w:val="0"/>
        <w:numPr>
          <w:ilvl w:val="0"/>
          <w:numId w:val="26"/>
        </w:numPr>
      </w:pPr>
      <w:r>
        <w:t xml:space="preserve">při rušení územních plánů </w:t>
      </w:r>
      <w:r w:rsidR="00475B1D">
        <w:t xml:space="preserve">nebo jejich částí </w:t>
      </w:r>
      <w:r>
        <w:t xml:space="preserve">dochází </w:t>
      </w:r>
      <w:r w:rsidR="0049672C">
        <w:t xml:space="preserve">k nemožnosti vydat povolení pro projekty, které byly připraveny investory a vlastníky pozemků v dobré víře a </w:t>
      </w:r>
      <w:r w:rsidR="00475B1D">
        <w:t xml:space="preserve">případně </w:t>
      </w:r>
      <w:r w:rsidR="008E7FA9">
        <w:t>k zahajování obnov již pravomocně skončených povolovacích procesů;</w:t>
      </w:r>
    </w:p>
    <w:p w:rsidR="006F7FBC" w:rsidRDefault="006F7FBC" w:rsidP="003E4A5D">
      <w:pPr>
        <w:pStyle w:val="Odstavecseseznamem"/>
        <w:widowControl w:val="0"/>
        <w:numPr>
          <w:ilvl w:val="0"/>
          <w:numId w:val="26"/>
        </w:numPr>
      </w:pPr>
      <w:r>
        <w:t xml:space="preserve">s ohledem na rychlý vývoj </w:t>
      </w:r>
      <w:r w:rsidR="00A81B34">
        <w:t xml:space="preserve">materiálů, </w:t>
      </w:r>
      <w:r>
        <w:t>technologií</w:t>
      </w:r>
      <w:r w:rsidR="00A81B34">
        <w:t>, požadavků na bezpečnost, užitnou hodnotu, ochranu životního prostředí, designu a představ o dobré architektuře projekty morálně zastarávají</w:t>
      </w:r>
      <w:r w:rsidR="00521A1D">
        <w:t xml:space="preserve"> a v době dokončování po mnoha letech trvání povolovacích procesů již nepředstavují špičku světové architektury, jakkoli </w:t>
      </w:r>
      <w:r w:rsidR="00EF4818">
        <w:t xml:space="preserve">tak </w:t>
      </w:r>
      <w:r w:rsidR="00521A1D">
        <w:t xml:space="preserve">mohly </w:t>
      </w:r>
      <w:r w:rsidR="00EF4818">
        <w:t>být připravovány</w:t>
      </w:r>
      <w:r w:rsidR="00521A1D">
        <w:t>.</w:t>
      </w:r>
    </w:p>
    <w:p w:rsidR="00D92381" w:rsidRDefault="003C13D2" w:rsidP="003E4A5D">
      <w:pPr>
        <w:widowControl w:val="0"/>
      </w:pPr>
      <w:r>
        <w:t>Průměrnou délku povolovacího procesu v ČR znázorňují další obrázky. S touto délkou povolovacího řízení bude dále pracováno při výpočtu přínosů z jeho zkrácení.</w:t>
      </w:r>
    </w:p>
    <w:p w:rsidR="008B023D" w:rsidRDefault="008B023D" w:rsidP="003E4A5D">
      <w:pPr>
        <w:widowControl w:val="0"/>
        <w:spacing w:before="0" w:after="0"/>
        <w:jc w:val="left"/>
        <w:rPr>
          <w:rFonts w:eastAsia="Times New Roman"/>
          <w:b/>
          <w:bCs/>
          <w:color w:val="000000"/>
          <w:sz w:val="22"/>
          <w:szCs w:val="20"/>
          <w:lang w:eastAsia="cs-CZ"/>
        </w:rPr>
      </w:pPr>
      <w:r>
        <w:br w:type="page"/>
      </w:r>
    </w:p>
    <w:p w:rsidR="009926F2" w:rsidRDefault="009926F2" w:rsidP="003E4A5D">
      <w:pPr>
        <w:pStyle w:val="Titulek"/>
      </w:pPr>
      <w:r>
        <w:lastRenderedPageBreak/>
        <w:t xml:space="preserve">Obrázek </w:t>
      </w:r>
      <w:r w:rsidR="00AB65E9">
        <w:rPr>
          <w:noProof/>
        </w:rPr>
        <w:fldChar w:fldCharType="begin"/>
      </w:r>
      <w:r w:rsidR="00790BCF">
        <w:rPr>
          <w:noProof/>
        </w:rPr>
        <w:instrText xml:space="preserve"> SEQ Obrázek \* ARABIC </w:instrText>
      </w:r>
      <w:r w:rsidR="00AB65E9">
        <w:rPr>
          <w:noProof/>
        </w:rPr>
        <w:fldChar w:fldCharType="separate"/>
      </w:r>
      <w:r w:rsidR="00263A1B">
        <w:rPr>
          <w:noProof/>
        </w:rPr>
        <w:t>8</w:t>
      </w:r>
      <w:r w:rsidR="00AB65E9">
        <w:rPr>
          <w:noProof/>
        </w:rPr>
        <w:fldChar w:fldCharType="end"/>
      </w:r>
      <w:r>
        <w:t xml:space="preserve">: Celková doba </w:t>
      </w:r>
      <w:r w:rsidR="008A3B28">
        <w:t xml:space="preserve">správních </w:t>
      </w:r>
      <w:r>
        <w:t>povolovacích procesů</w:t>
      </w:r>
      <w:r w:rsidR="006B3635">
        <w:t xml:space="preserve"> pro všechny projekty ve výběrovém vzorku</w:t>
      </w:r>
      <w:r w:rsidR="008A3B28">
        <w:t xml:space="preserve"> (bez soudního přezkumu)</w:t>
      </w:r>
    </w:p>
    <w:p w:rsidR="00D92381" w:rsidRPr="00D92381" w:rsidRDefault="00D92381" w:rsidP="003E4A5D">
      <w:pPr>
        <w:widowControl w:val="0"/>
        <w:spacing w:before="0" w:after="0"/>
        <w:rPr>
          <w:lang w:eastAsia="cs-CZ"/>
        </w:rPr>
      </w:pPr>
      <w:r w:rsidRPr="00D92381">
        <w:rPr>
          <w:noProof/>
          <w:lang w:eastAsia="cs-CZ"/>
        </w:rPr>
        <w:drawing>
          <wp:inline distT="0" distB="0" distL="0" distR="0" wp14:anchorId="2BA83178" wp14:editId="6E7E8BA7">
            <wp:extent cx="5760720" cy="34861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blip>
                    <a:srcRect t="10702" b="2128"/>
                    <a:stretch/>
                  </pic:blipFill>
                  <pic:spPr bwMode="auto">
                    <a:xfrm>
                      <a:off x="0" y="0"/>
                      <a:ext cx="5760720" cy="3486150"/>
                    </a:xfrm>
                    <a:prstGeom prst="rect">
                      <a:avLst/>
                    </a:prstGeom>
                    <a:ln>
                      <a:noFill/>
                    </a:ln>
                    <a:extLst>
                      <a:ext uri="{53640926-AAD7-44D8-BBD7-CCE9431645EC}">
                        <a14:shadowObscured xmlns:a14="http://schemas.microsoft.com/office/drawing/2010/main"/>
                      </a:ext>
                    </a:extLst>
                  </pic:spPr>
                </pic:pic>
              </a:graphicData>
            </a:graphic>
          </wp:inline>
        </w:drawing>
      </w:r>
    </w:p>
    <w:p w:rsidR="008B023D" w:rsidRDefault="008B023D" w:rsidP="003E4A5D">
      <w:pPr>
        <w:pStyle w:val="Citt"/>
        <w:contextualSpacing/>
        <w:rPr>
          <w:highlight w:val="yellow"/>
        </w:rPr>
      </w:pPr>
      <w:r>
        <w:t xml:space="preserve">Zdroj: Deloitte </w:t>
      </w:r>
    </w:p>
    <w:p w:rsidR="008B023D" w:rsidRPr="00D57A8C" w:rsidRDefault="008B023D" w:rsidP="003E4A5D">
      <w:pPr>
        <w:widowControl w:val="0"/>
        <w:spacing w:before="0" w:after="0"/>
        <w:contextualSpacing/>
        <w:rPr>
          <w:rFonts w:eastAsia="Times New Roman"/>
          <w:i/>
          <w:iCs/>
          <w:color w:val="000000"/>
          <w:sz w:val="22"/>
          <w:szCs w:val="20"/>
          <w:lang w:eastAsia="cs-CZ"/>
        </w:rPr>
      </w:pPr>
      <w:r w:rsidRPr="00D57A8C">
        <w:rPr>
          <w:rFonts w:eastAsia="Times New Roman"/>
          <w:i/>
          <w:iCs/>
          <w:color w:val="000000"/>
          <w:sz w:val="22"/>
          <w:szCs w:val="20"/>
          <w:lang w:eastAsia="cs-CZ"/>
        </w:rPr>
        <w:t xml:space="preserve">Pozn.: </w:t>
      </w:r>
      <w:r>
        <w:rPr>
          <w:rFonts w:eastAsia="Times New Roman"/>
          <w:i/>
          <w:iCs/>
          <w:color w:val="000000"/>
          <w:sz w:val="22"/>
          <w:szCs w:val="20"/>
          <w:lang w:eastAsia="cs-CZ"/>
        </w:rPr>
        <w:t>P</w:t>
      </w:r>
      <w:r w:rsidRPr="00D57A8C">
        <w:rPr>
          <w:rFonts w:eastAsia="Times New Roman"/>
          <w:i/>
          <w:iCs/>
          <w:color w:val="000000"/>
          <w:sz w:val="22"/>
          <w:szCs w:val="20"/>
          <w:lang w:eastAsia="cs-CZ"/>
        </w:rPr>
        <w:t xml:space="preserve">očet rezidenčních projektů ve vzorku </w:t>
      </w:r>
      <w:r>
        <w:rPr>
          <w:rFonts w:eastAsia="Times New Roman"/>
          <w:i/>
          <w:iCs/>
          <w:color w:val="000000"/>
          <w:sz w:val="22"/>
          <w:szCs w:val="20"/>
          <w:lang w:eastAsia="cs-CZ"/>
        </w:rPr>
        <w:t xml:space="preserve">činil </w:t>
      </w:r>
      <w:r w:rsidRPr="00D57A8C">
        <w:rPr>
          <w:rFonts w:eastAsia="Times New Roman"/>
          <w:i/>
          <w:iCs/>
          <w:color w:val="000000"/>
          <w:sz w:val="22"/>
          <w:szCs w:val="20"/>
          <w:lang w:eastAsia="cs-CZ"/>
        </w:rPr>
        <w:t>celkem 844</w:t>
      </w:r>
      <w:r>
        <w:rPr>
          <w:rFonts w:eastAsia="Times New Roman"/>
          <w:i/>
          <w:iCs/>
          <w:color w:val="000000"/>
          <w:sz w:val="22"/>
          <w:szCs w:val="20"/>
          <w:lang w:eastAsia="cs-CZ"/>
        </w:rPr>
        <w:t xml:space="preserve"> (s celkovým počtem</w:t>
      </w:r>
      <w:r w:rsidRPr="00D57A8C">
        <w:rPr>
          <w:rFonts w:eastAsia="Times New Roman"/>
          <w:i/>
          <w:iCs/>
          <w:color w:val="000000"/>
          <w:sz w:val="22"/>
          <w:szCs w:val="20"/>
          <w:lang w:eastAsia="cs-CZ"/>
        </w:rPr>
        <w:t xml:space="preserve"> bytů 42 047 </w:t>
      </w:r>
      <w:r>
        <w:rPr>
          <w:rFonts w:eastAsia="Times New Roman"/>
          <w:i/>
          <w:iCs/>
          <w:color w:val="000000"/>
          <w:sz w:val="22"/>
          <w:szCs w:val="20"/>
          <w:lang w:eastAsia="cs-CZ"/>
        </w:rPr>
        <w:t>a p</w:t>
      </w:r>
      <w:r w:rsidRPr="00D57A8C">
        <w:rPr>
          <w:rFonts w:eastAsia="Times New Roman"/>
          <w:i/>
          <w:iCs/>
          <w:color w:val="000000"/>
          <w:sz w:val="22"/>
          <w:szCs w:val="20"/>
          <w:lang w:eastAsia="cs-CZ"/>
        </w:rPr>
        <w:t>očt</w:t>
      </w:r>
      <w:r>
        <w:rPr>
          <w:rFonts w:eastAsia="Times New Roman"/>
          <w:i/>
          <w:iCs/>
          <w:color w:val="000000"/>
          <w:sz w:val="22"/>
          <w:szCs w:val="20"/>
          <w:lang w:eastAsia="cs-CZ"/>
        </w:rPr>
        <w:t>em</w:t>
      </w:r>
      <w:r w:rsidRPr="00D57A8C">
        <w:rPr>
          <w:rFonts w:eastAsia="Times New Roman"/>
          <w:i/>
          <w:iCs/>
          <w:color w:val="000000"/>
          <w:sz w:val="22"/>
          <w:szCs w:val="20"/>
          <w:lang w:eastAsia="cs-CZ"/>
        </w:rPr>
        <w:t xml:space="preserve"> rodinných domů 1</w:t>
      </w:r>
      <w:r>
        <w:rPr>
          <w:rFonts w:eastAsia="Times New Roman"/>
          <w:i/>
          <w:iCs/>
          <w:color w:val="000000"/>
          <w:sz w:val="22"/>
          <w:szCs w:val="20"/>
          <w:lang w:eastAsia="cs-CZ"/>
        </w:rPr>
        <w:t> </w:t>
      </w:r>
      <w:r w:rsidRPr="00D57A8C">
        <w:rPr>
          <w:rFonts w:eastAsia="Times New Roman"/>
          <w:i/>
          <w:iCs/>
          <w:color w:val="000000"/>
          <w:sz w:val="22"/>
          <w:szCs w:val="20"/>
          <w:lang w:eastAsia="cs-CZ"/>
        </w:rPr>
        <w:t>700</w:t>
      </w:r>
      <w:r>
        <w:rPr>
          <w:rFonts w:eastAsia="Times New Roman"/>
          <w:i/>
          <w:iCs/>
          <w:color w:val="000000"/>
          <w:sz w:val="22"/>
          <w:szCs w:val="20"/>
          <w:lang w:eastAsia="cs-CZ"/>
        </w:rPr>
        <w:t>).</w:t>
      </w:r>
    </w:p>
    <w:p w:rsidR="008B023D" w:rsidRPr="008B023D" w:rsidRDefault="008B023D" w:rsidP="003E4A5D">
      <w:pPr>
        <w:pStyle w:val="Titulek"/>
      </w:pPr>
      <w:r>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9</w:t>
      </w:r>
      <w:r w:rsidR="00AB65E9">
        <w:rPr>
          <w:noProof/>
        </w:rPr>
        <w:fldChar w:fldCharType="end"/>
      </w:r>
      <w:r>
        <w:t xml:space="preserve">: </w:t>
      </w:r>
      <w:r w:rsidRPr="008B023D">
        <w:t xml:space="preserve">Celková doba </w:t>
      </w:r>
      <w:r w:rsidR="00F558C1">
        <w:t xml:space="preserve">správních </w:t>
      </w:r>
      <w:r w:rsidRPr="008B023D">
        <w:t>povolovacích procesů pro projekty ve výběrovém vzorku</w:t>
      </w:r>
      <w:r>
        <w:t>, které prošly celým povolovacím procesem</w:t>
      </w:r>
      <w:r w:rsidR="00F558C1">
        <w:t xml:space="preserve"> (bez soudního přezkumu)</w:t>
      </w:r>
    </w:p>
    <w:p w:rsidR="00D92381" w:rsidRDefault="00D92381" w:rsidP="003E4A5D">
      <w:pPr>
        <w:widowControl w:val="0"/>
        <w:spacing w:before="0" w:after="0"/>
        <w:rPr>
          <w:lang w:eastAsia="cs-CZ"/>
        </w:rPr>
      </w:pPr>
      <w:r w:rsidRPr="00D92381">
        <w:rPr>
          <w:noProof/>
          <w:lang w:eastAsia="cs-CZ"/>
        </w:rPr>
        <w:drawing>
          <wp:inline distT="0" distB="0" distL="0" distR="0" wp14:anchorId="07C07551" wp14:editId="7D614A69">
            <wp:extent cx="5760720" cy="3460750"/>
            <wp:effectExtent l="0" t="0" r="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blip>
                    <a:srcRect t="11667" b="1465"/>
                    <a:stretch/>
                  </pic:blipFill>
                  <pic:spPr bwMode="auto">
                    <a:xfrm>
                      <a:off x="0" y="0"/>
                      <a:ext cx="5760720" cy="3460750"/>
                    </a:xfrm>
                    <a:prstGeom prst="rect">
                      <a:avLst/>
                    </a:prstGeom>
                    <a:ln>
                      <a:noFill/>
                    </a:ln>
                    <a:extLst>
                      <a:ext uri="{53640926-AAD7-44D8-BBD7-CCE9431645EC}">
                        <a14:shadowObscured xmlns:a14="http://schemas.microsoft.com/office/drawing/2010/main"/>
                      </a:ext>
                    </a:extLst>
                  </pic:spPr>
                </pic:pic>
              </a:graphicData>
            </a:graphic>
          </wp:inline>
        </w:drawing>
      </w:r>
    </w:p>
    <w:p w:rsidR="00D92381" w:rsidRDefault="00D92381" w:rsidP="003E4A5D">
      <w:pPr>
        <w:pStyle w:val="Citt"/>
        <w:contextualSpacing/>
        <w:rPr>
          <w:highlight w:val="yellow"/>
        </w:rPr>
      </w:pPr>
      <w:r>
        <w:t>Zdroj: Deloitte</w:t>
      </w:r>
      <w:r w:rsidR="00D530AC">
        <w:t xml:space="preserve"> </w:t>
      </w:r>
    </w:p>
    <w:p w:rsidR="008B14D9" w:rsidRPr="00D57A8C" w:rsidRDefault="00D57A8C" w:rsidP="003E4A5D">
      <w:pPr>
        <w:widowControl w:val="0"/>
        <w:spacing w:before="0" w:after="0"/>
        <w:contextualSpacing/>
        <w:rPr>
          <w:rFonts w:eastAsia="Times New Roman"/>
          <w:i/>
          <w:iCs/>
          <w:color w:val="000000"/>
          <w:sz w:val="22"/>
          <w:szCs w:val="20"/>
          <w:lang w:eastAsia="cs-CZ"/>
        </w:rPr>
      </w:pPr>
      <w:r w:rsidRPr="00D57A8C">
        <w:rPr>
          <w:rFonts w:eastAsia="Times New Roman"/>
          <w:i/>
          <w:iCs/>
          <w:color w:val="000000"/>
          <w:sz w:val="22"/>
          <w:szCs w:val="20"/>
          <w:lang w:eastAsia="cs-CZ"/>
        </w:rPr>
        <w:t xml:space="preserve">Pozn.: </w:t>
      </w:r>
      <w:r w:rsidR="006B3635">
        <w:rPr>
          <w:rFonts w:eastAsia="Times New Roman"/>
          <w:i/>
          <w:iCs/>
          <w:color w:val="000000"/>
          <w:sz w:val="22"/>
          <w:szCs w:val="20"/>
          <w:lang w:eastAsia="cs-CZ"/>
        </w:rPr>
        <w:t>P</w:t>
      </w:r>
      <w:r w:rsidR="008B14D9" w:rsidRPr="00D57A8C">
        <w:rPr>
          <w:rFonts w:eastAsia="Times New Roman"/>
          <w:i/>
          <w:iCs/>
          <w:color w:val="000000"/>
          <w:sz w:val="22"/>
          <w:szCs w:val="20"/>
          <w:lang w:eastAsia="cs-CZ"/>
        </w:rPr>
        <w:t xml:space="preserve">očet rezidenčních projektů </w:t>
      </w:r>
      <w:r w:rsidRPr="00D57A8C">
        <w:rPr>
          <w:rFonts w:eastAsia="Times New Roman"/>
          <w:i/>
          <w:iCs/>
          <w:color w:val="000000"/>
          <w:sz w:val="22"/>
          <w:szCs w:val="20"/>
          <w:lang w:eastAsia="cs-CZ"/>
        </w:rPr>
        <w:t xml:space="preserve">ve vzorku </w:t>
      </w:r>
      <w:r>
        <w:rPr>
          <w:rFonts w:eastAsia="Times New Roman"/>
          <w:i/>
          <w:iCs/>
          <w:color w:val="000000"/>
          <w:sz w:val="22"/>
          <w:szCs w:val="20"/>
          <w:lang w:eastAsia="cs-CZ"/>
        </w:rPr>
        <w:t xml:space="preserve">činil </w:t>
      </w:r>
      <w:r w:rsidR="008B14D9" w:rsidRPr="00D57A8C">
        <w:rPr>
          <w:rFonts w:eastAsia="Times New Roman"/>
          <w:i/>
          <w:iCs/>
          <w:color w:val="000000"/>
          <w:sz w:val="22"/>
          <w:szCs w:val="20"/>
          <w:lang w:eastAsia="cs-CZ"/>
        </w:rPr>
        <w:t>celkem 844</w:t>
      </w:r>
      <w:r>
        <w:rPr>
          <w:rFonts w:eastAsia="Times New Roman"/>
          <w:i/>
          <w:iCs/>
          <w:color w:val="000000"/>
          <w:sz w:val="22"/>
          <w:szCs w:val="20"/>
          <w:lang w:eastAsia="cs-CZ"/>
        </w:rPr>
        <w:t xml:space="preserve"> (s celkovým počtem</w:t>
      </w:r>
      <w:r w:rsidRPr="00D57A8C">
        <w:rPr>
          <w:rFonts w:eastAsia="Times New Roman"/>
          <w:i/>
          <w:iCs/>
          <w:color w:val="000000"/>
          <w:sz w:val="22"/>
          <w:szCs w:val="20"/>
          <w:lang w:eastAsia="cs-CZ"/>
        </w:rPr>
        <w:t xml:space="preserve"> bytů 42 047 </w:t>
      </w:r>
      <w:r>
        <w:rPr>
          <w:rFonts w:eastAsia="Times New Roman"/>
          <w:i/>
          <w:iCs/>
          <w:color w:val="000000"/>
          <w:sz w:val="22"/>
          <w:szCs w:val="20"/>
          <w:lang w:eastAsia="cs-CZ"/>
        </w:rPr>
        <w:t>a p</w:t>
      </w:r>
      <w:r w:rsidRPr="00D57A8C">
        <w:rPr>
          <w:rFonts w:eastAsia="Times New Roman"/>
          <w:i/>
          <w:iCs/>
          <w:color w:val="000000"/>
          <w:sz w:val="22"/>
          <w:szCs w:val="20"/>
          <w:lang w:eastAsia="cs-CZ"/>
        </w:rPr>
        <w:t>očt</w:t>
      </w:r>
      <w:r>
        <w:rPr>
          <w:rFonts w:eastAsia="Times New Roman"/>
          <w:i/>
          <w:iCs/>
          <w:color w:val="000000"/>
          <w:sz w:val="22"/>
          <w:szCs w:val="20"/>
          <w:lang w:eastAsia="cs-CZ"/>
        </w:rPr>
        <w:t>em</w:t>
      </w:r>
      <w:r w:rsidRPr="00D57A8C">
        <w:rPr>
          <w:rFonts w:eastAsia="Times New Roman"/>
          <w:i/>
          <w:iCs/>
          <w:color w:val="000000"/>
          <w:sz w:val="22"/>
          <w:szCs w:val="20"/>
          <w:lang w:eastAsia="cs-CZ"/>
        </w:rPr>
        <w:t xml:space="preserve"> rodinných domů 1</w:t>
      </w:r>
      <w:r>
        <w:rPr>
          <w:rFonts w:eastAsia="Times New Roman"/>
          <w:i/>
          <w:iCs/>
          <w:color w:val="000000"/>
          <w:sz w:val="22"/>
          <w:szCs w:val="20"/>
          <w:lang w:eastAsia="cs-CZ"/>
        </w:rPr>
        <w:t> </w:t>
      </w:r>
      <w:r w:rsidRPr="00D57A8C">
        <w:rPr>
          <w:rFonts w:eastAsia="Times New Roman"/>
          <w:i/>
          <w:iCs/>
          <w:color w:val="000000"/>
          <w:sz w:val="22"/>
          <w:szCs w:val="20"/>
          <w:lang w:eastAsia="cs-CZ"/>
        </w:rPr>
        <w:t>700)</w:t>
      </w:r>
      <w:r>
        <w:rPr>
          <w:rFonts w:eastAsia="Times New Roman"/>
          <w:i/>
          <w:iCs/>
          <w:color w:val="000000"/>
          <w:sz w:val="22"/>
          <w:szCs w:val="20"/>
          <w:lang w:eastAsia="cs-CZ"/>
        </w:rPr>
        <w:t>;</w:t>
      </w:r>
      <w:r w:rsidR="00632837" w:rsidRPr="00D57A8C">
        <w:rPr>
          <w:rFonts w:eastAsia="Times New Roman"/>
          <w:i/>
          <w:iCs/>
          <w:color w:val="000000"/>
          <w:sz w:val="22"/>
          <w:szCs w:val="20"/>
          <w:lang w:eastAsia="cs-CZ"/>
        </w:rPr>
        <w:t xml:space="preserve"> </w:t>
      </w:r>
      <w:r w:rsidR="006B3635">
        <w:rPr>
          <w:rFonts w:eastAsia="Times New Roman"/>
          <w:i/>
          <w:iCs/>
          <w:color w:val="000000"/>
          <w:sz w:val="22"/>
          <w:szCs w:val="20"/>
          <w:lang w:eastAsia="cs-CZ"/>
        </w:rPr>
        <w:t xml:space="preserve">z toho </w:t>
      </w:r>
      <w:r w:rsidR="00632837" w:rsidRPr="00D57A8C">
        <w:rPr>
          <w:rFonts w:eastAsia="Times New Roman"/>
          <w:i/>
          <w:iCs/>
          <w:color w:val="000000"/>
          <w:sz w:val="22"/>
          <w:szCs w:val="20"/>
          <w:lang w:eastAsia="cs-CZ"/>
        </w:rPr>
        <w:t xml:space="preserve">projektů, které </w:t>
      </w:r>
      <w:r w:rsidR="006B3635">
        <w:rPr>
          <w:rFonts w:eastAsia="Times New Roman"/>
          <w:i/>
          <w:iCs/>
          <w:color w:val="000000"/>
          <w:sz w:val="22"/>
          <w:szCs w:val="20"/>
          <w:lang w:eastAsia="cs-CZ"/>
        </w:rPr>
        <w:t>prošly</w:t>
      </w:r>
      <w:r w:rsidR="00632837" w:rsidRPr="00D57A8C">
        <w:rPr>
          <w:rFonts w:eastAsia="Times New Roman"/>
          <w:i/>
          <w:iCs/>
          <w:color w:val="000000"/>
          <w:sz w:val="22"/>
          <w:szCs w:val="20"/>
          <w:lang w:eastAsia="cs-CZ"/>
        </w:rPr>
        <w:t xml:space="preserve"> celý</w:t>
      </w:r>
      <w:r w:rsidR="006B3635">
        <w:rPr>
          <w:rFonts w:eastAsia="Times New Roman"/>
          <w:i/>
          <w:iCs/>
          <w:color w:val="000000"/>
          <w:sz w:val="22"/>
          <w:szCs w:val="20"/>
          <w:lang w:eastAsia="cs-CZ"/>
        </w:rPr>
        <w:t>m</w:t>
      </w:r>
      <w:r w:rsidR="00632837" w:rsidRPr="00D57A8C">
        <w:rPr>
          <w:rFonts w:eastAsia="Times New Roman"/>
          <w:i/>
          <w:iCs/>
          <w:color w:val="000000"/>
          <w:sz w:val="22"/>
          <w:szCs w:val="20"/>
          <w:lang w:eastAsia="cs-CZ"/>
        </w:rPr>
        <w:t xml:space="preserve"> legislativní</w:t>
      </w:r>
      <w:r w:rsidR="006B3635">
        <w:rPr>
          <w:rFonts w:eastAsia="Times New Roman"/>
          <w:i/>
          <w:iCs/>
          <w:color w:val="000000"/>
          <w:sz w:val="22"/>
          <w:szCs w:val="20"/>
          <w:lang w:eastAsia="cs-CZ"/>
        </w:rPr>
        <w:t>m</w:t>
      </w:r>
      <w:r w:rsidR="00632837" w:rsidRPr="00D57A8C">
        <w:rPr>
          <w:rFonts w:eastAsia="Times New Roman"/>
          <w:i/>
          <w:iCs/>
          <w:color w:val="000000"/>
          <w:sz w:val="22"/>
          <w:szCs w:val="20"/>
          <w:lang w:eastAsia="cs-CZ"/>
        </w:rPr>
        <w:t xml:space="preserve"> proces</w:t>
      </w:r>
      <w:r w:rsidR="006B3635">
        <w:rPr>
          <w:rFonts w:eastAsia="Times New Roman"/>
          <w:i/>
          <w:iCs/>
          <w:color w:val="000000"/>
          <w:sz w:val="22"/>
          <w:szCs w:val="20"/>
          <w:lang w:eastAsia="cs-CZ"/>
        </w:rPr>
        <w:t>em</w:t>
      </w:r>
      <w:r>
        <w:rPr>
          <w:rFonts w:eastAsia="Times New Roman"/>
          <w:i/>
          <w:iCs/>
          <w:color w:val="000000"/>
          <w:sz w:val="22"/>
          <w:szCs w:val="20"/>
          <w:lang w:eastAsia="cs-CZ"/>
        </w:rPr>
        <w:t>,</w:t>
      </w:r>
      <w:r w:rsidRPr="00D57A8C">
        <w:rPr>
          <w:rFonts w:eastAsia="Times New Roman"/>
          <w:i/>
          <w:iCs/>
          <w:color w:val="000000"/>
          <w:sz w:val="22"/>
          <w:szCs w:val="20"/>
          <w:lang w:eastAsia="cs-CZ"/>
        </w:rPr>
        <w:t xml:space="preserve"> bylo 24</w:t>
      </w:r>
      <w:r w:rsidR="00B643D5">
        <w:rPr>
          <w:rFonts w:eastAsia="Times New Roman"/>
          <w:i/>
          <w:iCs/>
          <w:color w:val="000000"/>
          <w:sz w:val="22"/>
          <w:szCs w:val="20"/>
          <w:lang w:eastAsia="cs-CZ"/>
        </w:rPr>
        <w:t xml:space="preserve"> (3.736 bytů)</w:t>
      </w:r>
      <w:r w:rsidR="006B3635">
        <w:rPr>
          <w:rFonts w:eastAsia="Times New Roman"/>
          <w:i/>
          <w:iCs/>
          <w:color w:val="000000"/>
          <w:sz w:val="22"/>
          <w:szCs w:val="20"/>
          <w:lang w:eastAsia="cs-CZ"/>
        </w:rPr>
        <w:t>.</w:t>
      </w:r>
    </w:p>
    <w:p w:rsidR="00B714CF" w:rsidRDefault="00D4266B" w:rsidP="00D4266B">
      <w:pPr>
        <w:pStyle w:val="Nadpis4"/>
        <w:rPr>
          <w:lang w:eastAsia="cs-CZ"/>
        </w:rPr>
      </w:pPr>
      <w:bookmarkStart w:id="14" w:name="_Toc536553889"/>
      <w:r>
        <w:rPr>
          <w:lang w:eastAsia="cs-CZ"/>
        </w:rPr>
        <w:lastRenderedPageBreak/>
        <w:t>Problémy dle jednotlivých věcných okruhů</w:t>
      </w:r>
      <w:bookmarkEnd w:id="14"/>
    </w:p>
    <w:p w:rsidR="00F16D67" w:rsidRDefault="00F16D67" w:rsidP="003E4A5D">
      <w:pPr>
        <w:widowControl w:val="0"/>
        <w:rPr>
          <w:lang w:eastAsia="cs-CZ"/>
        </w:rPr>
      </w:pPr>
      <w:r w:rsidRPr="001205F2">
        <w:rPr>
          <w:lang w:eastAsia="cs-CZ"/>
        </w:rPr>
        <w:t xml:space="preserve">Následující část hodnocení dopadů detailněji rozvádí </w:t>
      </w:r>
      <w:r w:rsidR="0032110B" w:rsidRPr="001205F2">
        <w:rPr>
          <w:lang w:eastAsia="cs-CZ"/>
        </w:rPr>
        <w:t xml:space="preserve">současný stav a </w:t>
      </w:r>
      <w:r w:rsidRPr="001205F2">
        <w:rPr>
          <w:lang w:eastAsia="cs-CZ"/>
        </w:rPr>
        <w:t>problémy identifikované výše. Tato část vychází především z konzultací uskutečněných v průběhu zpracovávání hodnocení dopadů s jednotlivými dotčenými subjekty.</w:t>
      </w:r>
      <w:r w:rsidR="00D4266B" w:rsidRPr="001205F2">
        <w:rPr>
          <w:lang w:eastAsia="cs-CZ"/>
        </w:rPr>
        <w:t xml:space="preserve"> Seznam konzultovaných stran je uveden v závěrečné kapitole RIA </w:t>
      </w:r>
      <w:r w:rsidR="00D4266B" w:rsidRPr="001205F2">
        <w:rPr>
          <w:i/>
          <w:lang w:eastAsia="cs-CZ"/>
        </w:rPr>
        <w:t>7. Konzultace</w:t>
      </w:r>
      <w:r w:rsidR="00D4266B" w:rsidRPr="001205F2">
        <w:rPr>
          <w:lang w:eastAsia="cs-CZ"/>
        </w:rPr>
        <w:t>.</w:t>
      </w:r>
    </w:p>
    <w:p w:rsidR="00E05F37" w:rsidRPr="00D4266B" w:rsidRDefault="00E05F37" w:rsidP="00D4266B">
      <w:pPr>
        <w:pStyle w:val="Nadpis5"/>
      </w:pPr>
      <w:bookmarkStart w:id="15" w:name="_Toc536553890"/>
      <w:r w:rsidRPr="00D4266B">
        <w:t>Ú</w:t>
      </w:r>
      <w:r w:rsidR="00EF35D1" w:rsidRPr="00D4266B">
        <w:t>zemní plánování</w:t>
      </w:r>
      <w:bookmarkEnd w:id="15"/>
      <w:r w:rsidRPr="00D4266B">
        <w:t xml:space="preserve"> </w:t>
      </w:r>
    </w:p>
    <w:p w:rsidR="0045064F" w:rsidRPr="0045064F" w:rsidRDefault="0045064F" w:rsidP="003E4A5D">
      <w:pPr>
        <w:widowControl w:val="0"/>
      </w:pPr>
      <w:r w:rsidRPr="0045064F">
        <w:t xml:space="preserve">Územní plánování je proces, při </w:t>
      </w:r>
      <w:r w:rsidR="003B1185">
        <w:t xml:space="preserve">němž dochází k závaznému </w:t>
      </w:r>
      <w:r w:rsidR="00D236AD">
        <w:t xml:space="preserve">předpokládanému </w:t>
      </w:r>
      <w:r w:rsidR="003B1185">
        <w:t>určení</w:t>
      </w:r>
      <w:r w:rsidRPr="0045064F">
        <w:t xml:space="preserve"> způsob</w:t>
      </w:r>
      <w:r w:rsidR="003B1185">
        <w:t>u</w:t>
      </w:r>
      <w:r w:rsidR="002A1B2C">
        <w:t xml:space="preserve"> využití území, a to </w:t>
      </w:r>
      <w:r w:rsidRPr="0045064F">
        <w:t>na úrovni</w:t>
      </w:r>
    </w:p>
    <w:p w:rsidR="003B1185" w:rsidRDefault="00C85BD6" w:rsidP="009D4B5F">
      <w:pPr>
        <w:pStyle w:val="Odstavecseseznamem"/>
        <w:widowControl w:val="0"/>
        <w:numPr>
          <w:ilvl w:val="0"/>
          <w:numId w:val="54"/>
        </w:numPr>
        <w:ind w:left="284" w:hanging="284"/>
      </w:pPr>
      <w:r>
        <w:t>ČR</w:t>
      </w:r>
      <w:r w:rsidR="003B1185">
        <w:t xml:space="preserve"> – </w:t>
      </w:r>
      <w:r w:rsidR="00D236AD">
        <w:t>p</w:t>
      </w:r>
      <w:r w:rsidR="003B1185">
        <w:t>olitikou územního rozvoje</w:t>
      </w:r>
    </w:p>
    <w:p w:rsidR="003B1185" w:rsidRDefault="003B1185" w:rsidP="009D4B5F">
      <w:pPr>
        <w:pStyle w:val="Odstavecseseznamem"/>
        <w:widowControl w:val="0"/>
        <w:numPr>
          <w:ilvl w:val="0"/>
          <w:numId w:val="54"/>
        </w:numPr>
        <w:ind w:left="284" w:hanging="284"/>
      </w:pPr>
      <w:r>
        <w:t>Krajů – v </w:t>
      </w:r>
      <w:r w:rsidR="00D236AD">
        <w:t>z</w:t>
      </w:r>
      <w:r>
        <w:t xml:space="preserve">ásadách </w:t>
      </w:r>
      <w:r w:rsidRPr="0045064F">
        <w:t>územního rozvoje</w:t>
      </w:r>
    </w:p>
    <w:p w:rsidR="0045064F" w:rsidRPr="0045064F" w:rsidRDefault="0045064F" w:rsidP="009D4B5F">
      <w:pPr>
        <w:pStyle w:val="Odstavecseseznamem"/>
        <w:widowControl w:val="0"/>
        <w:numPr>
          <w:ilvl w:val="0"/>
          <w:numId w:val="54"/>
        </w:numPr>
        <w:ind w:left="284" w:hanging="284"/>
      </w:pPr>
      <w:r w:rsidRPr="0045064F">
        <w:t xml:space="preserve">obcí – </w:t>
      </w:r>
      <w:r w:rsidR="003B1185">
        <w:t>v</w:t>
      </w:r>
      <w:r w:rsidRPr="0045064F">
        <w:t xml:space="preserve"> územní</w:t>
      </w:r>
      <w:r w:rsidR="003B1185">
        <w:t>ch</w:t>
      </w:r>
      <w:r w:rsidRPr="0045064F">
        <w:t xml:space="preserve"> plán</w:t>
      </w:r>
      <w:r w:rsidR="003B1185">
        <w:t>ech, příp. regulačních plánech (v konkrétně vymezených plochách).</w:t>
      </w:r>
    </w:p>
    <w:p w:rsidR="0045064F" w:rsidRPr="0045064F" w:rsidRDefault="00D236AD" w:rsidP="003E4A5D">
      <w:pPr>
        <w:widowControl w:val="0"/>
      </w:pPr>
      <w:r>
        <w:t>V</w:t>
      </w:r>
      <w:r w:rsidR="003B1185">
        <w:t xml:space="preserve"> rámci těchto dokumentů </w:t>
      </w:r>
      <w:r>
        <w:t xml:space="preserve">se například </w:t>
      </w:r>
      <w:r w:rsidR="003B1185">
        <w:t xml:space="preserve">stanovuje, kudy povedou liniové dopravní stavby, </w:t>
      </w:r>
      <w:r w:rsidR="0045064F" w:rsidRPr="0045064F">
        <w:t xml:space="preserve">kde </w:t>
      </w:r>
      <w:r w:rsidR="003B1185">
        <w:t>lze</w:t>
      </w:r>
      <w:r w:rsidR="0045064F" w:rsidRPr="0045064F">
        <w:t xml:space="preserve"> vystav</w:t>
      </w:r>
      <w:r w:rsidR="003B1185">
        <w:t>ět</w:t>
      </w:r>
      <w:r w:rsidR="0045064F" w:rsidRPr="0045064F">
        <w:t xml:space="preserve"> průmyslov</w:t>
      </w:r>
      <w:r w:rsidR="003B1185">
        <w:t>ou</w:t>
      </w:r>
      <w:r w:rsidR="0045064F" w:rsidRPr="0045064F">
        <w:t xml:space="preserve"> zón</w:t>
      </w:r>
      <w:r w:rsidR="003B1185">
        <w:t>u</w:t>
      </w:r>
      <w:r w:rsidR="0045064F" w:rsidRPr="0045064F">
        <w:t xml:space="preserve">, </w:t>
      </w:r>
      <w:r w:rsidR="003B1185">
        <w:t>kam se může</w:t>
      </w:r>
      <w:r w:rsidR="0045064F" w:rsidRPr="0045064F">
        <w:t xml:space="preserve"> rozšiřovat zástavba rodinných domů v obci,</w:t>
      </w:r>
      <w:r w:rsidR="003B1185">
        <w:t xml:space="preserve"> kde lze postavit komerční nemovitost, školu či jiný objekt občanské vybavenosti </w:t>
      </w:r>
      <w:r w:rsidR="003A67F2">
        <w:t>atd.</w:t>
      </w:r>
    </w:p>
    <w:p w:rsidR="0045064F" w:rsidRPr="0045064F" w:rsidRDefault="001205F2" w:rsidP="003E4A5D">
      <w:pPr>
        <w:widowControl w:val="0"/>
      </w:pPr>
      <w:r>
        <w:t>Vyžaduje-li to zákon, jsou j</w:t>
      </w:r>
      <w:r w:rsidR="0045064F" w:rsidRPr="0045064F">
        <w:t xml:space="preserve">ednotlivé stavby </w:t>
      </w:r>
      <w:r>
        <w:t>umisťovány</w:t>
      </w:r>
      <w:r w:rsidR="003B1185">
        <w:t xml:space="preserve"> v</w:t>
      </w:r>
      <w:r w:rsidR="0045064F" w:rsidRPr="0045064F">
        <w:t xml:space="preserve"> územním </w:t>
      </w:r>
      <w:r>
        <w:t>řízení,</w:t>
      </w:r>
      <w:r w:rsidR="0045064F" w:rsidRPr="0045064F">
        <w:t xml:space="preserve"> </w:t>
      </w:r>
      <w:r>
        <w:t xml:space="preserve">povolovány </w:t>
      </w:r>
      <w:r w:rsidR="003B1185">
        <w:t xml:space="preserve">ve </w:t>
      </w:r>
      <w:r w:rsidR="0045064F" w:rsidRPr="0045064F">
        <w:t>stavebním</w:t>
      </w:r>
      <w:r>
        <w:t xml:space="preserve"> řízení</w:t>
      </w:r>
      <w:r w:rsidR="0045064F" w:rsidRPr="0045064F">
        <w:t xml:space="preserve"> </w:t>
      </w:r>
      <w:r w:rsidR="00A24CEA">
        <w:t xml:space="preserve">a </w:t>
      </w:r>
      <w:r>
        <w:t>užívány na základě kolaudačního souhlasu</w:t>
      </w:r>
      <w:r w:rsidR="0016039F">
        <w:t xml:space="preserve"> nebo kolaudačního rozhodnutí.</w:t>
      </w:r>
      <w:r>
        <w:t xml:space="preserve"> </w:t>
      </w:r>
      <w:r w:rsidR="0016039F">
        <w:t>Umisťovat stavby a jejich změny na k</w:t>
      </w:r>
      <w:r w:rsidR="003B1185">
        <w:t xml:space="preserve">onkrétní pozemky však lze </w:t>
      </w:r>
      <w:r w:rsidR="0016039F">
        <w:t xml:space="preserve">jen v souladu s </w:t>
      </w:r>
      <w:r w:rsidR="003B1185">
        <w:t xml:space="preserve">výše </w:t>
      </w:r>
      <w:r w:rsidR="0016039F">
        <w:t xml:space="preserve">uvedenými </w:t>
      </w:r>
      <w:r w:rsidR="003B1185">
        <w:t xml:space="preserve">územně </w:t>
      </w:r>
      <w:r w:rsidR="0016039F">
        <w:t>plánovacími dokumenty</w:t>
      </w:r>
      <w:r w:rsidR="00BD1262">
        <w:t>,</w:t>
      </w:r>
      <w:r w:rsidR="0016039F">
        <w:t xml:space="preserve"> nestanoví-li zá</w:t>
      </w:r>
      <w:r w:rsidR="00BD1262">
        <w:t>kon jinak</w:t>
      </w:r>
      <w:r w:rsidR="003B1185">
        <w:t>.</w:t>
      </w:r>
      <w:r w:rsidR="00612F53">
        <w:t xml:space="preserve"> Vlastní</w:t>
      </w:r>
      <w:r w:rsidR="00E61BDC">
        <w:t>ci</w:t>
      </w:r>
      <w:r w:rsidR="00612F53">
        <w:t xml:space="preserve"> pozemk</w:t>
      </w:r>
      <w:r w:rsidR="00E61BDC">
        <w:t xml:space="preserve">ů mohou v procesu pořizování územně plánovacích dokumentů vyjádřit svůj nesouhlas se zařazením pozemku (viz dále). </w:t>
      </w:r>
    </w:p>
    <w:p w:rsidR="00E61BDC" w:rsidRPr="00A120A2" w:rsidRDefault="0045064F" w:rsidP="003E4A5D">
      <w:pPr>
        <w:widowControl w:val="0"/>
        <w:rPr>
          <w:noProof/>
        </w:rPr>
      </w:pPr>
      <w:r w:rsidRPr="0045064F">
        <w:t xml:space="preserve">Při pořizování </w:t>
      </w:r>
      <w:r w:rsidR="00E61BDC">
        <w:t xml:space="preserve">územně </w:t>
      </w:r>
      <w:r w:rsidRPr="0045064F">
        <w:t>plánovací</w:t>
      </w:r>
      <w:r w:rsidR="00E61BDC">
        <w:t>ch</w:t>
      </w:r>
      <w:r w:rsidRPr="0045064F">
        <w:t xml:space="preserve"> dokument</w:t>
      </w:r>
      <w:r w:rsidR="00E61BDC">
        <w:t>ů</w:t>
      </w:r>
      <w:r w:rsidRPr="0045064F">
        <w:t xml:space="preserve"> se vychází z územně</w:t>
      </w:r>
      <w:r w:rsidR="00BD1262">
        <w:t xml:space="preserve"> </w:t>
      </w:r>
      <w:r w:rsidRPr="0045064F">
        <w:t>plánovacích podkladů.</w:t>
      </w:r>
      <w:r w:rsidR="00E61BDC">
        <w:t xml:space="preserve"> </w:t>
      </w:r>
      <w:r w:rsidR="00E61BDC" w:rsidRPr="00A120A2">
        <w:rPr>
          <w:noProof/>
        </w:rPr>
        <w:t>Územně plánovací podklady tvoří:</w:t>
      </w:r>
    </w:p>
    <w:p w:rsidR="00E61BDC" w:rsidRPr="0032110B" w:rsidRDefault="00E61BDC" w:rsidP="0066490C">
      <w:pPr>
        <w:pStyle w:val="Odstavecseseznamem"/>
        <w:widowControl w:val="0"/>
        <w:numPr>
          <w:ilvl w:val="0"/>
          <w:numId w:val="55"/>
        </w:numPr>
        <w:rPr>
          <w:noProof/>
        </w:rPr>
      </w:pPr>
      <w:r w:rsidRPr="0032110B">
        <w:rPr>
          <w:noProof/>
        </w:rPr>
        <w:t xml:space="preserve">Územně analytické podklady - obsahují zjištění a vyhodnocení stavu a vývoje území, jeho hodnot, omezení změn v území </w:t>
      </w:r>
      <w:r w:rsidR="00BD1262" w:rsidRPr="0032110B">
        <w:rPr>
          <w:noProof/>
        </w:rPr>
        <w:t>(</w:t>
      </w:r>
      <w:r w:rsidRPr="0032110B">
        <w:rPr>
          <w:noProof/>
        </w:rPr>
        <w:t xml:space="preserve">limity využití území), záměrů na provedení změn v území, </w:t>
      </w:r>
      <w:r w:rsidR="0066490C" w:rsidRPr="0066490C">
        <w:rPr>
          <w:noProof/>
        </w:rPr>
        <w:t xml:space="preserve">zjišťování a vyhodnocování udržitelného rozvoje území a určení problémů k řešení v </w:t>
      </w:r>
      <w:r w:rsidR="0066490C">
        <w:rPr>
          <w:noProof/>
        </w:rPr>
        <w:t>ÚPD</w:t>
      </w:r>
      <w:r w:rsidRPr="0032110B">
        <w:rPr>
          <w:noProof/>
        </w:rPr>
        <w:t xml:space="preserve">. Pořizuje je </w:t>
      </w:r>
      <w:r w:rsidR="002A1B2C">
        <w:rPr>
          <w:noProof/>
        </w:rPr>
        <w:t>úřad územního plánování</w:t>
      </w:r>
      <w:r w:rsidR="0025562E">
        <w:rPr>
          <w:noProof/>
        </w:rPr>
        <w:t xml:space="preserve">, kterým je </w:t>
      </w:r>
      <w:r w:rsidR="00BD1262">
        <w:rPr>
          <w:noProof/>
        </w:rPr>
        <w:t xml:space="preserve">obecní úřad </w:t>
      </w:r>
      <w:r w:rsidR="002A1B2C">
        <w:rPr>
          <w:noProof/>
        </w:rPr>
        <w:t>obec s </w:t>
      </w:r>
      <w:r w:rsidRPr="0032110B">
        <w:rPr>
          <w:noProof/>
        </w:rPr>
        <w:t>rozšířenou působností</w:t>
      </w:r>
      <w:r w:rsidR="0025562E">
        <w:rPr>
          <w:noProof/>
        </w:rPr>
        <w:t xml:space="preserve"> (OÚ ORP),</w:t>
      </w:r>
      <w:r w:rsidRPr="0032110B">
        <w:rPr>
          <w:noProof/>
        </w:rPr>
        <w:t xml:space="preserve"> pro svůj správní obvod, </w:t>
      </w:r>
      <w:r w:rsidR="0011409E">
        <w:rPr>
          <w:noProof/>
        </w:rPr>
        <w:t xml:space="preserve">újezdní úřad pro území vojenského újezdu, </w:t>
      </w:r>
      <w:r w:rsidRPr="0032110B">
        <w:rPr>
          <w:noProof/>
        </w:rPr>
        <w:t>krajský úřad pro území kraje</w:t>
      </w:r>
      <w:r w:rsidR="00292B9E">
        <w:rPr>
          <w:noProof/>
        </w:rPr>
        <w:t xml:space="preserve"> a</w:t>
      </w:r>
      <w:r w:rsidR="0066490C">
        <w:rPr>
          <w:noProof/>
        </w:rPr>
        <w:t> </w:t>
      </w:r>
      <w:r w:rsidR="006A3B48" w:rsidRPr="00A120A2">
        <w:rPr>
          <w:noProof/>
        </w:rPr>
        <w:t xml:space="preserve">Ministerstvo pro místní rozvoj </w:t>
      </w:r>
      <w:r w:rsidR="00E40466">
        <w:rPr>
          <w:noProof/>
        </w:rPr>
        <w:t>(MMR)</w:t>
      </w:r>
      <w:r w:rsidR="00F76FB3">
        <w:rPr>
          <w:noProof/>
        </w:rPr>
        <w:t xml:space="preserve"> v rozsahu nezbytném pro plnění svých úkolů</w:t>
      </w:r>
      <w:r w:rsidR="00292B9E">
        <w:rPr>
          <w:noProof/>
        </w:rPr>
        <w:t>.</w:t>
      </w:r>
    </w:p>
    <w:p w:rsidR="00E61BDC" w:rsidRDefault="00E61BDC" w:rsidP="009D4B5F">
      <w:pPr>
        <w:pStyle w:val="Odstavecseseznamem"/>
        <w:widowControl w:val="0"/>
        <w:numPr>
          <w:ilvl w:val="0"/>
          <w:numId w:val="55"/>
        </w:numPr>
        <w:rPr>
          <w:noProof/>
        </w:rPr>
      </w:pPr>
      <w:r w:rsidRPr="0032110B">
        <w:rPr>
          <w:noProof/>
        </w:rPr>
        <w:t>Územní studie - navrhuje, prověřuje a posuzuje možná řešení vybraných problémů, případně úprav nebo rozvoj některých funkčních systémů v území, například veřejné infrastruktury, územního systému ekologické stability, které by mohly významně ovlivňovat nebo podmiňovat využití a uspořádání území ne</w:t>
      </w:r>
      <w:r w:rsidRPr="00A120A2">
        <w:rPr>
          <w:noProof/>
        </w:rPr>
        <w:t>bo jejich vybraných částí.</w:t>
      </w:r>
      <w:r w:rsidRPr="00A120A2">
        <w:rPr>
          <w:i/>
          <w:noProof/>
        </w:rPr>
        <w:t xml:space="preserve"> </w:t>
      </w:r>
      <w:r w:rsidRPr="00A120A2">
        <w:rPr>
          <w:noProof/>
        </w:rPr>
        <w:t xml:space="preserve">Územní studie </w:t>
      </w:r>
      <w:r>
        <w:rPr>
          <w:noProof/>
        </w:rPr>
        <w:t>s</w:t>
      </w:r>
      <w:r w:rsidRPr="00A120A2">
        <w:rPr>
          <w:noProof/>
        </w:rPr>
        <w:t>louží k</w:t>
      </w:r>
      <w:r w:rsidR="00F873F1">
        <w:rPr>
          <w:noProof/>
        </w:rPr>
        <w:t> </w:t>
      </w:r>
      <w:r w:rsidRPr="00A120A2">
        <w:rPr>
          <w:noProof/>
        </w:rPr>
        <w:t>prověření různých rozvojov</w:t>
      </w:r>
      <w:r w:rsidR="00BD1262">
        <w:rPr>
          <w:noProof/>
        </w:rPr>
        <w:t>ých</w:t>
      </w:r>
      <w:r w:rsidRPr="00A120A2">
        <w:rPr>
          <w:noProof/>
        </w:rPr>
        <w:t xml:space="preserve"> aktivit v území</w:t>
      </w:r>
      <w:r w:rsidR="00BD1262">
        <w:rPr>
          <w:noProof/>
        </w:rPr>
        <w:t>.</w:t>
      </w:r>
    </w:p>
    <w:p w:rsidR="00E61BDC" w:rsidRDefault="00E61BDC" w:rsidP="003E4A5D">
      <w:pPr>
        <w:widowControl w:val="0"/>
      </w:pPr>
      <w:r>
        <w:t>Zjednodušeně řečeno tak ú</w:t>
      </w:r>
      <w:r w:rsidRPr="0045064F">
        <w:t>zemně analytick</w:t>
      </w:r>
      <w:r>
        <w:t>é</w:t>
      </w:r>
      <w:r w:rsidRPr="0045064F">
        <w:t xml:space="preserve"> podklad</w:t>
      </w:r>
      <w:r>
        <w:t>y odpovídají na otázku</w:t>
      </w:r>
      <w:r w:rsidRPr="0045064F">
        <w:t xml:space="preserve"> „</w:t>
      </w:r>
      <w:r>
        <w:t>jaký je současný stav</w:t>
      </w:r>
      <w:r w:rsidR="00BD1262">
        <w:t xml:space="preserve"> a jaké jsou problémy v území</w:t>
      </w:r>
      <w:r w:rsidRPr="0045064F">
        <w:t xml:space="preserve">“, </w:t>
      </w:r>
      <w:r>
        <w:t>ú</w:t>
      </w:r>
      <w:r w:rsidRPr="0045064F">
        <w:t xml:space="preserve">zemní studie </w:t>
      </w:r>
      <w:r>
        <w:t>řeší</w:t>
      </w:r>
      <w:r w:rsidRPr="0045064F">
        <w:t xml:space="preserve"> otázk</w:t>
      </w:r>
      <w:r>
        <w:t>y</w:t>
      </w:r>
      <w:r w:rsidRPr="0045064F">
        <w:t xml:space="preserve"> </w:t>
      </w:r>
      <w:r>
        <w:t xml:space="preserve">typu </w:t>
      </w:r>
      <w:r w:rsidRPr="0045064F">
        <w:t>„</w:t>
      </w:r>
      <w:r w:rsidR="00BD1262">
        <w:t>jak daný problém řešit</w:t>
      </w:r>
      <w:r w:rsidRPr="0045064F">
        <w:t xml:space="preserve">“. </w:t>
      </w:r>
    </w:p>
    <w:p w:rsidR="006A3B48" w:rsidRDefault="006A3B48" w:rsidP="003E4A5D">
      <w:pPr>
        <w:widowControl w:val="0"/>
      </w:pPr>
      <w:r w:rsidRPr="008443EA">
        <w:t xml:space="preserve">Územně plánovací podklady slouží jako podklad pro pořizování závazných územně plánovacích dokumentů a </w:t>
      </w:r>
      <w:r w:rsidR="008443EA" w:rsidRPr="008443EA">
        <w:t xml:space="preserve">jako podklad </w:t>
      </w:r>
      <w:r w:rsidR="008443EA">
        <w:t xml:space="preserve">pro </w:t>
      </w:r>
      <w:r w:rsidRPr="008443EA">
        <w:t>rozhodování v území.</w:t>
      </w:r>
    </w:p>
    <w:p w:rsidR="00E61BDC" w:rsidRPr="0032110B" w:rsidRDefault="00E61BDC" w:rsidP="00D4266B">
      <w:pPr>
        <w:pStyle w:val="Nadpis6"/>
        <w:rPr>
          <w:noProof/>
        </w:rPr>
      </w:pPr>
      <w:bookmarkStart w:id="16" w:name="_Toc536553891"/>
      <w:r w:rsidRPr="0032110B">
        <w:rPr>
          <w:noProof/>
        </w:rPr>
        <w:t>Politika územního rozvoje</w:t>
      </w:r>
      <w:r w:rsidR="007F4230" w:rsidRPr="0032110B">
        <w:rPr>
          <w:noProof/>
        </w:rPr>
        <w:t xml:space="preserve"> (PÚR)</w:t>
      </w:r>
      <w:bookmarkEnd w:id="16"/>
    </w:p>
    <w:p w:rsidR="00E61BDC" w:rsidRPr="00A120A2" w:rsidRDefault="00192039" w:rsidP="003E4A5D">
      <w:pPr>
        <w:widowControl w:val="0"/>
        <w:rPr>
          <w:noProof/>
        </w:rPr>
      </w:pPr>
      <w:r>
        <w:rPr>
          <w:noProof/>
        </w:rPr>
        <w:t>PÚR</w:t>
      </w:r>
      <w:r w:rsidR="00E61BDC" w:rsidRPr="00A120A2">
        <w:rPr>
          <w:noProof/>
        </w:rPr>
        <w:t xml:space="preserve"> pořizuje </w:t>
      </w:r>
      <w:r w:rsidR="00E61BDC">
        <w:rPr>
          <w:noProof/>
        </w:rPr>
        <w:t xml:space="preserve">MMR </w:t>
      </w:r>
      <w:r w:rsidR="00E61BDC" w:rsidRPr="00A120A2">
        <w:rPr>
          <w:noProof/>
        </w:rPr>
        <w:t xml:space="preserve">pro celé území </w:t>
      </w:r>
      <w:r w:rsidR="00C85BD6">
        <w:t>ČR</w:t>
      </w:r>
      <w:r w:rsidR="00E61BDC" w:rsidRPr="00A120A2">
        <w:rPr>
          <w:noProof/>
        </w:rPr>
        <w:t xml:space="preserve"> a schvaluje ji vláda. </w:t>
      </w:r>
      <w:r>
        <w:rPr>
          <w:noProof/>
        </w:rPr>
        <w:t>PÚR</w:t>
      </w:r>
      <w:r w:rsidR="00E61BDC" w:rsidRPr="00A120A2">
        <w:rPr>
          <w:noProof/>
        </w:rPr>
        <w:t xml:space="preserve"> je závazná pro pořizování a</w:t>
      </w:r>
      <w:r>
        <w:rPr>
          <w:noProof/>
        </w:rPr>
        <w:t> </w:t>
      </w:r>
      <w:r w:rsidR="00E61BDC" w:rsidRPr="00A120A2">
        <w:rPr>
          <w:noProof/>
        </w:rPr>
        <w:t xml:space="preserve">vydávání </w:t>
      </w:r>
      <w:r>
        <w:rPr>
          <w:noProof/>
        </w:rPr>
        <w:t>ZÚR</w:t>
      </w:r>
      <w:r w:rsidR="00E61BDC" w:rsidRPr="00A120A2">
        <w:rPr>
          <w:noProof/>
        </w:rPr>
        <w:t xml:space="preserve">, </w:t>
      </w:r>
      <w:r>
        <w:rPr>
          <w:noProof/>
        </w:rPr>
        <w:t>ÚP</w:t>
      </w:r>
      <w:r w:rsidR="008443EA">
        <w:rPr>
          <w:noProof/>
        </w:rPr>
        <w:t xml:space="preserve">, </w:t>
      </w:r>
      <w:r w:rsidR="00E61BDC" w:rsidRPr="00A120A2">
        <w:rPr>
          <w:noProof/>
        </w:rPr>
        <w:t>regulačních plánů</w:t>
      </w:r>
      <w:r w:rsidR="005D728A">
        <w:rPr>
          <w:noProof/>
        </w:rPr>
        <w:t xml:space="preserve"> a </w:t>
      </w:r>
      <w:r w:rsidR="008443EA">
        <w:rPr>
          <w:noProof/>
        </w:rPr>
        <w:t xml:space="preserve">pro </w:t>
      </w:r>
      <w:r w:rsidR="005D728A">
        <w:rPr>
          <w:noProof/>
        </w:rPr>
        <w:t>rozhodování v</w:t>
      </w:r>
      <w:r>
        <w:rPr>
          <w:noProof/>
        </w:rPr>
        <w:t> </w:t>
      </w:r>
      <w:r w:rsidR="005D728A">
        <w:rPr>
          <w:noProof/>
        </w:rPr>
        <w:t>území</w:t>
      </w:r>
      <w:r w:rsidR="00E61BDC" w:rsidRPr="00A120A2">
        <w:rPr>
          <w:noProof/>
        </w:rPr>
        <w:t>.</w:t>
      </w:r>
    </w:p>
    <w:p w:rsidR="00E61BDC" w:rsidRDefault="00E61BDC" w:rsidP="003E4A5D">
      <w:pPr>
        <w:widowControl w:val="0"/>
        <w:rPr>
          <w:noProof/>
        </w:rPr>
      </w:pPr>
      <w:r w:rsidRPr="00A120A2">
        <w:rPr>
          <w:noProof/>
        </w:rPr>
        <w:t xml:space="preserve">Význam </w:t>
      </w:r>
      <w:r w:rsidR="006639E4" w:rsidRPr="0032110B">
        <w:rPr>
          <w:noProof/>
        </w:rPr>
        <w:t>PÚR</w:t>
      </w:r>
      <w:r w:rsidR="006639E4" w:rsidRPr="00A120A2" w:rsidDel="006639E4">
        <w:rPr>
          <w:noProof/>
        </w:rPr>
        <w:t xml:space="preserve"> </w:t>
      </w:r>
      <w:r w:rsidRPr="00A120A2">
        <w:rPr>
          <w:noProof/>
        </w:rPr>
        <w:t xml:space="preserve">spočívá především ve vymezení ploch a koridorů pro </w:t>
      </w:r>
      <w:r>
        <w:rPr>
          <w:noProof/>
        </w:rPr>
        <w:t xml:space="preserve">důležité </w:t>
      </w:r>
      <w:r w:rsidR="00751B58">
        <w:rPr>
          <w:noProof/>
        </w:rPr>
        <w:t xml:space="preserve">(nejen) </w:t>
      </w:r>
      <w:r>
        <w:rPr>
          <w:noProof/>
        </w:rPr>
        <w:t xml:space="preserve">infrastukturní stavby </w:t>
      </w:r>
      <w:r w:rsidRPr="00A120A2">
        <w:rPr>
          <w:noProof/>
        </w:rPr>
        <w:t xml:space="preserve">mezinárodního, republikového a nadregionálního významu. </w:t>
      </w:r>
      <w:r w:rsidR="006639E4" w:rsidRPr="0032110B">
        <w:rPr>
          <w:noProof/>
        </w:rPr>
        <w:t>PÚR</w:t>
      </w:r>
      <w:r w:rsidR="00FD6552">
        <w:rPr>
          <w:noProof/>
        </w:rPr>
        <w:t xml:space="preserve"> určuje ve stanoveném období požadavky na konkretizaci úkolů územního plánování v republikových, </w:t>
      </w:r>
      <w:r w:rsidR="00FD6552">
        <w:rPr>
          <w:noProof/>
        </w:rPr>
        <w:lastRenderedPageBreak/>
        <w:t>přeshraničních a mezinárodních souvislostech, zejména s ohledem na udržitelný rozvoj území, a</w:t>
      </w:r>
      <w:r w:rsidR="00192039">
        <w:rPr>
          <w:noProof/>
        </w:rPr>
        <w:t> </w:t>
      </w:r>
      <w:r w:rsidR="00FD6552">
        <w:rPr>
          <w:noProof/>
        </w:rPr>
        <w:t>určuje strategii a základní podmínky pro naplňování těchto úkolů.</w:t>
      </w:r>
      <w:r w:rsidR="001704C8">
        <w:rPr>
          <w:noProof/>
        </w:rPr>
        <w:t xml:space="preserve"> </w:t>
      </w:r>
      <w:r w:rsidR="006639E4" w:rsidRPr="0032110B">
        <w:rPr>
          <w:noProof/>
        </w:rPr>
        <w:t>PÚR</w:t>
      </w:r>
      <w:r w:rsidR="00FD6552">
        <w:rPr>
          <w:noProof/>
        </w:rPr>
        <w:t xml:space="preserve"> s ohledem na možnosti území koordinuje tvorbu a aktualizaci </w:t>
      </w:r>
      <w:r w:rsidR="00356F70">
        <w:rPr>
          <w:noProof/>
        </w:rPr>
        <w:t>ZÚR</w:t>
      </w:r>
      <w:r w:rsidR="00FD6552">
        <w:rPr>
          <w:noProof/>
        </w:rPr>
        <w:t xml:space="preserve">, </w:t>
      </w:r>
      <w:r w:rsidR="00B648AF">
        <w:rPr>
          <w:noProof/>
        </w:rPr>
        <w:t xml:space="preserve">tvorbu a změny </w:t>
      </w:r>
      <w:r w:rsidR="00356F70">
        <w:rPr>
          <w:noProof/>
        </w:rPr>
        <w:t>ÚP</w:t>
      </w:r>
      <w:r w:rsidR="00B648AF">
        <w:rPr>
          <w:noProof/>
        </w:rPr>
        <w:t xml:space="preserve"> a</w:t>
      </w:r>
      <w:r w:rsidR="00192039">
        <w:rPr>
          <w:noProof/>
        </w:rPr>
        <w:t> </w:t>
      </w:r>
      <w:r w:rsidR="00B648AF">
        <w:rPr>
          <w:noProof/>
        </w:rPr>
        <w:t xml:space="preserve">regulačních plánů, </w:t>
      </w:r>
      <w:r w:rsidR="00FD6552">
        <w:rPr>
          <w:noProof/>
        </w:rPr>
        <w:t>tvorbu koncepcí schvalovaných ministerstvy a jinými ústředními správními úřady</w:t>
      </w:r>
      <w:r w:rsidR="00B648AF">
        <w:rPr>
          <w:noProof/>
        </w:rPr>
        <w:t>, které mají územní půmět řešitelný územním plánováním,</w:t>
      </w:r>
      <w:r w:rsidR="00FD6552">
        <w:rPr>
          <w:noProof/>
        </w:rPr>
        <w:t xml:space="preserve"> a stanoví úkoly zajišťující tuto koordinaci.</w:t>
      </w:r>
    </w:p>
    <w:p w:rsidR="00192741" w:rsidRDefault="00192741" w:rsidP="003E4A5D">
      <w:pPr>
        <w:widowControl w:val="0"/>
      </w:pPr>
      <w:r w:rsidRPr="00192741">
        <w:t xml:space="preserve">K návrhu </w:t>
      </w:r>
      <w:r w:rsidR="006639E4" w:rsidRPr="0032110B">
        <w:rPr>
          <w:noProof/>
        </w:rPr>
        <w:t>PÚR</w:t>
      </w:r>
      <w:r w:rsidRPr="00192741">
        <w:t xml:space="preserve"> </w:t>
      </w:r>
      <w:r w:rsidR="006639E4">
        <w:t>MMR</w:t>
      </w:r>
      <w:r w:rsidR="006639E4" w:rsidRPr="00192741">
        <w:t xml:space="preserve"> </w:t>
      </w:r>
      <w:r w:rsidRPr="00192741">
        <w:t>zajistí vyhodnocení vlivů na udržitelný rozvoj území. Ve vyhodnocení vlivů na životní prostředí se popíš</w:t>
      </w:r>
      <w:r w:rsidR="00E83E57">
        <w:t>í</w:t>
      </w:r>
      <w:r w:rsidRPr="00192741">
        <w:t xml:space="preserve"> </w:t>
      </w:r>
      <w:r w:rsidRPr="0089636C">
        <w:t xml:space="preserve">a vyhodnotí zjištěné a předpokládané závažné vlivy </w:t>
      </w:r>
      <w:r w:rsidR="006639E4" w:rsidRPr="00FD656C">
        <w:rPr>
          <w:noProof/>
        </w:rPr>
        <w:t>PÚR</w:t>
      </w:r>
      <w:r w:rsidRPr="00FD656C">
        <w:t xml:space="preserve"> na životní prostředí a přijatelné alternativy naplňující cíle </w:t>
      </w:r>
      <w:r w:rsidR="00356F70" w:rsidRPr="00FD656C">
        <w:t>PÚR</w:t>
      </w:r>
      <w:r w:rsidRPr="0089636C">
        <w:t>.</w:t>
      </w:r>
    </w:p>
    <w:p w:rsidR="00751B58" w:rsidRDefault="00E61BDC" w:rsidP="003E4A5D">
      <w:pPr>
        <w:widowControl w:val="0"/>
      </w:pPr>
      <w:r w:rsidRPr="0045064F">
        <w:t xml:space="preserve">K návrhu </w:t>
      </w:r>
      <w:r w:rsidR="006639E4" w:rsidRPr="0032110B">
        <w:rPr>
          <w:noProof/>
        </w:rPr>
        <w:t>PÚR</w:t>
      </w:r>
      <w:r w:rsidRPr="0045064F">
        <w:t xml:space="preserve"> se </w:t>
      </w:r>
      <w:r>
        <w:t>lze</w:t>
      </w:r>
      <w:r w:rsidRPr="0045064F">
        <w:t xml:space="preserve"> vyjádřit formou připomínek. </w:t>
      </w:r>
      <w:r w:rsidR="00751B58">
        <w:t>MMR</w:t>
      </w:r>
      <w:r w:rsidR="00751B58" w:rsidRPr="00751B58">
        <w:t xml:space="preserve"> zašle návrh politiky územního rozvoje spolu s vyhodnocením vlivů na udržitelný rozvoj území ministerstvům, jiným ústředním správním úřadům a krajům, které mohou uplatnit svá stanoviska do 60 dnů po obdržení návrhu </w:t>
      </w:r>
      <w:r w:rsidR="00DD6EF5">
        <w:t>PÚR</w:t>
      </w:r>
      <w:r w:rsidR="00751B58" w:rsidRPr="00751B58">
        <w:t xml:space="preserve">. </w:t>
      </w:r>
      <w:r w:rsidR="00751B58">
        <w:t xml:space="preserve">MMR na internetu zveřejní návrh </w:t>
      </w:r>
      <w:r w:rsidR="006639E4" w:rsidRPr="0032110B">
        <w:rPr>
          <w:noProof/>
        </w:rPr>
        <w:t>PÚR</w:t>
      </w:r>
      <w:r w:rsidR="00751B58">
        <w:t xml:space="preserve"> včetně vyhodnocení vlivů na udržitelný rozvoj území, oznámí místo a dobu konání veřejného projednání nejméně 30 dnů předem a stanoví lhůtu pro pod</w:t>
      </w:r>
      <w:r w:rsidR="002A1B2C">
        <w:t>ání písemných připomínek obcí a </w:t>
      </w:r>
      <w:r w:rsidR="00751B58">
        <w:t xml:space="preserve">veřejnosti, která nesmí být kratší než 30 dnů ode dne veřejného projednání. Připomínky se podávají </w:t>
      </w:r>
      <w:r w:rsidR="006639E4">
        <w:t>MMR</w:t>
      </w:r>
      <w:r w:rsidR="00751B58">
        <w:t xml:space="preserve">. </w:t>
      </w:r>
      <w:r w:rsidR="006639E4" w:rsidRPr="0032110B">
        <w:rPr>
          <w:noProof/>
        </w:rPr>
        <w:t>PÚR</w:t>
      </w:r>
      <w:r w:rsidR="00751B58">
        <w:t xml:space="preserve"> finálně schvaluje vláda.</w:t>
      </w:r>
    </w:p>
    <w:p w:rsidR="00E61BDC" w:rsidRPr="0045064F" w:rsidRDefault="00E61BDC" w:rsidP="003E4A5D">
      <w:pPr>
        <w:widowControl w:val="0"/>
      </w:pPr>
      <w:r w:rsidRPr="0045064F">
        <w:t xml:space="preserve">Jednou za 4 roky zpracovává </w:t>
      </w:r>
      <w:r w:rsidR="00751B58">
        <w:t>MMR</w:t>
      </w:r>
      <w:r w:rsidRPr="0045064F">
        <w:t xml:space="preserve"> zprávu o uplatňování </w:t>
      </w:r>
      <w:r w:rsidR="00237669" w:rsidRPr="0032110B">
        <w:rPr>
          <w:noProof/>
        </w:rPr>
        <w:t>PÚR</w:t>
      </w:r>
      <w:r w:rsidR="00751B58">
        <w:t xml:space="preserve">. </w:t>
      </w:r>
      <w:r w:rsidR="00B9160C">
        <w:t>N</w:t>
      </w:r>
      <w:r w:rsidRPr="0045064F">
        <w:t xml:space="preserve">ávrh zprávy </w:t>
      </w:r>
      <w:r w:rsidR="00B9160C">
        <w:t>lze</w:t>
      </w:r>
      <w:r w:rsidRPr="0045064F">
        <w:t xml:space="preserve"> </w:t>
      </w:r>
      <w:r w:rsidR="00751B58">
        <w:t>také</w:t>
      </w:r>
      <w:r w:rsidRPr="0045064F">
        <w:t xml:space="preserve"> </w:t>
      </w:r>
      <w:r w:rsidR="00B9160C">
        <w:t>připomínkovat</w:t>
      </w:r>
      <w:r w:rsidRPr="0045064F">
        <w:t xml:space="preserve">. Na základě </w:t>
      </w:r>
      <w:r w:rsidR="00B9160C">
        <w:t xml:space="preserve">této </w:t>
      </w:r>
      <w:r w:rsidRPr="0045064F">
        <w:t xml:space="preserve">zprávy může vláda rozhodnout o </w:t>
      </w:r>
      <w:r w:rsidR="00B9160C">
        <w:t>potřebě</w:t>
      </w:r>
      <w:r w:rsidRPr="0045064F">
        <w:t xml:space="preserve"> </w:t>
      </w:r>
      <w:r w:rsidR="00237669" w:rsidRPr="0032110B">
        <w:rPr>
          <w:noProof/>
        </w:rPr>
        <w:t>PÚR</w:t>
      </w:r>
      <w:r w:rsidRPr="0045064F">
        <w:t xml:space="preserve"> aktualizovat</w:t>
      </w:r>
      <w:r w:rsidR="00751B58">
        <w:t xml:space="preserve"> či dokonce přepracovat</w:t>
      </w:r>
      <w:r w:rsidRPr="0045064F">
        <w:t>.</w:t>
      </w:r>
    </w:p>
    <w:p w:rsidR="00E61BDC" w:rsidRPr="0045064F" w:rsidRDefault="00751B58" w:rsidP="003E4A5D">
      <w:pPr>
        <w:widowControl w:val="0"/>
      </w:pPr>
      <w:r>
        <w:t xml:space="preserve">Aktuální </w:t>
      </w:r>
      <w:r w:rsidR="00237669" w:rsidRPr="0032110B">
        <w:rPr>
          <w:noProof/>
        </w:rPr>
        <w:t>PÚR</w:t>
      </w:r>
      <w:r w:rsidR="00E61BDC" w:rsidRPr="0045064F">
        <w:t xml:space="preserve"> byla vládou schválena v roce 2009. </w:t>
      </w:r>
      <w:r w:rsidR="00B9160C">
        <w:t>V říjnu 2014 pořídilo MMR</w:t>
      </w:r>
      <w:r w:rsidR="00E61BDC" w:rsidRPr="0045064F">
        <w:t xml:space="preserve"> návrh Aktualizace č. 1 </w:t>
      </w:r>
      <w:r w:rsidR="00237669" w:rsidRPr="0032110B">
        <w:rPr>
          <w:noProof/>
        </w:rPr>
        <w:t>PÚR</w:t>
      </w:r>
      <w:r w:rsidR="00E61BDC" w:rsidRPr="0045064F">
        <w:t xml:space="preserve">. Vláda předloženou aktualizaci schválila v dubnu </w:t>
      </w:r>
      <w:r w:rsidR="00B9160C">
        <w:t>následujícího roku</w:t>
      </w:r>
      <w:r w:rsidR="00E61BDC" w:rsidRPr="0045064F">
        <w:t>.</w:t>
      </w:r>
      <w:r w:rsidR="00237669">
        <w:t xml:space="preserve"> V současné době se zpracovává další zpráva o uplatňování </w:t>
      </w:r>
      <w:r w:rsidR="00237669" w:rsidRPr="0032110B">
        <w:rPr>
          <w:noProof/>
        </w:rPr>
        <w:t>PÚR</w:t>
      </w:r>
      <w:r w:rsidR="00237669">
        <w:rPr>
          <w:noProof/>
        </w:rPr>
        <w:t>.</w:t>
      </w:r>
    </w:p>
    <w:p w:rsidR="00E61BDC" w:rsidRPr="00A120A2" w:rsidRDefault="00237669" w:rsidP="003E4A5D">
      <w:pPr>
        <w:widowControl w:val="0"/>
        <w:rPr>
          <w:noProof/>
        </w:rPr>
      </w:pPr>
      <w:r w:rsidRPr="0032110B">
        <w:rPr>
          <w:noProof/>
        </w:rPr>
        <w:t>PÚR</w:t>
      </w:r>
      <w:r w:rsidR="00E61BDC" w:rsidRPr="00A120A2">
        <w:rPr>
          <w:noProof/>
        </w:rPr>
        <w:t xml:space="preserve"> je nepřezkoumatelný dokument. V praxi tento fakt </w:t>
      </w:r>
      <w:r w:rsidR="00B9160C">
        <w:rPr>
          <w:noProof/>
        </w:rPr>
        <w:t>znamená, že</w:t>
      </w:r>
      <w:r w:rsidR="00E61BDC" w:rsidRPr="00A120A2">
        <w:rPr>
          <w:noProof/>
        </w:rPr>
        <w:t xml:space="preserve"> </w:t>
      </w:r>
      <w:r w:rsidR="00B9160C">
        <w:rPr>
          <w:noProof/>
        </w:rPr>
        <w:t>nelze</w:t>
      </w:r>
      <w:r w:rsidR="00E61BDC" w:rsidRPr="00A120A2">
        <w:rPr>
          <w:noProof/>
        </w:rPr>
        <w:t xml:space="preserve"> napad</w:t>
      </w:r>
      <w:r w:rsidR="00B9160C">
        <w:rPr>
          <w:noProof/>
        </w:rPr>
        <w:t>nout</w:t>
      </w:r>
      <w:r w:rsidR="00E61BDC" w:rsidRPr="00A120A2">
        <w:rPr>
          <w:noProof/>
        </w:rPr>
        <w:t xml:space="preserve"> koncepční záměr </w:t>
      </w:r>
      <w:r w:rsidR="00B9160C">
        <w:rPr>
          <w:noProof/>
        </w:rPr>
        <w:t xml:space="preserve">stavby </w:t>
      </w:r>
      <w:r w:rsidR="00E61BDC" w:rsidRPr="00A120A2">
        <w:rPr>
          <w:noProof/>
        </w:rPr>
        <w:t>jako takov</w:t>
      </w:r>
      <w:r w:rsidR="00B9160C">
        <w:rPr>
          <w:noProof/>
        </w:rPr>
        <w:t>ý</w:t>
      </w:r>
      <w:r w:rsidR="00E61BDC" w:rsidRPr="00A120A2">
        <w:rPr>
          <w:noProof/>
        </w:rPr>
        <w:t xml:space="preserve"> a posouvá tak možné právní střety na úroveň </w:t>
      </w:r>
      <w:r w:rsidR="00DD6EF5">
        <w:rPr>
          <w:noProof/>
        </w:rPr>
        <w:t>ZÚR případně ÚP.</w:t>
      </w:r>
      <w:r>
        <w:rPr>
          <w:noProof/>
        </w:rPr>
        <w:t xml:space="preserve"> </w:t>
      </w:r>
    </w:p>
    <w:p w:rsidR="00E61BDC" w:rsidRPr="0032110B" w:rsidRDefault="00E61BDC" w:rsidP="00D4266B">
      <w:pPr>
        <w:pStyle w:val="Nadpis6"/>
        <w:rPr>
          <w:noProof/>
        </w:rPr>
      </w:pPr>
      <w:bookmarkStart w:id="17" w:name="_Toc536553892"/>
      <w:r w:rsidRPr="0032110B">
        <w:rPr>
          <w:noProof/>
        </w:rPr>
        <w:t>Zásady územního rozvoje</w:t>
      </w:r>
      <w:r w:rsidR="007F4230" w:rsidRPr="0032110B">
        <w:rPr>
          <w:noProof/>
        </w:rPr>
        <w:t xml:space="preserve"> (ZÚR)</w:t>
      </w:r>
      <w:bookmarkEnd w:id="17"/>
    </w:p>
    <w:p w:rsidR="00624334" w:rsidRPr="00A120A2" w:rsidRDefault="00237669" w:rsidP="003E4A5D">
      <w:pPr>
        <w:widowControl w:val="0"/>
        <w:rPr>
          <w:noProof/>
        </w:rPr>
      </w:pPr>
      <w:r>
        <w:t>ZÚR</w:t>
      </w:r>
      <w:r w:rsidRPr="00A120A2" w:rsidDel="00237669">
        <w:rPr>
          <w:noProof/>
        </w:rPr>
        <w:t xml:space="preserve"> </w:t>
      </w:r>
      <w:r w:rsidR="00E60887" w:rsidRPr="00A120A2">
        <w:rPr>
          <w:noProof/>
        </w:rPr>
        <w:t xml:space="preserve">zpřesňují požadavky stanovené v </w:t>
      </w:r>
      <w:r>
        <w:rPr>
          <w:noProof/>
        </w:rPr>
        <w:t>PÚR</w:t>
      </w:r>
      <w:r w:rsidR="00E60887" w:rsidRPr="00A120A2">
        <w:rPr>
          <w:noProof/>
        </w:rPr>
        <w:t xml:space="preserve"> pro celé území kraje. </w:t>
      </w:r>
      <w:r w:rsidR="00E60887">
        <w:rPr>
          <w:noProof/>
        </w:rPr>
        <w:t>V</w:t>
      </w:r>
      <w:r w:rsidR="00E60887" w:rsidRPr="00A120A2">
        <w:rPr>
          <w:noProof/>
        </w:rPr>
        <w:t>ymez</w:t>
      </w:r>
      <w:r w:rsidR="00E60887">
        <w:rPr>
          <w:noProof/>
        </w:rPr>
        <w:t xml:space="preserve">ují </w:t>
      </w:r>
      <w:r w:rsidR="008201FA" w:rsidRPr="008201FA">
        <w:rPr>
          <w:noProof/>
        </w:rPr>
        <w:t>například</w:t>
      </w:r>
      <w:r w:rsidR="00E60887" w:rsidRPr="00A120A2">
        <w:rPr>
          <w:noProof/>
        </w:rPr>
        <w:t xml:space="preserve"> plochy </w:t>
      </w:r>
      <w:r>
        <w:rPr>
          <w:noProof/>
        </w:rPr>
        <w:t>a </w:t>
      </w:r>
      <w:r w:rsidR="00E60887" w:rsidRPr="00A120A2">
        <w:rPr>
          <w:noProof/>
        </w:rPr>
        <w:t>koridory nadmístního významu</w:t>
      </w:r>
      <w:r w:rsidR="00E60887">
        <w:rPr>
          <w:noProof/>
        </w:rPr>
        <w:t>,</w:t>
      </w:r>
      <w:r w:rsidR="00E60887" w:rsidRPr="00A120A2">
        <w:rPr>
          <w:noProof/>
        </w:rPr>
        <w:t xml:space="preserve"> plochy nebo koridory pro veřejně prospěšné stavby, veřejně prospěšná opatření</w:t>
      </w:r>
      <w:r w:rsidR="00E60887">
        <w:rPr>
          <w:noProof/>
        </w:rPr>
        <w:t xml:space="preserve"> apod</w:t>
      </w:r>
      <w:r w:rsidR="00E60887" w:rsidRPr="00A120A2">
        <w:rPr>
          <w:noProof/>
        </w:rPr>
        <w:t xml:space="preserve">. </w:t>
      </w:r>
      <w:r>
        <w:rPr>
          <w:noProof/>
        </w:rPr>
        <w:t>Pořizování (p</w:t>
      </w:r>
      <w:r w:rsidR="00E60887" w:rsidRPr="00A120A2">
        <w:rPr>
          <w:noProof/>
        </w:rPr>
        <w:t>říprava</w:t>
      </w:r>
      <w:r>
        <w:rPr>
          <w:noProof/>
        </w:rPr>
        <w:t>)</w:t>
      </w:r>
      <w:r w:rsidR="00E60887" w:rsidRPr="00A120A2">
        <w:rPr>
          <w:noProof/>
        </w:rPr>
        <w:t xml:space="preserve"> Z</w:t>
      </w:r>
      <w:r w:rsidR="00E83E57">
        <w:rPr>
          <w:noProof/>
        </w:rPr>
        <w:t>ÚR</w:t>
      </w:r>
      <w:r w:rsidR="00E60887" w:rsidRPr="00A120A2">
        <w:rPr>
          <w:noProof/>
        </w:rPr>
        <w:t xml:space="preserve"> je svěřena krajskému úřadu a </w:t>
      </w:r>
      <w:r w:rsidR="00E60887">
        <w:rPr>
          <w:noProof/>
        </w:rPr>
        <w:t>jejich</w:t>
      </w:r>
      <w:r w:rsidR="00E60887" w:rsidRPr="00A120A2">
        <w:rPr>
          <w:noProof/>
        </w:rPr>
        <w:t xml:space="preserve"> schválení zastupitelstv</w:t>
      </w:r>
      <w:r w:rsidR="00E60887">
        <w:rPr>
          <w:noProof/>
        </w:rPr>
        <w:t>u</w:t>
      </w:r>
      <w:r w:rsidR="00E60887" w:rsidRPr="00A120A2">
        <w:rPr>
          <w:noProof/>
        </w:rPr>
        <w:t xml:space="preserve"> kraje. </w:t>
      </w:r>
      <w:r>
        <w:t>ZÚR</w:t>
      </w:r>
      <w:r w:rsidR="00E60887" w:rsidRPr="00A120A2">
        <w:rPr>
          <w:noProof/>
        </w:rPr>
        <w:t xml:space="preserve"> se pořizují pro celé území kraje a vydávají se formou opatření obecné povahy</w:t>
      </w:r>
      <w:r w:rsidR="00E60887">
        <w:rPr>
          <w:noProof/>
        </w:rPr>
        <w:t>, tj</w:t>
      </w:r>
      <w:r w:rsidR="00E60887" w:rsidRPr="00A120A2">
        <w:rPr>
          <w:noProof/>
        </w:rPr>
        <w:t>. již není vyloučen jejich soudní přezkum.</w:t>
      </w:r>
      <w:r w:rsidR="00E60887" w:rsidRPr="00E60887">
        <w:rPr>
          <w:noProof/>
        </w:rPr>
        <w:t xml:space="preserve"> </w:t>
      </w:r>
      <w:r w:rsidR="00E60887">
        <w:rPr>
          <w:noProof/>
        </w:rPr>
        <w:t xml:space="preserve">Jejich </w:t>
      </w:r>
      <w:r w:rsidR="00E60887" w:rsidRPr="00A120A2">
        <w:rPr>
          <w:noProof/>
        </w:rPr>
        <w:t xml:space="preserve">nedílnou součástí </w:t>
      </w:r>
      <w:r w:rsidR="00E60887">
        <w:rPr>
          <w:noProof/>
        </w:rPr>
        <w:t xml:space="preserve">je </w:t>
      </w:r>
      <w:r w:rsidR="00E60887" w:rsidRPr="00A120A2">
        <w:rPr>
          <w:noProof/>
        </w:rPr>
        <w:t>vyhodnocení vlivů na trvale udržitelný rozvoj.</w:t>
      </w:r>
    </w:p>
    <w:tbl>
      <w:tblPr>
        <w:tblStyle w:val="Mkatabulky"/>
        <w:tblW w:w="0" w:type="auto"/>
        <w:tblInd w:w="108" w:type="dxa"/>
        <w:tblLook w:val="04A0" w:firstRow="1" w:lastRow="0" w:firstColumn="1" w:lastColumn="0" w:noHBand="0" w:noVBand="1"/>
      </w:tblPr>
      <w:tblGrid>
        <w:gridCol w:w="9072"/>
      </w:tblGrid>
      <w:tr w:rsidR="00353E5E" w:rsidTr="00FD656C">
        <w:tc>
          <w:tcPr>
            <w:tcW w:w="9072" w:type="dxa"/>
            <w:tcBorders>
              <w:top w:val="nil"/>
              <w:left w:val="nil"/>
              <w:bottom w:val="nil"/>
              <w:right w:val="nil"/>
            </w:tcBorders>
            <w:shd w:val="clear" w:color="auto" w:fill="D9D9D9" w:themeFill="background1" w:themeFillShade="D9"/>
          </w:tcPr>
          <w:p w:rsidR="00D530AC" w:rsidRDefault="004435D6" w:rsidP="003E4A5D">
            <w:pPr>
              <w:pStyle w:val="Titulek"/>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1</w:t>
            </w:r>
            <w:r w:rsidR="00AB65E9">
              <w:rPr>
                <w:noProof/>
              </w:rPr>
              <w:fldChar w:fldCharType="end"/>
            </w:r>
          </w:p>
          <w:p w:rsidR="00353E5E" w:rsidRPr="00C7723F" w:rsidRDefault="00353E5E" w:rsidP="00165A9F">
            <w:pPr>
              <w:pStyle w:val="Odstavecseseznamem"/>
              <w:widowControl w:val="0"/>
              <w:ind w:left="0"/>
              <w:rPr>
                <w:noProof/>
                <w:sz w:val="20"/>
                <w:szCs w:val="20"/>
              </w:rPr>
            </w:pPr>
            <w:r w:rsidRPr="00C7723F">
              <w:rPr>
                <w:noProof/>
                <w:sz w:val="20"/>
                <w:szCs w:val="20"/>
              </w:rPr>
              <w:t xml:space="preserve">Postup pořizování </w:t>
            </w:r>
            <w:r w:rsidR="003A67F2" w:rsidRPr="00C7723F">
              <w:rPr>
                <w:noProof/>
                <w:sz w:val="20"/>
                <w:szCs w:val="20"/>
              </w:rPr>
              <w:t>ZÚR</w:t>
            </w:r>
            <w:r w:rsidRPr="00C7723F">
              <w:rPr>
                <w:noProof/>
                <w:sz w:val="20"/>
                <w:szCs w:val="20"/>
              </w:rPr>
              <w:t xml:space="preserve"> je časově náročný, velmi zjednodušeně </w:t>
            </w:r>
            <w:r w:rsidR="00E83E57" w:rsidRPr="00C7723F">
              <w:rPr>
                <w:noProof/>
                <w:sz w:val="20"/>
                <w:szCs w:val="20"/>
              </w:rPr>
              <w:t xml:space="preserve">ho </w:t>
            </w:r>
            <w:r w:rsidRPr="00C7723F">
              <w:rPr>
                <w:noProof/>
                <w:sz w:val="20"/>
                <w:szCs w:val="20"/>
              </w:rPr>
              <w:t>lze popsat následovně:</w:t>
            </w:r>
          </w:p>
          <w:p w:rsidR="00353E5E" w:rsidRPr="00C7723F" w:rsidRDefault="00165A9F" w:rsidP="00C873B4">
            <w:pPr>
              <w:pStyle w:val="Odstavecseseznamem"/>
              <w:widowControl w:val="0"/>
              <w:numPr>
                <w:ilvl w:val="0"/>
                <w:numId w:val="75"/>
              </w:numPr>
              <w:ind w:left="357" w:hanging="357"/>
              <w:rPr>
                <w:noProof/>
                <w:sz w:val="20"/>
                <w:szCs w:val="20"/>
              </w:rPr>
            </w:pPr>
            <w:r>
              <w:rPr>
                <w:noProof/>
                <w:sz w:val="20"/>
                <w:szCs w:val="20"/>
              </w:rPr>
              <w:t>z</w:t>
            </w:r>
            <w:r w:rsidRPr="00C7723F">
              <w:rPr>
                <w:noProof/>
                <w:sz w:val="20"/>
                <w:szCs w:val="20"/>
              </w:rPr>
              <w:t xml:space="preserve">adání </w:t>
            </w:r>
            <w:r w:rsidR="00353E5E" w:rsidRPr="00C7723F">
              <w:rPr>
                <w:noProof/>
                <w:sz w:val="20"/>
                <w:szCs w:val="20"/>
              </w:rPr>
              <w:t xml:space="preserve">nebo </w:t>
            </w:r>
            <w:r w:rsidRPr="00C7723F">
              <w:rPr>
                <w:noProof/>
                <w:sz w:val="20"/>
                <w:szCs w:val="20"/>
              </w:rPr>
              <w:t>zpráv</w:t>
            </w:r>
            <w:r>
              <w:rPr>
                <w:noProof/>
                <w:sz w:val="20"/>
                <w:szCs w:val="20"/>
              </w:rPr>
              <w:t>u</w:t>
            </w:r>
            <w:r w:rsidRPr="00C7723F">
              <w:rPr>
                <w:noProof/>
                <w:sz w:val="20"/>
                <w:szCs w:val="20"/>
              </w:rPr>
              <w:t xml:space="preserve"> </w:t>
            </w:r>
            <w:r w:rsidR="00353E5E" w:rsidRPr="00C7723F">
              <w:rPr>
                <w:noProof/>
                <w:sz w:val="20"/>
                <w:szCs w:val="20"/>
              </w:rPr>
              <w:t xml:space="preserve">o uplatňování </w:t>
            </w:r>
            <w:r>
              <w:rPr>
                <w:noProof/>
                <w:sz w:val="20"/>
                <w:szCs w:val="20"/>
              </w:rPr>
              <w:t>ZÚR</w:t>
            </w:r>
            <w:r w:rsidR="00353E5E" w:rsidRPr="00C7723F">
              <w:rPr>
                <w:noProof/>
                <w:sz w:val="20"/>
                <w:szCs w:val="20"/>
              </w:rPr>
              <w:t xml:space="preserve"> → návrh </w:t>
            </w:r>
            <w:r>
              <w:rPr>
                <w:noProof/>
                <w:sz w:val="20"/>
                <w:szCs w:val="20"/>
              </w:rPr>
              <w:t>ZÚR</w:t>
            </w:r>
            <w:r w:rsidR="00353E5E" w:rsidRPr="00C7723F">
              <w:rPr>
                <w:noProof/>
                <w:sz w:val="20"/>
                <w:szCs w:val="20"/>
              </w:rPr>
              <w:t xml:space="preserve"> a vyhodnocení vlivů na udržitelný rozvoj území (pořizuje krajský úřad)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společné jednání (krajský úřad, </w:t>
            </w:r>
            <w:r w:rsidR="0078162F" w:rsidRPr="00C7723F">
              <w:rPr>
                <w:noProof/>
                <w:sz w:val="20"/>
                <w:szCs w:val="20"/>
              </w:rPr>
              <w:t>DO</w:t>
            </w:r>
            <w:r w:rsidRPr="00C7723F">
              <w:rPr>
                <w:noProof/>
                <w:sz w:val="20"/>
                <w:szCs w:val="20"/>
              </w:rPr>
              <w:t xml:space="preserve">, MMR, sousední kraje) a následná výzva </w:t>
            </w:r>
            <w:r w:rsidR="0078162F" w:rsidRPr="00C7723F">
              <w:rPr>
                <w:noProof/>
                <w:sz w:val="20"/>
                <w:szCs w:val="20"/>
              </w:rPr>
              <w:t>DO</w:t>
            </w:r>
            <w:r w:rsidRPr="00C7723F">
              <w:rPr>
                <w:noProof/>
                <w:sz w:val="20"/>
                <w:szCs w:val="20"/>
              </w:rPr>
              <w:t xml:space="preserve"> k uplatnění stanovisek, sousedním krajům k uplatnění připomínek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doručení návrhu a vyhodnocení veřejnou vyhláškou → 30 dní na připomínky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projednání vyhodnocení s ministerstvy a krajskou hygienickou stanicí → 30 dní na vyjádření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zaslání návrhu, vyhodnocení stanovisek, připomínek, vyjádření a případných výsledků konzultací na MŽP → MŽP vydá stanovisko k návrhu koncepce podle zákona o posuzování vlivů na životní prostředí (pokud MŽP stanovisko neuplatní ve třicetidenní lhůtě ani v prodloužené lhůtě, je možné </w:t>
            </w:r>
            <w:r w:rsidR="00165A9F">
              <w:rPr>
                <w:noProof/>
                <w:sz w:val="20"/>
                <w:szCs w:val="20"/>
              </w:rPr>
              <w:t xml:space="preserve">ZÚR </w:t>
            </w:r>
            <w:r w:rsidRPr="00C7723F">
              <w:rPr>
                <w:noProof/>
                <w:sz w:val="20"/>
                <w:szCs w:val="20"/>
              </w:rPr>
              <w:t>vydat i</w:t>
            </w:r>
            <w:r w:rsidR="00165A9F">
              <w:rPr>
                <w:noProof/>
                <w:sz w:val="20"/>
                <w:szCs w:val="20"/>
              </w:rPr>
              <w:t> </w:t>
            </w:r>
            <w:r w:rsidRPr="00C7723F">
              <w:rPr>
                <w:noProof/>
                <w:sz w:val="20"/>
                <w:szCs w:val="20"/>
              </w:rPr>
              <w:t>bez jeho stanoviska)</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MMR zašle stanovisko k návrhu </w:t>
            </w:r>
            <w:r w:rsidR="00165A9F">
              <w:rPr>
                <w:noProof/>
                <w:sz w:val="20"/>
                <w:szCs w:val="20"/>
              </w:rPr>
              <w:t>ZÚR</w:t>
            </w:r>
            <w:r w:rsidRPr="00C7723F">
              <w:rPr>
                <w:noProof/>
                <w:sz w:val="20"/>
                <w:szCs w:val="20"/>
              </w:rPr>
              <w:t xml:space="preserve"> z hledisek zajištění koordinace využívání území, zejména s ohledem na širší územní vztahy a mezinárodní závazky, a souladu s </w:t>
            </w:r>
            <w:r w:rsidR="007A61B8">
              <w:rPr>
                <w:noProof/>
                <w:sz w:val="20"/>
                <w:szCs w:val="20"/>
              </w:rPr>
              <w:t>PÚR</w:t>
            </w:r>
            <w:r w:rsidRPr="00C7723F">
              <w:rPr>
                <w:noProof/>
                <w:sz w:val="20"/>
                <w:szCs w:val="20"/>
              </w:rPr>
              <w:t xml:space="preserve"> (pokud MMR stanovisko neuplatní ve třicetidenní lhůtě, je možné </w:t>
            </w:r>
            <w:r w:rsidR="00165A9F">
              <w:rPr>
                <w:noProof/>
                <w:sz w:val="20"/>
                <w:szCs w:val="20"/>
              </w:rPr>
              <w:t>ZÚR</w:t>
            </w:r>
            <w:r w:rsidRPr="00C7723F">
              <w:rPr>
                <w:noProof/>
                <w:sz w:val="20"/>
                <w:szCs w:val="20"/>
              </w:rPr>
              <w:t xml:space="preserve"> vydat i bez jeho stanoviska; v případě, že upozorní na nedostatky, lze zahájit řízení o </w:t>
            </w:r>
            <w:r w:rsidR="00165A9F">
              <w:rPr>
                <w:noProof/>
                <w:sz w:val="20"/>
                <w:szCs w:val="20"/>
              </w:rPr>
              <w:t>ZÚR</w:t>
            </w:r>
            <w:r w:rsidRPr="00C7723F">
              <w:rPr>
                <w:noProof/>
                <w:sz w:val="20"/>
                <w:szCs w:val="20"/>
              </w:rPr>
              <w:t xml:space="preserve"> až na základě potvrzení </w:t>
            </w:r>
            <w:r w:rsidR="00687D5F">
              <w:rPr>
                <w:noProof/>
                <w:sz w:val="20"/>
                <w:szCs w:val="20"/>
              </w:rPr>
              <w:t>MMR</w:t>
            </w:r>
            <w:r w:rsidR="00687D5F" w:rsidRPr="00C7723F">
              <w:rPr>
                <w:noProof/>
                <w:sz w:val="20"/>
                <w:szCs w:val="20"/>
              </w:rPr>
              <w:t xml:space="preserve"> </w:t>
            </w:r>
            <w:r w:rsidRPr="00C7723F">
              <w:rPr>
                <w:noProof/>
                <w:sz w:val="20"/>
                <w:szCs w:val="20"/>
              </w:rPr>
              <w:t>o odstranění nedostatků)</w:t>
            </w:r>
          </w:p>
          <w:p w:rsidR="00353E5E" w:rsidRPr="00C7723F" w:rsidRDefault="00353E5E" w:rsidP="00C873B4">
            <w:pPr>
              <w:pStyle w:val="Odstavecseseznamem"/>
              <w:widowControl w:val="0"/>
              <w:numPr>
                <w:ilvl w:val="0"/>
                <w:numId w:val="75"/>
              </w:numPr>
              <w:ind w:left="357" w:hanging="357"/>
              <w:rPr>
                <w:noProof/>
                <w:sz w:val="20"/>
                <w:szCs w:val="20"/>
              </w:rPr>
            </w:pPr>
            <w:bookmarkStart w:id="18" w:name="_Hlk533095865"/>
            <w:r w:rsidRPr="00C7723F">
              <w:rPr>
                <w:noProof/>
                <w:sz w:val="20"/>
                <w:szCs w:val="20"/>
              </w:rPr>
              <w:t xml:space="preserve">krajský úřad vyhodnotí výsledky projednání návrhu </w:t>
            </w:r>
            <w:r w:rsidR="00687D5F">
              <w:rPr>
                <w:noProof/>
                <w:sz w:val="20"/>
                <w:szCs w:val="20"/>
              </w:rPr>
              <w:t>ZÚR</w:t>
            </w:r>
            <w:r w:rsidRPr="00C7723F">
              <w:rPr>
                <w:noProof/>
                <w:sz w:val="20"/>
                <w:szCs w:val="20"/>
              </w:rPr>
              <w:t xml:space="preserve"> a zajistí řešení případných rozporů</w:t>
            </w:r>
          </w:p>
          <w:bookmarkEnd w:id="18"/>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pokud návrh </w:t>
            </w:r>
            <w:r w:rsidR="00687D5F">
              <w:rPr>
                <w:noProof/>
                <w:sz w:val="20"/>
                <w:szCs w:val="20"/>
              </w:rPr>
              <w:t>ZÚR</w:t>
            </w:r>
            <w:r w:rsidRPr="00C7723F">
              <w:rPr>
                <w:noProof/>
                <w:sz w:val="20"/>
                <w:szCs w:val="20"/>
              </w:rPr>
              <w:t xml:space="preserve"> obsahuje varianty řešení, navrhne krajský úřad na základě vyhodnocení výsledků projednání a vyhodnocení vlivů na udržitelný rozvoj území zastupitelstvu kraje ke schválení výběr nejvhodnější varianty, který může obsahovat i podmínky k její úpravě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na základě výsledků projednání, vyhodnocení vlivů na udržitelný rozvoj území a schválení nejvhodnější </w:t>
            </w:r>
            <w:r w:rsidRPr="00C7723F">
              <w:rPr>
                <w:noProof/>
                <w:sz w:val="20"/>
                <w:szCs w:val="20"/>
              </w:rPr>
              <w:lastRenderedPageBreak/>
              <w:t>varianty krajský úřad zajistí upravení návrhu</w:t>
            </w:r>
          </w:p>
          <w:p w:rsidR="00353E5E" w:rsidRPr="00C7723F" w:rsidRDefault="00C7723F" w:rsidP="00C873B4">
            <w:pPr>
              <w:pStyle w:val="Odstavecseseznamem"/>
              <w:widowControl w:val="0"/>
              <w:numPr>
                <w:ilvl w:val="0"/>
                <w:numId w:val="75"/>
              </w:numPr>
              <w:ind w:left="357" w:hanging="357"/>
              <w:rPr>
                <w:noProof/>
                <w:sz w:val="20"/>
                <w:szCs w:val="20"/>
              </w:rPr>
            </w:pPr>
            <w:r w:rsidRPr="00C7723F">
              <w:rPr>
                <w:noProof/>
                <w:sz w:val="20"/>
                <w:szCs w:val="20"/>
              </w:rPr>
              <w:t>(</w:t>
            </w:r>
            <w:r w:rsidR="00353E5E" w:rsidRPr="00C7723F">
              <w:rPr>
                <w:noProof/>
                <w:sz w:val="20"/>
                <w:szCs w:val="20"/>
              </w:rPr>
              <w:t xml:space="preserve">dojde-li krajský úřad na základě výsledků projednání k závěru, že je potřebné pořídit nový návrh </w:t>
            </w:r>
            <w:r w:rsidR="00687D5F">
              <w:rPr>
                <w:noProof/>
                <w:sz w:val="20"/>
                <w:szCs w:val="20"/>
              </w:rPr>
              <w:t>ZÚR</w:t>
            </w:r>
            <w:r w:rsidR="00353E5E" w:rsidRPr="00C7723F">
              <w:rPr>
                <w:noProof/>
                <w:sz w:val="20"/>
                <w:szCs w:val="20"/>
              </w:rPr>
              <w:t xml:space="preserve">, navrhne pokyny pro jeho zpracování, vyžádá </w:t>
            </w:r>
            <w:r w:rsidR="007A61B8">
              <w:rPr>
                <w:noProof/>
                <w:sz w:val="20"/>
                <w:szCs w:val="20"/>
              </w:rPr>
              <w:t xml:space="preserve">si </w:t>
            </w:r>
            <w:r w:rsidR="00353E5E" w:rsidRPr="00C7723F">
              <w:rPr>
                <w:noProof/>
                <w:sz w:val="20"/>
                <w:szCs w:val="20"/>
              </w:rPr>
              <w:t xml:space="preserve">stanovisko MŽP o tom, zda má být nový návrh posuzován </w:t>
            </w:r>
            <w:r w:rsidR="007A61B8" w:rsidRPr="00C7723F">
              <w:rPr>
                <w:noProof/>
                <w:sz w:val="20"/>
                <w:szCs w:val="20"/>
              </w:rPr>
              <w:t>z</w:t>
            </w:r>
            <w:r w:rsidR="007A61B8">
              <w:rPr>
                <w:noProof/>
                <w:sz w:val="20"/>
                <w:szCs w:val="20"/>
              </w:rPr>
              <w:t> </w:t>
            </w:r>
            <w:r w:rsidR="00353E5E" w:rsidRPr="00C7723F">
              <w:rPr>
                <w:noProof/>
                <w:sz w:val="20"/>
                <w:szCs w:val="20"/>
              </w:rPr>
              <w:t>hlediska vlivů na životní prostředí a stanovisko příslušného orgánu ochrany přírody a návrh pokynů předloží spolu s odůvodněním zastupitelstvu kraje ke schválení)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upravený a posouzený návrh </w:t>
            </w:r>
            <w:r w:rsidR="00687D5F">
              <w:rPr>
                <w:noProof/>
                <w:sz w:val="20"/>
                <w:szCs w:val="20"/>
              </w:rPr>
              <w:t>ZÚR</w:t>
            </w:r>
            <w:r w:rsidRPr="00C7723F">
              <w:rPr>
                <w:noProof/>
                <w:sz w:val="20"/>
                <w:szCs w:val="20"/>
              </w:rPr>
              <w:t>, vyhodnocení vlivů na udržitelný</w:t>
            </w:r>
            <w:r w:rsidR="002A1B2C" w:rsidRPr="00C7723F">
              <w:rPr>
                <w:noProof/>
                <w:sz w:val="20"/>
                <w:szCs w:val="20"/>
              </w:rPr>
              <w:t xml:space="preserve"> rozvoj území a </w:t>
            </w:r>
            <w:r w:rsidRPr="00C7723F">
              <w:rPr>
                <w:noProof/>
                <w:sz w:val="20"/>
                <w:szCs w:val="20"/>
              </w:rPr>
              <w:t>oznámení o konání veřejného projednání krajský úřad doručí veřejnou vyhláškou</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dotčené obce, oprávněný investor a zástupce veřejnosti mohou podat námitky s odůvodněním proti návrhu </w:t>
            </w:r>
            <w:r w:rsidR="00687D5F">
              <w:rPr>
                <w:noProof/>
                <w:sz w:val="20"/>
                <w:szCs w:val="20"/>
              </w:rPr>
              <w:t>ZÚR</w:t>
            </w:r>
            <w:r w:rsidRPr="00C7723F">
              <w:rPr>
                <w:noProof/>
                <w:sz w:val="20"/>
                <w:szCs w:val="20"/>
              </w:rPr>
              <w:t xml:space="preserve"> do 7 dnů ode dne veřejného projednání; </w:t>
            </w:r>
            <w:r w:rsidR="0078162F" w:rsidRPr="00C7723F">
              <w:rPr>
                <w:noProof/>
                <w:sz w:val="20"/>
                <w:szCs w:val="20"/>
              </w:rPr>
              <w:t>DO</w:t>
            </w:r>
            <w:r w:rsidRPr="00C7723F">
              <w:rPr>
                <w:noProof/>
                <w:sz w:val="20"/>
                <w:szCs w:val="20"/>
              </w:rPr>
              <w:t xml:space="preserve"> a MMR uplatňují ve stejné lhůtě stanoviska jen k částem řešení, které byly od společného jednání změněny; ve stejné lhůtě m</w:t>
            </w:r>
            <w:r w:rsidR="002A1B2C" w:rsidRPr="00C7723F">
              <w:rPr>
                <w:noProof/>
                <w:sz w:val="20"/>
                <w:szCs w:val="20"/>
              </w:rPr>
              <w:t>ůže každý uplatnit připomínky k </w:t>
            </w:r>
            <w:r w:rsidRPr="00C7723F">
              <w:rPr>
                <w:noProof/>
                <w:sz w:val="20"/>
                <w:szCs w:val="20"/>
              </w:rPr>
              <w:t>návrhu</w:t>
            </w:r>
            <w:r w:rsidR="00687D5F">
              <w:rPr>
                <w:noProof/>
                <w:sz w:val="20"/>
                <w:szCs w:val="20"/>
              </w:rPr>
              <w:t xml:space="preserve"> </w:t>
            </w:r>
            <w:r w:rsidRPr="00C7723F">
              <w:rPr>
                <w:noProof/>
                <w:sz w:val="20"/>
                <w:szCs w:val="20"/>
              </w:rPr>
              <w:t>a</w:t>
            </w:r>
            <w:r w:rsidR="00687D5F" w:rsidRPr="00E40466">
              <w:rPr>
                <w:noProof/>
                <w:sz w:val="20"/>
                <w:szCs w:val="20"/>
              </w:rPr>
              <w:t> </w:t>
            </w:r>
            <w:r w:rsidRPr="00C7723F">
              <w:rPr>
                <w:noProof/>
                <w:sz w:val="20"/>
                <w:szCs w:val="20"/>
              </w:rPr>
              <w:t>vyhodnocení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krajský úřad vyhodnotí výsledky projednání a zpracuje s ohledem na veře</w:t>
            </w:r>
            <w:r w:rsidR="002A1B2C" w:rsidRPr="00C7723F">
              <w:rPr>
                <w:noProof/>
                <w:sz w:val="20"/>
                <w:szCs w:val="20"/>
              </w:rPr>
              <w:t>jné zájmy návrh rozhodnutí o </w:t>
            </w:r>
            <w:r w:rsidRPr="00C7723F">
              <w:rPr>
                <w:noProof/>
                <w:sz w:val="20"/>
                <w:szCs w:val="20"/>
              </w:rPr>
              <w:t>námitkách a návrh vyhodnocení připomínek</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návrhy doručí </w:t>
            </w:r>
            <w:r w:rsidR="0078162F" w:rsidRPr="00C7723F">
              <w:rPr>
                <w:noProof/>
                <w:sz w:val="20"/>
                <w:szCs w:val="20"/>
              </w:rPr>
              <w:t>DO</w:t>
            </w:r>
            <w:r w:rsidRPr="00C7723F">
              <w:rPr>
                <w:noProof/>
                <w:sz w:val="20"/>
                <w:szCs w:val="20"/>
              </w:rPr>
              <w:t xml:space="preserve"> a MMR k uplatnění případných stanovisek</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pokud je to nezbytné, krajský úřad zajistí úpravu návrhu </w:t>
            </w:r>
            <w:r w:rsidR="00687D5F">
              <w:rPr>
                <w:noProof/>
                <w:sz w:val="20"/>
                <w:szCs w:val="20"/>
              </w:rPr>
              <w:t xml:space="preserve">ZÚR </w:t>
            </w:r>
            <w:r w:rsidRPr="00C7723F">
              <w:rPr>
                <w:noProof/>
                <w:sz w:val="20"/>
                <w:szCs w:val="20"/>
              </w:rPr>
              <w:t>v souladu s výsledky projednání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dojde-li na základě veřejného projednání k podstatné úpravě návrhu </w:t>
            </w:r>
            <w:r w:rsidR="00687D5F">
              <w:rPr>
                <w:noProof/>
                <w:sz w:val="20"/>
                <w:szCs w:val="20"/>
              </w:rPr>
              <w:t>ZÚR</w:t>
            </w:r>
            <w:r w:rsidRPr="00C7723F">
              <w:rPr>
                <w:noProof/>
                <w:sz w:val="20"/>
                <w:szCs w:val="20"/>
              </w:rPr>
              <w:t>, krajský úřad si vyžádá stanovisko MŽP a stanovisko příslušného orgánu ochrany přírody, zda podstatná úprava vyžaduje posouzení z hlediska vlivů na životní prostředí, a upravený návrh a případně upravené nebo doplněné vyhodnocení vlivů na udržitelný rozvoj území</w:t>
            </w:r>
            <w:r w:rsidR="007B01F6" w:rsidRPr="00C7723F">
              <w:rPr>
                <w:noProof/>
                <w:sz w:val="20"/>
                <w:szCs w:val="20"/>
              </w:rPr>
              <w:t>,</w:t>
            </w:r>
            <w:r w:rsidRPr="00C7723F">
              <w:rPr>
                <w:noProof/>
                <w:sz w:val="20"/>
                <w:szCs w:val="20"/>
              </w:rPr>
              <w:t xml:space="preserve"> se v rozsahu těchto úprav projedná na opakovaném veřejném projednání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krajský úřad předkládá zastupitelstvu kraje návrh na vydání </w:t>
            </w:r>
            <w:r w:rsidR="00C007FA">
              <w:rPr>
                <w:noProof/>
                <w:sz w:val="20"/>
                <w:szCs w:val="20"/>
              </w:rPr>
              <w:t xml:space="preserve">ZÚR </w:t>
            </w:r>
            <w:r w:rsidRPr="00C7723F">
              <w:rPr>
                <w:noProof/>
                <w:sz w:val="20"/>
                <w:szCs w:val="20"/>
              </w:rPr>
              <w:t>s jejich odůvodněním</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zastupitelstvo kraje si před vydáním </w:t>
            </w:r>
            <w:r w:rsidR="00C007FA">
              <w:rPr>
                <w:noProof/>
                <w:sz w:val="20"/>
                <w:szCs w:val="20"/>
              </w:rPr>
              <w:t xml:space="preserve">ZÚR </w:t>
            </w:r>
            <w:r w:rsidRPr="00C7723F">
              <w:rPr>
                <w:noProof/>
                <w:sz w:val="20"/>
                <w:szCs w:val="20"/>
              </w:rPr>
              <w:t xml:space="preserve">ověří, zda-li nejsou v rozporu s </w:t>
            </w:r>
            <w:r w:rsidR="00C007FA">
              <w:rPr>
                <w:noProof/>
                <w:sz w:val="20"/>
                <w:szCs w:val="20"/>
              </w:rPr>
              <w:t>PÚR</w:t>
            </w:r>
            <w:r w:rsidRPr="00C7723F">
              <w:rPr>
                <w:noProof/>
                <w:sz w:val="20"/>
                <w:szCs w:val="20"/>
              </w:rPr>
              <w:t xml:space="preserve">, se stanovisky </w:t>
            </w:r>
            <w:r w:rsidR="0078162F" w:rsidRPr="00C7723F">
              <w:rPr>
                <w:noProof/>
                <w:sz w:val="20"/>
                <w:szCs w:val="20"/>
              </w:rPr>
              <w:t>DO</w:t>
            </w:r>
            <w:r w:rsidRPr="00C7723F">
              <w:rPr>
                <w:noProof/>
                <w:sz w:val="20"/>
                <w:szCs w:val="20"/>
              </w:rPr>
              <w:t xml:space="preserve"> nebo výsledkem řešení rozporu a se stanoviskem MMR.</w:t>
            </w:r>
          </w:p>
          <w:p w:rsidR="00353E5E" w:rsidRPr="00353E5E" w:rsidRDefault="00353E5E" w:rsidP="003E4A5D">
            <w:pPr>
              <w:widowControl w:val="0"/>
              <w:rPr>
                <w:noProof/>
                <w:sz w:val="20"/>
                <w:szCs w:val="20"/>
              </w:rPr>
            </w:pPr>
            <w:r w:rsidRPr="00353E5E">
              <w:rPr>
                <w:noProof/>
                <w:sz w:val="20"/>
                <w:szCs w:val="20"/>
              </w:rPr>
              <w:t xml:space="preserve">Dojde-li ke změně nebo zrušení rozhodnutí o námitkách, je kraj povinen uvést </w:t>
            </w:r>
            <w:r w:rsidR="00C007FA">
              <w:rPr>
                <w:noProof/>
                <w:sz w:val="20"/>
                <w:szCs w:val="20"/>
              </w:rPr>
              <w:t>ZÚR</w:t>
            </w:r>
            <w:r w:rsidRPr="00353E5E">
              <w:rPr>
                <w:noProof/>
                <w:sz w:val="20"/>
                <w:szCs w:val="20"/>
              </w:rPr>
              <w:t xml:space="preserve"> do souladu s tímto rozhodnutím; do té doby nelze rozhodovat a postupovat podle těch částí </w:t>
            </w:r>
            <w:r w:rsidR="00C007FA">
              <w:rPr>
                <w:noProof/>
                <w:sz w:val="20"/>
                <w:szCs w:val="20"/>
              </w:rPr>
              <w:t>ZÚR</w:t>
            </w:r>
            <w:r w:rsidRPr="00353E5E">
              <w:rPr>
                <w:noProof/>
                <w:sz w:val="20"/>
                <w:szCs w:val="20"/>
              </w:rPr>
              <w:t>, které jsou vymezeny v rozhodnutí o zrušení rozhodnutí o námitkách.</w:t>
            </w:r>
          </w:p>
          <w:p w:rsidR="00353E5E" w:rsidRDefault="00C007FA" w:rsidP="003E4A5D">
            <w:pPr>
              <w:widowControl w:val="0"/>
              <w:rPr>
                <w:noProof/>
                <w:sz w:val="20"/>
                <w:szCs w:val="20"/>
              </w:rPr>
            </w:pPr>
            <w:r>
              <w:rPr>
                <w:noProof/>
                <w:sz w:val="20"/>
                <w:szCs w:val="20"/>
              </w:rPr>
              <w:t>ZÚR</w:t>
            </w:r>
            <w:r w:rsidR="00353E5E" w:rsidRPr="00353E5E">
              <w:rPr>
                <w:noProof/>
                <w:sz w:val="20"/>
                <w:szCs w:val="20"/>
              </w:rPr>
              <w:t xml:space="preserve"> nelze změnit rozhodnutím podle § 97 odst. 3 správního řádu.</w:t>
            </w:r>
          </w:p>
          <w:p w:rsidR="0051550F" w:rsidRDefault="0051550F" w:rsidP="00F7481F">
            <w:pPr>
              <w:widowControl w:val="0"/>
              <w:rPr>
                <w:noProof/>
              </w:rPr>
            </w:pPr>
            <w:r>
              <w:rPr>
                <w:noProof/>
                <w:sz w:val="20"/>
                <w:szCs w:val="20"/>
              </w:rPr>
              <w:t>Od 1.</w:t>
            </w:r>
            <w:r w:rsidR="00F7481F">
              <w:rPr>
                <w:noProof/>
                <w:sz w:val="20"/>
                <w:szCs w:val="20"/>
              </w:rPr>
              <w:t xml:space="preserve"> </w:t>
            </w:r>
            <w:r>
              <w:rPr>
                <w:noProof/>
                <w:sz w:val="20"/>
                <w:szCs w:val="20"/>
              </w:rPr>
              <w:t>1.</w:t>
            </w:r>
            <w:r w:rsidR="00F7481F">
              <w:rPr>
                <w:noProof/>
                <w:sz w:val="20"/>
                <w:szCs w:val="20"/>
              </w:rPr>
              <w:t xml:space="preserve"> </w:t>
            </w:r>
            <w:r>
              <w:rPr>
                <w:noProof/>
                <w:sz w:val="20"/>
                <w:szCs w:val="20"/>
              </w:rPr>
              <w:t>2018 lze aktualizac</w:t>
            </w:r>
            <w:r w:rsidR="00F7481F">
              <w:rPr>
                <w:noProof/>
                <w:sz w:val="20"/>
                <w:szCs w:val="20"/>
              </w:rPr>
              <w:t>i</w:t>
            </w:r>
            <w:r>
              <w:rPr>
                <w:noProof/>
                <w:sz w:val="20"/>
                <w:szCs w:val="20"/>
              </w:rPr>
              <w:t xml:space="preserve"> ZÚR pořizovat zkráceným postupem, kdy fáze projednávání a schvalování zprávy o</w:t>
            </w:r>
            <w:r w:rsidR="00F7481F">
              <w:rPr>
                <w:noProof/>
                <w:sz w:val="20"/>
                <w:szCs w:val="20"/>
              </w:rPr>
              <w:t> </w:t>
            </w:r>
            <w:r>
              <w:rPr>
                <w:noProof/>
                <w:sz w:val="20"/>
                <w:szCs w:val="20"/>
              </w:rPr>
              <w:t xml:space="preserve">uplatňování ZÚR je nahrazena rozhodnutím zastupitelstva kraje o pořizení aktualizace </w:t>
            </w:r>
            <w:r w:rsidR="00F7481F">
              <w:rPr>
                <w:noProof/>
                <w:sz w:val="20"/>
                <w:szCs w:val="20"/>
              </w:rPr>
              <w:t xml:space="preserve">ZÚR </w:t>
            </w:r>
            <w:r>
              <w:rPr>
                <w:noProof/>
                <w:sz w:val="20"/>
                <w:szCs w:val="20"/>
              </w:rPr>
              <w:t xml:space="preserve">a o jejím obsahu. </w:t>
            </w:r>
            <w:r w:rsidR="00F7481F">
              <w:rPr>
                <w:noProof/>
                <w:sz w:val="20"/>
                <w:szCs w:val="20"/>
              </w:rPr>
              <w:t>P</w:t>
            </w:r>
            <w:r>
              <w:rPr>
                <w:noProof/>
                <w:sz w:val="20"/>
                <w:szCs w:val="20"/>
              </w:rPr>
              <w:t xml:space="preserve">o vyhotovení </w:t>
            </w:r>
            <w:r w:rsidR="00F7481F">
              <w:rPr>
                <w:noProof/>
                <w:sz w:val="20"/>
                <w:szCs w:val="20"/>
              </w:rPr>
              <w:t xml:space="preserve">návrhu aktualizace ZÚR se rovnou koná veřejné projednání. </w:t>
            </w:r>
          </w:p>
        </w:tc>
      </w:tr>
    </w:tbl>
    <w:p w:rsidR="00E61BDC" w:rsidRPr="0032110B" w:rsidRDefault="00E61BDC" w:rsidP="00D4266B">
      <w:pPr>
        <w:pStyle w:val="Nadpis6"/>
        <w:rPr>
          <w:noProof/>
        </w:rPr>
      </w:pPr>
      <w:bookmarkStart w:id="19" w:name="_Toc536553893"/>
      <w:r w:rsidRPr="0032110B">
        <w:rPr>
          <w:noProof/>
        </w:rPr>
        <w:lastRenderedPageBreak/>
        <w:t xml:space="preserve">Územní plány </w:t>
      </w:r>
      <w:r w:rsidR="007F4230" w:rsidRPr="0032110B">
        <w:rPr>
          <w:noProof/>
        </w:rPr>
        <w:t>(ÚP)</w:t>
      </w:r>
      <w:bookmarkEnd w:id="19"/>
    </w:p>
    <w:p w:rsidR="00E61BDC" w:rsidRPr="00412925" w:rsidRDefault="00C007FA" w:rsidP="003E4A5D">
      <w:pPr>
        <w:widowControl w:val="0"/>
        <w:rPr>
          <w:noProof/>
          <w:szCs w:val="24"/>
        </w:rPr>
      </w:pPr>
      <w:r w:rsidRPr="00FD656C">
        <w:rPr>
          <w:noProof/>
          <w:szCs w:val="24"/>
        </w:rPr>
        <w:t>ÚP</w:t>
      </w:r>
      <w:r w:rsidR="00E61BDC" w:rsidRPr="00FD656C">
        <w:rPr>
          <w:noProof/>
          <w:szCs w:val="24"/>
        </w:rPr>
        <w:t xml:space="preserve"> </w:t>
      </w:r>
      <w:r w:rsidR="002176D4" w:rsidRPr="00FD656C">
        <w:rPr>
          <w:noProof/>
          <w:szCs w:val="24"/>
        </w:rPr>
        <w:t xml:space="preserve">je </w:t>
      </w:r>
      <w:r w:rsidR="00E61BDC" w:rsidRPr="00FD656C">
        <w:rPr>
          <w:noProof/>
          <w:szCs w:val="24"/>
        </w:rPr>
        <w:t xml:space="preserve">institut navazujícím na </w:t>
      </w:r>
      <w:r w:rsidRPr="00FD656C">
        <w:rPr>
          <w:noProof/>
          <w:szCs w:val="24"/>
        </w:rPr>
        <w:t>ZÚR</w:t>
      </w:r>
      <w:r w:rsidR="002A1B2C" w:rsidRPr="00412925">
        <w:rPr>
          <w:noProof/>
          <w:szCs w:val="24"/>
        </w:rPr>
        <w:t xml:space="preserve">. </w:t>
      </w:r>
      <w:r w:rsidR="002176D4" w:rsidRPr="009231C6">
        <w:rPr>
          <w:noProof/>
          <w:szCs w:val="24"/>
        </w:rPr>
        <w:t xml:space="preserve">Jeho </w:t>
      </w:r>
      <w:r w:rsidR="00AB65E9" w:rsidRPr="00AB65E9">
        <w:rPr>
          <w:noProof/>
          <w:szCs w:val="24"/>
        </w:rPr>
        <w:t xml:space="preserve">obsah nesmí být v rozporu se </w:t>
      </w:r>
      <w:r w:rsidRPr="00FD656C">
        <w:rPr>
          <w:noProof/>
          <w:szCs w:val="24"/>
        </w:rPr>
        <w:t>ZÚR</w:t>
      </w:r>
      <w:r w:rsidR="00E61BDC" w:rsidRPr="00FD656C">
        <w:rPr>
          <w:noProof/>
          <w:szCs w:val="24"/>
        </w:rPr>
        <w:t xml:space="preserve"> a </w:t>
      </w:r>
      <w:r w:rsidR="00CE55D6" w:rsidRPr="00FD656C">
        <w:rPr>
          <w:noProof/>
          <w:szCs w:val="24"/>
        </w:rPr>
        <w:t>s </w:t>
      </w:r>
      <w:r w:rsidRPr="00412925">
        <w:rPr>
          <w:noProof/>
          <w:szCs w:val="24"/>
        </w:rPr>
        <w:t>PÚR</w:t>
      </w:r>
      <w:r w:rsidR="00CE55D6" w:rsidRPr="00412925">
        <w:rPr>
          <w:noProof/>
          <w:szCs w:val="24"/>
        </w:rPr>
        <w:t xml:space="preserve">. </w:t>
      </w:r>
      <w:r w:rsidR="00AB65E9" w:rsidRPr="00AB65E9">
        <w:rPr>
          <w:noProof/>
          <w:szCs w:val="24"/>
        </w:rPr>
        <w:t>Zpřesňuj</w:t>
      </w:r>
      <w:r w:rsidR="00AB65E9" w:rsidRPr="00616A8F">
        <w:rPr>
          <w:noProof/>
          <w:szCs w:val="24"/>
        </w:rPr>
        <w:t xml:space="preserve">e obsah PÚR a </w:t>
      </w:r>
      <w:r w:rsidR="00AB65E9" w:rsidRPr="00C05621">
        <w:rPr>
          <w:noProof/>
          <w:szCs w:val="24"/>
        </w:rPr>
        <w:t>ZÚR</w:t>
      </w:r>
      <w:r w:rsidR="00AB65E9" w:rsidRPr="00BE1DC9">
        <w:rPr>
          <w:noProof/>
          <w:szCs w:val="24"/>
        </w:rPr>
        <w:t xml:space="preserve"> pro území obce</w:t>
      </w:r>
      <w:r w:rsidR="00AB65E9" w:rsidRPr="003B6334">
        <w:rPr>
          <w:noProof/>
          <w:szCs w:val="24"/>
        </w:rPr>
        <w:t xml:space="preserve">. </w:t>
      </w:r>
      <w:r w:rsidR="00AB65E9" w:rsidRPr="00054780">
        <w:rPr>
          <w:noProof/>
          <w:szCs w:val="24"/>
        </w:rPr>
        <w:t xml:space="preserve">Je </w:t>
      </w:r>
      <w:r w:rsidR="00AB65E9" w:rsidRPr="00E05DA4">
        <w:rPr>
          <w:noProof/>
          <w:szCs w:val="24"/>
        </w:rPr>
        <w:t xml:space="preserve">koncepčním materiálem, který mj. stanoví plochy s rozdílným způsobem využití a koridory pro veřejnou dopravní či </w:t>
      </w:r>
      <w:r w:rsidR="00AB65E9" w:rsidRPr="001D3B77">
        <w:rPr>
          <w:noProof/>
          <w:szCs w:val="24"/>
        </w:rPr>
        <w:t xml:space="preserve">technickou </w:t>
      </w:r>
      <w:r w:rsidR="00AB65E9" w:rsidRPr="00696E9E">
        <w:rPr>
          <w:noProof/>
          <w:szCs w:val="24"/>
        </w:rPr>
        <w:t>infrastrukturu</w:t>
      </w:r>
      <w:r w:rsidR="003A3636">
        <w:rPr>
          <w:noProof/>
          <w:szCs w:val="24"/>
        </w:rPr>
        <w:t>.</w:t>
      </w:r>
      <w:r w:rsidR="00E61BDC" w:rsidRPr="00FD656C">
        <w:rPr>
          <w:noProof/>
          <w:szCs w:val="24"/>
        </w:rPr>
        <w:t xml:space="preserve"> </w:t>
      </w:r>
      <w:r w:rsidR="003A3636">
        <w:rPr>
          <w:noProof/>
          <w:szCs w:val="24"/>
        </w:rPr>
        <w:t>ÚP</w:t>
      </w:r>
      <w:r w:rsidRPr="00FD656C">
        <w:rPr>
          <w:noProof/>
          <w:szCs w:val="24"/>
        </w:rPr>
        <w:t> </w:t>
      </w:r>
      <w:r w:rsidR="00E61BDC" w:rsidRPr="00FD656C">
        <w:rPr>
          <w:noProof/>
          <w:szCs w:val="24"/>
        </w:rPr>
        <w:t xml:space="preserve">stejně jako </w:t>
      </w:r>
      <w:r w:rsidR="002176D4" w:rsidRPr="00FD656C">
        <w:rPr>
          <w:noProof/>
          <w:szCs w:val="24"/>
        </w:rPr>
        <w:t xml:space="preserve">ZÚR </w:t>
      </w:r>
      <w:r w:rsidR="003A3636">
        <w:rPr>
          <w:noProof/>
          <w:szCs w:val="24"/>
        </w:rPr>
        <w:t xml:space="preserve">může </w:t>
      </w:r>
      <w:r w:rsidR="003A3636" w:rsidRPr="003A3636">
        <w:rPr>
          <w:noProof/>
          <w:szCs w:val="24"/>
        </w:rPr>
        <w:t>vymezit plochu nebo koridor a stanovit jejich využití, jehož potřebu a</w:t>
      </w:r>
      <w:r w:rsidR="00220E68">
        <w:rPr>
          <w:noProof/>
          <w:szCs w:val="24"/>
        </w:rPr>
        <w:t> </w:t>
      </w:r>
      <w:r w:rsidR="003A3636" w:rsidRPr="003A3636">
        <w:rPr>
          <w:noProof/>
          <w:szCs w:val="24"/>
        </w:rPr>
        <w:t>plošné nároky je nutno prověřit (územní rezerva)</w:t>
      </w:r>
      <w:r w:rsidR="00220E68">
        <w:rPr>
          <w:noProof/>
          <w:szCs w:val="24"/>
        </w:rPr>
        <w:t xml:space="preserve">. Toto prověření se provádí obvykle pořízením </w:t>
      </w:r>
      <w:r w:rsidR="00E61BDC" w:rsidRPr="00412925">
        <w:rPr>
          <w:noProof/>
          <w:szCs w:val="24"/>
        </w:rPr>
        <w:t xml:space="preserve">územní studie. </w:t>
      </w:r>
      <w:r w:rsidR="00220E68">
        <w:rPr>
          <w:noProof/>
          <w:szCs w:val="24"/>
        </w:rPr>
        <w:t xml:space="preserve">ÚP může </w:t>
      </w:r>
      <w:r w:rsidR="00220E68" w:rsidRPr="00220E68">
        <w:rPr>
          <w:noProof/>
          <w:szCs w:val="24"/>
        </w:rPr>
        <w:t>vymezit plochu nebo koridor, v němž je rozhodování o změnách v</w:t>
      </w:r>
      <w:r w:rsidR="00220E68">
        <w:rPr>
          <w:noProof/>
          <w:szCs w:val="24"/>
        </w:rPr>
        <w:t> </w:t>
      </w:r>
      <w:r w:rsidR="00220E68" w:rsidRPr="00220E68">
        <w:rPr>
          <w:noProof/>
          <w:szCs w:val="24"/>
        </w:rPr>
        <w:t xml:space="preserve">území </w:t>
      </w:r>
      <w:r w:rsidR="00220E68">
        <w:rPr>
          <w:noProof/>
          <w:szCs w:val="24"/>
        </w:rPr>
        <w:t xml:space="preserve">(například územní rozhodnutí) </w:t>
      </w:r>
      <w:r w:rsidR="00220E68" w:rsidRPr="00220E68">
        <w:rPr>
          <w:noProof/>
          <w:szCs w:val="24"/>
        </w:rPr>
        <w:t>podmíněno smlouvou s vlastníky pozemků a staveb, které budou dotčeny navrhovaným záměrem, jejímž obsahem musí být souhlas s tímto záměrem a</w:t>
      </w:r>
      <w:r w:rsidR="00220E68">
        <w:rPr>
          <w:noProof/>
          <w:szCs w:val="24"/>
        </w:rPr>
        <w:t> </w:t>
      </w:r>
      <w:r w:rsidR="00220E68" w:rsidRPr="00220E68">
        <w:rPr>
          <w:noProof/>
          <w:szCs w:val="24"/>
        </w:rPr>
        <w:t xml:space="preserve">souhlas s rozdělením nákladů a prospěchů spojených s jeho realizací (dohoda o parcelaci), zpracováním územní studie nebo vydáním regulačního plánu. V případě podmínění rozhodování územní studií jsou součástí </w:t>
      </w:r>
      <w:r w:rsidR="00220E68">
        <w:rPr>
          <w:noProof/>
          <w:szCs w:val="24"/>
        </w:rPr>
        <w:t>ÚP</w:t>
      </w:r>
      <w:r w:rsidR="00220E68" w:rsidRPr="00220E68">
        <w:rPr>
          <w:noProof/>
          <w:szCs w:val="24"/>
        </w:rPr>
        <w:t xml:space="preserve"> podmínky pro její pořízení a přiměřená lhůta pro vložení dat o ní do evidence územně plánovací činnosti; marným uplynutím lhůty omezení změn v území zaniká. V případě podmínění rozhodování regulačním plánem je součástí </w:t>
      </w:r>
      <w:r w:rsidR="00220E68">
        <w:rPr>
          <w:noProof/>
          <w:szCs w:val="24"/>
        </w:rPr>
        <w:t>ÚP</w:t>
      </w:r>
      <w:r w:rsidR="00220E68" w:rsidRPr="00220E68">
        <w:rPr>
          <w:noProof/>
          <w:szCs w:val="24"/>
        </w:rPr>
        <w:t xml:space="preserve"> zadání regulačního plánu a</w:t>
      </w:r>
      <w:r w:rsidR="009A0917">
        <w:rPr>
          <w:noProof/>
          <w:szCs w:val="24"/>
        </w:rPr>
        <w:t> </w:t>
      </w:r>
      <w:r w:rsidR="00220E68" w:rsidRPr="00220E68">
        <w:rPr>
          <w:noProof/>
          <w:szCs w:val="24"/>
        </w:rPr>
        <w:t xml:space="preserve">u regulačního plánu z podnětu přiměřená lhůta pro jeho vydání. Podmínka vydání regulačního plánu z podnětu pozbývá platnosti marným uplynutím uvedené lhůty. </w:t>
      </w:r>
      <w:r w:rsidR="00E61BDC" w:rsidRPr="00FD656C">
        <w:rPr>
          <w:noProof/>
          <w:szCs w:val="24"/>
        </w:rPr>
        <w:t xml:space="preserve">O pořízení </w:t>
      </w:r>
      <w:r w:rsidR="002176D4" w:rsidRPr="00FD656C">
        <w:rPr>
          <w:noProof/>
          <w:szCs w:val="24"/>
        </w:rPr>
        <w:t>ÚP</w:t>
      </w:r>
      <w:r w:rsidR="00E61BDC" w:rsidRPr="00FD656C">
        <w:rPr>
          <w:noProof/>
          <w:szCs w:val="24"/>
        </w:rPr>
        <w:t xml:space="preserve"> rozhoduje zastupitelstvo</w:t>
      </w:r>
      <w:r w:rsidR="004F7A53" w:rsidRPr="00FD656C">
        <w:rPr>
          <w:noProof/>
          <w:szCs w:val="24"/>
        </w:rPr>
        <w:t xml:space="preserve">, a to a) z vlastního podnětu, b) na </w:t>
      </w:r>
      <w:r w:rsidR="004F7A53" w:rsidRPr="00412925">
        <w:rPr>
          <w:noProof/>
          <w:szCs w:val="24"/>
        </w:rPr>
        <w:t>náv</w:t>
      </w:r>
      <w:r w:rsidR="002A1B2C" w:rsidRPr="00412925">
        <w:rPr>
          <w:noProof/>
          <w:szCs w:val="24"/>
        </w:rPr>
        <w:t>rh orgánu veřejné správy, c) na </w:t>
      </w:r>
      <w:r w:rsidR="00AB65E9" w:rsidRPr="00AB65E9">
        <w:rPr>
          <w:noProof/>
          <w:szCs w:val="24"/>
        </w:rPr>
        <w:t xml:space="preserve">návrh občana obce, d) na návrh fyzické nebo právnické osoby, která má vlastnická nebo obdobná práva </w:t>
      </w:r>
      <w:r w:rsidR="00AB65E9" w:rsidRPr="00616A8F">
        <w:rPr>
          <w:noProof/>
          <w:szCs w:val="24"/>
        </w:rPr>
        <w:t>k</w:t>
      </w:r>
      <w:r w:rsidR="009A0917">
        <w:rPr>
          <w:noProof/>
          <w:szCs w:val="24"/>
        </w:rPr>
        <w:t> </w:t>
      </w:r>
      <w:r w:rsidR="004F7A53" w:rsidRPr="00FD656C">
        <w:rPr>
          <w:noProof/>
          <w:szCs w:val="24"/>
        </w:rPr>
        <w:t>pozemku nebo stavbě na území obce, e) na návrh oprávněného investora.</w:t>
      </w:r>
    </w:p>
    <w:p w:rsidR="00E61BDC" w:rsidRDefault="002176D4" w:rsidP="003E4A5D">
      <w:pPr>
        <w:widowControl w:val="0"/>
        <w:rPr>
          <w:noProof/>
        </w:rPr>
      </w:pPr>
      <w:r>
        <w:rPr>
          <w:noProof/>
        </w:rPr>
        <w:t>ÚP</w:t>
      </w:r>
      <w:r w:rsidR="00E61BDC" w:rsidRPr="00A120A2">
        <w:rPr>
          <w:noProof/>
        </w:rPr>
        <w:t xml:space="preserve"> se </w:t>
      </w:r>
      <w:r w:rsidR="00E61BDC">
        <w:rPr>
          <w:noProof/>
        </w:rPr>
        <w:t>vydává</w:t>
      </w:r>
      <w:r w:rsidR="00E61BDC" w:rsidRPr="00A120A2">
        <w:rPr>
          <w:noProof/>
        </w:rPr>
        <w:t xml:space="preserve"> formou opatření obecné povahy (OOP) a </w:t>
      </w:r>
      <w:r w:rsidR="00E61BDC">
        <w:rPr>
          <w:noProof/>
        </w:rPr>
        <w:t>oznamuje</w:t>
      </w:r>
      <w:r w:rsidR="00E61BDC" w:rsidRPr="00A120A2">
        <w:rPr>
          <w:noProof/>
        </w:rPr>
        <w:t xml:space="preserve"> ho </w:t>
      </w:r>
      <w:r w:rsidR="00E61BDC">
        <w:rPr>
          <w:noProof/>
        </w:rPr>
        <w:t>vyvěšením veřejné vyhlášky</w:t>
      </w:r>
      <w:r w:rsidR="00E61BDC" w:rsidRPr="00A120A2">
        <w:rPr>
          <w:noProof/>
        </w:rPr>
        <w:t xml:space="preserve"> zastupitelstvo obce. Účinným se stává po uplynutí zákonné lhůty</w:t>
      </w:r>
      <w:r w:rsidR="00E61BDC">
        <w:rPr>
          <w:noProof/>
        </w:rPr>
        <w:t xml:space="preserve"> 15 dnů od vyvěšení veřejné vyhlášky</w:t>
      </w:r>
      <w:r w:rsidR="00E61BDC" w:rsidRPr="00A120A2">
        <w:rPr>
          <w:noProof/>
        </w:rPr>
        <w:t xml:space="preserve">. Samotný </w:t>
      </w:r>
      <w:r w:rsidR="00BC28A1">
        <w:rPr>
          <w:noProof/>
        </w:rPr>
        <w:t>ÚP</w:t>
      </w:r>
      <w:r w:rsidR="00E61BDC" w:rsidRPr="00A120A2">
        <w:rPr>
          <w:noProof/>
        </w:rPr>
        <w:t xml:space="preserve"> je tvořen textovou částí (</w:t>
      </w:r>
      <w:r w:rsidR="009A0917">
        <w:rPr>
          <w:noProof/>
        </w:rPr>
        <w:t xml:space="preserve">text </w:t>
      </w:r>
      <w:r w:rsidR="00BC28A1">
        <w:rPr>
          <w:noProof/>
        </w:rPr>
        <w:t>závazn</w:t>
      </w:r>
      <w:r w:rsidR="009A0917">
        <w:rPr>
          <w:noProof/>
        </w:rPr>
        <w:t>é</w:t>
      </w:r>
      <w:r w:rsidR="00BC28A1">
        <w:rPr>
          <w:noProof/>
        </w:rPr>
        <w:t xml:space="preserve"> část</w:t>
      </w:r>
      <w:r w:rsidR="009A0917">
        <w:rPr>
          <w:noProof/>
        </w:rPr>
        <w:t>i</w:t>
      </w:r>
      <w:r w:rsidR="00BC28A1">
        <w:rPr>
          <w:noProof/>
        </w:rPr>
        <w:t xml:space="preserve"> a </w:t>
      </w:r>
      <w:r w:rsidR="009A0917">
        <w:rPr>
          <w:noProof/>
        </w:rPr>
        <w:t xml:space="preserve">text </w:t>
      </w:r>
      <w:r w:rsidR="00E61BDC" w:rsidRPr="00A120A2">
        <w:rPr>
          <w:noProof/>
        </w:rPr>
        <w:t xml:space="preserve">odůvodnění) </w:t>
      </w:r>
      <w:r w:rsidR="009A0917" w:rsidRPr="00A120A2">
        <w:rPr>
          <w:noProof/>
        </w:rPr>
        <w:t>a</w:t>
      </w:r>
      <w:r w:rsidR="009A0917">
        <w:rPr>
          <w:noProof/>
        </w:rPr>
        <w:t> </w:t>
      </w:r>
      <w:r w:rsidR="009A0917" w:rsidRPr="00A120A2">
        <w:rPr>
          <w:noProof/>
        </w:rPr>
        <w:t>z</w:t>
      </w:r>
      <w:r w:rsidR="009A0917">
        <w:rPr>
          <w:noProof/>
        </w:rPr>
        <w:t> </w:t>
      </w:r>
      <w:r w:rsidR="00E61BDC" w:rsidRPr="00A120A2">
        <w:rPr>
          <w:noProof/>
        </w:rPr>
        <w:t>grafické části</w:t>
      </w:r>
      <w:r w:rsidR="00BC28A1">
        <w:rPr>
          <w:noProof/>
        </w:rPr>
        <w:t xml:space="preserve"> </w:t>
      </w:r>
      <w:r w:rsidR="00BC28A1" w:rsidRPr="00A120A2">
        <w:rPr>
          <w:noProof/>
        </w:rPr>
        <w:t>(</w:t>
      </w:r>
      <w:r w:rsidR="00BC28A1">
        <w:rPr>
          <w:noProof/>
        </w:rPr>
        <w:t xml:space="preserve">výkresy závazné části a výkresy </w:t>
      </w:r>
      <w:r w:rsidR="00BC28A1" w:rsidRPr="00A120A2">
        <w:rPr>
          <w:noProof/>
        </w:rPr>
        <w:t>odůvodnění)</w:t>
      </w:r>
      <w:r w:rsidR="00E61BDC" w:rsidRPr="00A120A2">
        <w:rPr>
          <w:noProof/>
        </w:rPr>
        <w:t xml:space="preserve">. </w:t>
      </w:r>
    </w:p>
    <w:p w:rsidR="00E61BDC" w:rsidRDefault="00E61BDC" w:rsidP="003E4A5D">
      <w:pPr>
        <w:widowControl w:val="0"/>
        <w:rPr>
          <w:noProof/>
        </w:rPr>
      </w:pPr>
      <w:r w:rsidRPr="00A120A2">
        <w:rPr>
          <w:noProof/>
        </w:rPr>
        <w:lastRenderedPageBreak/>
        <w:t xml:space="preserve">Nesouhlas </w:t>
      </w:r>
      <w:r w:rsidR="00F30A91">
        <w:rPr>
          <w:noProof/>
        </w:rPr>
        <w:t>s</w:t>
      </w:r>
      <w:r w:rsidRPr="00A120A2">
        <w:rPr>
          <w:noProof/>
        </w:rPr>
        <w:t xml:space="preserve"> </w:t>
      </w:r>
      <w:r w:rsidR="00184DC0">
        <w:rPr>
          <w:noProof/>
        </w:rPr>
        <w:t>ÚP</w:t>
      </w:r>
      <w:r w:rsidRPr="00A120A2">
        <w:rPr>
          <w:noProof/>
        </w:rPr>
        <w:t xml:space="preserve"> </w:t>
      </w:r>
      <w:r w:rsidR="00184DC0">
        <w:rPr>
          <w:noProof/>
        </w:rPr>
        <w:t xml:space="preserve">v průběhu jeho pořizování </w:t>
      </w:r>
      <w:r w:rsidRPr="00A120A2">
        <w:rPr>
          <w:noProof/>
        </w:rPr>
        <w:t xml:space="preserve">může být uplatněn </w:t>
      </w:r>
      <w:r w:rsidR="002A1B2C">
        <w:rPr>
          <w:noProof/>
        </w:rPr>
        <w:t>dvěma možnými způsoby. Jednou z </w:t>
      </w:r>
      <w:r w:rsidRPr="00A120A2">
        <w:rPr>
          <w:noProof/>
        </w:rPr>
        <w:t xml:space="preserve">těchto možností jsou námitky, které </w:t>
      </w:r>
      <w:r w:rsidR="003A67F2">
        <w:rPr>
          <w:noProof/>
        </w:rPr>
        <w:t>mohou</w:t>
      </w:r>
      <w:r w:rsidRPr="00A120A2">
        <w:rPr>
          <w:noProof/>
        </w:rPr>
        <w:t xml:space="preserve"> využívat tzv. dotčené osoby. </w:t>
      </w:r>
      <w:r w:rsidR="00184DC0">
        <w:rPr>
          <w:noProof/>
        </w:rPr>
        <w:t xml:space="preserve">O námitkách rozhoduje zastupitelstvo obce a toto rozhodnutí (včetně odůvodnění tohoto rozhodnutí) je součástí odůvodnění ÚP. </w:t>
      </w:r>
      <w:r w:rsidRPr="00A120A2">
        <w:rPr>
          <w:noProof/>
        </w:rPr>
        <w:t>Druhou možností jsou připomínky, které může uplatňovat každý</w:t>
      </w:r>
      <w:r w:rsidR="00B74D06">
        <w:rPr>
          <w:noProof/>
        </w:rPr>
        <w:t>. Vypořádání připomínek je také součástí odůvodnění ÚP</w:t>
      </w:r>
      <w:r w:rsidRPr="00A120A2">
        <w:rPr>
          <w:noProof/>
        </w:rPr>
        <w:t xml:space="preserve">. Důležitou roli zde hraje úloha námitek </w:t>
      </w:r>
      <w:r w:rsidR="009A0917" w:rsidRPr="00A120A2">
        <w:rPr>
          <w:noProof/>
        </w:rPr>
        <w:t>a</w:t>
      </w:r>
      <w:r w:rsidR="009A0917">
        <w:rPr>
          <w:noProof/>
        </w:rPr>
        <w:t> </w:t>
      </w:r>
      <w:r w:rsidRPr="00A120A2">
        <w:rPr>
          <w:noProof/>
        </w:rPr>
        <w:t xml:space="preserve">připomínek již podaných v řízení o pořízení </w:t>
      </w:r>
      <w:r w:rsidR="00B74D06">
        <w:rPr>
          <w:noProof/>
        </w:rPr>
        <w:t>ZÚR</w:t>
      </w:r>
      <w:r w:rsidRPr="00A120A2">
        <w:rPr>
          <w:noProof/>
        </w:rPr>
        <w:t xml:space="preserve">. K těmto námitkám a připomínkám, pokud již o nich bylo rozhodnuto, se při řízení o </w:t>
      </w:r>
      <w:r w:rsidR="00B74D06">
        <w:rPr>
          <w:noProof/>
        </w:rPr>
        <w:t>ÚP</w:t>
      </w:r>
      <w:r w:rsidRPr="00A120A2">
        <w:rPr>
          <w:noProof/>
        </w:rPr>
        <w:t xml:space="preserve"> nepřihlíží. Pokud se při řízení o </w:t>
      </w:r>
      <w:r w:rsidR="00B74D06">
        <w:rPr>
          <w:noProof/>
        </w:rPr>
        <w:t>ÚP</w:t>
      </w:r>
      <w:r w:rsidRPr="00A120A2">
        <w:rPr>
          <w:noProof/>
        </w:rPr>
        <w:t xml:space="preserve"> nenajdou jiné argumenty nebo cesty k napadení </w:t>
      </w:r>
      <w:r w:rsidR="00F30A91">
        <w:rPr>
          <w:noProof/>
        </w:rPr>
        <w:t xml:space="preserve">konkrétních </w:t>
      </w:r>
      <w:r w:rsidRPr="00A120A2">
        <w:rPr>
          <w:noProof/>
        </w:rPr>
        <w:t xml:space="preserve">staveb, opakovaná tvrzení nemají žádný význam, pokud se s nimi krajský úřad v řízení o vydání </w:t>
      </w:r>
      <w:r w:rsidR="00B74D06">
        <w:rPr>
          <w:noProof/>
        </w:rPr>
        <w:t>ZÚR</w:t>
      </w:r>
      <w:r w:rsidRPr="00A120A2">
        <w:rPr>
          <w:noProof/>
        </w:rPr>
        <w:t xml:space="preserve"> vypořádal.</w:t>
      </w:r>
    </w:p>
    <w:p w:rsidR="00B74D06" w:rsidRPr="00A120A2" w:rsidRDefault="00B74D06" w:rsidP="003E4A5D">
      <w:pPr>
        <w:widowControl w:val="0"/>
        <w:rPr>
          <w:noProof/>
        </w:rPr>
      </w:pPr>
      <w:r w:rsidRPr="00A120A2">
        <w:rPr>
          <w:noProof/>
        </w:rPr>
        <w:t xml:space="preserve">Správní řád neumožňuje podat opravný prostředek </w:t>
      </w:r>
      <w:r>
        <w:rPr>
          <w:noProof/>
        </w:rPr>
        <w:t xml:space="preserve">(odvolání) </w:t>
      </w:r>
      <w:r w:rsidRPr="00A120A2">
        <w:rPr>
          <w:noProof/>
        </w:rPr>
        <w:t>proti opatření obecné povahy</w:t>
      </w:r>
      <w:r>
        <w:rPr>
          <w:noProof/>
        </w:rPr>
        <w:t>, ale je možné podat podnět krajskému úřadu, aby přezkoumal soulad ÚP se zákonem.</w:t>
      </w:r>
    </w:p>
    <w:p w:rsidR="00E61BDC" w:rsidRDefault="00E61BDC" w:rsidP="003E4A5D">
      <w:pPr>
        <w:pStyle w:val="Textkomente"/>
        <w:widowControl w:val="0"/>
        <w:rPr>
          <w:noProof/>
          <w:sz w:val="24"/>
          <w:szCs w:val="22"/>
        </w:rPr>
      </w:pPr>
      <w:r w:rsidRPr="005B6508">
        <w:rPr>
          <w:noProof/>
          <w:sz w:val="24"/>
          <w:szCs w:val="22"/>
        </w:rPr>
        <w:t>Další možností</w:t>
      </w:r>
      <w:r w:rsidR="00F30A91">
        <w:rPr>
          <w:noProof/>
          <w:sz w:val="24"/>
          <w:szCs w:val="22"/>
        </w:rPr>
        <w:t>,</w:t>
      </w:r>
      <w:r w:rsidRPr="005B6508">
        <w:rPr>
          <w:noProof/>
          <w:sz w:val="24"/>
          <w:szCs w:val="22"/>
        </w:rPr>
        <w:t xml:space="preserve"> </w:t>
      </w:r>
      <w:r>
        <w:rPr>
          <w:noProof/>
          <w:sz w:val="24"/>
          <w:szCs w:val="22"/>
        </w:rPr>
        <w:t xml:space="preserve">jak usilovat o zrušení </w:t>
      </w:r>
      <w:r w:rsidR="00B74D06">
        <w:rPr>
          <w:noProof/>
          <w:sz w:val="24"/>
          <w:szCs w:val="22"/>
        </w:rPr>
        <w:t>OOP</w:t>
      </w:r>
      <w:r>
        <w:rPr>
          <w:noProof/>
          <w:sz w:val="24"/>
          <w:szCs w:val="22"/>
        </w:rPr>
        <w:t xml:space="preserve"> nebo jeho části</w:t>
      </w:r>
      <w:r w:rsidR="00F30A91">
        <w:rPr>
          <w:noProof/>
          <w:sz w:val="24"/>
          <w:szCs w:val="22"/>
        </w:rPr>
        <w:t>,</w:t>
      </w:r>
      <w:r>
        <w:rPr>
          <w:noProof/>
          <w:sz w:val="24"/>
          <w:szCs w:val="22"/>
        </w:rPr>
        <w:t xml:space="preserve"> </w:t>
      </w:r>
      <w:r w:rsidRPr="005B6508">
        <w:rPr>
          <w:noProof/>
          <w:sz w:val="24"/>
          <w:szCs w:val="22"/>
        </w:rPr>
        <w:t xml:space="preserve">je speciální řízení o zrušení </w:t>
      </w:r>
      <w:r w:rsidR="00B74D06">
        <w:rPr>
          <w:noProof/>
          <w:sz w:val="24"/>
          <w:szCs w:val="22"/>
        </w:rPr>
        <w:t>OOP</w:t>
      </w:r>
      <w:r w:rsidRPr="005B6508">
        <w:rPr>
          <w:noProof/>
          <w:sz w:val="24"/>
          <w:szCs w:val="22"/>
        </w:rPr>
        <w:t xml:space="preserve">, které je vedeno před </w:t>
      </w:r>
      <w:r>
        <w:rPr>
          <w:noProof/>
          <w:sz w:val="24"/>
          <w:szCs w:val="22"/>
        </w:rPr>
        <w:t>krajským</w:t>
      </w:r>
      <w:r w:rsidRPr="005B6508">
        <w:rPr>
          <w:noProof/>
          <w:sz w:val="24"/>
          <w:szCs w:val="22"/>
        </w:rPr>
        <w:t xml:space="preserve"> soudem, přičemž zákon dává obecnou aktivní legitimaci každému, kdo by mohl být na svých právech napadeným </w:t>
      </w:r>
      <w:r w:rsidR="00B74D06">
        <w:rPr>
          <w:noProof/>
          <w:sz w:val="24"/>
          <w:szCs w:val="22"/>
        </w:rPr>
        <w:t>OOP</w:t>
      </w:r>
      <w:r w:rsidRPr="005B6508">
        <w:rPr>
          <w:noProof/>
          <w:sz w:val="24"/>
          <w:szCs w:val="22"/>
        </w:rPr>
        <w:t xml:space="preserve"> zkrácen (nejedná se o zástupce veřejnosti). Soudu je stanovena lhůta 90 dní pro vydání rozhodnutí o</w:t>
      </w:r>
      <w:r w:rsidR="008936D0">
        <w:rPr>
          <w:noProof/>
          <w:sz w:val="24"/>
          <w:szCs w:val="22"/>
        </w:rPr>
        <w:t>d</w:t>
      </w:r>
      <w:r w:rsidRPr="005B6508">
        <w:rPr>
          <w:noProof/>
          <w:sz w:val="24"/>
          <w:szCs w:val="22"/>
        </w:rPr>
        <w:t xml:space="preserve"> </w:t>
      </w:r>
      <w:r w:rsidR="008936D0">
        <w:rPr>
          <w:noProof/>
          <w:sz w:val="24"/>
          <w:szCs w:val="22"/>
        </w:rPr>
        <w:t xml:space="preserve">podání </w:t>
      </w:r>
      <w:r w:rsidRPr="005B6508">
        <w:rPr>
          <w:noProof/>
          <w:sz w:val="24"/>
          <w:szCs w:val="22"/>
        </w:rPr>
        <w:t xml:space="preserve">návrhu. Lhůta pro podání návrhu na zrušení </w:t>
      </w:r>
      <w:r w:rsidR="00B74D06">
        <w:rPr>
          <w:noProof/>
          <w:sz w:val="24"/>
          <w:szCs w:val="22"/>
        </w:rPr>
        <w:t>OOP</w:t>
      </w:r>
      <w:r w:rsidRPr="005B6508">
        <w:rPr>
          <w:noProof/>
          <w:sz w:val="24"/>
          <w:szCs w:val="22"/>
        </w:rPr>
        <w:t xml:space="preserve"> je </w:t>
      </w:r>
      <w:r w:rsidR="008936D0">
        <w:rPr>
          <w:noProof/>
          <w:sz w:val="24"/>
          <w:szCs w:val="22"/>
        </w:rPr>
        <w:t xml:space="preserve">v důsledku </w:t>
      </w:r>
      <w:r w:rsidR="00032201">
        <w:rPr>
          <w:noProof/>
          <w:sz w:val="24"/>
          <w:szCs w:val="22"/>
        </w:rPr>
        <w:t>negativních následků soudního přezkumu do právní jistoty postupně zkracována. V původní právní úpravě § 101</w:t>
      </w:r>
      <w:r w:rsidR="000F4604">
        <w:rPr>
          <w:noProof/>
          <w:sz w:val="24"/>
          <w:szCs w:val="22"/>
        </w:rPr>
        <w:t>a</w:t>
      </w:r>
      <w:r w:rsidR="00032201">
        <w:rPr>
          <w:noProof/>
          <w:sz w:val="24"/>
          <w:szCs w:val="22"/>
        </w:rPr>
        <w:t xml:space="preserve"> a násl. soudního řádu správního tato lhůta absentovala zcela, následně byla </w:t>
      </w:r>
      <w:r w:rsidR="00B103A4">
        <w:rPr>
          <w:noProof/>
          <w:sz w:val="24"/>
          <w:szCs w:val="22"/>
        </w:rPr>
        <w:t xml:space="preserve">od 1. 1. 2012 </w:t>
      </w:r>
      <w:r w:rsidRPr="005B6508">
        <w:rPr>
          <w:noProof/>
          <w:sz w:val="24"/>
          <w:szCs w:val="22"/>
        </w:rPr>
        <w:t>stanovena v délce 3 let od nabytí účinnosti</w:t>
      </w:r>
      <w:r>
        <w:rPr>
          <w:noProof/>
          <w:sz w:val="24"/>
          <w:szCs w:val="22"/>
        </w:rPr>
        <w:t xml:space="preserve"> </w:t>
      </w:r>
      <w:r w:rsidR="00B103A4">
        <w:rPr>
          <w:noProof/>
          <w:sz w:val="24"/>
          <w:szCs w:val="22"/>
        </w:rPr>
        <w:t xml:space="preserve">opatření obecné povahy a následně byla od 1. 1. 2018 zkrácena na 1 rok </w:t>
      </w:r>
      <w:r w:rsidR="00B103A4" w:rsidRPr="005B6508">
        <w:rPr>
          <w:noProof/>
          <w:sz w:val="24"/>
          <w:szCs w:val="22"/>
        </w:rPr>
        <w:t>od nabytí účinnosti</w:t>
      </w:r>
      <w:r w:rsidR="00B103A4">
        <w:rPr>
          <w:noProof/>
          <w:sz w:val="24"/>
          <w:szCs w:val="22"/>
        </w:rPr>
        <w:t xml:space="preserve"> </w:t>
      </w:r>
      <w:r w:rsidR="002B4B30">
        <w:rPr>
          <w:noProof/>
          <w:sz w:val="24"/>
          <w:szCs w:val="22"/>
        </w:rPr>
        <w:t>OOP</w:t>
      </w:r>
      <w:r w:rsidR="00B103A4">
        <w:rPr>
          <w:noProof/>
          <w:sz w:val="24"/>
          <w:szCs w:val="22"/>
        </w:rPr>
        <w:t xml:space="preserve"> </w:t>
      </w:r>
      <w:r w:rsidRPr="005B6508">
        <w:rPr>
          <w:noProof/>
          <w:sz w:val="24"/>
          <w:szCs w:val="22"/>
        </w:rPr>
        <w:t>(</w:t>
      </w:r>
      <w:r w:rsidR="007D6AED">
        <w:rPr>
          <w:noProof/>
          <w:sz w:val="24"/>
          <w:szCs w:val="22"/>
        </w:rPr>
        <w:t xml:space="preserve">byť je existence této lhůty </w:t>
      </w:r>
      <w:r w:rsidR="009339D7">
        <w:rPr>
          <w:noProof/>
          <w:sz w:val="24"/>
          <w:szCs w:val="22"/>
        </w:rPr>
        <w:t xml:space="preserve">v některých názorech </w:t>
      </w:r>
      <w:r w:rsidR="007D6AED">
        <w:rPr>
          <w:noProof/>
          <w:sz w:val="24"/>
          <w:szCs w:val="22"/>
        </w:rPr>
        <w:t>zpochybňován</w:t>
      </w:r>
      <w:r w:rsidR="009339D7">
        <w:rPr>
          <w:noProof/>
          <w:sz w:val="24"/>
          <w:szCs w:val="22"/>
        </w:rPr>
        <w:t>a</w:t>
      </w:r>
      <w:r w:rsidR="007D6AED">
        <w:rPr>
          <w:noProof/>
          <w:sz w:val="24"/>
          <w:szCs w:val="22"/>
        </w:rPr>
        <w:t>)</w:t>
      </w:r>
      <w:r w:rsidR="009339D7">
        <w:rPr>
          <w:noProof/>
          <w:sz w:val="24"/>
          <w:szCs w:val="22"/>
        </w:rPr>
        <w:t>,</w:t>
      </w:r>
      <w:r w:rsidR="007D6AED">
        <w:rPr>
          <w:noProof/>
          <w:sz w:val="24"/>
          <w:szCs w:val="22"/>
        </w:rPr>
        <w:t xml:space="preserve"> </w:t>
      </w:r>
      <w:r w:rsidRPr="005B6508">
        <w:rPr>
          <w:noProof/>
          <w:sz w:val="24"/>
          <w:szCs w:val="22"/>
        </w:rPr>
        <w:t xml:space="preserve">tj. </w:t>
      </w:r>
      <w:r w:rsidR="00874146">
        <w:rPr>
          <w:noProof/>
          <w:sz w:val="24"/>
          <w:szCs w:val="22"/>
        </w:rPr>
        <w:t xml:space="preserve">i dnes </w:t>
      </w:r>
      <w:r w:rsidRPr="005B6508">
        <w:rPr>
          <w:noProof/>
          <w:sz w:val="24"/>
          <w:szCs w:val="22"/>
        </w:rPr>
        <w:t xml:space="preserve">může dojít k situaci, kdy </w:t>
      </w:r>
      <w:r>
        <w:rPr>
          <w:noProof/>
          <w:sz w:val="24"/>
          <w:szCs w:val="22"/>
        </w:rPr>
        <w:t>je</w:t>
      </w:r>
      <w:r w:rsidRPr="005B6508">
        <w:rPr>
          <w:noProof/>
          <w:sz w:val="24"/>
          <w:szCs w:val="22"/>
        </w:rPr>
        <w:t xml:space="preserve"> </w:t>
      </w:r>
      <w:r w:rsidR="00874146">
        <w:rPr>
          <w:noProof/>
          <w:sz w:val="24"/>
          <w:szCs w:val="22"/>
        </w:rPr>
        <w:t xml:space="preserve">investorem v dobré víře v platnost </w:t>
      </w:r>
      <w:r w:rsidR="002B4B30">
        <w:rPr>
          <w:noProof/>
          <w:sz w:val="24"/>
          <w:szCs w:val="22"/>
        </w:rPr>
        <w:t>ÚP</w:t>
      </w:r>
      <w:r w:rsidR="00874146">
        <w:rPr>
          <w:noProof/>
          <w:sz w:val="24"/>
          <w:szCs w:val="22"/>
        </w:rPr>
        <w:t xml:space="preserve"> </w:t>
      </w:r>
      <w:r w:rsidR="00917652">
        <w:rPr>
          <w:noProof/>
          <w:sz w:val="24"/>
          <w:szCs w:val="22"/>
        </w:rPr>
        <w:t xml:space="preserve">zajištěno financování záměru, pořízen určitý pozemek, připraven určitý projekt </w:t>
      </w:r>
      <w:r>
        <w:rPr>
          <w:noProof/>
          <w:sz w:val="24"/>
          <w:szCs w:val="22"/>
        </w:rPr>
        <w:t>k vydání</w:t>
      </w:r>
      <w:r w:rsidRPr="005B6508">
        <w:rPr>
          <w:noProof/>
          <w:sz w:val="24"/>
          <w:szCs w:val="22"/>
        </w:rPr>
        <w:t xml:space="preserve"> územní</w:t>
      </w:r>
      <w:r>
        <w:rPr>
          <w:noProof/>
          <w:sz w:val="24"/>
          <w:szCs w:val="22"/>
        </w:rPr>
        <w:t>ho</w:t>
      </w:r>
      <w:r w:rsidRPr="005B6508">
        <w:rPr>
          <w:noProof/>
          <w:sz w:val="24"/>
          <w:szCs w:val="22"/>
        </w:rPr>
        <w:t xml:space="preserve"> rozhodnutí a soudu je </w:t>
      </w:r>
      <w:r w:rsidR="00571133">
        <w:rPr>
          <w:noProof/>
          <w:sz w:val="24"/>
          <w:szCs w:val="22"/>
        </w:rPr>
        <w:t xml:space="preserve">posléze </w:t>
      </w:r>
      <w:r w:rsidRPr="005B6508">
        <w:rPr>
          <w:noProof/>
          <w:sz w:val="24"/>
          <w:szCs w:val="22"/>
        </w:rPr>
        <w:t xml:space="preserve">doručen návrh na zrušení </w:t>
      </w:r>
      <w:r w:rsidR="002B4B30">
        <w:rPr>
          <w:noProof/>
          <w:sz w:val="24"/>
          <w:szCs w:val="22"/>
        </w:rPr>
        <w:t>ÚP</w:t>
      </w:r>
      <w:r w:rsidRPr="005B6508">
        <w:rPr>
          <w:noProof/>
          <w:sz w:val="24"/>
          <w:szCs w:val="22"/>
        </w:rPr>
        <w:t xml:space="preserve"> nebo </w:t>
      </w:r>
      <w:r w:rsidR="002B4B30">
        <w:rPr>
          <w:noProof/>
          <w:sz w:val="24"/>
          <w:szCs w:val="22"/>
        </w:rPr>
        <w:t>ZÚR</w:t>
      </w:r>
      <w:r w:rsidRPr="005B6508">
        <w:rPr>
          <w:noProof/>
          <w:sz w:val="24"/>
          <w:szCs w:val="22"/>
        </w:rPr>
        <w:t xml:space="preserve">, na základě kterého je pak </w:t>
      </w:r>
      <w:r w:rsidR="00571133">
        <w:rPr>
          <w:noProof/>
          <w:sz w:val="24"/>
          <w:szCs w:val="22"/>
        </w:rPr>
        <w:t xml:space="preserve">příslušné </w:t>
      </w:r>
      <w:r w:rsidR="002B4B30">
        <w:rPr>
          <w:noProof/>
          <w:sz w:val="24"/>
          <w:szCs w:val="22"/>
        </w:rPr>
        <w:t>OOP</w:t>
      </w:r>
      <w:r w:rsidR="00141512">
        <w:rPr>
          <w:noProof/>
          <w:sz w:val="24"/>
          <w:szCs w:val="22"/>
        </w:rPr>
        <w:t xml:space="preserve"> </w:t>
      </w:r>
      <w:r w:rsidRPr="005B6508">
        <w:rPr>
          <w:noProof/>
          <w:sz w:val="24"/>
          <w:szCs w:val="22"/>
        </w:rPr>
        <w:t>zrušen</w:t>
      </w:r>
      <w:r w:rsidR="00141512">
        <w:rPr>
          <w:noProof/>
          <w:sz w:val="24"/>
          <w:szCs w:val="22"/>
        </w:rPr>
        <w:t>o</w:t>
      </w:r>
      <w:r w:rsidR="002B4B30">
        <w:rPr>
          <w:noProof/>
          <w:sz w:val="24"/>
          <w:szCs w:val="22"/>
        </w:rPr>
        <w:t>. Tato skutečnost má negativní dopady na pravomocně neukončen</w:t>
      </w:r>
      <w:r w:rsidR="0051550F">
        <w:rPr>
          <w:noProof/>
          <w:sz w:val="24"/>
          <w:szCs w:val="22"/>
        </w:rPr>
        <w:t>á</w:t>
      </w:r>
      <w:r w:rsidR="002B4B30">
        <w:rPr>
          <w:noProof/>
          <w:sz w:val="24"/>
          <w:szCs w:val="22"/>
        </w:rPr>
        <w:t xml:space="preserve"> územní řízení</w:t>
      </w:r>
      <w:r w:rsidR="00141512">
        <w:rPr>
          <w:noProof/>
          <w:sz w:val="24"/>
          <w:szCs w:val="22"/>
        </w:rPr>
        <w:t xml:space="preserve"> </w:t>
      </w:r>
      <w:r w:rsidR="002B4B30">
        <w:rPr>
          <w:noProof/>
          <w:sz w:val="24"/>
          <w:szCs w:val="22"/>
        </w:rPr>
        <w:t xml:space="preserve">(většinou </w:t>
      </w:r>
      <w:r w:rsidR="00141512">
        <w:rPr>
          <w:noProof/>
          <w:sz w:val="24"/>
          <w:szCs w:val="22"/>
        </w:rPr>
        <w:t>zcela znemožňuje</w:t>
      </w:r>
      <w:r w:rsidR="002B4B30">
        <w:rPr>
          <w:noProof/>
          <w:sz w:val="24"/>
          <w:szCs w:val="22"/>
        </w:rPr>
        <w:t xml:space="preserve"> jejich vydání)</w:t>
      </w:r>
      <w:r w:rsidR="0051550F">
        <w:rPr>
          <w:noProof/>
          <w:sz w:val="24"/>
          <w:szCs w:val="22"/>
        </w:rPr>
        <w:t xml:space="preserve">. V této souvislosti </w:t>
      </w:r>
      <w:r w:rsidR="00141512">
        <w:rPr>
          <w:noProof/>
          <w:sz w:val="24"/>
          <w:szCs w:val="22"/>
        </w:rPr>
        <w:t xml:space="preserve">vznikají </w:t>
      </w:r>
      <w:r w:rsidR="0051550F">
        <w:rPr>
          <w:noProof/>
          <w:sz w:val="24"/>
          <w:szCs w:val="22"/>
        </w:rPr>
        <w:t xml:space="preserve">zejména investorům </w:t>
      </w:r>
      <w:r w:rsidR="00141512">
        <w:rPr>
          <w:noProof/>
          <w:sz w:val="24"/>
          <w:szCs w:val="22"/>
        </w:rPr>
        <w:t>rozsáhlé škody</w:t>
      </w:r>
      <w:r w:rsidRPr="005B6508">
        <w:rPr>
          <w:noProof/>
          <w:sz w:val="24"/>
          <w:szCs w:val="22"/>
        </w:rPr>
        <w:t>.</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AF5BD8" w:rsidRPr="00AF5BD8" w:rsidTr="00412925">
        <w:tc>
          <w:tcPr>
            <w:tcW w:w="9072" w:type="dxa"/>
            <w:shd w:val="clear" w:color="auto" w:fill="D9D9D9" w:themeFill="background1" w:themeFillShade="D9"/>
          </w:tcPr>
          <w:p w:rsidR="00D530AC" w:rsidRDefault="004435D6" w:rsidP="003E4A5D">
            <w:pPr>
              <w:pStyle w:val="Titulek"/>
              <w:rPr>
                <w:noProof/>
              </w:rPr>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2</w:t>
            </w:r>
            <w:r w:rsidR="00AB65E9">
              <w:rPr>
                <w:noProof/>
              </w:rPr>
              <w:fldChar w:fldCharType="end"/>
            </w:r>
          </w:p>
          <w:p w:rsidR="00AF5BD8" w:rsidRPr="00AF5BD8" w:rsidRDefault="00AF5BD8" w:rsidP="003E4A5D">
            <w:pPr>
              <w:pStyle w:val="Textkomente"/>
              <w:widowControl w:val="0"/>
              <w:rPr>
                <w:noProof/>
              </w:rPr>
            </w:pPr>
            <w:r>
              <w:rPr>
                <w:noProof/>
              </w:rPr>
              <w:t>Postup pořizování územního plánu</w:t>
            </w:r>
          </w:p>
          <w:p w:rsidR="00AF5BD8" w:rsidRPr="00F7481F" w:rsidRDefault="0078159F" w:rsidP="00C873B4">
            <w:pPr>
              <w:pStyle w:val="Odstavecseseznamem"/>
              <w:widowControl w:val="0"/>
              <w:numPr>
                <w:ilvl w:val="0"/>
                <w:numId w:val="75"/>
              </w:numPr>
              <w:ind w:left="357" w:hanging="357"/>
              <w:rPr>
                <w:noProof/>
                <w:sz w:val="20"/>
                <w:szCs w:val="20"/>
              </w:rPr>
            </w:pPr>
            <w:r>
              <w:rPr>
                <w:noProof/>
              </w:rPr>
              <w:t>n</w:t>
            </w:r>
            <w:r w:rsidR="00AF5BD8" w:rsidRPr="00F7481F">
              <w:rPr>
                <w:noProof/>
                <w:sz w:val="20"/>
                <w:szCs w:val="20"/>
              </w:rPr>
              <w:t xml:space="preserve">ávrh na pořízení </w:t>
            </w:r>
            <w:r>
              <w:rPr>
                <w:noProof/>
                <w:sz w:val="20"/>
                <w:szCs w:val="20"/>
              </w:rPr>
              <w:t>ÚP</w:t>
            </w:r>
            <w:r w:rsidR="00AF5BD8" w:rsidRPr="00F7481F">
              <w:rPr>
                <w:noProof/>
                <w:sz w:val="20"/>
                <w:szCs w:val="20"/>
              </w:rPr>
              <w:t xml:space="preserve"> se podává u obce, pro jejíž území se </w:t>
            </w:r>
            <w:r>
              <w:rPr>
                <w:noProof/>
                <w:sz w:val="20"/>
                <w:szCs w:val="20"/>
              </w:rPr>
              <w:t xml:space="preserve">ÚP </w:t>
            </w:r>
            <w:r w:rsidR="00AF5BD8" w:rsidRPr="00F7481F">
              <w:rPr>
                <w:noProof/>
                <w:sz w:val="20"/>
                <w:szCs w:val="20"/>
              </w:rPr>
              <w:t>pořizuje</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po převzetí návrhu na pořízení </w:t>
            </w:r>
            <w:r w:rsidR="0078159F">
              <w:rPr>
                <w:noProof/>
                <w:sz w:val="20"/>
                <w:szCs w:val="20"/>
              </w:rPr>
              <w:t xml:space="preserve">ÚP </w:t>
            </w:r>
            <w:r w:rsidRPr="00F7481F">
              <w:rPr>
                <w:noProof/>
                <w:sz w:val="20"/>
                <w:szCs w:val="20"/>
              </w:rPr>
              <w:t>posoudí úplnost návrhu, jeho soulad s právními předpisy (</w:t>
            </w:r>
            <w:r w:rsidR="00321580" w:rsidRPr="00F7481F">
              <w:rPr>
                <w:noProof/>
                <w:sz w:val="20"/>
                <w:szCs w:val="20"/>
              </w:rPr>
              <w:t>v</w:t>
            </w:r>
            <w:r w:rsidR="00321580">
              <w:rPr>
                <w:noProof/>
                <w:sz w:val="20"/>
                <w:szCs w:val="20"/>
              </w:rPr>
              <w:t> </w:t>
            </w:r>
            <w:r w:rsidRPr="00F7481F">
              <w:rPr>
                <w:noProof/>
                <w:sz w:val="20"/>
                <w:szCs w:val="20"/>
              </w:rPr>
              <w:t xml:space="preserve">případě nedostatků vyzve navrhovatele, aby je v přiměřené lhůtě odstranil) a se svým stanoviskem bezodkladně předloží k rozhodnutí zastupitelstvu obce příslušné k vydání </w:t>
            </w:r>
            <w:r w:rsidR="0078159F">
              <w:rPr>
                <w:noProof/>
                <w:sz w:val="20"/>
                <w:szCs w:val="20"/>
              </w:rPr>
              <w:t>ÚP</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o výsledku jednání zastupitelstva informuje obec navrhovatele a úřad územního plánování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zpracuje návrh zadání </w:t>
            </w:r>
            <w:r w:rsidR="0078159F">
              <w:rPr>
                <w:noProof/>
                <w:sz w:val="20"/>
                <w:szCs w:val="20"/>
              </w:rPr>
              <w:t>ÚP</w:t>
            </w:r>
            <w:r w:rsidR="0078159F" w:rsidRPr="00F7481F" w:rsidDel="0078159F">
              <w:rPr>
                <w:noProof/>
                <w:sz w:val="20"/>
                <w:szCs w:val="20"/>
              </w:rPr>
              <w:t xml:space="preserve">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zaslání návrhu zadání </w:t>
            </w:r>
            <w:r w:rsidR="00D35289">
              <w:rPr>
                <w:noProof/>
                <w:sz w:val="20"/>
                <w:szCs w:val="20"/>
              </w:rPr>
              <w:t>ÚP</w:t>
            </w:r>
            <w:r w:rsidRPr="00F7481F">
              <w:rPr>
                <w:noProof/>
                <w:sz w:val="20"/>
                <w:szCs w:val="20"/>
              </w:rPr>
              <w:t xml:space="preserve"> </w:t>
            </w:r>
            <w:r w:rsidR="0078162F" w:rsidRPr="00F7481F">
              <w:rPr>
                <w:noProof/>
                <w:sz w:val="20"/>
                <w:szCs w:val="20"/>
              </w:rPr>
              <w:t>DO</w:t>
            </w:r>
            <w:r w:rsidRPr="00F7481F">
              <w:rPr>
                <w:noProof/>
                <w:sz w:val="20"/>
                <w:szCs w:val="20"/>
              </w:rPr>
              <w:t xml:space="preserve">, sousedním obcím, krajskému úřadu → 30 dní pro </w:t>
            </w:r>
            <w:r w:rsidR="0078162F" w:rsidRPr="00F7481F">
              <w:rPr>
                <w:noProof/>
                <w:sz w:val="20"/>
                <w:szCs w:val="20"/>
              </w:rPr>
              <w:t>DO</w:t>
            </w:r>
            <w:r w:rsidRPr="00F7481F">
              <w:rPr>
                <w:noProof/>
                <w:sz w:val="20"/>
                <w:szCs w:val="20"/>
              </w:rPr>
              <w:t xml:space="preserve"> a krajský úřad jako nadřízený orgán na vyjádření, pro krajský úřad jako příslušný úřad na stanovisko, pro sousední obce na podněty + nejpozději 7 dní před uplynutím této lhůty doručení stanoviska podle zákona o ochraně přírody a</w:t>
            </w:r>
            <w:r w:rsidR="00902462" w:rsidRPr="00F7481F">
              <w:rPr>
                <w:noProof/>
                <w:sz w:val="20"/>
                <w:szCs w:val="20"/>
              </w:rPr>
              <w:t> </w:t>
            </w:r>
            <w:r w:rsidRPr="00F7481F">
              <w:rPr>
                <w:noProof/>
                <w:sz w:val="20"/>
                <w:szCs w:val="20"/>
              </w:rPr>
              <w:t>krajiny příslušn</w:t>
            </w:r>
            <w:r w:rsidR="006234A9" w:rsidRPr="00F7481F">
              <w:rPr>
                <w:noProof/>
                <w:sz w:val="20"/>
                <w:szCs w:val="20"/>
              </w:rPr>
              <w:t>é</w:t>
            </w:r>
            <w:r w:rsidRPr="00F7481F">
              <w:rPr>
                <w:noProof/>
                <w:sz w:val="20"/>
                <w:szCs w:val="20"/>
              </w:rPr>
              <w:t>m</w:t>
            </w:r>
            <w:r w:rsidR="006234A9" w:rsidRPr="00F7481F">
              <w:rPr>
                <w:noProof/>
                <w:sz w:val="20"/>
                <w:szCs w:val="20"/>
              </w:rPr>
              <w:t>u</w:t>
            </w:r>
            <w:r w:rsidRPr="00F7481F">
              <w:rPr>
                <w:noProof/>
                <w:sz w:val="20"/>
                <w:szCs w:val="20"/>
              </w:rPr>
              <w:t xml:space="preserve"> orgánu ochran</w:t>
            </w:r>
            <w:r w:rsidR="006234A9" w:rsidRPr="00F7481F">
              <w:rPr>
                <w:noProof/>
                <w:sz w:val="20"/>
                <w:szCs w:val="20"/>
              </w:rPr>
              <w:t>y</w:t>
            </w:r>
            <w:r w:rsidRPr="00F7481F">
              <w:rPr>
                <w:noProof/>
                <w:sz w:val="20"/>
                <w:szCs w:val="20"/>
              </w:rPr>
              <w:t xml:space="preserve"> přírody a zároveň</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doručení návrhu zadání </w:t>
            </w:r>
            <w:r w:rsidR="00D35289">
              <w:rPr>
                <w:noProof/>
                <w:sz w:val="20"/>
                <w:szCs w:val="20"/>
              </w:rPr>
              <w:t xml:space="preserve">ÚP </w:t>
            </w:r>
            <w:r w:rsidRPr="00F7481F">
              <w:rPr>
                <w:noProof/>
                <w:sz w:val="20"/>
                <w:szCs w:val="20"/>
              </w:rPr>
              <w:t>veřejnou vyhláškou → 15 dní na připomínky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má být návrh </w:t>
            </w:r>
            <w:r w:rsidR="00D35289">
              <w:rPr>
                <w:noProof/>
                <w:sz w:val="20"/>
                <w:szCs w:val="20"/>
              </w:rPr>
              <w:t>ÚP</w:t>
            </w:r>
            <w:r w:rsidRPr="00F7481F">
              <w:rPr>
                <w:noProof/>
                <w:sz w:val="20"/>
                <w:szCs w:val="20"/>
              </w:rPr>
              <w:t xml:space="preserve"> posuzován z hlediska vlivů na životní prostředí dle stanoviska krajského úřadu nebo příslušného orgánu ochrany přírody</w:t>
            </w:r>
            <w:r w:rsidR="00321580">
              <w:rPr>
                <w:noProof/>
                <w:sz w:val="20"/>
                <w:szCs w:val="20"/>
              </w:rPr>
              <w:t xml:space="preserve"> (není vyloučen dopad na evropsky </w:t>
            </w:r>
            <w:r w:rsidR="0089636C">
              <w:rPr>
                <w:noProof/>
                <w:sz w:val="20"/>
                <w:szCs w:val="20"/>
              </w:rPr>
              <w:t>významnou lokalitu nebo ptačí oblast)</w:t>
            </w:r>
            <w:r w:rsidRPr="00F7481F">
              <w:rPr>
                <w:noProof/>
                <w:sz w:val="20"/>
                <w:szCs w:val="20"/>
              </w:rPr>
              <w:t>, doplní pořizovatel do návrhu zadání požadavek na vyhodnocení vlivů na udržitelný rozvoj území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úprava návrhu zadání a předložení ke schválení zastupitelstvu obce, pro jejíž území je </w:t>
            </w:r>
            <w:r w:rsidR="00D35289">
              <w:rPr>
                <w:noProof/>
                <w:sz w:val="20"/>
                <w:szCs w:val="20"/>
              </w:rPr>
              <w:t xml:space="preserve">ÚP </w:t>
            </w:r>
            <w:r w:rsidRPr="00F7481F">
              <w:rPr>
                <w:noProof/>
                <w:sz w:val="20"/>
                <w:szCs w:val="20"/>
              </w:rPr>
              <w:t>pořizován</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na základě schváleného zadání </w:t>
            </w:r>
            <w:r w:rsidR="00D35289">
              <w:rPr>
                <w:noProof/>
                <w:sz w:val="20"/>
                <w:szCs w:val="20"/>
              </w:rPr>
              <w:t xml:space="preserve">ÚP </w:t>
            </w:r>
            <w:r w:rsidRPr="00F7481F">
              <w:rPr>
                <w:noProof/>
                <w:sz w:val="20"/>
                <w:szCs w:val="20"/>
              </w:rPr>
              <w:t xml:space="preserve">nebo schválených pokynů pro zpracování návrhu </w:t>
            </w:r>
            <w:r w:rsidR="00D35289">
              <w:rPr>
                <w:noProof/>
                <w:sz w:val="20"/>
                <w:szCs w:val="20"/>
              </w:rPr>
              <w:t xml:space="preserve">ÚP </w:t>
            </w:r>
            <w:r w:rsidRPr="00F7481F">
              <w:rPr>
                <w:noProof/>
                <w:sz w:val="20"/>
                <w:szCs w:val="20"/>
              </w:rPr>
              <w:t xml:space="preserve">pořizovatel pořídí pro obec zpracování návrhu </w:t>
            </w:r>
            <w:r w:rsidR="00D35289">
              <w:rPr>
                <w:noProof/>
                <w:sz w:val="20"/>
                <w:szCs w:val="20"/>
              </w:rPr>
              <w:t>ÚP</w:t>
            </w:r>
            <w:r w:rsidRPr="00F7481F">
              <w:rPr>
                <w:noProof/>
                <w:sz w:val="20"/>
                <w:szCs w:val="20"/>
              </w:rPr>
              <w:t xml:space="preserve"> a vyhodnocení vlivů na udržitelný rozvoj území, pokud se zpracovává</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společné jednání o návrhu (krajský úřad, </w:t>
            </w:r>
            <w:r w:rsidR="0078162F" w:rsidRPr="00F7481F">
              <w:rPr>
                <w:noProof/>
                <w:sz w:val="20"/>
                <w:szCs w:val="20"/>
              </w:rPr>
              <w:t>DO</w:t>
            </w:r>
            <w:r w:rsidRPr="00F7481F">
              <w:rPr>
                <w:noProof/>
                <w:sz w:val="20"/>
                <w:szCs w:val="20"/>
              </w:rPr>
              <w:t>, MMR, obce</w:t>
            </w:r>
            <w:r w:rsidR="006234A9" w:rsidRPr="00F7481F">
              <w:rPr>
                <w:noProof/>
                <w:sz w:val="20"/>
                <w:szCs w:val="20"/>
              </w:rPr>
              <w:t>,</w:t>
            </w:r>
            <w:r w:rsidRPr="00F7481F">
              <w:rPr>
                <w:noProof/>
                <w:sz w:val="20"/>
                <w:szCs w:val="20"/>
              </w:rPr>
              <w:t xml:space="preserve"> pro kterou je </w:t>
            </w:r>
            <w:r w:rsidR="00D35289">
              <w:rPr>
                <w:noProof/>
                <w:sz w:val="20"/>
                <w:szCs w:val="20"/>
              </w:rPr>
              <w:t xml:space="preserve">ÚP </w:t>
            </w:r>
            <w:r w:rsidRPr="00F7481F">
              <w:rPr>
                <w:noProof/>
                <w:sz w:val="20"/>
                <w:szCs w:val="20"/>
              </w:rPr>
              <w:t xml:space="preserve">pořizován, sousední obce) a výzva </w:t>
            </w:r>
            <w:r w:rsidR="0078162F" w:rsidRPr="00F7481F">
              <w:rPr>
                <w:noProof/>
                <w:sz w:val="20"/>
                <w:szCs w:val="20"/>
              </w:rPr>
              <w:t>DO</w:t>
            </w:r>
            <w:r w:rsidRPr="00F7481F">
              <w:rPr>
                <w:noProof/>
                <w:sz w:val="20"/>
                <w:szCs w:val="20"/>
              </w:rPr>
              <w:t xml:space="preserve"> k uplatnění stanovisek, sousedním obcím k uplatnění připomínek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doručení návrhu </w:t>
            </w:r>
            <w:r w:rsidR="00D35289">
              <w:rPr>
                <w:noProof/>
                <w:sz w:val="20"/>
                <w:szCs w:val="20"/>
              </w:rPr>
              <w:t xml:space="preserve">ÚP </w:t>
            </w:r>
            <w:r w:rsidRPr="00F7481F">
              <w:rPr>
                <w:noProof/>
                <w:sz w:val="20"/>
                <w:szCs w:val="20"/>
              </w:rPr>
              <w:t>a vyhodnocení veřejnou vyhláškou → 30 dní na připomínky</w:t>
            </w:r>
          </w:p>
          <w:p w:rsidR="00AF5BD8" w:rsidRPr="00F7481F" w:rsidRDefault="00AF5BD8" w:rsidP="00C873B4">
            <w:pPr>
              <w:pStyle w:val="Odstavecseseznamem"/>
              <w:widowControl w:val="0"/>
              <w:numPr>
                <w:ilvl w:val="0"/>
                <w:numId w:val="75"/>
              </w:numPr>
              <w:ind w:left="357" w:hanging="357"/>
              <w:rPr>
                <w:noProof/>
                <w:sz w:val="20"/>
                <w:szCs w:val="20"/>
              </w:rPr>
            </w:pPr>
            <w:r w:rsidRPr="00FD656C">
              <w:rPr>
                <w:noProof/>
                <w:sz w:val="20"/>
                <w:szCs w:val="20"/>
              </w:rPr>
              <w:t xml:space="preserve">pokud se zpracovává vyhodnocení vlivů </w:t>
            </w:r>
            <w:r w:rsidR="00D35289" w:rsidRPr="00FD656C">
              <w:rPr>
                <w:noProof/>
                <w:sz w:val="20"/>
                <w:szCs w:val="20"/>
              </w:rPr>
              <w:t>ÚP</w:t>
            </w:r>
            <w:r w:rsidRPr="00FD656C">
              <w:rPr>
                <w:noProof/>
                <w:sz w:val="20"/>
                <w:szCs w:val="20"/>
              </w:rPr>
              <w:t xml:space="preserve"> na udržitelný rozvoj území, zaslání stanovisek, připomínek </w:t>
            </w:r>
            <w:r w:rsidR="00FD656C" w:rsidRPr="00FD656C">
              <w:rPr>
                <w:noProof/>
                <w:sz w:val="20"/>
                <w:szCs w:val="20"/>
              </w:rPr>
              <w:t>a</w:t>
            </w:r>
            <w:r w:rsidR="00FD656C">
              <w:rPr>
                <w:noProof/>
                <w:sz w:val="20"/>
                <w:szCs w:val="20"/>
              </w:rPr>
              <w:t> </w:t>
            </w:r>
            <w:r w:rsidRPr="00FD656C">
              <w:rPr>
                <w:noProof/>
                <w:sz w:val="20"/>
                <w:szCs w:val="20"/>
              </w:rPr>
              <w:t>případných výsledků konzultací</w:t>
            </w:r>
            <w:r w:rsidRPr="00F7481F">
              <w:rPr>
                <w:noProof/>
                <w:sz w:val="20"/>
                <w:szCs w:val="20"/>
              </w:rPr>
              <w:t xml:space="preserve"> příslušnému úřadu → ten vydá stanovisko (pokud stanovisko neuplatní ve třicetidenní lhůtě ani v prodloužené lhůtě, je možné </w:t>
            </w:r>
            <w:r w:rsidR="00D35289">
              <w:rPr>
                <w:noProof/>
                <w:sz w:val="20"/>
                <w:szCs w:val="20"/>
              </w:rPr>
              <w:t>ÚP</w:t>
            </w:r>
            <w:r w:rsidRPr="00F7481F">
              <w:rPr>
                <w:noProof/>
                <w:sz w:val="20"/>
                <w:szCs w:val="20"/>
              </w:rPr>
              <w:t xml:space="preserve"> vydat i bez jeho stanoviska)</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krajský úřad zašle pořizovateli stanovisko k návrhu </w:t>
            </w:r>
            <w:r w:rsidR="00D35289">
              <w:rPr>
                <w:noProof/>
                <w:sz w:val="20"/>
                <w:szCs w:val="20"/>
              </w:rPr>
              <w:t xml:space="preserve">ÚP </w:t>
            </w:r>
            <w:r w:rsidRPr="00F7481F">
              <w:rPr>
                <w:noProof/>
                <w:sz w:val="20"/>
                <w:szCs w:val="20"/>
              </w:rPr>
              <w:t xml:space="preserve">z hledisek zajištění koordinace využívání území </w:t>
            </w:r>
            <w:r w:rsidR="00FD656C" w:rsidRPr="00F7481F">
              <w:rPr>
                <w:noProof/>
                <w:sz w:val="20"/>
                <w:szCs w:val="20"/>
              </w:rPr>
              <w:t>s</w:t>
            </w:r>
            <w:r w:rsidR="00FD656C">
              <w:rPr>
                <w:noProof/>
                <w:sz w:val="20"/>
                <w:szCs w:val="20"/>
              </w:rPr>
              <w:t> </w:t>
            </w:r>
            <w:r w:rsidRPr="00F7481F">
              <w:rPr>
                <w:noProof/>
                <w:sz w:val="20"/>
                <w:szCs w:val="20"/>
              </w:rPr>
              <w:t xml:space="preserve">ohledem na širší územní vztahy, souladu s </w:t>
            </w:r>
            <w:r w:rsidR="00D35289">
              <w:rPr>
                <w:noProof/>
                <w:sz w:val="20"/>
                <w:szCs w:val="20"/>
              </w:rPr>
              <w:t>PÚR</w:t>
            </w:r>
            <w:r w:rsidRPr="00F7481F">
              <w:rPr>
                <w:noProof/>
                <w:sz w:val="20"/>
                <w:szCs w:val="20"/>
              </w:rPr>
              <w:t xml:space="preserve"> a s </w:t>
            </w:r>
            <w:r w:rsidR="00D35289">
              <w:rPr>
                <w:noProof/>
                <w:sz w:val="20"/>
                <w:szCs w:val="20"/>
              </w:rPr>
              <w:t>ÚPD</w:t>
            </w:r>
            <w:r w:rsidRPr="00F7481F">
              <w:rPr>
                <w:noProof/>
                <w:sz w:val="20"/>
                <w:szCs w:val="20"/>
              </w:rPr>
              <w:t xml:space="preserve"> vydanou krajem (pokud nezašle stanovisko do 30 dnů, je možné </w:t>
            </w:r>
            <w:r w:rsidR="00D35289">
              <w:rPr>
                <w:noProof/>
                <w:sz w:val="20"/>
                <w:szCs w:val="20"/>
              </w:rPr>
              <w:t xml:space="preserve">ÚP </w:t>
            </w:r>
            <w:r w:rsidRPr="00F7481F">
              <w:rPr>
                <w:noProof/>
                <w:sz w:val="20"/>
                <w:szCs w:val="20"/>
              </w:rPr>
              <w:t>vydat i bez jeho stanovisk; v</w:t>
            </w:r>
            <w:r w:rsidR="00902462" w:rsidRPr="00F7481F">
              <w:rPr>
                <w:noProof/>
                <w:sz w:val="20"/>
                <w:szCs w:val="20"/>
              </w:rPr>
              <w:t> </w:t>
            </w:r>
            <w:r w:rsidRPr="00F7481F">
              <w:rPr>
                <w:noProof/>
                <w:sz w:val="20"/>
                <w:szCs w:val="20"/>
              </w:rPr>
              <w:t xml:space="preserve">případě, že krajský úřad upozorní ve stanovisku pořizovatele </w:t>
            </w:r>
            <w:r w:rsidRPr="00F7481F">
              <w:rPr>
                <w:noProof/>
                <w:sz w:val="20"/>
                <w:szCs w:val="20"/>
              </w:rPr>
              <w:lastRenderedPageBreak/>
              <w:t xml:space="preserve">na nedostatky, lze zahájit řízení o </w:t>
            </w:r>
            <w:r w:rsidR="00464230">
              <w:rPr>
                <w:noProof/>
                <w:sz w:val="20"/>
                <w:szCs w:val="20"/>
              </w:rPr>
              <w:t xml:space="preserve">ÚP </w:t>
            </w:r>
            <w:r w:rsidRPr="00F7481F">
              <w:rPr>
                <w:noProof/>
                <w:sz w:val="20"/>
                <w:szCs w:val="20"/>
              </w:rPr>
              <w:t>až na základě potvrzení krajského úřadu o odstranění nedostatků)</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vyhodnotí výsledky projednání návrhu </w:t>
            </w:r>
            <w:r w:rsidR="00464230">
              <w:rPr>
                <w:noProof/>
                <w:sz w:val="20"/>
                <w:szCs w:val="20"/>
              </w:rPr>
              <w:t xml:space="preserve">ÚP </w:t>
            </w:r>
            <w:r w:rsidRPr="00F7481F">
              <w:rPr>
                <w:noProof/>
                <w:sz w:val="20"/>
                <w:szCs w:val="20"/>
              </w:rPr>
              <w:t>a zajistí řešení případných rozporů</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návrh </w:t>
            </w:r>
            <w:r w:rsidR="00464230">
              <w:rPr>
                <w:noProof/>
                <w:sz w:val="20"/>
                <w:szCs w:val="20"/>
              </w:rPr>
              <w:t xml:space="preserve">ÚP </w:t>
            </w:r>
            <w:r w:rsidRPr="00F7481F">
              <w:rPr>
                <w:noProof/>
                <w:sz w:val="20"/>
                <w:szCs w:val="20"/>
              </w:rPr>
              <w:t>obsahuje varianty řešení, předloží pořizovatel na základě vyhodnocení výsledků projednání, výsledku řešení rozporů a vyhodnocení vlivů na udržitelný rozvoj území, pokud se zpracovává, zastupitelstvu obce ke schválení návrh výběru nejvhodnější varianty, který může obsahovat i podmínky k její úpravě</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dojde-li pořizovatel na základě výsledků projednání k závěru, že je potřebné pořídit nový návrh </w:t>
            </w:r>
            <w:r w:rsidR="00464230">
              <w:rPr>
                <w:noProof/>
                <w:sz w:val="20"/>
                <w:szCs w:val="20"/>
              </w:rPr>
              <w:t>ÚP</w:t>
            </w:r>
            <w:r w:rsidRPr="00F7481F">
              <w:rPr>
                <w:noProof/>
                <w:sz w:val="20"/>
                <w:szCs w:val="20"/>
              </w:rPr>
              <w:t>, zpracuje ve spolupráci s určeným zastupitelem návrh pokynů pro jeho zpracování; vyžádá si stanovisko příslušného úřadu a stanovisko příslušného orgánu ochrany přírody, zda má být upravený návrh posuzován z</w:t>
            </w:r>
            <w:r w:rsidR="00902462" w:rsidRPr="00F7481F">
              <w:rPr>
                <w:noProof/>
                <w:sz w:val="20"/>
                <w:szCs w:val="20"/>
              </w:rPr>
              <w:t> </w:t>
            </w:r>
            <w:r w:rsidRPr="00F7481F">
              <w:rPr>
                <w:noProof/>
                <w:sz w:val="20"/>
                <w:szCs w:val="20"/>
              </w:rPr>
              <w:t xml:space="preserve">hlediska vlivů na životní prostředí a návrh pokynů pro zpracování návrhu </w:t>
            </w:r>
            <w:r w:rsidR="00464230">
              <w:rPr>
                <w:noProof/>
                <w:sz w:val="20"/>
                <w:szCs w:val="20"/>
              </w:rPr>
              <w:t xml:space="preserve">ÚP </w:t>
            </w:r>
            <w:r w:rsidRPr="00F7481F">
              <w:rPr>
                <w:noProof/>
                <w:sz w:val="20"/>
                <w:szCs w:val="20"/>
              </w:rPr>
              <w:t>předloží pořizovatel spolu se zdůvodněním zastupitelstvu obce ke schválení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upravený a posouzený návrh </w:t>
            </w:r>
            <w:r w:rsidR="00464230">
              <w:rPr>
                <w:noProof/>
                <w:sz w:val="20"/>
                <w:szCs w:val="20"/>
              </w:rPr>
              <w:t>ÚP</w:t>
            </w:r>
            <w:r w:rsidRPr="00F7481F">
              <w:rPr>
                <w:noProof/>
                <w:sz w:val="20"/>
                <w:szCs w:val="20"/>
              </w:rPr>
              <w:t xml:space="preserve">, vyhodnocení vlivů na udržitelný rozvoj území, pokud se zpracovává </w:t>
            </w:r>
            <w:r w:rsidR="00FD656C" w:rsidRPr="00F7481F">
              <w:rPr>
                <w:noProof/>
                <w:sz w:val="20"/>
                <w:szCs w:val="20"/>
              </w:rPr>
              <w:t>a</w:t>
            </w:r>
            <w:r w:rsidR="00FD656C">
              <w:rPr>
                <w:noProof/>
                <w:sz w:val="20"/>
                <w:szCs w:val="20"/>
              </w:rPr>
              <w:t> </w:t>
            </w:r>
            <w:r w:rsidRPr="00F7481F">
              <w:rPr>
                <w:noProof/>
                <w:sz w:val="20"/>
                <w:szCs w:val="20"/>
              </w:rPr>
              <w:t>oznámení o konání veřejného projednání pořizovatel doručí veřejnou vyhláškou</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nejpozději do 7 dnů ode dne veřejného projednání může každý uplatnit své připomínky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nejpozději do 7 dnů ode dne veřejného projednání mohou vlastníci pozemků a staveb dotčených návrhem řešení, oprávněný investor a </w:t>
            </w:r>
            <w:r w:rsidRPr="00412925">
              <w:rPr>
                <w:noProof/>
                <w:sz w:val="20"/>
                <w:szCs w:val="20"/>
              </w:rPr>
              <w:t xml:space="preserve">zástupce veřejnosti </w:t>
            </w:r>
            <w:r w:rsidR="00EE4ECE" w:rsidRPr="00412925">
              <w:rPr>
                <w:noProof/>
                <w:sz w:val="20"/>
                <w:szCs w:val="20"/>
              </w:rPr>
              <w:t xml:space="preserve">podat </w:t>
            </w:r>
            <w:r w:rsidRPr="00412925">
              <w:rPr>
                <w:noProof/>
                <w:sz w:val="20"/>
                <w:szCs w:val="20"/>
              </w:rPr>
              <w:t>námitky</w:t>
            </w:r>
            <w:r w:rsidRPr="00F7481F">
              <w:rPr>
                <w:noProof/>
                <w:sz w:val="20"/>
                <w:szCs w:val="20"/>
              </w:rPr>
              <w:t xml:space="preserve">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nejpozději do 7 dnů ode dne veřejného projednání mohou </w:t>
            </w:r>
            <w:r w:rsidR="0078162F" w:rsidRPr="00F7481F">
              <w:rPr>
                <w:noProof/>
                <w:sz w:val="20"/>
                <w:szCs w:val="20"/>
              </w:rPr>
              <w:t>DO</w:t>
            </w:r>
            <w:r w:rsidRPr="00F7481F">
              <w:rPr>
                <w:noProof/>
                <w:sz w:val="20"/>
                <w:szCs w:val="20"/>
              </w:rPr>
              <w:t xml:space="preserve"> a krajský úřad jako nadřízený orgán vydat stanoviska k částem řešení, které byly od společného jednání změněny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pořizovatel vyhodnotí výsledky projednání, zpracuje s ohledem na veřejné zájmy návrh rozhodnutí o</w:t>
            </w:r>
            <w:r w:rsidR="00902462" w:rsidRPr="00F7481F">
              <w:rPr>
                <w:noProof/>
                <w:sz w:val="20"/>
                <w:szCs w:val="20"/>
              </w:rPr>
              <w:t> </w:t>
            </w:r>
            <w:r w:rsidRPr="00F7481F">
              <w:rPr>
                <w:noProof/>
                <w:sz w:val="20"/>
                <w:szCs w:val="20"/>
              </w:rPr>
              <w:t xml:space="preserve">námitkách a návrh vyhodnocení připomínek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návrhy doručí </w:t>
            </w:r>
            <w:r w:rsidR="0078162F" w:rsidRPr="00F7481F">
              <w:rPr>
                <w:noProof/>
                <w:sz w:val="20"/>
                <w:szCs w:val="20"/>
              </w:rPr>
              <w:t>DO</w:t>
            </w:r>
            <w:r w:rsidRPr="00F7481F">
              <w:rPr>
                <w:noProof/>
                <w:sz w:val="20"/>
                <w:szCs w:val="20"/>
              </w:rPr>
              <w:t xml:space="preserve"> a krajskému úřadu jako nadřízenému orgánu k uplatnění případných stanovisek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je to nezbytné, pořizovatel zajistí pro obec úpravu návrhu </w:t>
            </w:r>
            <w:r w:rsidR="00464230">
              <w:rPr>
                <w:noProof/>
                <w:sz w:val="20"/>
                <w:szCs w:val="20"/>
              </w:rPr>
              <w:t>ÚP</w:t>
            </w:r>
            <w:r w:rsidRPr="00F7481F">
              <w:rPr>
                <w:noProof/>
                <w:sz w:val="20"/>
                <w:szCs w:val="20"/>
              </w:rPr>
              <w:t xml:space="preserve"> v souladu s výsledky projednání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dojde-li na základě veřejného projednání k podstatné úpravě návrhu </w:t>
            </w:r>
            <w:r w:rsidR="00464230">
              <w:rPr>
                <w:noProof/>
                <w:sz w:val="20"/>
                <w:szCs w:val="20"/>
              </w:rPr>
              <w:t>ÚP</w:t>
            </w:r>
            <w:r w:rsidRPr="00F7481F">
              <w:rPr>
                <w:noProof/>
                <w:sz w:val="20"/>
                <w:szCs w:val="20"/>
              </w:rPr>
              <w:t xml:space="preserve">, pořizovatel si vyžádá stanovisko příslušného úřadu a stanovisko příslušného orgánu ochrany přírody, zda má být upravený návrh posuzován </w:t>
            </w:r>
            <w:r w:rsidR="00412925" w:rsidRPr="00F7481F">
              <w:rPr>
                <w:noProof/>
                <w:sz w:val="20"/>
                <w:szCs w:val="20"/>
              </w:rPr>
              <w:t>z</w:t>
            </w:r>
            <w:r w:rsidR="00412925">
              <w:rPr>
                <w:noProof/>
                <w:sz w:val="20"/>
                <w:szCs w:val="20"/>
              </w:rPr>
              <w:t> </w:t>
            </w:r>
            <w:r w:rsidRPr="00F7481F">
              <w:rPr>
                <w:noProof/>
                <w:sz w:val="20"/>
                <w:szCs w:val="20"/>
              </w:rPr>
              <w:t>hlediska vlivů na životní prostředí, a upravený návrh a případné upravené nebo doplněné vyhodnocení vlivů na udržitelný rozvoj území se v rozsahu těchto úprav projedná na opakovaném veřejném projednání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předkládá zastupitelstvu příslušné obce návrh na vydání </w:t>
            </w:r>
            <w:r w:rsidR="00464230">
              <w:rPr>
                <w:noProof/>
                <w:sz w:val="20"/>
                <w:szCs w:val="20"/>
              </w:rPr>
              <w:t>ÚP</w:t>
            </w:r>
            <w:r w:rsidRPr="00F7481F">
              <w:rPr>
                <w:noProof/>
                <w:sz w:val="20"/>
                <w:szCs w:val="20"/>
              </w:rPr>
              <w:t xml:space="preserve"> s jeho odůvodněním</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zastupitelstvo obce vydá </w:t>
            </w:r>
            <w:r w:rsidR="00464230">
              <w:rPr>
                <w:noProof/>
                <w:sz w:val="20"/>
                <w:szCs w:val="20"/>
              </w:rPr>
              <w:t>ÚP</w:t>
            </w:r>
            <w:r w:rsidRPr="00F7481F">
              <w:rPr>
                <w:noProof/>
                <w:sz w:val="20"/>
                <w:szCs w:val="20"/>
              </w:rPr>
              <w:t xml:space="preserve"> po ověření, že není v rozporu s </w:t>
            </w:r>
            <w:r w:rsidR="00464230">
              <w:rPr>
                <w:noProof/>
                <w:sz w:val="20"/>
                <w:szCs w:val="20"/>
              </w:rPr>
              <w:t>PÚR</w:t>
            </w:r>
            <w:r w:rsidRPr="00F7481F">
              <w:rPr>
                <w:noProof/>
                <w:sz w:val="20"/>
                <w:szCs w:val="20"/>
              </w:rPr>
              <w:t xml:space="preserve">, s </w:t>
            </w:r>
            <w:r w:rsidR="00464230">
              <w:rPr>
                <w:noProof/>
                <w:sz w:val="20"/>
                <w:szCs w:val="20"/>
              </w:rPr>
              <w:t>ÚPD</w:t>
            </w:r>
            <w:r w:rsidRPr="00F7481F">
              <w:rPr>
                <w:noProof/>
                <w:sz w:val="20"/>
                <w:szCs w:val="20"/>
              </w:rPr>
              <w:t xml:space="preserve"> vydanou krajem nebo výsledkem řešení rozporů a se stanovisky </w:t>
            </w:r>
            <w:r w:rsidR="00464230">
              <w:rPr>
                <w:noProof/>
                <w:sz w:val="20"/>
                <w:szCs w:val="20"/>
              </w:rPr>
              <w:t>DO</w:t>
            </w:r>
            <w:r w:rsidRPr="00F7481F">
              <w:rPr>
                <w:noProof/>
                <w:sz w:val="20"/>
                <w:szCs w:val="20"/>
              </w:rPr>
              <w:t xml:space="preserve"> nebo stanoviskem krajského úřadu.</w:t>
            </w:r>
          </w:p>
          <w:p w:rsidR="00AF5BD8" w:rsidRPr="00AF5BD8" w:rsidRDefault="00AF5BD8" w:rsidP="003E4A5D">
            <w:pPr>
              <w:pStyle w:val="Textkomente"/>
              <w:widowControl w:val="0"/>
              <w:rPr>
                <w:noProof/>
              </w:rPr>
            </w:pPr>
            <w:r w:rsidRPr="00AF5BD8">
              <w:rPr>
                <w:noProof/>
              </w:rPr>
              <w:t xml:space="preserve">Dojde-li ke změně nebo zrušení rozhodnutí o námitkách, je obec povinna uvést </w:t>
            </w:r>
            <w:r w:rsidR="00464230">
              <w:rPr>
                <w:noProof/>
              </w:rPr>
              <w:t>ÚP</w:t>
            </w:r>
            <w:r w:rsidRPr="00AF5BD8">
              <w:rPr>
                <w:noProof/>
              </w:rPr>
              <w:t xml:space="preserve"> do souladu s tímto rozhodnutím; do té doby nelze rozhodovat a postupovat podle těch částí </w:t>
            </w:r>
            <w:r w:rsidR="00464230">
              <w:rPr>
                <w:noProof/>
              </w:rPr>
              <w:t>ÚP</w:t>
            </w:r>
            <w:r w:rsidR="00902462">
              <w:rPr>
                <w:noProof/>
              </w:rPr>
              <w:t>, které jsou vymezeny v </w:t>
            </w:r>
            <w:r w:rsidRPr="00AF5BD8">
              <w:rPr>
                <w:noProof/>
              </w:rPr>
              <w:t>rozhodnutí o</w:t>
            </w:r>
            <w:r w:rsidR="00464230">
              <w:rPr>
                <w:noProof/>
              </w:rPr>
              <w:t> </w:t>
            </w:r>
            <w:r w:rsidRPr="00AF5BD8">
              <w:rPr>
                <w:noProof/>
              </w:rPr>
              <w:t>zrušení rozhodnutí o námitkách.</w:t>
            </w:r>
          </w:p>
          <w:p w:rsidR="00AF5BD8" w:rsidRDefault="00464230" w:rsidP="003E4A5D">
            <w:pPr>
              <w:pStyle w:val="Textkomente"/>
              <w:widowControl w:val="0"/>
              <w:rPr>
                <w:noProof/>
              </w:rPr>
            </w:pPr>
            <w:r>
              <w:rPr>
                <w:noProof/>
              </w:rPr>
              <w:t>ÚP</w:t>
            </w:r>
            <w:r w:rsidR="00AF5BD8" w:rsidRPr="00AF5BD8">
              <w:rPr>
                <w:noProof/>
              </w:rPr>
              <w:t xml:space="preserve"> nelze změnit rozhodnutím podle § 97 odst. 3 správního řádu.</w:t>
            </w:r>
          </w:p>
          <w:p w:rsidR="005D728A" w:rsidRPr="00AF5BD8" w:rsidRDefault="00F7481F" w:rsidP="009231C6">
            <w:pPr>
              <w:pStyle w:val="Textkomente"/>
              <w:widowControl w:val="0"/>
              <w:rPr>
                <w:noProof/>
              </w:rPr>
            </w:pPr>
            <w:r>
              <w:rPr>
                <w:noProof/>
              </w:rPr>
              <w:t>Od 1. 1. 2018 lze změnu ÚP pořizovat zkráceným postupem, kdy fáze projednávání a schvalování zadání změny ÚP je nahrazena rozhodnutím zastupitelstva obce o pořizení změny ÚP a o jejím obsahu. Po vyhotovení návrhu změny ÚP se rovnou koná veřejné projednání</w:t>
            </w:r>
            <w:r w:rsidR="005D728A">
              <w:rPr>
                <w:noProof/>
              </w:rPr>
              <w:t>.</w:t>
            </w:r>
          </w:p>
        </w:tc>
      </w:tr>
    </w:tbl>
    <w:p w:rsidR="003A67F2" w:rsidRPr="00D530AC" w:rsidRDefault="003A67F2" w:rsidP="00D4266B">
      <w:pPr>
        <w:pStyle w:val="Nadpis6"/>
      </w:pPr>
      <w:bookmarkStart w:id="20" w:name="_Toc536553894"/>
      <w:r>
        <w:lastRenderedPageBreak/>
        <w:t>Regulační plán</w:t>
      </w:r>
      <w:r w:rsidR="004D0736">
        <w:t xml:space="preserve"> </w:t>
      </w:r>
      <w:r w:rsidR="004D0736" w:rsidRPr="0032110B">
        <w:rPr>
          <w:noProof/>
        </w:rPr>
        <w:t>(</w:t>
      </w:r>
      <w:r w:rsidR="004D0736">
        <w:rPr>
          <w:noProof/>
        </w:rPr>
        <w:t>R</w:t>
      </w:r>
      <w:r w:rsidR="004D0736" w:rsidRPr="0032110B">
        <w:rPr>
          <w:noProof/>
        </w:rPr>
        <w:t>P)</w:t>
      </w:r>
      <w:bookmarkEnd w:id="20"/>
    </w:p>
    <w:p w:rsidR="00D4266B" w:rsidRDefault="004D0736" w:rsidP="0089559F">
      <w:pPr>
        <w:pStyle w:val="Text-Normaln"/>
        <w:widowControl w:val="0"/>
      </w:pPr>
      <w:r>
        <w:t>RP</w:t>
      </w:r>
      <w:r w:rsidR="00BE02A9" w:rsidRPr="00BE02A9">
        <w:t xml:space="preserve"> v řešené ploše stanov</w:t>
      </w:r>
      <w:r w:rsidR="00BE02A9">
        <w:t>uje</w:t>
      </w:r>
      <w:r w:rsidR="00BE02A9" w:rsidRPr="00BE02A9">
        <w:t xml:space="preserve"> podrobné podmínky pro využití pozemků, pro umístění a</w:t>
      </w:r>
      <w:r>
        <w:t> </w:t>
      </w:r>
      <w:r w:rsidR="00BE02A9" w:rsidRPr="00BE02A9">
        <w:t xml:space="preserve">prostorové uspořádání staveb, pro ochranu hodnot a charakteru území a pro vytváření příznivého životního prostředí. </w:t>
      </w:r>
      <w:r w:rsidR="00BE02A9">
        <w:t>V</w:t>
      </w:r>
      <w:r w:rsidR="00BE02A9" w:rsidRPr="00BE02A9">
        <w:t xml:space="preserve">ždy </w:t>
      </w:r>
      <w:r w:rsidR="00BE02A9">
        <w:t xml:space="preserve">pak </w:t>
      </w:r>
      <w:r w:rsidR="00BE02A9" w:rsidRPr="00BE02A9">
        <w:t>stanov</w:t>
      </w:r>
      <w:r w:rsidR="00BE02A9">
        <w:t>uje</w:t>
      </w:r>
      <w:r w:rsidR="00BE02A9" w:rsidRPr="00BE02A9">
        <w:t xml:space="preserve"> podmínky pro vymezení a využití pozemků, pro umístění a prostorové uspořádání staveb veřejné infrastruktury a vymez</w:t>
      </w:r>
      <w:r w:rsidR="00BE02A9">
        <w:t>uje</w:t>
      </w:r>
      <w:r w:rsidR="00BE02A9" w:rsidRPr="00BE02A9">
        <w:t xml:space="preserve"> veřejně prospěšné stavby nebo veřejně prospěšná opatření.</w:t>
      </w:r>
      <w:r w:rsidR="00BE02A9">
        <w:t xml:space="preserve"> </w:t>
      </w:r>
      <w:r>
        <w:t>RP</w:t>
      </w:r>
      <w:r w:rsidR="00BE02A9" w:rsidRPr="00BE02A9">
        <w:t xml:space="preserve"> je závazný pro rozhodování v</w:t>
      </w:r>
      <w:r w:rsidR="00BE02A9">
        <w:t> </w:t>
      </w:r>
      <w:r w:rsidR="00BE02A9" w:rsidRPr="00BE02A9">
        <w:t>území</w:t>
      </w:r>
      <w:r w:rsidR="00BE02A9">
        <w:t>.</w:t>
      </w:r>
      <w:r w:rsidR="00BE02A9" w:rsidRPr="00BE02A9">
        <w:t xml:space="preserve"> </w:t>
      </w:r>
      <w:r w:rsidR="00BE02A9">
        <w:t xml:space="preserve">Zároveň </w:t>
      </w:r>
      <w:r>
        <w:t>RP</w:t>
      </w:r>
      <w:r w:rsidR="00BE02A9" w:rsidRPr="00BE02A9">
        <w:t xml:space="preserve"> vydaný krajem je závazný i pro </w:t>
      </w:r>
      <w:r>
        <w:t>ÚP a RP</w:t>
      </w:r>
      <w:r w:rsidR="00BE02A9" w:rsidRPr="00BE02A9">
        <w:t xml:space="preserve"> vydávané obcemi. </w:t>
      </w:r>
      <w:r>
        <w:t>RP</w:t>
      </w:r>
      <w:r w:rsidR="00BE02A9" w:rsidRPr="00BE02A9">
        <w:t xml:space="preserve"> lze nahradit územní rozhodnutí; </w:t>
      </w:r>
      <w:r w:rsidR="0071734F" w:rsidRPr="00BE02A9">
        <w:t>v</w:t>
      </w:r>
      <w:r w:rsidR="0071734F">
        <w:t> </w:t>
      </w:r>
      <w:r w:rsidR="00BE02A9" w:rsidRPr="00BE02A9">
        <w:t>tomto případě se v</w:t>
      </w:r>
      <w:r>
        <w:t xml:space="preserve"> RP </w:t>
      </w:r>
      <w:r w:rsidR="00BE02A9" w:rsidRPr="00BE02A9">
        <w:t xml:space="preserve">stanoví, která územní rozhodnutí nahrazuje. </w:t>
      </w:r>
      <w:r w:rsidR="0071734F">
        <w:t>K</w:t>
      </w:r>
      <w:r w:rsidR="00EF35D1" w:rsidRPr="0045064F">
        <w:t xml:space="preserve"> návrhu </w:t>
      </w:r>
      <w:r>
        <w:t>RP</w:t>
      </w:r>
      <w:r w:rsidR="00EF35D1" w:rsidRPr="0045064F">
        <w:t xml:space="preserve"> mohou podávat námitky ty osoby, které by byly účastníky územního řízení (žadatel, obec, dotčení vlastníci). </w:t>
      </w:r>
      <w:r>
        <w:t>RP</w:t>
      </w:r>
      <w:r w:rsidR="00BE02A9" w:rsidRPr="00BE02A9">
        <w:t xml:space="preserve"> nelze nahradit územní rozhodnutí pro záměr, který podléhá posuzování vlivů na životní prostředí.</w:t>
      </w:r>
    </w:p>
    <w:p w:rsidR="0058773D" w:rsidRDefault="00445D92" w:rsidP="00D4266B">
      <w:pPr>
        <w:pStyle w:val="Nadpis6"/>
        <w:rPr>
          <w:noProof/>
        </w:rPr>
      </w:pPr>
      <w:bookmarkStart w:id="21" w:name="_Toc536553895"/>
      <w:r>
        <w:rPr>
          <w:noProof/>
        </w:rPr>
        <w:t>Stávající problémy územního plánování</w:t>
      </w:r>
      <w:bookmarkEnd w:id="21"/>
    </w:p>
    <w:p w:rsidR="00D67A9A" w:rsidRDefault="00D67A9A" w:rsidP="003E4A5D">
      <w:pPr>
        <w:widowControl w:val="0"/>
      </w:pPr>
      <w:r w:rsidRPr="00D67A9A">
        <w:t>Na úseku nástrojů územního plánování, které je možné považovat za základní pilíře současné právní úpravy územního plánování, byly identifikovány zejména následující problémy:</w:t>
      </w:r>
    </w:p>
    <w:p w:rsidR="001F5E65" w:rsidRDefault="0047443A" w:rsidP="009D4B5F">
      <w:pPr>
        <w:pStyle w:val="Odstavecseseznamem"/>
        <w:widowControl w:val="0"/>
        <w:numPr>
          <w:ilvl w:val="0"/>
          <w:numId w:val="56"/>
        </w:numPr>
        <w:ind w:left="284" w:hanging="284"/>
        <w:contextualSpacing w:val="0"/>
      </w:pPr>
      <w:r>
        <w:t xml:space="preserve">v ČR neexistuje </w:t>
      </w:r>
      <w:r w:rsidR="001F5E65">
        <w:t xml:space="preserve">dokumentace v dostatečné </w:t>
      </w:r>
      <w:r>
        <w:t xml:space="preserve">míře </w:t>
      </w:r>
      <w:r w:rsidR="001F5E65">
        <w:t xml:space="preserve">podrobnosti, na jejímž základě by bylo možné </w:t>
      </w:r>
      <w:r>
        <w:t>bez zbytečných průtahů</w:t>
      </w:r>
      <w:r w:rsidR="001F5E65">
        <w:t xml:space="preserve"> umisťovat celostátně významné záměry, včetně záměrů společného zájmu, zejména tedy staveb veřejné dopravní a technické infrastruktury</w:t>
      </w:r>
      <w:r>
        <w:t xml:space="preserve"> -</w:t>
      </w:r>
      <w:r w:rsidRPr="0047443A">
        <w:t xml:space="preserve"> </w:t>
      </w:r>
      <w:r>
        <w:t xml:space="preserve">PÚR je </w:t>
      </w:r>
      <w:r>
        <w:lastRenderedPageBreak/>
        <w:t>vydávána v příliš hrubém detailu</w:t>
      </w:r>
      <w:r w:rsidR="002A2FD4">
        <w:t xml:space="preserve"> (viz </w:t>
      </w:r>
      <w:r w:rsidR="00A46B96">
        <w:t xml:space="preserve">například </w:t>
      </w:r>
      <w:r w:rsidR="002A2FD4">
        <w:t>následující obrázek)</w:t>
      </w:r>
      <w:r w:rsidR="001360D2">
        <w:t>;</w:t>
      </w:r>
    </w:p>
    <w:p w:rsidR="002A2FD4" w:rsidRDefault="002A2FD4" w:rsidP="003E4A5D">
      <w:pPr>
        <w:pStyle w:val="Titulek"/>
      </w:pPr>
      <w:r>
        <w:t xml:space="preserve">Obrázek </w:t>
      </w:r>
      <w:r w:rsidR="00AB65E9">
        <w:rPr>
          <w:noProof/>
        </w:rPr>
        <w:fldChar w:fldCharType="begin"/>
      </w:r>
      <w:r w:rsidR="00D24CDE">
        <w:rPr>
          <w:noProof/>
        </w:rPr>
        <w:instrText xml:space="preserve"> SEQ Obrázek \* ARABIC </w:instrText>
      </w:r>
      <w:r w:rsidR="00AB65E9">
        <w:rPr>
          <w:noProof/>
        </w:rPr>
        <w:fldChar w:fldCharType="separate"/>
      </w:r>
      <w:r w:rsidR="00263A1B">
        <w:rPr>
          <w:noProof/>
        </w:rPr>
        <w:t>10</w:t>
      </w:r>
      <w:r w:rsidR="00AB65E9">
        <w:rPr>
          <w:noProof/>
        </w:rPr>
        <w:fldChar w:fldCharType="end"/>
      </w:r>
      <w:r>
        <w:t>: PÚR – vymezení koridorů železniční dopravy</w:t>
      </w:r>
    </w:p>
    <w:p w:rsidR="002A2FD4" w:rsidRDefault="002A2FD4" w:rsidP="008712FB">
      <w:pPr>
        <w:pStyle w:val="Odstavecseseznamem"/>
        <w:widowControl w:val="0"/>
        <w:ind w:left="0"/>
        <w:contextualSpacing w:val="0"/>
      </w:pPr>
      <w:r w:rsidRPr="002A2FD4">
        <w:rPr>
          <w:noProof/>
          <w:lang w:eastAsia="cs-CZ"/>
        </w:rPr>
        <w:drawing>
          <wp:inline distT="0" distB="0" distL="0" distR="0" wp14:anchorId="1870A1DF" wp14:editId="33FEA814">
            <wp:extent cx="5751443" cy="3697356"/>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83777" cy="3718142"/>
                    </a:xfrm>
                    <a:prstGeom prst="rect">
                      <a:avLst/>
                    </a:prstGeom>
                  </pic:spPr>
                </pic:pic>
              </a:graphicData>
            </a:graphic>
          </wp:inline>
        </w:drawing>
      </w:r>
    </w:p>
    <w:p w:rsidR="00BF120B" w:rsidRDefault="00BF120B" w:rsidP="003E4A5D">
      <w:pPr>
        <w:pStyle w:val="Citt"/>
        <w:ind w:firstLine="284"/>
      </w:pPr>
      <w:r>
        <w:t xml:space="preserve">Zdroj: </w:t>
      </w:r>
      <w:r w:rsidRPr="00BF120B">
        <w:t>Politika územního rozvoje ČR, ve znění Aktualizace č. 1 – právní stav</w:t>
      </w:r>
    </w:p>
    <w:p w:rsidR="001F5E65" w:rsidRDefault="0047443A" w:rsidP="009D4B5F">
      <w:pPr>
        <w:pStyle w:val="Odstavecseseznamem"/>
        <w:widowControl w:val="0"/>
        <w:numPr>
          <w:ilvl w:val="0"/>
          <w:numId w:val="56"/>
        </w:numPr>
        <w:ind w:left="284" w:hanging="284"/>
        <w:contextualSpacing w:val="0"/>
      </w:pPr>
      <w:r>
        <w:t>není</w:t>
      </w:r>
      <w:r w:rsidR="001F5E65">
        <w:t xml:space="preserve"> </w:t>
      </w:r>
      <w:r w:rsidR="00C71E21">
        <w:t xml:space="preserve">dostatečně </w:t>
      </w:r>
      <w:r w:rsidR="0071734F">
        <w:t xml:space="preserve">využívána možnost koordinovat </w:t>
      </w:r>
      <w:r w:rsidR="001F5E65">
        <w:t xml:space="preserve">územní plánování na úrovni krajů, zejména </w:t>
      </w:r>
      <w:r w:rsidR="0071734F">
        <w:t>v </w:t>
      </w:r>
      <w:r w:rsidR="001F5E65">
        <w:t>otázk</w:t>
      </w:r>
      <w:r w:rsidR="00F10B36">
        <w:t>ách</w:t>
      </w:r>
      <w:r w:rsidR="001F5E65">
        <w:t xml:space="preserve"> nadmístního významu </w:t>
      </w:r>
      <w:r w:rsidR="006C29F7">
        <w:t>týkajících se</w:t>
      </w:r>
      <w:r w:rsidR="001F5E65">
        <w:t xml:space="preserve"> vznik</w:t>
      </w:r>
      <w:r w:rsidR="006C29F7">
        <w:t>u</w:t>
      </w:r>
      <w:r w:rsidR="001F5E65">
        <w:t xml:space="preserve"> a rozvoje aglomerací </w:t>
      </w:r>
      <w:r w:rsidR="00E02942">
        <w:t>či</w:t>
      </w:r>
      <w:r w:rsidR="001F5E65">
        <w:t xml:space="preserve"> metropolitních oblastí, </w:t>
      </w:r>
      <w:r w:rsidR="00E02942">
        <w:t>upřednostnění</w:t>
      </w:r>
      <w:r w:rsidR="001F5E65">
        <w:t xml:space="preserve"> rozvoje některých činností na </w:t>
      </w:r>
      <w:r w:rsidR="00E02942">
        <w:t>určitém</w:t>
      </w:r>
      <w:r w:rsidR="001F5E65">
        <w:t xml:space="preserve"> území kraje, kde je rozvoj těchto činností </w:t>
      </w:r>
      <w:r w:rsidR="00E02942">
        <w:t>vhodný</w:t>
      </w:r>
      <w:r w:rsidR="001F5E65">
        <w:t xml:space="preserve"> </w:t>
      </w:r>
      <w:r w:rsidR="00E02942">
        <w:t>díky</w:t>
      </w:r>
      <w:r w:rsidR="001F5E65">
        <w:t xml:space="preserve"> existující infrastruktu</w:t>
      </w:r>
      <w:r w:rsidR="00E02942">
        <w:t>ře</w:t>
      </w:r>
      <w:r w:rsidR="001F5E65">
        <w:t xml:space="preserve"> či </w:t>
      </w:r>
      <w:r w:rsidR="00E02942">
        <w:t xml:space="preserve">z </w:t>
      </w:r>
      <w:r w:rsidR="001F5E65">
        <w:t>jiných ekonomických a sociálních důvodů</w:t>
      </w:r>
      <w:r w:rsidR="008B023D">
        <w:t>;</w:t>
      </w:r>
    </w:p>
    <w:p w:rsidR="001F5E65" w:rsidRDefault="003104BD" w:rsidP="009D4B5F">
      <w:pPr>
        <w:pStyle w:val="Odstavecseseznamem"/>
        <w:widowControl w:val="0"/>
        <w:numPr>
          <w:ilvl w:val="0"/>
          <w:numId w:val="56"/>
        </w:numPr>
        <w:ind w:left="284" w:hanging="284"/>
        <w:contextualSpacing w:val="0"/>
      </w:pPr>
      <w:r w:rsidRPr="009231C6">
        <w:t>nedostatečné</w:t>
      </w:r>
      <w:r>
        <w:t xml:space="preserve"> využívání </w:t>
      </w:r>
      <w:r w:rsidR="00C71E21">
        <w:t>RP</w:t>
      </w:r>
      <w:r w:rsidR="001F5E65">
        <w:t xml:space="preserve"> a následn</w:t>
      </w:r>
      <w:r>
        <w:t>á</w:t>
      </w:r>
      <w:r w:rsidR="001F5E65">
        <w:t xml:space="preserve"> absenc</w:t>
      </w:r>
      <w:r>
        <w:t>e</w:t>
      </w:r>
      <w:r w:rsidR="001F5E65">
        <w:t xml:space="preserve"> dostatečně podrobné </w:t>
      </w:r>
      <w:r w:rsidR="00C71E21">
        <w:t>ÚPD</w:t>
      </w:r>
      <w:r w:rsidR="001F5E65">
        <w:t xml:space="preserve">, která by </w:t>
      </w:r>
      <w:r>
        <w:t>řešila</w:t>
      </w:r>
      <w:r w:rsidR="001F5E65">
        <w:t xml:space="preserve"> otázky v určitém území koncepčně a na úrovni územního plánování, nikoli teprve při povolání jednotlivého záměru ve správním řízení</w:t>
      </w:r>
      <w:r w:rsidR="008B023D">
        <w:t>;</w:t>
      </w:r>
    </w:p>
    <w:p w:rsidR="001F5E65" w:rsidRDefault="001F5E65" w:rsidP="009D4B5F">
      <w:pPr>
        <w:pStyle w:val="Odstavecseseznamem"/>
        <w:widowControl w:val="0"/>
        <w:numPr>
          <w:ilvl w:val="0"/>
          <w:numId w:val="56"/>
        </w:numPr>
        <w:ind w:left="284" w:hanging="284"/>
        <w:contextualSpacing w:val="0"/>
      </w:pPr>
      <w:r>
        <w:t>n</w:t>
      </w:r>
      <w:r w:rsidR="003104BD">
        <w:t>ízká</w:t>
      </w:r>
      <w:r>
        <w:t xml:space="preserve"> míra digitalizace </w:t>
      </w:r>
      <w:r w:rsidR="00C71E21">
        <w:t>ÚPD vydané zastupitelstvem obcí</w:t>
      </w:r>
      <w:r>
        <w:t xml:space="preserve"> před 1. 1. 2018 a </w:t>
      </w:r>
      <w:r w:rsidR="00306B25">
        <w:t>obtížné</w:t>
      </w:r>
      <w:r>
        <w:t xml:space="preserve"> zobrazování a čerpání dat v ní obsažených</w:t>
      </w:r>
      <w:r w:rsidR="008B023D">
        <w:t>;</w:t>
      </w:r>
    </w:p>
    <w:p w:rsidR="003E1731" w:rsidRDefault="001F5E65" w:rsidP="009D4B5F">
      <w:pPr>
        <w:pStyle w:val="Odstavecseseznamem"/>
        <w:widowControl w:val="0"/>
        <w:numPr>
          <w:ilvl w:val="0"/>
          <w:numId w:val="56"/>
        </w:numPr>
        <w:ind w:left="284" w:hanging="284"/>
        <w:contextualSpacing w:val="0"/>
      </w:pPr>
      <w:r>
        <w:t>roztříštěnost informací veřejné správy o území – existence velkého množství datových skladů a registrů, častá duplicita dat, jejich nepřesnost</w:t>
      </w:r>
      <w:r w:rsidR="008B023D">
        <w:t>,</w:t>
      </w:r>
      <w:r>
        <w:t xml:space="preserve"> neexistující registry veřejné správy, které by poskytovaly garantované informace o území</w:t>
      </w:r>
      <w:r w:rsidR="008B023D">
        <w:t>;</w:t>
      </w:r>
    </w:p>
    <w:p w:rsidR="00456245" w:rsidRDefault="00456245" w:rsidP="009D4B5F">
      <w:pPr>
        <w:pStyle w:val="Odstavecseseznamem"/>
        <w:widowControl w:val="0"/>
        <w:numPr>
          <w:ilvl w:val="0"/>
          <w:numId w:val="56"/>
        </w:numPr>
        <w:ind w:left="284" w:hanging="284"/>
        <w:contextualSpacing w:val="0"/>
      </w:pPr>
      <w:r>
        <w:t xml:space="preserve">dokumentace </w:t>
      </w:r>
      <w:r w:rsidR="0022319D">
        <w:t xml:space="preserve">je </w:t>
      </w:r>
      <w:r>
        <w:t>zveřejň</w:t>
      </w:r>
      <w:r w:rsidR="0022319D">
        <w:t>ována</w:t>
      </w:r>
      <w:r>
        <w:t xml:space="preserve"> </w:t>
      </w:r>
      <w:r w:rsidR="00C71E21">
        <w:t xml:space="preserve">převážně </w:t>
      </w:r>
      <w:r>
        <w:t>ve formátu PDF</w:t>
      </w:r>
      <w:r w:rsidR="00C71E21">
        <w:t xml:space="preserve">, který </w:t>
      </w:r>
      <w:r>
        <w:t>neumožňuje provádět nad výstupy územního plánování potřebné analýzy</w:t>
      </w:r>
      <w:r w:rsidR="00951F21">
        <w:t xml:space="preserve"> v otevřených strojově čitelných formátech</w:t>
      </w:r>
      <w:r w:rsidR="008B023D">
        <w:t>;</w:t>
      </w:r>
    </w:p>
    <w:p w:rsidR="00456245" w:rsidRDefault="00647A57" w:rsidP="009D4B5F">
      <w:pPr>
        <w:pStyle w:val="Odstavecseseznamem"/>
        <w:widowControl w:val="0"/>
        <w:numPr>
          <w:ilvl w:val="0"/>
          <w:numId w:val="56"/>
        </w:numPr>
        <w:ind w:left="284" w:hanging="284"/>
        <w:contextualSpacing w:val="0"/>
      </w:pPr>
      <w:r>
        <w:t>neexistence jednotného národního geoportálu územního plánování, který by obsahoval (nejlépe jednotnou formou) veškeré výstupy z územně plánovací činnosti v</w:t>
      </w:r>
      <w:r w:rsidR="00456245">
        <w:t xml:space="preserve"> jednotn</w:t>
      </w:r>
      <w:r w:rsidR="00E7275C">
        <w:t>ém</w:t>
      </w:r>
      <w:r w:rsidR="00456245">
        <w:t xml:space="preserve"> model</w:t>
      </w:r>
      <w:r w:rsidR="00E7275C">
        <w:t>u</w:t>
      </w:r>
      <w:r w:rsidR="00456245">
        <w:t xml:space="preserve"> a výměnn</w:t>
      </w:r>
      <w:r w:rsidR="00E7275C">
        <w:t xml:space="preserve">ém </w:t>
      </w:r>
      <w:r w:rsidR="00456245">
        <w:t>formát</w:t>
      </w:r>
      <w:r w:rsidR="0022319D">
        <w:t>u</w:t>
      </w:r>
      <w:r w:rsidR="00456245">
        <w:t>, ve kterém by se povinně zpracovávaly jednotlivé územně plánovací dokumentace</w:t>
      </w:r>
      <w:r w:rsidR="008B023D">
        <w:t>;</w:t>
      </w:r>
      <w:r w:rsidR="00B423E8" w:rsidRPr="008B023D">
        <w:t xml:space="preserve"> </w:t>
      </w:r>
      <w:r w:rsidR="00456245">
        <w:t xml:space="preserve"> </w:t>
      </w:r>
    </w:p>
    <w:p w:rsidR="00F1126D" w:rsidRDefault="00926673" w:rsidP="003E4A5D">
      <w:pPr>
        <w:widowControl w:val="0"/>
      </w:pPr>
      <w:r>
        <w:t xml:space="preserve">Dále </w:t>
      </w:r>
      <w:r w:rsidR="00456245">
        <w:t xml:space="preserve">územní plánování za současné právní úpravy pouze omezeně čelí novým výzvám. Jen </w:t>
      </w:r>
      <w:r>
        <w:t>částečně</w:t>
      </w:r>
      <w:r w:rsidR="00456245">
        <w:t xml:space="preserve"> řeší ekonomický rozměr území, přestože procesy územního plánování mají na ekonomické procesy v území nemalý vliv. </w:t>
      </w:r>
      <w:r>
        <w:t>S</w:t>
      </w:r>
      <w:r w:rsidR="00456245">
        <w:t xml:space="preserve">oučasná právní úprava neřeší </w:t>
      </w:r>
      <w:r>
        <w:t xml:space="preserve">především </w:t>
      </w:r>
      <w:r w:rsidR="00456245">
        <w:t xml:space="preserve">vazbu vymezování zastavitelných ploch, včetně případné intenzity jejich využití, na jejich zdanění, což </w:t>
      </w:r>
      <w:r w:rsidR="00456245">
        <w:lastRenderedPageBreak/>
        <w:t xml:space="preserve">by v důsledku vedlo ke spravedlivějšímu zpoplatnění využívání území a omezení spekulativně vymezovaných zastavitelných ploch. Zavedení vazby mezi vymezováním zastavitelných ploch na jejich zdanění (progresivní daň z nemovitosti) </w:t>
      </w:r>
      <w:r>
        <w:t>může vyvolat</w:t>
      </w:r>
      <w:r w:rsidR="00456245">
        <w:t xml:space="preserve"> tlak na majitele zastavitelných ploch, aby tyto plochy využili, odstran</w:t>
      </w:r>
      <w:r>
        <w:t>it</w:t>
      </w:r>
      <w:r w:rsidR="00456245">
        <w:t xml:space="preserve"> blokace území a zamez</w:t>
      </w:r>
      <w:r>
        <w:t>it</w:t>
      </w:r>
      <w:r w:rsidR="00456245">
        <w:t xml:space="preserve"> neefektivnímu zabírání půdního fondu. </w:t>
      </w:r>
    </w:p>
    <w:p w:rsidR="00BF4CDC" w:rsidRDefault="00BF4CDC" w:rsidP="00F1126D">
      <w:pPr>
        <w:pStyle w:val="Nadpis6"/>
        <w:rPr>
          <w:noProof/>
        </w:rPr>
      </w:pPr>
      <w:bookmarkStart w:id="22" w:name="_Toc536553896"/>
      <w:r>
        <w:rPr>
          <w:noProof/>
        </w:rPr>
        <w:t>Stávající problémy právní formy opatření obecné povahy a jejich přezkumu soudem</w:t>
      </w:r>
      <w:bookmarkEnd w:id="22"/>
    </w:p>
    <w:p w:rsidR="001230B9" w:rsidRDefault="00D46B31" w:rsidP="003E4A5D">
      <w:pPr>
        <w:widowControl w:val="0"/>
      </w:pPr>
      <w:r>
        <w:t>ÚPD</w:t>
      </w:r>
      <w:r w:rsidR="003E1731">
        <w:t xml:space="preserve"> </w:t>
      </w:r>
      <w:r w:rsidR="00BF4CDC">
        <w:t xml:space="preserve">se od </w:t>
      </w:r>
      <w:r w:rsidR="006C1282">
        <w:t>účinnosti stávajícího stavebního zákona (</w:t>
      </w:r>
      <w:r w:rsidR="00BF4CDC">
        <w:t>1. 1. 2007</w:t>
      </w:r>
      <w:r w:rsidR="006C1282">
        <w:t>)</w:t>
      </w:r>
      <w:r w:rsidR="00BF4CDC">
        <w:t xml:space="preserve"> </w:t>
      </w:r>
      <w:r w:rsidR="003E1731">
        <w:t xml:space="preserve">vydává formou </w:t>
      </w:r>
      <w:r>
        <w:t xml:space="preserve">OOP </w:t>
      </w:r>
      <w:r w:rsidR="003E1731">
        <w:t>podle správního řádu</w:t>
      </w:r>
      <w:r w:rsidR="000B3597">
        <w:t xml:space="preserve"> s navazujícím soudním přezkumem ve správním soudnictví podle soudního řádu správního.</w:t>
      </w:r>
      <w:r w:rsidR="003E1731">
        <w:t xml:space="preserve"> </w:t>
      </w:r>
      <w:r w:rsidR="0074532E">
        <w:t xml:space="preserve">Podle předchozí právní úpravy byly územní plány vydávány ve formě obecně závazných vyhlášek zastupitelstev územních samosprávných celků. Stávající forma </w:t>
      </w:r>
      <w:r>
        <w:t>OOP, tak jak je dnes právně nastavená,</w:t>
      </w:r>
      <w:r w:rsidR="0074532E">
        <w:t xml:space="preserve"> </w:t>
      </w:r>
      <w:r w:rsidR="006A71F9">
        <w:t xml:space="preserve">vnáší </w:t>
      </w:r>
      <w:r w:rsidR="003E1731">
        <w:t xml:space="preserve">problémy </w:t>
      </w:r>
      <w:r w:rsidR="006A71F9">
        <w:t xml:space="preserve">do právní jistoty všech osob v území jednajících </w:t>
      </w:r>
      <w:r w:rsidR="000B3597">
        <w:t>v důvěře v </w:t>
      </w:r>
      <w:r>
        <w:t>platnou ÚPD</w:t>
      </w:r>
      <w:r w:rsidR="003E1731">
        <w:t xml:space="preserve"> pro jejich návazný </w:t>
      </w:r>
      <w:r w:rsidR="001230B9">
        <w:t xml:space="preserve">soudní </w:t>
      </w:r>
      <w:r w:rsidR="003E1731">
        <w:t>přezkum</w:t>
      </w:r>
      <w:r>
        <w:t>. R</w:t>
      </w:r>
      <w:r w:rsidR="00BA7D3B">
        <w:t xml:space="preserve">ušení </w:t>
      </w:r>
      <w:r w:rsidR="0042158C">
        <w:t xml:space="preserve">zejména aktualizací nebo změn ÚPD </w:t>
      </w:r>
      <w:r w:rsidR="00BA7D3B">
        <w:t xml:space="preserve">se </w:t>
      </w:r>
      <w:r w:rsidR="0042158C">
        <w:t xml:space="preserve">dále negativně </w:t>
      </w:r>
      <w:r w:rsidR="00BA7D3B">
        <w:t xml:space="preserve">projevuje </w:t>
      </w:r>
      <w:r w:rsidR="0042158C">
        <w:t>v nemožnosti vydat legitimně očekávaná individuální správní rozhodnutí. Judikatura dovodila i možnost</w:t>
      </w:r>
      <w:r w:rsidR="006B54C4">
        <w:t xml:space="preserve"> rušení </w:t>
      </w:r>
      <w:r w:rsidR="0042158C">
        <w:t xml:space="preserve">ÚPD se </w:t>
      </w:r>
      <w:r w:rsidR="00902462">
        <w:t xml:space="preserve">zpětnými účinky, </w:t>
      </w:r>
      <w:r w:rsidR="0042158C">
        <w:t xml:space="preserve">což </w:t>
      </w:r>
      <w:r w:rsidR="00FE1064">
        <w:t xml:space="preserve">může mít dopad na pravomocně ukončená řízení v rámci zahajovaných obnov řízení. </w:t>
      </w:r>
    </w:p>
    <w:p w:rsidR="006A71F9" w:rsidRPr="006A71F9" w:rsidRDefault="00B72320" w:rsidP="003E4A5D">
      <w:pPr>
        <w:widowControl w:val="0"/>
      </w:pPr>
      <w:r>
        <w:t xml:space="preserve">K </w:t>
      </w:r>
      <w:r w:rsidR="006A71F9" w:rsidRPr="006A71F9">
        <w:t xml:space="preserve">stabilitě stanovených pravidel ve </w:t>
      </w:r>
      <w:r w:rsidR="00AD0DE7">
        <w:t>vydané</w:t>
      </w:r>
      <w:r w:rsidR="00AD0DE7" w:rsidRPr="006A71F9">
        <w:t xml:space="preserve"> </w:t>
      </w:r>
      <w:r w:rsidR="00AD0DE7">
        <w:t>ÚPD</w:t>
      </w:r>
      <w:r w:rsidR="006A71F9" w:rsidRPr="006A71F9">
        <w:t xml:space="preserve"> </w:t>
      </w:r>
      <w:r>
        <w:t xml:space="preserve">a k právní jistotě veřejnosti tak </w:t>
      </w:r>
      <w:r w:rsidR="006A71F9" w:rsidRPr="006A71F9">
        <w:t xml:space="preserve">nevede stávající právní úprava a z ní vyplývající rozsah a dopady následného soudního přezkumu, podávaný určitou částí judikatury správních soudů. Tento judikaturní proud, jakkoli není zastáván bez výhrad, zdůrazňuje co největší potřebu poskytování individuální ochrany žalobci, čímž však o to méně zohledňuje dopady do právní jistoty a zájmů všech ostatních osob, jejichž majetku a zájmů v daném území se týká. Odporuje také veřejnému zájmu na stabilitě pravidel pro určité území, umožňujících jeho koordinovaný a systematický rozvoj i individuální plánování životních rozhodnutí a investic do nemovitého majetku. </w:t>
      </w:r>
    </w:p>
    <w:p w:rsidR="006A71F9" w:rsidRPr="006A71F9" w:rsidRDefault="006A71F9">
      <w:pPr>
        <w:widowControl w:val="0"/>
      </w:pPr>
      <w:r w:rsidRPr="006A71F9">
        <w:t xml:space="preserve">Současná úprava soudního přezkumu </w:t>
      </w:r>
      <w:r w:rsidR="00AD0DE7">
        <w:t>ÚPD</w:t>
      </w:r>
      <w:r w:rsidRPr="006A71F9">
        <w:t xml:space="preserve"> ve formě </w:t>
      </w:r>
      <w:r w:rsidR="00AD0DE7">
        <w:t>OOP</w:t>
      </w:r>
      <w:r w:rsidRPr="006A71F9">
        <w:t xml:space="preserve"> v</w:t>
      </w:r>
      <w:r w:rsidR="007D6AED">
        <w:t> </w:t>
      </w:r>
      <w:r w:rsidRPr="006A71F9">
        <w:t xml:space="preserve">soudním řádu správním zná dvě situace, ve kterých dnes lze zasáhnout do platnosti </w:t>
      </w:r>
      <w:r w:rsidR="00AD0DE7">
        <w:t>ÚPD.</w:t>
      </w:r>
      <w:r w:rsidRPr="006A71F9">
        <w:rPr>
          <w:i/>
        </w:rPr>
        <w:t xml:space="preserve"> </w:t>
      </w:r>
      <w:r w:rsidRPr="006A71F9">
        <w:t>Jde o</w:t>
      </w:r>
      <w:r w:rsidRPr="006A71F9">
        <w:rPr>
          <w:i/>
        </w:rPr>
        <w:t xml:space="preserve"> </w:t>
      </w:r>
      <w:r w:rsidRPr="006A71F9">
        <w:t xml:space="preserve">možnost zrušit </w:t>
      </w:r>
      <w:r w:rsidR="00AD0DE7">
        <w:t>OOP</w:t>
      </w:r>
      <w:r w:rsidRPr="006A71F9">
        <w:t xml:space="preserve"> v obecném abstraktním, tak i v tzv. incidenčním přezkumu </w:t>
      </w:r>
      <w:r w:rsidR="00D17049">
        <w:t>OOP</w:t>
      </w:r>
      <w:r w:rsidRPr="006A71F9">
        <w:t>, který může žalobce navrhovat kdykoliv v budoucnu – podle některých názorů bez časového omezení – v souvislosti se žalobou proti rozhodnutí, které z něj vychází.</w:t>
      </w:r>
      <w:r w:rsidR="00D17049">
        <w:t xml:space="preserve"> </w:t>
      </w:r>
    </w:p>
    <w:p w:rsidR="003E1731" w:rsidRDefault="00872DA6">
      <w:pPr>
        <w:widowControl w:val="0"/>
      </w:pPr>
      <w:r>
        <w:t>P</w:t>
      </w:r>
      <w:r w:rsidR="003E1731">
        <w:t xml:space="preserve">roblematickými okruhy </w:t>
      </w:r>
      <w:r>
        <w:t xml:space="preserve">soudního </w:t>
      </w:r>
      <w:r w:rsidRPr="00872DA6">
        <w:t xml:space="preserve">přezkumu </w:t>
      </w:r>
      <w:r w:rsidR="009521E9">
        <w:t>ÚPD</w:t>
      </w:r>
      <w:r>
        <w:t xml:space="preserve"> v právní formě </w:t>
      </w:r>
      <w:r w:rsidR="009521E9">
        <w:t xml:space="preserve">OOP </w:t>
      </w:r>
      <w:r w:rsidR="00456245">
        <w:t xml:space="preserve">tedy </w:t>
      </w:r>
      <w:r w:rsidR="003E1731">
        <w:t>jsou:</w:t>
      </w:r>
    </w:p>
    <w:p w:rsidR="00E257F4" w:rsidRDefault="00E257F4" w:rsidP="009D4B5F">
      <w:pPr>
        <w:pStyle w:val="Odstavecseseznamem"/>
        <w:widowControl w:val="0"/>
        <w:numPr>
          <w:ilvl w:val="0"/>
          <w:numId w:val="56"/>
        </w:numPr>
        <w:contextualSpacing w:val="0"/>
      </w:pPr>
      <w:r>
        <w:t>možnost zpětných zásahů do existujícího právního stavu</w:t>
      </w:r>
      <w:r w:rsidR="008D20FB">
        <w:t xml:space="preserve"> a </w:t>
      </w:r>
      <w:r>
        <w:t xml:space="preserve">možnost zrušit </w:t>
      </w:r>
      <w:r w:rsidR="00D17049">
        <w:t>OOP</w:t>
      </w:r>
      <w:r>
        <w:t xml:space="preserve"> „do minulosti“</w:t>
      </w:r>
      <w:r w:rsidR="00D17049">
        <w:t>,</w:t>
      </w:r>
    </w:p>
    <w:p w:rsidR="00445D92" w:rsidRDefault="003E1731" w:rsidP="003E4A5D">
      <w:pPr>
        <w:pStyle w:val="Odstavecseseznamem"/>
        <w:widowControl w:val="0"/>
        <w:numPr>
          <w:ilvl w:val="0"/>
          <w:numId w:val="56"/>
        </w:numPr>
        <w:contextualSpacing w:val="0"/>
      </w:pPr>
      <w:r>
        <w:t xml:space="preserve">tzv. incidenční přezkum </w:t>
      </w:r>
      <w:r w:rsidR="00D17049">
        <w:t>OOP</w:t>
      </w:r>
      <w:r>
        <w:t xml:space="preserve">, který umožňuje správnímu soudu na základě žaloby proti rozhodnutí, jež vychází z </w:t>
      </w:r>
      <w:r w:rsidR="00D17049">
        <w:t>OOP</w:t>
      </w:r>
      <w:r w:rsidR="00902462">
        <w:t>, na návrh v </w:t>
      </w:r>
      <w:r>
        <w:t xml:space="preserve">rozsahu aktivní legitimace žalobce přezkoumat a případně v odpovídající části zrušit toto </w:t>
      </w:r>
      <w:r w:rsidR="00D17049">
        <w:t>OOP</w:t>
      </w:r>
      <w:r w:rsidR="00917AB8">
        <w:t xml:space="preserve">. Podle současné judikatury lze zrušit </w:t>
      </w:r>
      <w:r w:rsidR="00F61D92">
        <w:t xml:space="preserve">OOP </w:t>
      </w:r>
      <w:r w:rsidR="00E257F4">
        <w:t xml:space="preserve">se zpětnými účinky </w:t>
      </w:r>
      <w:r w:rsidR="00917AB8">
        <w:t>a </w:t>
      </w:r>
      <w:r w:rsidR="00E257F4">
        <w:t xml:space="preserve">dosáhnout tak i zrušení </w:t>
      </w:r>
      <w:r w:rsidR="00BE6A2F">
        <w:t xml:space="preserve">již dříve vydaných pravomocných individuálních správních rozhodnutí, která stavebník získal legálně </w:t>
      </w:r>
      <w:r w:rsidR="00F61D92">
        <w:t>a </w:t>
      </w:r>
      <w:r w:rsidR="00BE6A2F">
        <w:t xml:space="preserve">v dobré víře podle </w:t>
      </w:r>
      <w:r w:rsidR="00CD4CA3">
        <w:t xml:space="preserve">platné </w:t>
      </w:r>
      <w:r w:rsidR="00D17049">
        <w:t>ÚPD</w:t>
      </w:r>
      <w:r w:rsidR="00CD4CA3">
        <w:t xml:space="preserve"> v době vydání těchto povolení.</w:t>
      </w:r>
      <w:r w:rsidR="00BE6A2F">
        <w:t xml:space="preserve"> </w:t>
      </w:r>
    </w:p>
    <w:p w:rsidR="00D4266B" w:rsidRPr="0032110B" w:rsidRDefault="00D4266B" w:rsidP="00F1126D">
      <w:pPr>
        <w:pStyle w:val="Nadpis5"/>
        <w:rPr>
          <w:noProof/>
        </w:rPr>
      </w:pPr>
      <w:bookmarkStart w:id="23" w:name="_Toc536553897"/>
      <w:r w:rsidRPr="0032110B">
        <w:rPr>
          <w:noProof/>
        </w:rPr>
        <w:t>Posuzování vlivů na životní prostředí</w:t>
      </w:r>
      <w:bookmarkEnd w:id="23"/>
    </w:p>
    <w:p w:rsidR="00D4266B" w:rsidRDefault="00D4266B" w:rsidP="00D4266B">
      <w:pPr>
        <w:widowControl w:val="0"/>
        <w:rPr>
          <w:noProof/>
        </w:rPr>
      </w:pPr>
      <w:r>
        <w:rPr>
          <w:noProof/>
        </w:rPr>
        <w:t xml:space="preserve">Posuzování vlivů na životní prostředí (proces EIA) je v </w:t>
      </w:r>
      <w:r w:rsidR="00C85BD6" w:rsidRPr="00C85BD6">
        <w:rPr>
          <w:noProof/>
        </w:rPr>
        <w:t>ČR</w:t>
      </w:r>
      <w:r w:rsidR="00902462">
        <w:rPr>
          <w:noProof/>
        </w:rPr>
        <w:t xml:space="preserve"> upraveno zákonem č. </w:t>
      </w:r>
      <w:r>
        <w:rPr>
          <w:noProof/>
        </w:rPr>
        <w:t>100/2001 Sb., o posuzování vlivů na životní prostředí</w:t>
      </w:r>
      <w:r w:rsidR="00F61D92">
        <w:rPr>
          <w:noProof/>
        </w:rPr>
        <w:t xml:space="preserve"> ve znění pozdějších předpisů (</w:t>
      </w:r>
      <w:r w:rsidR="00F61D92" w:rsidRPr="00F61D92">
        <w:rPr>
          <w:noProof/>
        </w:rPr>
        <w:t>zákon č. 100/2001 Sb.</w:t>
      </w:r>
      <w:r w:rsidR="00F61D92">
        <w:rPr>
          <w:noProof/>
        </w:rPr>
        <w:t>).</w:t>
      </w:r>
    </w:p>
    <w:p w:rsidR="00D4266B" w:rsidRDefault="00D4266B" w:rsidP="00D4266B">
      <w:pPr>
        <w:widowControl w:val="0"/>
        <w:rPr>
          <w:noProof/>
        </w:rPr>
      </w:pPr>
      <w:r>
        <w:rPr>
          <w:noProof/>
        </w:rPr>
        <w:t>V rámci procesu EIA jsou posuzovány stavby, činnosti a technologie uvedené v příloze zákona č. 100/2001 Sb. Projekty posuzované v procesu EIA jsou například stavby, komunikace, výrobní haly, těžby nerostných surovin, provozy – nově budované, ale i jejich změny, tj. rozšiřování, změny technologií, zvýšení kapacity apod.</w:t>
      </w:r>
    </w:p>
    <w:p w:rsidR="00D4266B" w:rsidRDefault="00D4266B" w:rsidP="00D4266B">
      <w:pPr>
        <w:widowControl w:val="0"/>
        <w:rPr>
          <w:noProof/>
        </w:rPr>
      </w:pPr>
      <w:r>
        <w:rPr>
          <w:noProof/>
        </w:rPr>
        <w:t xml:space="preserve">Proces EIA probíhá vždy dříve, než jsou záměry povoleny a než se započne s jejich vlastní realizací. </w:t>
      </w:r>
      <w:r w:rsidR="00F61D92">
        <w:rPr>
          <w:noProof/>
        </w:rPr>
        <w:t xml:space="preserve">Pokud se na záměr vztahuje </w:t>
      </w:r>
      <w:r w:rsidR="00F61D92" w:rsidRPr="00F61D92">
        <w:rPr>
          <w:noProof/>
        </w:rPr>
        <w:t>zákon č. 100/2001 Sb</w:t>
      </w:r>
      <w:r w:rsidR="00F61D92">
        <w:rPr>
          <w:noProof/>
        </w:rPr>
        <w:t>., b</w:t>
      </w:r>
      <w:r>
        <w:rPr>
          <w:noProof/>
        </w:rPr>
        <w:t xml:space="preserve">ez závěru procesu EIA nesmí </w:t>
      </w:r>
      <w:r>
        <w:rPr>
          <w:noProof/>
        </w:rPr>
        <w:lastRenderedPageBreak/>
        <w:t>povolující úřad (</w:t>
      </w:r>
      <w:r w:rsidR="008201FA" w:rsidRPr="008201FA">
        <w:rPr>
          <w:noProof/>
        </w:rPr>
        <w:t>například</w:t>
      </w:r>
      <w:r>
        <w:rPr>
          <w:noProof/>
        </w:rPr>
        <w:t xml:space="preserve"> stavební úřad) rozhodnou</w:t>
      </w:r>
      <w:r w:rsidR="00902462">
        <w:rPr>
          <w:noProof/>
        </w:rPr>
        <w:t>t o </w:t>
      </w:r>
      <w:r>
        <w:rPr>
          <w:noProof/>
        </w:rPr>
        <w:t>povolení záměru. (</w:t>
      </w:r>
      <w:r w:rsidRPr="00193E60">
        <w:rPr>
          <w:i/>
          <w:noProof/>
        </w:rPr>
        <w:t>Zdroj: MŽP</w:t>
      </w:r>
      <w:r>
        <w:rPr>
          <w:noProof/>
        </w:rPr>
        <w:t>)</w:t>
      </w:r>
    </w:p>
    <w:p w:rsidR="00D4266B" w:rsidRPr="00A120A2" w:rsidRDefault="00D4266B" w:rsidP="00D4266B">
      <w:pPr>
        <w:widowControl w:val="0"/>
        <w:rPr>
          <w:noProof/>
        </w:rPr>
      </w:pPr>
      <w:r w:rsidRPr="00A120A2">
        <w:rPr>
          <w:noProof/>
        </w:rPr>
        <w:t xml:space="preserve">Proces získání stanoviska EIA má svůj procesní postup upraven </w:t>
      </w:r>
      <w:r>
        <w:rPr>
          <w:noProof/>
        </w:rPr>
        <w:t xml:space="preserve">zákonem </w:t>
      </w:r>
      <w:r w:rsidR="00902462">
        <w:rPr>
          <w:noProof/>
        </w:rPr>
        <w:t>č. 100/2001 Sb</w:t>
      </w:r>
      <w:r w:rsidRPr="00A120A2">
        <w:rPr>
          <w:noProof/>
        </w:rPr>
        <w:t xml:space="preserve">. První krok spočívá v podání oznámení. </w:t>
      </w:r>
      <w:r w:rsidR="00902462">
        <w:rPr>
          <w:noProof/>
        </w:rPr>
        <w:t>Příslušný úřad, tj. </w:t>
      </w:r>
      <w:r>
        <w:rPr>
          <w:noProof/>
        </w:rPr>
        <w:t>MŽP, případně orgán kraje v přenesené působnosti</w:t>
      </w:r>
      <w:r w:rsidR="00342E89">
        <w:rPr>
          <w:noProof/>
        </w:rPr>
        <w:t>,</w:t>
      </w:r>
      <w:r w:rsidRPr="00A120A2">
        <w:rPr>
          <w:noProof/>
        </w:rPr>
        <w:t xml:space="preserve"> oznámení</w:t>
      </w:r>
      <w:r w:rsidR="00902462">
        <w:rPr>
          <w:noProof/>
        </w:rPr>
        <w:t xml:space="preserve"> zveřejní do 7 pracovních dnů a </w:t>
      </w:r>
      <w:r w:rsidRPr="00A120A2">
        <w:rPr>
          <w:noProof/>
        </w:rPr>
        <w:t xml:space="preserve">rozešle jeho kopie spolu s žádostí </w:t>
      </w:r>
      <w:r w:rsidR="00342E89" w:rsidRPr="00A120A2">
        <w:rPr>
          <w:noProof/>
        </w:rPr>
        <w:t>o</w:t>
      </w:r>
      <w:r w:rsidR="00342E89">
        <w:rPr>
          <w:noProof/>
        </w:rPr>
        <w:t> </w:t>
      </w:r>
      <w:r w:rsidRPr="00A120A2">
        <w:rPr>
          <w:noProof/>
        </w:rPr>
        <w:t xml:space="preserve">vyjádření dotčeným správním úřadům a </w:t>
      </w:r>
      <w:r>
        <w:rPr>
          <w:noProof/>
        </w:rPr>
        <w:t xml:space="preserve">územním </w:t>
      </w:r>
      <w:r w:rsidRPr="00A120A2">
        <w:rPr>
          <w:noProof/>
        </w:rPr>
        <w:t xml:space="preserve">samosprávným celkům. Od doby zveřejnění běží lhůta </w:t>
      </w:r>
      <w:r>
        <w:rPr>
          <w:noProof/>
        </w:rPr>
        <w:t>3</w:t>
      </w:r>
      <w:r w:rsidRPr="00A120A2">
        <w:rPr>
          <w:noProof/>
        </w:rPr>
        <w:t>0</w:t>
      </w:r>
      <w:r w:rsidR="00902462">
        <w:rPr>
          <w:noProof/>
        </w:rPr>
        <w:t xml:space="preserve"> dní, po kterou se každý může k </w:t>
      </w:r>
      <w:r w:rsidRPr="00A120A2">
        <w:rPr>
          <w:noProof/>
        </w:rPr>
        <w:t>oznámení vyjádřit. Po uplynutí této lhůty již nemusí být další vyjádření brána v potaz.</w:t>
      </w:r>
    </w:p>
    <w:p w:rsidR="00D4266B" w:rsidRPr="00A120A2" w:rsidRDefault="00D4266B" w:rsidP="00D4266B">
      <w:pPr>
        <w:widowControl w:val="0"/>
        <w:rPr>
          <w:noProof/>
        </w:rPr>
      </w:pPr>
      <w:r w:rsidRPr="00A120A2">
        <w:rPr>
          <w:noProof/>
        </w:rPr>
        <w:t xml:space="preserve">Další fází je zjišťovací řízení, které je klíčové zejména pro projekty, jejichž posuzování není obligatorní a na základě jeho výsledků může být od posuzování upuštěno. </w:t>
      </w:r>
      <w:r>
        <w:rPr>
          <w:noProof/>
        </w:rPr>
        <w:t xml:space="preserve">Pokud není, </w:t>
      </w:r>
      <w:r w:rsidRPr="00A120A2">
        <w:rPr>
          <w:noProof/>
        </w:rPr>
        <w:t xml:space="preserve">stanoví </w:t>
      </w:r>
      <w:r>
        <w:rPr>
          <w:noProof/>
        </w:rPr>
        <w:t>příslušný úřad</w:t>
      </w:r>
      <w:r w:rsidRPr="00A120A2">
        <w:rPr>
          <w:noProof/>
        </w:rPr>
        <w:t xml:space="preserve"> </w:t>
      </w:r>
      <w:r>
        <w:rPr>
          <w:noProof/>
        </w:rPr>
        <w:t>v</w:t>
      </w:r>
      <w:r w:rsidRPr="00A120A2">
        <w:rPr>
          <w:noProof/>
        </w:rPr>
        <w:t xml:space="preserve"> závěru zjišťovacího řízení podmínky pro </w:t>
      </w:r>
      <w:r>
        <w:rPr>
          <w:noProof/>
        </w:rPr>
        <w:t>z</w:t>
      </w:r>
      <w:r w:rsidRPr="00A120A2">
        <w:rPr>
          <w:noProof/>
        </w:rPr>
        <w:t>pracování dokumentace</w:t>
      </w:r>
      <w:r>
        <w:rPr>
          <w:noProof/>
        </w:rPr>
        <w:t>,</w:t>
      </w:r>
      <w:r w:rsidRPr="00A120A2">
        <w:rPr>
          <w:noProof/>
        </w:rPr>
        <w:t xml:space="preserve"> a pokud to je fakticky možné</w:t>
      </w:r>
      <w:r>
        <w:rPr>
          <w:noProof/>
        </w:rPr>
        <w:t>,</w:t>
      </w:r>
      <w:r w:rsidRPr="00A120A2">
        <w:rPr>
          <w:noProof/>
        </w:rPr>
        <w:t xml:space="preserve"> </w:t>
      </w:r>
      <w:r>
        <w:rPr>
          <w:noProof/>
        </w:rPr>
        <w:t xml:space="preserve">může </w:t>
      </w:r>
      <w:r w:rsidRPr="00A120A2">
        <w:rPr>
          <w:noProof/>
        </w:rPr>
        <w:t>předkladateli navrhn</w:t>
      </w:r>
      <w:r>
        <w:rPr>
          <w:noProof/>
        </w:rPr>
        <w:t>out</w:t>
      </w:r>
      <w:r w:rsidRPr="00A120A2">
        <w:rPr>
          <w:noProof/>
        </w:rPr>
        <w:t xml:space="preserve"> zpracování více variant řešení. </w:t>
      </w:r>
    </w:p>
    <w:p w:rsidR="00D4266B" w:rsidRPr="00A120A2" w:rsidRDefault="00D4266B" w:rsidP="00D4266B">
      <w:pPr>
        <w:widowControl w:val="0"/>
        <w:rPr>
          <w:noProof/>
        </w:rPr>
      </w:pPr>
      <w:r w:rsidRPr="00A120A2">
        <w:rPr>
          <w:noProof/>
        </w:rPr>
        <w:t>Po zpracování musí být dokumentace zveřejněna stanoveným</w:t>
      </w:r>
      <w:r w:rsidR="00902462">
        <w:rPr>
          <w:noProof/>
        </w:rPr>
        <w:t xml:space="preserve"> způsobem a každý má právo se k </w:t>
      </w:r>
      <w:r w:rsidRPr="00A120A2">
        <w:rPr>
          <w:noProof/>
        </w:rPr>
        <w:t xml:space="preserve">ní do 30 dní vyjádřit. Stejně jako oznámení i dokumentaci rozešle </w:t>
      </w:r>
      <w:r>
        <w:rPr>
          <w:noProof/>
        </w:rPr>
        <w:t>příslušný úřad</w:t>
      </w:r>
      <w:r w:rsidRPr="00A120A2">
        <w:rPr>
          <w:noProof/>
        </w:rPr>
        <w:t xml:space="preserve"> </w:t>
      </w:r>
      <w:r w:rsidR="00342E89">
        <w:rPr>
          <w:noProof/>
        </w:rPr>
        <w:t>DO</w:t>
      </w:r>
      <w:r w:rsidRPr="00A120A2">
        <w:rPr>
          <w:noProof/>
        </w:rPr>
        <w:t xml:space="preserve">, samosprávným celkům a také ji bez zbytečného odkladu doručí zpracovateli posudku, kterému se neprodleně zasílají doručená vyjádření k dokumentaci. </w:t>
      </w:r>
      <w:r>
        <w:rPr>
          <w:noProof/>
        </w:rPr>
        <w:t>Příslušný úřad</w:t>
      </w:r>
      <w:r w:rsidRPr="00A120A2">
        <w:rPr>
          <w:noProof/>
        </w:rPr>
        <w:t xml:space="preserve"> sjedná zpracování posudku osobou k tomu oprávněnou, která vyhotoví do 60 dní, ve složitějších případech pak do </w:t>
      </w:r>
      <w:r>
        <w:rPr>
          <w:noProof/>
        </w:rPr>
        <w:t>8</w:t>
      </w:r>
      <w:r w:rsidRPr="00A120A2">
        <w:rPr>
          <w:noProof/>
        </w:rPr>
        <w:t>0 dní</w:t>
      </w:r>
      <w:r>
        <w:rPr>
          <w:noProof/>
        </w:rPr>
        <w:t>,</w:t>
      </w:r>
      <w:r w:rsidRPr="00A120A2">
        <w:rPr>
          <w:noProof/>
        </w:rPr>
        <w:t xml:space="preserve"> posudek na základě dokumentace a </w:t>
      </w:r>
      <w:r>
        <w:rPr>
          <w:noProof/>
        </w:rPr>
        <w:t>podkladů</w:t>
      </w:r>
      <w:r w:rsidRPr="00A120A2">
        <w:rPr>
          <w:noProof/>
        </w:rPr>
        <w:t xml:space="preserve"> k ní doručených. </w:t>
      </w:r>
    </w:p>
    <w:p w:rsidR="00D4266B" w:rsidRPr="0089559F" w:rsidRDefault="00D4266B" w:rsidP="003E4A5D">
      <w:pPr>
        <w:widowControl w:val="0"/>
        <w:rPr>
          <w:noProof/>
        </w:rPr>
      </w:pPr>
      <w:r w:rsidRPr="006F5A5B">
        <w:rPr>
          <w:noProof/>
        </w:rPr>
        <w:t xml:space="preserve">Příslušný úřad </w:t>
      </w:r>
      <w:r>
        <w:rPr>
          <w:noProof/>
        </w:rPr>
        <w:t xml:space="preserve">pak </w:t>
      </w:r>
      <w:r w:rsidRPr="006F5A5B">
        <w:rPr>
          <w:noProof/>
        </w:rPr>
        <w:t xml:space="preserve">vydá na základě dokumentace, vyjádření k ní podaných, veřejného projednání </w:t>
      </w:r>
      <w:r w:rsidR="00342E89" w:rsidRPr="006F5A5B">
        <w:rPr>
          <w:noProof/>
        </w:rPr>
        <w:t>a</w:t>
      </w:r>
      <w:r w:rsidR="00342E89">
        <w:rPr>
          <w:noProof/>
        </w:rPr>
        <w:t> </w:t>
      </w:r>
      <w:r w:rsidRPr="006F5A5B">
        <w:rPr>
          <w:noProof/>
        </w:rPr>
        <w:t xml:space="preserve">posudku </w:t>
      </w:r>
      <w:r w:rsidRPr="00E40466">
        <w:rPr>
          <w:noProof/>
        </w:rPr>
        <w:t>závazné s</w:t>
      </w:r>
      <w:r w:rsidRPr="006F5A5B">
        <w:rPr>
          <w:noProof/>
        </w:rPr>
        <w:t xml:space="preserve">tanovisko k posouzení vlivů provedení záměru na životní prostředí ve lhůtě do 30 dnů ode dne obdržení posudku. </w:t>
      </w:r>
      <w:r w:rsidRPr="00A120A2">
        <w:rPr>
          <w:noProof/>
        </w:rPr>
        <w:t xml:space="preserve">Stanovisko je platné </w:t>
      </w:r>
      <w:r>
        <w:rPr>
          <w:noProof/>
        </w:rPr>
        <w:t>7</w:t>
      </w:r>
      <w:r w:rsidRPr="00A120A2">
        <w:rPr>
          <w:noProof/>
        </w:rPr>
        <w:t xml:space="preserve"> let po jeho vydání, přičemž doba platnosti může být prodloužena o dalších 5 let</w:t>
      </w:r>
      <w:r>
        <w:rPr>
          <w:noProof/>
        </w:rPr>
        <w:t>,</w:t>
      </w:r>
      <w:r w:rsidRPr="00A120A2">
        <w:rPr>
          <w:noProof/>
        </w:rPr>
        <w:t xml:space="preserve"> a to i opakovaně. Zahájením územního řízení se tato lhůta přerušuje. Stanovisko musí být zohledněno v následujících řízeních dle </w:t>
      </w:r>
      <w:r>
        <w:rPr>
          <w:noProof/>
        </w:rPr>
        <w:t xml:space="preserve">stavebního </w:t>
      </w:r>
      <w:r w:rsidRPr="00A120A2">
        <w:rPr>
          <w:noProof/>
        </w:rPr>
        <w:t xml:space="preserve">zákona. </w:t>
      </w:r>
    </w:p>
    <w:p w:rsidR="00E05F37" w:rsidRDefault="00E05F37" w:rsidP="00F1126D">
      <w:pPr>
        <w:pStyle w:val="Nadpis5"/>
      </w:pPr>
      <w:bookmarkStart w:id="24" w:name="_Toc536553898"/>
      <w:r w:rsidRPr="00E05F37">
        <w:t>Ú</w:t>
      </w:r>
      <w:r w:rsidR="00AC461D">
        <w:t>zemní rozhodování a povolování staveb</w:t>
      </w:r>
      <w:bookmarkEnd w:id="24"/>
    </w:p>
    <w:p w:rsidR="00C63BDE" w:rsidRPr="00F1126D" w:rsidRDefault="00C63BDE" w:rsidP="00F1126D">
      <w:pPr>
        <w:pStyle w:val="Nadpis6"/>
      </w:pPr>
      <w:bookmarkStart w:id="25" w:name="_Toc536553899"/>
      <w:r w:rsidRPr="00F1126D">
        <w:t>Územní řízení</w:t>
      </w:r>
      <w:bookmarkEnd w:id="25"/>
    </w:p>
    <w:p w:rsidR="007A5844" w:rsidRPr="00A120A2" w:rsidRDefault="007A5844" w:rsidP="000066CE">
      <w:pPr>
        <w:widowControl w:val="0"/>
        <w:spacing w:before="100" w:after="100"/>
      </w:pPr>
      <w:r w:rsidRPr="00A120A2">
        <w:t>V celém územním a následně i stavebním řízení se promítají obecné instituty správního řádu.</w:t>
      </w:r>
    </w:p>
    <w:p w:rsidR="00DD54F3" w:rsidRDefault="006C10EF" w:rsidP="000066CE">
      <w:pPr>
        <w:widowControl w:val="0"/>
        <w:spacing w:before="100" w:after="100"/>
      </w:pPr>
      <w:r>
        <w:t>Pro umístění záměru, zpravidla na základě územního řízení,</w:t>
      </w:r>
      <w:r w:rsidRPr="00A120A2">
        <w:t xml:space="preserve"> </w:t>
      </w:r>
      <w:r>
        <w:t xml:space="preserve">je třeba vypracovat potřebnou </w:t>
      </w:r>
      <w:r w:rsidR="0013296B">
        <w:t>dokumentaci, jejíž</w:t>
      </w:r>
      <w:r>
        <w:t xml:space="preserve"> rozsah</w:t>
      </w:r>
      <w:r w:rsidR="0013296B">
        <w:t xml:space="preserve">, </w:t>
      </w:r>
      <w:r>
        <w:t>obsah</w:t>
      </w:r>
      <w:r w:rsidR="0013296B">
        <w:t xml:space="preserve"> a přílohy</w:t>
      </w:r>
      <w:r>
        <w:t xml:space="preserve"> zpravidla stanoví prováděcí vyhláška</w:t>
      </w:r>
      <w:r w:rsidR="0013296B">
        <w:t xml:space="preserve">. </w:t>
      </w:r>
    </w:p>
    <w:p w:rsidR="003E2C32" w:rsidRDefault="00DD54F3" w:rsidP="000066CE">
      <w:pPr>
        <w:widowControl w:val="0"/>
        <w:spacing w:before="100" w:after="100"/>
      </w:pPr>
      <w:r>
        <w:t>Stávající stavební zákon rozlišuje 5 druhů územních rozhodnutí</w:t>
      </w:r>
      <w:r w:rsidR="003E2C32">
        <w:t xml:space="preserve"> a další instituty, které mohou územní rozhodnutí</w:t>
      </w:r>
      <w:r w:rsidR="005F248E">
        <w:t>,</w:t>
      </w:r>
      <w:r w:rsidR="003E2C32">
        <w:t xml:space="preserve"> za zákonem stanovených podmínek</w:t>
      </w:r>
      <w:r w:rsidR="005F248E">
        <w:t>,</w:t>
      </w:r>
      <w:r w:rsidR="003E2C32">
        <w:t xml:space="preserve"> nahradit. Územnímu rozhodnutí předchází územní řízení. </w:t>
      </w:r>
    </w:p>
    <w:p w:rsidR="007A5844" w:rsidRPr="00A120A2" w:rsidRDefault="0013296B" w:rsidP="000066CE">
      <w:pPr>
        <w:widowControl w:val="0"/>
        <w:spacing w:before="100" w:after="100"/>
      </w:pPr>
      <w:r>
        <w:t xml:space="preserve">Nejčastějším </w:t>
      </w:r>
      <w:r w:rsidR="003E2C32">
        <w:t xml:space="preserve">územním rozhodnutím je územní rozhodnutí </w:t>
      </w:r>
      <w:r>
        <w:t>o umístění stavby nebo zařízení.</w:t>
      </w:r>
      <w:r w:rsidR="007A5844" w:rsidRPr="00A120A2">
        <w:t xml:space="preserve"> Územním rozhodnutím </w:t>
      </w:r>
      <w:r>
        <w:t xml:space="preserve">o umístění stavy </w:t>
      </w:r>
      <w:r w:rsidR="007A5844" w:rsidRPr="00A120A2">
        <w:t>se vymezuje stavební pozemek, její umístění</w:t>
      </w:r>
      <w:r w:rsidR="008201FA">
        <w:t>,</w:t>
      </w:r>
      <w:r w:rsidR="007A5844" w:rsidRPr="00A120A2">
        <w:t xml:space="preserve"> </w:t>
      </w:r>
      <w:r w:rsidR="008201FA">
        <w:t xml:space="preserve">stanoví </w:t>
      </w:r>
      <w:r w:rsidR="007A5844" w:rsidRPr="00A120A2">
        <w:t xml:space="preserve">se druh </w:t>
      </w:r>
      <w:r w:rsidR="008201FA" w:rsidRPr="00A120A2">
        <w:t>a</w:t>
      </w:r>
      <w:r w:rsidR="008201FA">
        <w:t> </w:t>
      </w:r>
      <w:r w:rsidR="007A5844" w:rsidRPr="00A120A2">
        <w:t xml:space="preserve">účel </w:t>
      </w:r>
      <w:r w:rsidR="00AB65E9" w:rsidRPr="00DD54F3">
        <w:t>stavby a základní podmínky pro její umístění. Toto rozhodnutí dále například stanoví podmínky na projektovou dokumentaci pro následující stavební řízení.</w:t>
      </w:r>
    </w:p>
    <w:p w:rsidR="007A5844" w:rsidRPr="00A120A2" w:rsidRDefault="007A5844" w:rsidP="000066CE">
      <w:pPr>
        <w:widowControl w:val="0"/>
        <w:spacing w:before="100" w:after="100"/>
      </w:pPr>
      <w:r w:rsidRPr="00A120A2">
        <w:t xml:space="preserve">Účastníkem územního řízení je vždy žadatel, což vyplývá z povahy řízení, které se zahajuje vždy na žádost. Další skupinou účastníků řízení jsou vlastníci staveb a pozemků, jímž přísluší vlastnické nebo jiné věcné právo k pozemkům, </w:t>
      </w:r>
      <w:r>
        <w:t>které</w:t>
      </w:r>
      <w:r w:rsidRPr="00A120A2">
        <w:t xml:space="preserve"> se stavbou sousedí či </w:t>
      </w:r>
      <w:r w:rsidR="00224E33">
        <w:t>mohou</w:t>
      </w:r>
      <w:r w:rsidRPr="00A120A2">
        <w:t xml:space="preserve"> být územním řízením dotčeny.</w:t>
      </w:r>
      <w:r w:rsidR="0053598E">
        <w:t xml:space="preserve"> Mezi účastníky územního řízení patří také obec, na jejím</w:t>
      </w:r>
      <w:r w:rsidR="0012354B">
        <w:t>ž</w:t>
      </w:r>
      <w:r w:rsidR="0053598E">
        <w:t xml:space="preserve"> území se záměru umisťuje.</w:t>
      </w:r>
    </w:p>
    <w:p w:rsidR="007A5844" w:rsidRPr="00A120A2" w:rsidRDefault="007A5844" w:rsidP="000066CE">
      <w:pPr>
        <w:widowControl w:val="0"/>
        <w:spacing w:before="100" w:after="100"/>
      </w:pPr>
      <w:r w:rsidRPr="00A120A2">
        <w:t xml:space="preserve">Prvním krokem, který musí investor učinit, je podání žádosti o </w:t>
      </w:r>
      <w:r w:rsidR="0053598E">
        <w:t xml:space="preserve">vydání </w:t>
      </w:r>
      <w:r w:rsidRPr="00A120A2">
        <w:t xml:space="preserve">územní rozhodnutí, jelikož je řízení zahajováno na žádost. Spolu se žádostí je potřeba </w:t>
      </w:r>
      <w:r w:rsidR="0053598E">
        <w:t xml:space="preserve">doložit i </w:t>
      </w:r>
      <w:r w:rsidRPr="00A120A2">
        <w:t xml:space="preserve">přílohy. Přílohou je vždy dokumentace pro </w:t>
      </w:r>
      <w:r w:rsidR="0053598E">
        <w:t xml:space="preserve">vydání </w:t>
      </w:r>
      <w:r w:rsidRPr="00A120A2">
        <w:t xml:space="preserve">územní rozhodnutí. Další přílohu tvoří </w:t>
      </w:r>
      <w:r w:rsidR="00686D84" w:rsidRPr="00686D84">
        <w:t>například</w:t>
      </w:r>
      <w:r>
        <w:t xml:space="preserve"> </w:t>
      </w:r>
      <w:r w:rsidRPr="00A120A2">
        <w:t xml:space="preserve">stanoviska vlastníků veřejné dopravní a technické infrastruktury. Dále je třeba předložit stanoviska a závazná stanoviska </w:t>
      </w:r>
      <w:r w:rsidR="00854F38" w:rsidRPr="00854F38">
        <w:t>DO</w:t>
      </w:r>
      <w:r w:rsidRPr="00A120A2">
        <w:t>,</w:t>
      </w:r>
      <w:r w:rsidR="0053598E">
        <w:t xml:space="preserve"> včetně závazného stanoviska EIA, pokud byla EIA provedena,</w:t>
      </w:r>
      <w:r w:rsidRPr="00A120A2">
        <w:t xml:space="preserve"> pokud si je žadatel předem obstaral. </w:t>
      </w:r>
    </w:p>
    <w:p w:rsidR="007A5844" w:rsidRPr="00A120A2" w:rsidRDefault="007A5844" w:rsidP="003E4A5D">
      <w:pPr>
        <w:widowControl w:val="0"/>
      </w:pPr>
      <w:r w:rsidRPr="00A120A2">
        <w:lastRenderedPageBreak/>
        <w:t xml:space="preserve">Řízení se zahajuje dnem, kdy došla žádost místně a věcně příslušnému stavebnímu úřadu. Stavební úřad rozhodne </w:t>
      </w:r>
      <w:r w:rsidR="002E6483">
        <w:t>podle typu řízení a okolností (</w:t>
      </w:r>
      <w:r w:rsidR="00686D84" w:rsidRPr="00686D84">
        <w:t>například</w:t>
      </w:r>
      <w:r w:rsidR="002E6483">
        <w:t xml:space="preserve"> zda má obec, na jejímž území je záměr umisťován, ÚP) zda se bude konat ústní jednání a zda bude veřejné. </w:t>
      </w:r>
    </w:p>
    <w:p w:rsidR="007A5844" w:rsidRPr="00A120A2" w:rsidRDefault="007A5844" w:rsidP="003E4A5D">
      <w:pPr>
        <w:widowControl w:val="0"/>
      </w:pPr>
      <w:r w:rsidRPr="00A120A2">
        <w:t>Závazná stanoviska tvoří závazný podklad pro výrokovou část územního rozhodnutí. Pokud by některé závazné stanovisko svým obsahem nesouhlasilo se záměrem, nelze žádosti vyhovět</w:t>
      </w:r>
      <w:r w:rsidR="005F248E">
        <w:t>.</w:t>
      </w:r>
      <w:r w:rsidRPr="00A120A2">
        <w:t xml:space="preserve"> Získání všech potřebných závazných stanovisek je nutností pro vydání územního rozhodnutí. Kvalita a správnost závazných stanovisek ve velké míře ovlivňuje osud samotného územního rozhodnutí. Všeobecně platí, že </w:t>
      </w:r>
      <w:r w:rsidR="00854F38" w:rsidRPr="00854F38">
        <w:t>DO</w:t>
      </w:r>
      <w:r w:rsidRPr="00A120A2">
        <w:t xml:space="preserve"> je vázán svým závazným stanoviskem. Pokud by chtěl závazné stanovisko změnit, může tak učinit</w:t>
      </w:r>
      <w:r>
        <w:t xml:space="preserve"> </w:t>
      </w:r>
      <w:r w:rsidRPr="00A120A2">
        <w:t>pouze na základě zjištění nových skutečností, které nemohly být dříve použity, a to pouze za předpokladu, že se výrazně změnily podmínky, jinak nemusí být na pozdější závazná stanoviska brán zřetel. Rovněž se nepřihlíží k závazným stanoviskům</w:t>
      </w:r>
      <w:r w:rsidR="00B75BF3">
        <w:t xml:space="preserve"> ve věcech, o kterých bylo rozhodnuto v ÚP</w:t>
      </w:r>
      <w:r w:rsidR="006E1983">
        <w:t>D</w:t>
      </w:r>
      <w:r w:rsidR="00B75BF3">
        <w:t>.</w:t>
      </w:r>
    </w:p>
    <w:p w:rsidR="007A5844" w:rsidRPr="00A120A2" w:rsidRDefault="007A5844" w:rsidP="003E4A5D">
      <w:pPr>
        <w:widowControl w:val="0"/>
      </w:pPr>
      <w:r w:rsidRPr="00A120A2">
        <w:t xml:space="preserve">Námitky slouží jako procesní institut pro účastníky řízení. Námitky musí být odůvodněné, tudíž nestačí pouhé vyjádření nesouhlasu se záměrem </w:t>
      </w:r>
      <w:r w:rsidR="00AF6116">
        <w:t>žadatele</w:t>
      </w:r>
      <w:r w:rsidR="00512F2E">
        <w:t>.</w:t>
      </w:r>
      <w:r w:rsidRPr="00A120A2">
        <w:t xml:space="preserve"> </w:t>
      </w:r>
    </w:p>
    <w:p w:rsidR="007A5844" w:rsidRPr="00A120A2" w:rsidRDefault="007A5844" w:rsidP="003E4A5D">
      <w:pPr>
        <w:widowControl w:val="0"/>
      </w:pPr>
      <w:r w:rsidRPr="00A120A2">
        <w:t xml:space="preserve">Před vydáním územního rozhodnutí stavební úřad posuzuje záměr na základě splnění požadavků stanovených právními předpisy, závaznými stanovisky </w:t>
      </w:r>
      <w:r w:rsidR="00B75BF3">
        <w:t>DO</w:t>
      </w:r>
      <w:r w:rsidR="00631B9D">
        <w:t xml:space="preserve"> (</w:t>
      </w:r>
      <w:r w:rsidR="00B75BF3" w:rsidRPr="00A120A2">
        <w:t>souladem záměru s</w:t>
      </w:r>
      <w:r w:rsidR="00B75BF3">
        <w:t> </w:t>
      </w:r>
      <w:r w:rsidR="00631B9D">
        <w:t>ÚPD</w:t>
      </w:r>
      <w:r w:rsidR="00B75BF3">
        <w:t xml:space="preserve"> a</w:t>
      </w:r>
      <w:r w:rsidR="00512F2E">
        <w:t> </w:t>
      </w:r>
      <w:r w:rsidR="00B75BF3" w:rsidRPr="00A120A2">
        <w:t>cíli a</w:t>
      </w:r>
      <w:r w:rsidR="00512F2E">
        <w:t> </w:t>
      </w:r>
      <w:r w:rsidR="00B75BF3" w:rsidRPr="00A120A2">
        <w:t>úkoly územního plánování</w:t>
      </w:r>
      <w:r w:rsidRPr="00A120A2">
        <w:t xml:space="preserve"> </w:t>
      </w:r>
      <w:r w:rsidR="00631B9D">
        <w:t>posuzuje</w:t>
      </w:r>
      <w:r w:rsidR="00512F2E">
        <w:t xml:space="preserve"> stavební úřad</w:t>
      </w:r>
      <w:r w:rsidR="00631B9D">
        <w:t xml:space="preserve">, </w:t>
      </w:r>
      <w:r w:rsidR="00B75BF3">
        <w:t xml:space="preserve">pokud je podle zákona neposuzuje DO) </w:t>
      </w:r>
      <w:r w:rsidR="00512F2E" w:rsidRPr="00A120A2">
        <w:t>a</w:t>
      </w:r>
      <w:r w:rsidR="00512F2E">
        <w:t> </w:t>
      </w:r>
      <w:r w:rsidRPr="00A120A2">
        <w:t>nároky na veřejnou technickou a dopravní infrastrukturu. Jestliže by nebyly tyto podmínky splněny, stavební úřad žádost zamítne. Pokud stavebn</w:t>
      </w:r>
      <w:r w:rsidR="00507776">
        <w:t>í úřad shledá záměr v souladu s </w:t>
      </w:r>
      <w:r w:rsidRPr="00A120A2">
        <w:t>podmínkami pro jeho umístění, vydá územní rozhodnutí.</w:t>
      </w:r>
    </w:p>
    <w:p w:rsidR="007A5844" w:rsidRPr="00A120A2" w:rsidRDefault="00C44706" w:rsidP="003E4A5D">
      <w:pPr>
        <w:widowControl w:val="0"/>
      </w:pPr>
      <w:r>
        <w:t xml:space="preserve">Územní rozhodnutí </w:t>
      </w:r>
      <w:r w:rsidR="007A5844" w:rsidRPr="00A120A2">
        <w:t xml:space="preserve">je </w:t>
      </w:r>
      <w:r>
        <w:t xml:space="preserve">zpravidla </w:t>
      </w:r>
      <w:r w:rsidR="007A5844" w:rsidRPr="00A120A2">
        <w:t xml:space="preserve">platné 2 roky ode dne nabytí právní moci, přičemž může být stanovena lhůta delší, která však musí být odůvodněná. </w:t>
      </w:r>
      <w:r>
        <w:t>V případě územního rozhodnutí o umístění stavby se předpokládá</w:t>
      </w:r>
      <w:r w:rsidR="007A5844" w:rsidRPr="00A120A2">
        <w:t xml:space="preserve">, že v této době bude zpracována </w:t>
      </w:r>
      <w:r w:rsidR="00191567">
        <w:t xml:space="preserve">projektová </w:t>
      </w:r>
      <w:r w:rsidR="007A5844" w:rsidRPr="00A120A2">
        <w:t>dokumentace pro stavební povolení a podána žádos</w:t>
      </w:r>
      <w:r w:rsidR="00507776">
        <w:t>t o jeho vydání. Pokud nebude v </w:t>
      </w:r>
      <w:r w:rsidR="007A5844" w:rsidRPr="00A120A2">
        <w:t>této lhůtě podána úplná žádost o stavební povolení nebo tato bude zamítnuta nebo stavební řízení zastaveno, územní rozhodnutí pozbývá platnosti. Zákon sice umožňuje prodloužit dobu platnosti územního rozhodnutí na základě odůvodněné žádosti, vzniká zde ovšem určité riziko vzniku problém</w:t>
      </w:r>
      <w:r w:rsidR="00224E33">
        <w:t>ů</w:t>
      </w:r>
      <w:r w:rsidR="007A5844" w:rsidRPr="00A120A2">
        <w:t xml:space="preserve"> spojených s vedením dalšího řízení.</w:t>
      </w:r>
    </w:p>
    <w:p w:rsidR="007A5844" w:rsidRPr="00A120A2" w:rsidRDefault="007A5844" w:rsidP="003E4A5D">
      <w:pPr>
        <w:widowControl w:val="0"/>
      </w:pPr>
      <w:r w:rsidRPr="00A120A2">
        <w:t>Jako řádný opravný prostředek proti územnímu rozhodnutí se využije odvolání, jež je upraveno obecně ve správním řádu. V rámci mimořádných opra</w:t>
      </w:r>
      <w:r w:rsidR="00507776">
        <w:t>vných prostředků lze uvažovat o </w:t>
      </w:r>
      <w:r w:rsidRPr="00A120A2">
        <w:t>přezkumném řízení nebo o obnově řízení.</w:t>
      </w:r>
    </w:p>
    <w:p w:rsidR="007A5844" w:rsidRPr="00A120A2" w:rsidRDefault="007A5844" w:rsidP="003E4A5D">
      <w:pPr>
        <w:widowControl w:val="0"/>
      </w:pPr>
      <w:r w:rsidRPr="00A120A2">
        <w:t xml:space="preserve">Po využití možnosti podat řádný opravný prostředek ve správním řízení (zpravidla tedy odvolání </w:t>
      </w:r>
      <w:r>
        <w:t>a/</w:t>
      </w:r>
      <w:r w:rsidRPr="00A120A2">
        <w:t xml:space="preserve">nebo tzv. rozklad) může dojít k podání žaloby a </w:t>
      </w:r>
      <w:r>
        <w:t xml:space="preserve">eventuálně následně i </w:t>
      </w:r>
      <w:r w:rsidRPr="00A120A2">
        <w:t xml:space="preserve">kasační stížnosti. </w:t>
      </w:r>
    </w:p>
    <w:p w:rsidR="009330DA" w:rsidRDefault="009330DA" w:rsidP="00F1126D">
      <w:pPr>
        <w:pStyle w:val="Nadpis6"/>
        <w:rPr>
          <w:noProof/>
        </w:rPr>
      </w:pPr>
      <w:bookmarkStart w:id="26" w:name="_Toc536553900"/>
      <w:r>
        <w:rPr>
          <w:noProof/>
        </w:rPr>
        <w:t>Stavební řízení</w:t>
      </w:r>
      <w:bookmarkEnd w:id="26"/>
    </w:p>
    <w:p w:rsidR="00CB3D2B" w:rsidRPr="00A120A2" w:rsidRDefault="00CB3D2B" w:rsidP="003E4A5D">
      <w:pPr>
        <w:widowControl w:val="0"/>
      </w:pPr>
      <w:r w:rsidRPr="00A120A2">
        <w:t xml:space="preserve">Stavební řízení je dalším řízením, kterým je </w:t>
      </w:r>
      <w:r w:rsidR="00F832F3">
        <w:t xml:space="preserve">zpravidla </w:t>
      </w:r>
      <w:r w:rsidRPr="00A120A2">
        <w:t>nutno projít před samotnou realizací stavby a jehož výsledkem je stavební povolení. Pokud je již stavba územním rozhodnutím umístěna, přichází na řadu samotné povolení stavebních prací</w:t>
      </w:r>
      <w:r w:rsidR="00385026">
        <w:t>, resp. stavby</w:t>
      </w:r>
      <w:r w:rsidRPr="00A120A2">
        <w:t xml:space="preserve">. </w:t>
      </w:r>
    </w:p>
    <w:p w:rsidR="00AC557A" w:rsidRDefault="00AC557A" w:rsidP="003E4A5D">
      <w:pPr>
        <w:widowControl w:val="0"/>
      </w:pPr>
      <w:r>
        <w:t xml:space="preserve">Stavební povolení </w:t>
      </w:r>
      <w:r w:rsidR="009F5028" w:rsidRPr="009F5028">
        <w:t xml:space="preserve">se vyžaduje u staveb všeho druhu bez zřetele na jejich stavebně technické provedení, účel a dobu trvání, </w:t>
      </w:r>
      <w:r w:rsidR="009F5028">
        <w:t>s výjimkou s</w:t>
      </w:r>
      <w:r w:rsidRPr="00AC557A">
        <w:t>tav</w:t>
      </w:r>
      <w:r w:rsidR="009F5028">
        <w:t>eb</w:t>
      </w:r>
      <w:r w:rsidRPr="00AC557A">
        <w:t>, terénní</w:t>
      </w:r>
      <w:r w:rsidR="009F5028">
        <w:t>ch</w:t>
      </w:r>
      <w:r w:rsidRPr="00AC557A">
        <w:t xml:space="preserve"> úprav, zařízení a udržovací</w:t>
      </w:r>
      <w:r w:rsidR="009F5028">
        <w:t>ch</w:t>
      </w:r>
      <w:r w:rsidRPr="00AC557A">
        <w:t xml:space="preserve"> pr</w:t>
      </w:r>
      <w:r w:rsidR="009F5028">
        <w:t xml:space="preserve">ací </w:t>
      </w:r>
      <w:r w:rsidRPr="00AC557A">
        <w:t>nevyžadující</w:t>
      </w:r>
      <w:r w:rsidR="009F5028">
        <w:t>ch</w:t>
      </w:r>
      <w:r w:rsidRPr="00AC557A">
        <w:t xml:space="preserve"> stavební povolení ani ohlášení</w:t>
      </w:r>
      <w:r>
        <w:t xml:space="preserve"> (§ 103 </w:t>
      </w:r>
      <w:r w:rsidR="001F594C">
        <w:t xml:space="preserve">stávajícího </w:t>
      </w:r>
      <w:r>
        <w:t>stavebního zákona)</w:t>
      </w:r>
      <w:r w:rsidR="00E8724B">
        <w:t xml:space="preserve"> </w:t>
      </w:r>
      <w:r w:rsidR="001F594C">
        <w:t>a </w:t>
      </w:r>
      <w:r w:rsidR="009F5028">
        <w:t>jednoduchých</w:t>
      </w:r>
      <w:r w:rsidR="00E8724B" w:rsidRPr="00E8724B">
        <w:t xml:space="preserve"> stav</w:t>
      </w:r>
      <w:r w:rsidR="009F5028">
        <w:t>e</w:t>
      </w:r>
      <w:r w:rsidR="00E8724B" w:rsidRPr="00E8724B">
        <w:t>b, terénní</w:t>
      </w:r>
      <w:r w:rsidR="009F5028">
        <w:t>ch úprav</w:t>
      </w:r>
      <w:r w:rsidR="00E8724B" w:rsidRPr="00E8724B">
        <w:t xml:space="preserve"> a udržovací</w:t>
      </w:r>
      <w:r w:rsidR="009F5028">
        <w:t>ch</w:t>
      </w:r>
      <w:r w:rsidR="00E8724B" w:rsidRPr="00E8724B">
        <w:t xml:space="preserve"> pr</w:t>
      </w:r>
      <w:r w:rsidR="009F5028">
        <w:t>ací</w:t>
      </w:r>
      <w:r w:rsidR="00E8724B" w:rsidRPr="00E8724B">
        <w:t>, u kterých postačí ohlášení</w:t>
      </w:r>
      <w:r w:rsidR="00E8724B">
        <w:t xml:space="preserve"> (§ 104 </w:t>
      </w:r>
      <w:r w:rsidR="001F594C">
        <w:t xml:space="preserve">stávajícího </w:t>
      </w:r>
      <w:r w:rsidR="00E8724B">
        <w:t>stavebního zákona)</w:t>
      </w:r>
      <w:r w:rsidR="009F5028">
        <w:t>.</w:t>
      </w:r>
    </w:p>
    <w:p w:rsidR="00B46978" w:rsidRDefault="00B46978" w:rsidP="003E4A5D">
      <w:pPr>
        <w:widowControl w:val="0"/>
      </w:pPr>
      <w:r>
        <w:t xml:space="preserve">Stavební povolení lze nahradit veřejnoprávní smlouvou za podmínek </w:t>
      </w:r>
      <w:r w:rsidR="00F832F3">
        <w:t>stanovených zákonem (</w:t>
      </w:r>
      <w:r>
        <w:t>§</w:t>
      </w:r>
      <w:r w:rsidR="00F832F3">
        <w:t> </w:t>
      </w:r>
      <w:r>
        <w:t xml:space="preserve">116 </w:t>
      </w:r>
      <w:r w:rsidR="00F832F3">
        <w:t>SZ)</w:t>
      </w:r>
      <w:r>
        <w:t xml:space="preserve"> nebo oznámením stavebního záměru s certifikátem autorizovaného inspektora za podmínek </w:t>
      </w:r>
      <w:r w:rsidR="00F832F3">
        <w:t>stanovených zákonem (</w:t>
      </w:r>
      <w:r>
        <w:t>§ 117</w:t>
      </w:r>
      <w:r w:rsidR="00F832F3">
        <w:t xml:space="preserve"> SZ)</w:t>
      </w:r>
      <w:r>
        <w:t>. Stavební povolení se nevydává, pokud je vydáno společné povolení</w:t>
      </w:r>
      <w:r w:rsidR="00631B9D">
        <w:t xml:space="preserve">, které nahrazuje </w:t>
      </w:r>
      <w:r w:rsidR="002E512C">
        <w:t>územní rozhodnutí a stavební povolení</w:t>
      </w:r>
      <w:r>
        <w:t>.</w:t>
      </w:r>
    </w:p>
    <w:p w:rsidR="00CB3D2B" w:rsidRPr="00A120A2" w:rsidRDefault="00CB3D2B" w:rsidP="003E4A5D">
      <w:pPr>
        <w:widowControl w:val="0"/>
      </w:pPr>
      <w:r w:rsidRPr="00A120A2">
        <w:lastRenderedPageBreak/>
        <w:t>Stavební řízení je z procesního hlediska koncipováno obdobným způsobem jako řízení územní (hlavní principy sledují správní řád). Jsou zde však odchy</w:t>
      </w:r>
      <w:r w:rsidR="00507776">
        <w:t>lné postupy, které spočívají ve </w:t>
      </w:r>
      <w:r w:rsidRPr="00A120A2">
        <w:t>specifickém charakteru stavebního řízení. Rovněž se zde</w:t>
      </w:r>
      <w:r w:rsidR="00507776">
        <w:t xml:space="preserve"> projevuje koncentrace řízení s </w:t>
      </w:r>
      <w:r w:rsidRPr="00A120A2">
        <w:t xml:space="preserve">ohledem na námitky. Ty námitky, které mohly být uplatněny nebo byly uplatněny v územním řízení a stavební úřad se s nimi v předchozím řízení vypořádal, jsou bezpředmětné. </w:t>
      </w:r>
    </w:p>
    <w:p w:rsidR="00CB3D2B" w:rsidRPr="00A120A2" w:rsidRDefault="00CB3D2B" w:rsidP="003E4A5D">
      <w:pPr>
        <w:widowControl w:val="0"/>
      </w:pPr>
      <w:r w:rsidRPr="00A120A2">
        <w:t xml:space="preserve">Stavební povolení oproti územnímu rozhodnutí nelze vydat bez dokladů potvrzujících vlastnické právo nebo právo založené smluvně k pozemkům, na kterých bude </w:t>
      </w:r>
      <w:r>
        <w:t>s</w:t>
      </w:r>
      <w:r w:rsidRPr="00A120A2">
        <w:t>tavba stát.</w:t>
      </w:r>
    </w:p>
    <w:p w:rsidR="00CB3D2B" w:rsidRDefault="00CB3D2B" w:rsidP="003E4A5D">
      <w:pPr>
        <w:widowControl w:val="0"/>
      </w:pPr>
      <w:r w:rsidRPr="00A120A2">
        <w:t>Obecně lze konstatovat, že stavební řízení je méně problémové z pohledu pravděpodobnosti prodloužení přípravné fáze výstavby než řízení územní</w:t>
      </w:r>
      <w:r w:rsidR="002B4708">
        <w:t>, neboť má užší okruh účastníků řízení a většina zásadních rozporů je řešena právě již v územním řízení</w:t>
      </w:r>
      <w:r w:rsidRPr="00A120A2">
        <w:t>.</w:t>
      </w:r>
    </w:p>
    <w:p w:rsidR="00C90295" w:rsidRDefault="00C90295" w:rsidP="003E4A5D">
      <w:pPr>
        <w:widowControl w:val="0"/>
      </w:pPr>
      <w:r>
        <w:t>Účastníkem stavebního řízení je</w:t>
      </w:r>
    </w:p>
    <w:p w:rsidR="00C90295" w:rsidRDefault="00C90295" w:rsidP="00C873B4">
      <w:pPr>
        <w:pStyle w:val="Odstavecseseznamem"/>
        <w:widowControl w:val="0"/>
        <w:numPr>
          <w:ilvl w:val="0"/>
          <w:numId w:val="76"/>
        </w:numPr>
        <w:ind w:left="357" w:hanging="357"/>
      </w:pPr>
      <w:r>
        <w:t>stavebník,</w:t>
      </w:r>
    </w:p>
    <w:p w:rsidR="00C90295" w:rsidRDefault="00C90295" w:rsidP="00C873B4">
      <w:pPr>
        <w:pStyle w:val="Odstavecseseznamem"/>
        <w:widowControl w:val="0"/>
        <w:numPr>
          <w:ilvl w:val="0"/>
          <w:numId w:val="76"/>
        </w:numPr>
        <w:ind w:left="357" w:hanging="357"/>
      </w:pPr>
      <w:r>
        <w:t>vlastník stavby, na níž má být provedena změna, není-li stavebníkem,</w:t>
      </w:r>
    </w:p>
    <w:p w:rsidR="00C90295" w:rsidRDefault="00C90295" w:rsidP="00C873B4">
      <w:pPr>
        <w:pStyle w:val="Odstavecseseznamem"/>
        <w:widowControl w:val="0"/>
        <w:numPr>
          <w:ilvl w:val="0"/>
          <w:numId w:val="76"/>
        </w:numPr>
        <w:ind w:left="357" w:hanging="357"/>
      </w:pPr>
      <w:r>
        <w:t>vlastník pozemku, na kterém má být stavba prováděna, není-li stavebníkem, může-li být jeho vlastnické právo k pozemku prováděním stavby přímo dotčeno,</w:t>
      </w:r>
    </w:p>
    <w:p w:rsidR="00C90295" w:rsidRDefault="00C90295" w:rsidP="00C873B4">
      <w:pPr>
        <w:pStyle w:val="Odstavecseseznamem"/>
        <w:widowControl w:val="0"/>
        <w:numPr>
          <w:ilvl w:val="0"/>
          <w:numId w:val="76"/>
        </w:numPr>
        <w:ind w:left="357" w:hanging="357"/>
      </w:pPr>
      <w:r>
        <w:t>vlastník stavby na pozemku, na kterém má být stavba prováděna, a ten, kdo má k tomuto pozemku nebo stavbě právo odpovídající věcnému břemenu, mohou-li být jejich práva prováděním stavby přímo dotčena,</w:t>
      </w:r>
    </w:p>
    <w:p w:rsidR="00C90295" w:rsidRDefault="00C90295" w:rsidP="00C873B4">
      <w:pPr>
        <w:pStyle w:val="Odstavecseseznamem"/>
        <w:widowControl w:val="0"/>
        <w:numPr>
          <w:ilvl w:val="0"/>
          <w:numId w:val="76"/>
        </w:numPr>
        <w:ind w:left="357" w:hanging="357"/>
      </w:pPr>
      <w:r>
        <w:t>vlastník sousedního pozemku nebo stavby na něm, může-li být jeho vlastnické právo prováděním stavby přímo dotčeno,</w:t>
      </w:r>
    </w:p>
    <w:p w:rsidR="00330CAE" w:rsidRDefault="00C90295" w:rsidP="00C873B4">
      <w:pPr>
        <w:pStyle w:val="Odstavecseseznamem"/>
        <w:widowControl w:val="0"/>
        <w:numPr>
          <w:ilvl w:val="0"/>
          <w:numId w:val="76"/>
        </w:numPr>
        <w:ind w:left="357" w:hanging="357"/>
      </w:pPr>
      <w:r>
        <w:t>ten, kdo má k sousednímu pozemku nebo stavbě na něm právo odpovídající věcnému břemenu, může-li být toto právo prováděním stavby přímo dotčeno.</w:t>
      </w:r>
    </w:p>
    <w:p w:rsidR="00C90295" w:rsidRDefault="00C90295" w:rsidP="003E4A5D">
      <w:pPr>
        <w:widowControl w:val="0"/>
      </w:pPr>
      <w:r>
        <w:t xml:space="preserve">Účastníkem stavebního řízení </w:t>
      </w:r>
      <w:r w:rsidR="003B141E">
        <w:t xml:space="preserve">již od 1. 1. 2018 </w:t>
      </w:r>
      <w:r>
        <w:t xml:space="preserve">není </w:t>
      </w:r>
      <w:r w:rsidR="00DD7A6A">
        <w:t xml:space="preserve">obecně </w:t>
      </w:r>
      <w:r w:rsidR="003B141E" w:rsidRPr="003B141E">
        <w:t>osoba, o které tak stanoví zvláštní právní předpis</w:t>
      </w:r>
      <w:r w:rsidR="003B141E">
        <w:t>, tj. zejména občanská sdružení, resp. spolky chránící veřejné zájmy podle § 70 zákona o ochraně přírody a krajiny.</w:t>
      </w:r>
      <w:r w:rsidR="00DD7A6A">
        <w:t xml:space="preserve"> Ty se mohou účastnit pouze </w:t>
      </w:r>
      <w:r w:rsidR="00E34A72">
        <w:t>procesů a postupů vedených podle zákona o ochraně přírody a krajiny</w:t>
      </w:r>
      <w:r w:rsidR="004623C7">
        <w:t>.</w:t>
      </w:r>
    </w:p>
    <w:p w:rsidR="00D46BD3" w:rsidRDefault="002B4708" w:rsidP="003E4A5D">
      <w:pPr>
        <w:widowControl w:val="0"/>
      </w:pPr>
      <w:r>
        <w:t xml:space="preserve">Stavební řízení </w:t>
      </w:r>
      <w:r w:rsidR="00764838">
        <w:t xml:space="preserve">je oproti územnímu řízení výrazně technicistní. </w:t>
      </w:r>
      <w:r w:rsidR="00D46BD3">
        <w:t xml:space="preserve">Stavební úřad </w:t>
      </w:r>
      <w:r w:rsidR="00EF23AB">
        <w:t>ve stavebním řízení ověřuje a přezkoumává</w:t>
      </w:r>
      <w:r w:rsidR="00D46BD3">
        <w:t>, zda</w:t>
      </w:r>
    </w:p>
    <w:p w:rsidR="00D46BD3" w:rsidRDefault="00D46BD3" w:rsidP="00C873B4">
      <w:pPr>
        <w:pStyle w:val="Odstavecseseznamem"/>
        <w:widowControl w:val="0"/>
        <w:numPr>
          <w:ilvl w:val="0"/>
          <w:numId w:val="77"/>
        </w:numPr>
        <w:ind w:left="357" w:hanging="357"/>
      </w:pPr>
      <w:r>
        <w:t>projektová dokumentace je zpracována v souladu s územním rozhodnutím nebo regulačním plánem nebo veřejnoprávní smlouvou územní rozhodnutí nahrazující anebo územním souhlasem,</w:t>
      </w:r>
    </w:p>
    <w:p w:rsidR="00D46BD3" w:rsidRDefault="00D46BD3" w:rsidP="00C873B4">
      <w:pPr>
        <w:pStyle w:val="Odstavecseseznamem"/>
        <w:widowControl w:val="0"/>
        <w:numPr>
          <w:ilvl w:val="0"/>
          <w:numId w:val="77"/>
        </w:numPr>
        <w:ind w:left="357" w:hanging="357"/>
      </w:pPr>
      <w:r>
        <w:t>projektová dokumentace je úplná, přehledná</w:t>
      </w:r>
      <w:r w:rsidR="00CB29A6">
        <w:t>,</w:t>
      </w:r>
      <w:r>
        <w:t xml:space="preserve"> a zda jsou v odpovídající míře řešeny obecné požadavky na výstavbu,</w:t>
      </w:r>
    </w:p>
    <w:p w:rsidR="00D46BD3" w:rsidRDefault="00D46BD3" w:rsidP="00C873B4">
      <w:pPr>
        <w:pStyle w:val="Odstavecseseznamem"/>
        <w:widowControl w:val="0"/>
        <w:numPr>
          <w:ilvl w:val="0"/>
          <w:numId w:val="77"/>
        </w:numPr>
        <w:ind w:left="357" w:hanging="357"/>
      </w:pPr>
      <w:r>
        <w:t>je zajištěn příjezd ke stavbě, včasné vybudování technického, popřípadě jiného vybavení potřebného k řádnému užívání stavby vyžadovaného zvláštním právním předpisem,</w:t>
      </w:r>
    </w:p>
    <w:p w:rsidR="00D46BD3" w:rsidRDefault="00D46BD3" w:rsidP="00C873B4">
      <w:pPr>
        <w:pStyle w:val="Odstavecseseznamem"/>
        <w:widowControl w:val="0"/>
        <w:numPr>
          <w:ilvl w:val="0"/>
          <w:numId w:val="77"/>
        </w:numPr>
        <w:ind w:left="357" w:hanging="357"/>
      </w:pPr>
      <w:r>
        <w:t xml:space="preserve">předložené podklady vyhovují požadavkům uplatněným </w:t>
      </w:r>
      <w:r w:rsidR="00854F38" w:rsidRPr="00854F38">
        <w:t>DO</w:t>
      </w:r>
      <w:r>
        <w:t>.</w:t>
      </w:r>
    </w:p>
    <w:p w:rsidR="007A5844" w:rsidRDefault="00D46BD3" w:rsidP="003E4A5D">
      <w:pPr>
        <w:widowControl w:val="0"/>
      </w:pPr>
      <w:r>
        <w:t>Stavební úřad ověří rovněž účinky budoucího užívání stavby.</w:t>
      </w:r>
    </w:p>
    <w:p w:rsidR="000F0675" w:rsidRDefault="000F0675" w:rsidP="003E4A5D">
      <w:pPr>
        <w:widowControl w:val="0"/>
      </w:pPr>
      <w:r>
        <w:t xml:space="preserve">Neshledá-li stavební úřad </w:t>
      </w:r>
      <w:r w:rsidR="005C1849">
        <w:t xml:space="preserve">vady, které brání vydání </w:t>
      </w:r>
      <w:r w:rsidR="00F86CED">
        <w:t>stavebního povolení</w:t>
      </w:r>
      <w:r>
        <w:t xml:space="preserve">, vydá </w:t>
      </w:r>
      <w:r w:rsidR="00F86CED">
        <w:t>toto</w:t>
      </w:r>
      <w:r w:rsidR="00F86CED" w:rsidRPr="000F0675">
        <w:t xml:space="preserve"> </w:t>
      </w:r>
      <w:r w:rsidRPr="000F0675">
        <w:t xml:space="preserve">povolení </w:t>
      </w:r>
      <w:r w:rsidR="00F86CED">
        <w:t>a </w:t>
      </w:r>
      <w:r w:rsidR="00D60712">
        <w:t xml:space="preserve">v něm </w:t>
      </w:r>
      <w:r w:rsidRPr="000F0675">
        <w:t>stanoví podmínky pro provedení stavby, a pokud je to třeba, i pro její užívání</w:t>
      </w:r>
      <w:r w:rsidR="00D60712">
        <w:t>.</w:t>
      </w:r>
    </w:p>
    <w:p w:rsidR="000E39A9" w:rsidRPr="00F1126D" w:rsidRDefault="000E39A9" w:rsidP="00F1126D">
      <w:pPr>
        <w:pStyle w:val="Nadpis6"/>
      </w:pPr>
      <w:bookmarkStart w:id="27" w:name="_Toc536553901"/>
      <w:r w:rsidRPr="00F1126D">
        <w:t>Kolauda</w:t>
      </w:r>
      <w:r w:rsidR="00F1126D" w:rsidRPr="00F1126D">
        <w:t>ční řízení</w:t>
      </w:r>
      <w:bookmarkEnd w:id="27"/>
      <w:r w:rsidRPr="00F1126D">
        <w:t xml:space="preserve"> </w:t>
      </w:r>
    </w:p>
    <w:p w:rsidR="0046462C" w:rsidRDefault="00EA67BF" w:rsidP="003E4A5D">
      <w:pPr>
        <w:widowControl w:val="0"/>
      </w:pPr>
      <w:r>
        <w:t xml:space="preserve">Dokončenou stavbu, o níž to stanoví zákon, </w:t>
      </w:r>
      <w:r w:rsidR="00FA4269">
        <w:t>l</w:t>
      </w:r>
      <w:r w:rsidRPr="00EA67BF">
        <w:t>ze užívat pouze na základě kolaudačního souhlasu nebo kolaudačního rozhodnutí.</w:t>
      </w:r>
      <w:r w:rsidR="0046462C">
        <w:t xml:space="preserve"> </w:t>
      </w:r>
    </w:p>
    <w:p w:rsidR="000E39A9" w:rsidRDefault="0046462C" w:rsidP="003E4A5D">
      <w:pPr>
        <w:widowControl w:val="0"/>
      </w:pPr>
      <w:r w:rsidRPr="0046462C">
        <w:t>Kolaudační souhlas nebo kolaudační rozhodnutí vydává ten stavební úřad, který vydal povolení stavby.</w:t>
      </w:r>
    </w:p>
    <w:p w:rsidR="0046462C" w:rsidRDefault="0046462C" w:rsidP="003E4A5D">
      <w:pPr>
        <w:widowControl w:val="0"/>
      </w:pPr>
      <w:r w:rsidRPr="0046462C">
        <w:t>Je-li žádost o kolaudační souhlas úplná a dokončená stavba</w:t>
      </w:r>
      <w:r w:rsidR="002C432D">
        <w:t xml:space="preserve"> či její </w:t>
      </w:r>
      <w:r w:rsidRPr="0046462C">
        <w:t xml:space="preserve">část schopná samostatného </w:t>
      </w:r>
      <w:r w:rsidRPr="0046462C">
        <w:lastRenderedPageBreak/>
        <w:t>užívání je v souladu s</w:t>
      </w:r>
      <w:r w:rsidR="002C432D">
        <w:t>e</w:t>
      </w:r>
      <w:r w:rsidRPr="0046462C">
        <w:t xml:space="preserve"> </w:t>
      </w:r>
      <w:r w:rsidR="002C432D">
        <w:t xml:space="preserve">stavebním </w:t>
      </w:r>
      <w:r w:rsidRPr="0046462C">
        <w:t>povolením</w:t>
      </w:r>
      <w:r w:rsidR="00780602">
        <w:t xml:space="preserve">, </w:t>
      </w:r>
      <w:r w:rsidR="002C432D">
        <w:t>s</w:t>
      </w:r>
      <w:r w:rsidRPr="0046462C">
        <w:t xml:space="preserve"> projektovou dokumentací</w:t>
      </w:r>
      <w:r w:rsidR="002D7EE1">
        <w:t xml:space="preserve"> a</w:t>
      </w:r>
      <w:r w:rsidRPr="0046462C">
        <w:t xml:space="preserve"> se stanovisky </w:t>
      </w:r>
      <w:r w:rsidR="00BE337D">
        <w:t>DO</w:t>
      </w:r>
      <w:r w:rsidRPr="0046462C">
        <w:t>, jsou dodrženy obecné požadavky na výstavbu a skutečné provedení stavby nebo její užívání nebude ohrožovat život a veřejné zdraví, život nebo zdraví zvířat, bezpečnost anebo životní prostředí, stavební úřad vydá do 15 dnů ode dne provedení závěrečné kontrolní prohlídky kolaudační souhlas, který je dokladem o povoleném účelu užívání stavby.</w:t>
      </w:r>
    </w:p>
    <w:p w:rsidR="00223662" w:rsidRDefault="002235F4" w:rsidP="003E4A5D">
      <w:pPr>
        <w:widowControl w:val="0"/>
      </w:pPr>
      <w:r w:rsidRPr="002235F4">
        <w:t>Dojde-li stavební úřad k závěru, že žádost není úplná nebo nejsou splněny podmínky pro vydání kolaudačního souhlasu, rozhodne usnesením o provedení kolaudačního řízení</w:t>
      </w:r>
      <w:r>
        <w:t>.</w:t>
      </w:r>
    </w:p>
    <w:p w:rsidR="002235F4" w:rsidRDefault="002235F4" w:rsidP="003E4A5D">
      <w:pPr>
        <w:widowControl w:val="0"/>
      </w:pPr>
      <w:r>
        <w:t>Účastníkem kolaudačního řízení je</w:t>
      </w:r>
    </w:p>
    <w:p w:rsidR="002235F4" w:rsidRDefault="002235F4" w:rsidP="00C873B4">
      <w:pPr>
        <w:pStyle w:val="Odstavecseseznamem"/>
        <w:widowControl w:val="0"/>
        <w:numPr>
          <w:ilvl w:val="0"/>
          <w:numId w:val="78"/>
        </w:numPr>
        <w:ind w:left="357" w:hanging="357"/>
      </w:pPr>
      <w:r>
        <w:t>stavebník,</w:t>
      </w:r>
    </w:p>
    <w:p w:rsidR="002235F4" w:rsidRDefault="002235F4" w:rsidP="00C873B4">
      <w:pPr>
        <w:pStyle w:val="Odstavecseseznamem"/>
        <w:widowControl w:val="0"/>
        <w:numPr>
          <w:ilvl w:val="0"/>
          <w:numId w:val="78"/>
        </w:numPr>
        <w:ind w:left="357" w:hanging="357"/>
      </w:pPr>
      <w:r>
        <w:t>vlastník stavby, není-li stavebníkem,</w:t>
      </w:r>
    </w:p>
    <w:p w:rsidR="002235F4" w:rsidRDefault="002235F4" w:rsidP="00C873B4">
      <w:pPr>
        <w:pStyle w:val="Odstavecseseznamem"/>
        <w:widowControl w:val="0"/>
        <w:numPr>
          <w:ilvl w:val="0"/>
          <w:numId w:val="78"/>
        </w:numPr>
        <w:ind w:left="357" w:hanging="357"/>
      </w:pPr>
      <w:r>
        <w:t>vlastník pozemku, na kterém je stavba provedena, není-li stavebníkem a může-li být jeho vlastnické právo kolaudačním rozhodnutím přímo dotčeno.</w:t>
      </w:r>
    </w:p>
    <w:p w:rsidR="002235F4" w:rsidRDefault="00E2429F" w:rsidP="003E4A5D">
      <w:pPr>
        <w:widowControl w:val="0"/>
      </w:pPr>
      <w:r>
        <w:t>Stavební úřad provede v kolaudačním řízení vždy závěrečnou kontrolní prohlídku stavby. V kolaudačním řízení stavební úřad projedná nepodstatné odchylky od projektové dokumentace.</w:t>
      </w:r>
      <w:r w:rsidR="00020385">
        <w:t xml:space="preserve"> Jsou-li</w:t>
      </w:r>
      <w:r>
        <w:t xml:space="preserve"> splněny </w:t>
      </w:r>
      <w:r w:rsidR="00020385">
        <w:t xml:space="preserve">shora uvedené </w:t>
      </w:r>
      <w:r>
        <w:t>podmínky</w:t>
      </w:r>
      <w:r w:rsidR="00020385">
        <w:t xml:space="preserve">, které jsou samy o sobě obdobné jako pro kolaudační souhlas, </w:t>
      </w:r>
      <w:r>
        <w:t>stavební úřad vydá kolaudační rozhodnutí. Kolaudačním rozhodnutím povoluje užívání stavby k určenému účelu, a je-li to zapotřebí, stanoví podmínky pro užívání stavby.</w:t>
      </w:r>
    </w:p>
    <w:p w:rsidR="007A5844" w:rsidRPr="009203E6" w:rsidRDefault="00B82BA0" w:rsidP="009203E6">
      <w:pPr>
        <w:pStyle w:val="Nadpis6"/>
      </w:pPr>
      <w:bookmarkStart w:id="28" w:name="_Toc536553902"/>
      <w:r w:rsidRPr="009203E6">
        <w:t xml:space="preserve">Stávající problémy </w:t>
      </w:r>
      <w:r w:rsidR="00C407D2" w:rsidRPr="009203E6">
        <w:t>povolování staveb</w:t>
      </w:r>
      <w:bookmarkEnd w:id="28"/>
    </w:p>
    <w:p w:rsidR="00F16D67" w:rsidRPr="00A120A2" w:rsidRDefault="00F16D67" w:rsidP="000066CE">
      <w:pPr>
        <w:widowControl w:val="0"/>
        <w:spacing w:before="100" w:after="100"/>
        <w:rPr>
          <w:lang w:eastAsia="cs-CZ"/>
        </w:rPr>
      </w:pPr>
      <w:r>
        <w:t>Jak bylo ilustrováno v</w:t>
      </w:r>
      <w:r w:rsidR="007A1D00">
        <w:t>ýše</w:t>
      </w:r>
      <w:r>
        <w:t xml:space="preserve">, </w:t>
      </w:r>
      <w:r w:rsidRPr="00A120A2">
        <w:t>vyžaduje</w:t>
      </w:r>
      <w:r>
        <w:t xml:space="preserve"> p</w:t>
      </w:r>
      <w:r w:rsidRPr="00A120A2">
        <w:t xml:space="preserve">ovolovací proces </w:t>
      </w:r>
      <w:r w:rsidR="00783E51">
        <w:t xml:space="preserve">staveb </w:t>
      </w:r>
      <w:r w:rsidR="00507776">
        <w:t>vedení řady správních řízení a </w:t>
      </w:r>
      <w:r w:rsidRPr="00A120A2">
        <w:t>vyd</w:t>
      </w:r>
      <w:r>
        <w:t xml:space="preserve">ání </w:t>
      </w:r>
      <w:r w:rsidRPr="00A120A2">
        <w:t>cel</w:t>
      </w:r>
      <w:r>
        <w:t>é</w:t>
      </w:r>
      <w:r w:rsidRPr="00A120A2">
        <w:t xml:space="preserve"> řad</w:t>
      </w:r>
      <w:r>
        <w:t xml:space="preserve">y správních </w:t>
      </w:r>
      <w:r w:rsidR="00C016DA">
        <w:t>aktů</w:t>
      </w:r>
      <w:r>
        <w:t xml:space="preserve">. Tato </w:t>
      </w:r>
      <w:r w:rsidRPr="007A1D00">
        <w:t>komplikovanost</w:t>
      </w:r>
      <w:r>
        <w:t xml:space="preserve"> pak:  </w:t>
      </w:r>
    </w:p>
    <w:p w:rsidR="00F16D67" w:rsidRPr="00081AA1" w:rsidRDefault="00F16D67" w:rsidP="000066CE">
      <w:pPr>
        <w:pStyle w:val="Odstavecseseznamem"/>
        <w:widowControl w:val="0"/>
        <w:numPr>
          <w:ilvl w:val="0"/>
          <w:numId w:val="53"/>
        </w:numPr>
        <w:spacing w:before="100" w:after="100"/>
        <w:ind w:left="357" w:hanging="357"/>
        <w:contextualSpacing w:val="0"/>
      </w:pPr>
      <w:r w:rsidRPr="00081AA1">
        <w:t>zvyšuje pravděpodobnost vzniku procesní chyby;</w:t>
      </w:r>
    </w:p>
    <w:p w:rsidR="00F16D67" w:rsidRDefault="00F16D67" w:rsidP="000066CE">
      <w:pPr>
        <w:pStyle w:val="Odstavecseseznamem"/>
        <w:widowControl w:val="0"/>
        <w:numPr>
          <w:ilvl w:val="0"/>
          <w:numId w:val="53"/>
        </w:numPr>
        <w:spacing w:before="100" w:after="100"/>
        <w:ind w:left="357" w:hanging="357"/>
        <w:contextualSpacing w:val="0"/>
      </w:pPr>
      <w:r>
        <w:t xml:space="preserve">vyžaduje vysokou administrativní náročnost z důvodu značného </w:t>
      </w:r>
      <w:r w:rsidRPr="00A120A2">
        <w:t xml:space="preserve">množství rozhodnutí </w:t>
      </w:r>
      <w:r w:rsidR="00507776">
        <w:t>a </w:t>
      </w:r>
      <w:r w:rsidR="00C016DA">
        <w:t xml:space="preserve">závazných stanovisek </w:t>
      </w:r>
      <w:r w:rsidRPr="00A120A2">
        <w:t>vydáva</w:t>
      </w:r>
      <w:r>
        <w:t>ných</w:t>
      </w:r>
      <w:r w:rsidRPr="00A120A2">
        <w:t xml:space="preserve"> jednotliv</w:t>
      </w:r>
      <w:r>
        <w:t>ými</w:t>
      </w:r>
      <w:r w:rsidRPr="00A120A2">
        <w:t xml:space="preserve"> místně a věcně příslušn</w:t>
      </w:r>
      <w:r>
        <w:t>ými</w:t>
      </w:r>
      <w:r w:rsidRPr="00A120A2">
        <w:t xml:space="preserve"> správní</w:t>
      </w:r>
      <w:r>
        <w:t>mi</w:t>
      </w:r>
      <w:r w:rsidRPr="00A120A2">
        <w:t xml:space="preserve"> </w:t>
      </w:r>
      <w:r w:rsidR="00C016DA">
        <w:t>orgány</w:t>
      </w:r>
      <w:r>
        <w:t>;</w:t>
      </w:r>
    </w:p>
    <w:p w:rsidR="00F16D67" w:rsidRPr="00A120A2" w:rsidRDefault="00C016DA" w:rsidP="000066CE">
      <w:pPr>
        <w:pStyle w:val="Odstavecseseznamem"/>
        <w:widowControl w:val="0"/>
        <w:numPr>
          <w:ilvl w:val="0"/>
          <w:numId w:val="53"/>
        </w:numPr>
        <w:spacing w:before="100" w:after="100"/>
        <w:contextualSpacing w:val="0"/>
      </w:pPr>
      <w:r>
        <w:t xml:space="preserve">vytváří potřebu </w:t>
      </w:r>
      <w:r w:rsidR="00F16D67" w:rsidRPr="00A120A2">
        <w:t>projedn</w:t>
      </w:r>
      <w:r w:rsidR="00F16D67">
        <w:t>at</w:t>
      </w:r>
      <w:r w:rsidR="00F16D67" w:rsidRPr="00A120A2">
        <w:t xml:space="preserve"> dokumentac</w:t>
      </w:r>
      <w:r w:rsidR="00F16D67">
        <w:t>i</w:t>
      </w:r>
      <w:r w:rsidR="00F16D67" w:rsidRPr="00A120A2">
        <w:t xml:space="preserve"> pro územní a stavební řízení s mnoha </w:t>
      </w:r>
      <w:r w:rsidR="006D059B">
        <w:t>DO</w:t>
      </w:r>
      <w:r w:rsidR="00F16D67">
        <w:t xml:space="preserve">, a to </w:t>
      </w:r>
      <w:r w:rsidR="00686D84" w:rsidRPr="00686D84">
        <w:t>například</w:t>
      </w:r>
      <w:r w:rsidR="00F16D67" w:rsidRPr="00A120A2">
        <w:t xml:space="preserve"> i v různých </w:t>
      </w:r>
      <w:r w:rsidR="00557674">
        <w:t>místech</w:t>
      </w:r>
      <w:r w:rsidR="00F16D67">
        <w:t>;</w:t>
      </w:r>
    </w:p>
    <w:p w:rsidR="00F16D67" w:rsidRDefault="00971FA0" w:rsidP="000066CE">
      <w:pPr>
        <w:pStyle w:val="Odstavecseseznamem"/>
        <w:widowControl w:val="0"/>
        <w:numPr>
          <w:ilvl w:val="0"/>
          <w:numId w:val="53"/>
        </w:numPr>
        <w:spacing w:before="100" w:after="100"/>
        <w:ind w:left="357" w:hanging="357"/>
        <w:contextualSpacing w:val="0"/>
      </w:pPr>
      <w:r>
        <w:t xml:space="preserve">vytváří </w:t>
      </w:r>
      <w:r w:rsidR="00F16D67">
        <w:t>velký počet potřebných</w:t>
      </w:r>
      <w:r w:rsidR="00F16D67" w:rsidRPr="00A120A2">
        <w:t xml:space="preserve"> </w:t>
      </w:r>
      <w:r>
        <w:t xml:space="preserve">závazných </w:t>
      </w:r>
      <w:r w:rsidR="00F16D67" w:rsidRPr="00A120A2">
        <w:t xml:space="preserve">stanovisek </w:t>
      </w:r>
      <w:r w:rsidR="00F16D67">
        <w:t xml:space="preserve">s v praxi </w:t>
      </w:r>
      <w:r w:rsidR="00F16D67" w:rsidRPr="00A120A2">
        <w:t>dlouh</w:t>
      </w:r>
      <w:r w:rsidR="00F16D67">
        <w:t>ými</w:t>
      </w:r>
      <w:r w:rsidR="00F16D67" w:rsidRPr="00A120A2">
        <w:t xml:space="preserve"> reakční</w:t>
      </w:r>
      <w:r w:rsidR="00F16D67">
        <w:t>mi</w:t>
      </w:r>
      <w:r w:rsidR="00F16D67" w:rsidRPr="00A120A2">
        <w:t xml:space="preserve"> lhůt</w:t>
      </w:r>
      <w:r w:rsidR="00F16D67">
        <w:t>ami</w:t>
      </w:r>
      <w:r w:rsidR="00F16D67" w:rsidRPr="00A120A2">
        <w:t xml:space="preserve"> </w:t>
      </w:r>
      <w:r w:rsidR="006D059B">
        <w:t>DO</w:t>
      </w:r>
      <w:r>
        <w:t>, což</w:t>
      </w:r>
      <w:r w:rsidR="00F16D67">
        <w:t xml:space="preserve"> implikuje opět prodlužování povolovacího procesu</w:t>
      </w:r>
      <w:r w:rsidR="00365A23">
        <w:t>;</w:t>
      </w:r>
    </w:p>
    <w:p w:rsidR="00F16D67" w:rsidRDefault="00F16D67" w:rsidP="000066CE">
      <w:pPr>
        <w:pStyle w:val="Odstavecseseznamem"/>
        <w:widowControl w:val="0"/>
        <w:numPr>
          <w:ilvl w:val="0"/>
          <w:numId w:val="53"/>
        </w:numPr>
        <w:spacing w:before="100" w:after="100"/>
        <w:ind w:left="357" w:hanging="357"/>
        <w:contextualSpacing w:val="0"/>
      </w:pPr>
      <w:r w:rsidRPr="00081AA1">
        <w:t xml:space="preserve">prodlužuje </w:t>
      </w:r>
      <w:r w:rsidR="00971FA0">
        <w:t xml:space="preserve">povolovací </w:t>
      </w:r>
      <w:r w:rsidRPr="00081AA1">
        <w:t xml:space="preserve">proces, neboť v každém jednotlivém řízení mohou účastníci podávat námitky, připomínky, </w:t>
      </w:r>
      <w:r w:rsidR="00971FA0">
        <w:t>návrhy, důkazy</w:t>
      </w:r>
      <w:r w:rsidR="005D4108">
        <w:t xml:space="preserve"> a řádné i mimořádné opravné prostředky včetně soudního přezkumu</w:t>
      </w:r>
      <w:r>
        <w:t>;</w:t>
      </w:r>
      <w:r w:rsidRPr="00081AA1">
        <w:t xml:space="preserve"> </w:t>
      </w:r>
    </w:p>
    <w:p w:rsidR="007A1D00" w:rsidRDefault="00D01897" w:rsidP="000066CE">
      <w:pPr>
        <w:widowControl w:val="0"/>
        <w:spacing w:before="100" w:after="100"/>
      </w:pPr>
      <w:r>
        <w:t>V odvolacím řízení</w:t>
      </w:r>
      <w:r w:rsidR="00855025">
        <w:t>,</w:t>
      </w:r>
      <w:r>
        <w:t xml:space="preserve"> j</w:t>
      </w:r>
      <w:r w:rsidRPr="00D01897">
        <w:t xml:space="preserve">estliže odvolání směřuje proti obsahu závazného stanoviska, </w:t>
      </w:r>
      <w:r w:rsidR="00BC5BEC">
        <w:t xml:space="preserve">si </w:t>
      </w:r>
      <w:r>
        <w:t xml:space="preserve">musí </w:t>
      </w:r>
      <w:r w:rsidRPr="00D01897">
        <w:t xml:space="preserve">odvolací správní orgán </w:t>
      </w:r>
      <w:r>
        <w:t xml:space="preserve">vyžádat </w:t>
      </w:r>
      <w:r w:rsidRPr="00D01897">
        <w:t xml:space="preserve">potvrzení nebo změnu závazného stanoviska od správního orgánu nadřízeného správnímu orgánu příslušnému k vydání závazného stanoviska. </w:t>
      </w:r>
    </w:p>
    <w:p w:rsidR="00F16D67" w:rsidRPr="007A1D00" w:rsidRDefault="00F16D67" w:rsidP="000066CE">
      <w:pPr>
        <w:widowControl w:val="0"/>
        <w:spacing w:before="100" w:after="100"/>
      </w:pPr>
      <w:r w:rsidRPr="00C779C7">
        <w:t>Další</w:t>
      </w:r>
      <w:r>
        <w:t xml:space="preserve"> problémy může způsobovat </w:t>
      </w:r>
      <w:r w:rsidRPr="007A1D00">
        <w:t>rozsah vydávaných rozhodnutí.</w:t>
      </w:r>
      <w:r>
        <w:t xml:space="preserve"> </w:t>
      </w:r>
      <w:r w:rsidRPr="00287FCF">
        <w:rPr>
          <w:iCs/>
        </w:rPr>
        <w:t xml:space="preserve">Pro ilustraci složitosti vydávaného rozhodnutí </w:t>
      </w:r>
      <w:r w:rsidR="00156156">
        <w:rPr>
          <w:iCs/>
        </w:rPr>
        <w:t>je uveden</w:t>
      </w:r>
      <w:r w:rsidR="00156156" w:rsidRPr="00287FCF">
        <w:rPr>
          <w:iCs/>
        </w:rPr>
        <w:t xml:space="preserve"> </w:t>
      </w:r>
      <w:r w:rsidRPr="00287FCF">
        <w:rPr>
          <w:iCs/>
        </w:rPr>
        <w:t>v</w:t>
      </w:r>
      <w:r w:rsidR="00507776">
        <w:rPr>
          <w:iCs/>
        </w:rPr>
        <w:t> </w:t>
      </w:r>
      <w:r w:rsidRPr="00287FCF">
        <w:rPr>
          <w:iCs/>
        </w:rPr>
        <w:t xml:space="preserve">následujícím boxu popis příkladu konkrétního územního rozhodnutí </w:t>
      </w:r>
      <w:r w:rsidR="00507776">
        <w:rPr>
          <w:iCs/>
        </w:rPr>
        <w:t>o umístění stavby R </w:t>
      </w:r>
      <w:r w:rsidRPr="00287FCF">
        <w:rPr>
          <w:iCs/>
        </w:rPr>
        <w:t>48 – MÚK</w:t>
      </w:r>
      <w:r>
        <w:rPr>
          <w:rStyle w:val="Znakapoznpodarou"/>
          <w:iCs/>
        </w:rPr>
        <w:footnoteReference w:id="8"/>
      </w:r>
      <w:r w:rsidRPr="00287FCF">
        <w:rPr>
          <w:iCs/>
        </w:rPr>
        <w:t xml:space="preserve"> Nošovice.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F16D67" w:rsidRPr="00646266" w:rsidTr="00616A8F">
        <w:tc>
          <w:tcPr>
            <w:tcW w:w="9072" w:type="dxa"/>
            <w:shd w:val="clear" w:color="auto" w:fill="BFBFBF" w:themeFill="background1" w:themeFillShade="BF"/>
          </w:tcPr>
          <w:p w:rsidR="00CB4C69" w:rsidRDefault="00CB4C69" w:rsidP="003E4A5D">
            <w:pPr>
              <w:pStyle w:val="Titulek"/>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3</w:t>
            </w:r>
            <w:r w:rsidR="00AB65E9">
              <w:rPr>
                <w:noProof/>
              </w:rPr>
              <w:fldChar w:fldCharType="end"/>
            </w:r>
          </w:p>
          <w:p w:rsidR="00CB4C69" w:rsidRPr="00CB4C69" w:rsidRDefault="00CB4C69" w:rsidP="003E4A5D">
            <w:pPr>
              <w:widowControl w:val="0"/>
              <w:rPr>
                <w:b/>
                <w:sz w:val="20"/>
                <w:szCs w:val="20"/>
              </w:rPr>
            </w:pPr>
            <w:r w:rsidRPr="00CB4C69">
              <w:rPr>
                <w:b/>
                <w:sz w:val="20"/>
                <w:szCs w:val="20"/>
              </w:rPr>
              <w:t>Příklad územního rozhodnutí o umístění stavby R 48 – MÚK Nošovice</w:t>
            </w:r>
          </w:p>
          <w:p w:rsidR="00F16D67" w:rsidRPr="00646266" w:rsidRDefault="00F16D67" w:rsidP="003E4A5D">
            <w:pPr>
              <w:widowControl w:val="0"/>
              <w:rPr>
                <w:sz w:val="20"/>
                <w:szCs w:val="20"/>
              </w:rPr>
            </w:pPr>
            <w:r w:rsidRPr="00646266">
              <w:rPr>
                <w:sz w:val="20"/>
                <w:szCs w:val="20"/>
              </w:rPr>
              <w:t xml:space="preserve">Územní rozhodnutí obsahuje, jak stanoví zákon, dvě základní části – výrok a odůvodnění. Celkem má toto </w:t>
            </w:r>
            <w:r w:rsidRPr="00A57A1B">
              <w:rPr>
                <w:b/>
                <w:sz w:val="20"/>
                <w:szCs w:val="20"/>
                <w:u w:val="single"/>
              </w:rPr>
              <w:t>územní rozhodnutí 193 stran.</w:t>
            </w:r>
            <w:r w:rsidRPr="00646266">
              <w:rPr>
                <w:sz w:val="20"/>
                <w:szCs w:val="20"/>
              </w:rPr>
              <w:t xml:space="preserve"> </w:t>
            </w:r>
            <w:r w:rsidRPr="00A57A1B">
              <w:rPr>
                <w:b/>
                <w:sz w:val="20"/>
                <w:szCs w:val="20"/>
                <w:u w:val="single"/>
              </w:rPr>
              <w:t>Výrok</w:t>
            </w:r>
            <w:r w:rsidRPr="00A57A1B">
              <w:rPr>
                <w:sz w:val="20"/>
                <w:szCs w:val="20"/>
                <w:u w:val="single"/>
              </w:rPr>
              <w:t xml:space="preserve"> </w:t>
            </w:r>
            <w:r w:rsidRPr="00646266">
              <w:rPr>
                <w:sz w:val="20"/>
                <w:szCs w:val="20"/>
              </w:rPr>
              <w:t xml:space="preserve">je obsažen </w:t>
            </w:r>
            <w:r w:rsidRPr="00A57A1B">
              <w:rPr>
                <w:b/>
                <w:sz w:val="20"/>
                <w:szCs w:val="20"/>
                <w:u w:val="single"/>
              </w:rPr>
              <w:t>na 69 stranách</w:t>
            </w:r>
            <w:r w:rsidRPr="00646266">
              <w:rPr>
                <w:sz w:val="20"/>
                <w:szCs w:val="20"/>
              </w:rPr>
              <w:t xml:space="preserve">, </w:t>
            </w:r>
            <w:r w:rsidRPr="00A57A1B">
              <w:rPr>
                <w:b/>
                <w:sz w:val="20"/>
                <w:szCs w:val="20"/>
                <w:u w:val="single"/>
              </w:rPr>
              <w:t xml:space="preserve">odůvodnění </w:t>
            </w:r>
            <w:r w:rsidRPr="00646266">
              <w:rPr>
                <w:sz w:val="20"/>
                <w:szCs w:val="20"/>
              </w:rPr>
              <w:t xml:space="preserve">pak na </w:t>
            </w:r>
            <w:r w:rsidRPr="00A57A1B">
              <w:rPr>
                <w:b/>
                <w:sz w:val="20"/>
                <w:szCs w:val="20"/>
                <w:u w:val="single"/>
              </w:rPr>
              <w:t>124 stranách</w:t>
            </w:r>
            <w:r w:rsidRPr="00646266">
              <w:rPr>
                <w:sz w:val="20"/>
                <w:szCs w:val="20"/>
              </w:rPr>
              <w:t xml:space="preserve">. Výrok obsahuje rozhodnutí o umístění stavby, kde je detailně stavba popsána stejně jako vyjmenovány pozemky, na </w:t>
            </w:r>
            <w:r w:rsidRPr="00646266">
              <w:rPr>
                <w:sz w:val="20"/>
                <w:szCs w:val="20"/>
              </w:rPr>
              <w:lastRenderedPageBreak/>
              <w:t xml:space="preserve">kterých se má stavba nacházet. Dále je nutné specifikovat a detailně popsat všechny objekty stavby (v tomto případě </w:t>
            </w:r>
            <w:r w:rsidRPr="00A57A1B">
              <w:rPr>
                <w:b/>
                <w:sz w:val="20"/>
                <w:szCs w:val="20"/>
                <w:u w:val="single"/>
              </w:rPr>
              <w:t>seznam cca 38 objektů</w:t>
            </w:r>
            <w:r w:rsidRPr="00646266">
              <w:rPr>
                <w:sz w:val="20"/>
                <w:szCs w:val="20"/>
              </w:rPr>
              <w:t xml:space="preserve"> spadajících do okruhů příprava staveniště, pozemní komunikace, mostní objekty, zdi a konstrukce, vodohospodářské objekty, elektro a sdělovací objekty, objekty pozemních staveb a objekty trubních </w:t>
            </w:r>
            <w:r w:rsidRPr="00A57A1B">
              <w:rPr>
                <w:b/>
                <w:sz w:val="20"/>
                <w:szCs w:val="20"/>
                <w:u w:val="single"/>
              </w:rPr>
              <w:t>čítající 14 stran</w:t>
            </w:r>
            <w:r w:rsidRPr="00646266">
              <w:rPr>
                <w:sz w:val="20"/>
                <w:szCs w:val="20"/>
              </w:rPr>
              <w:t xml:space="preserve">). Zároveň je stanoveno </w:t>
            </w:r>
            <w:r w:rsidRPr="00A57A1B">
              <w:rPr>
                <w:b/>
                <w:sz w:val="20"/>
                <w:szCs w:val="20"/>
                <w:u w:val="single"/>
              </w:rPr>
              <w:t>29 dále členěných podmínek</w:t>
            </w:r>
            <w:r w:rsidRPr="00646266">
              <w:rPr>
                <w:sz w:val="20"/>
                <w:szCs w:val="20"/>
              </w:rPr>
              <w:t xml:space="preserve"> pro umístění a projektovou přípravu stavby (</w:t>
            </w:r>
            <w:r w:rsidRPr="00A57A1B">
              <w:rPr>
                <w:b/>
                <w:sz w:val="20"/>
                <w:szCs w:val="20"/>
                <w:u w:val="single"/>
              </w:rPr>
              <w:t>strany 15 – 30</w:t>
            </w:r>
            <w:r w:rsidRPr="00646266">
              <w:rPr>
                <w:sz w:val="20"/>
                <w:szCs w:val="20"/>
              </w:rPr>
              <w:t>). Posledním a nejrozsáhlejším bodem územního rozhodnutí je výpis všech vznesených námitek, ke kterým je nutno se vyjádřit (zamítnout či vyhovět). Ve zmíněném příkladu námitky podávaly jak fyzické osoby, tak</w:t>
            </w:r>
            <w:r w:rsidR="00507776">
              <w:rPr>
                <w:sz w:val="20"/>
                <w:szCs w:val="20"/>
              </w:rPr>
              <w:t xml:space="preserve"> různá sdružení či organizace a </w:t>
            </w:r>
            <w:r w:rsidRPr="00646266">
              <w:rPr>
                <w:sz w:val="20"/>
                <w:szCs w:val="20"/>
              </w:rPr>
              <w:t xml:space="preserve">v období od 22. 11. 2009 do 23. 9. 2013 jimi bylo vzneseno více než </w:t>
            </w:r>
            <w:r w:rsidRPr="00A57A1B">
              <w:rPr>
                <w:b/>
                <w:sz w:val="20"/>
                <w:szCs w:val="20"/>
                <w:u w:val="single"/>
              </w:rPr>
              <w:t>120 námitek</w:t>
            </w:r>
            <w:r w:rsidRPr="00646266">
              <w:rPr>
                <w:sz w:val="20"/>
                <w:szCs w:val="20"/>
              </w:rPr>
              <w:t xml:space="preserve"> (</w:t>
            </w:r>
            <w:r w:rsidRPr="00A57A1B">
              <w:rPr>
                <w:b/>
                <w:sz w:val="20"/>
                <w:szCs w:val="20"/>
                <w:u w:val="single"/>
              </w:rPr>
              <w:t>strany 30 – 69</w:t>
            </w:r>
            <w:r w:rsidRPr="00646266">
              <w:rPr>
                <w:sz w:val="20"/>
                <w:szCs w:val="20"/>
              </w:rPr>
              <w:t>).</w:t>
            </w:r>
          </w:p>
          <w:p w:rsidR="00F16D67" w:rsidRPr="00646266" w:rsidRDefault="00F16D67" w:rsidP="003E4A5D">
            <w:pPr>
              <w:widowControl w:val="0"/>
              <w:rPr>
                <w:sz w:val="20"/>
                <w:szCs w:val="20"/>
              </w:rPr>
            </w:pPr>
            <w:r w:rsidRPr="00646266">
              <w:rPr>
                <w:sz w:val="20"/>
                <w:szCs w:val="20"/>
              </w:rPr>
              <w:t xml:space="preserve">Odůvodnění žádosti zahrnuje popis žádosti a samotného procesu rozhodování – opakované zamítnutí žádosti, výzvy k odstranění nedostatků žádosti, změna předmětu žádosti, způsob doplnění žádosti apod. Dále odůvodnění obsahuje výpis všech příloh, tedy stanoviska, vyjádření, rozhodnutí a sdělení (zmíněné územní </w:t>
            </w:r>
            <w:r w:rsidRPr="00A57A1B">
              <w:rPr>
                <w:b/>
                <w:sz w:val="20"/>
                <w:szCs w:val="20"/>
                <w:u w:val="single"/>
              </w:rPr>
              <w:t>rozhodnutí obsahuje přes 140 vyjádření</w:t>
            </w:r>
            <w:r w:rsidRPr="00646266">
              <w:rPr>
                <w:sz w:val="20"/>
                <w:szCs w:val="20"/>
              </w:rPr>
              <w:t xml:space="preserve"> tohoto typu, tj. celkem </w:t>
            </w:r>
            <w:r w:rsidRPr="00A57A1B">
              <w:rPr>
                <w:b/>
                <w:sz w:val="20"/>
                <w:szCs w:val="20"/>
                <w:u w:val="single"/>
              </w:rPr>
              <w:t>osmistránkový seznam</w:t>
            </w:r>
            <w:r w:rsidRPr="00646266">
              <w:rPr>
                <w:sz w:val="20"/>
                <w:szCs w:val="20"/>
              </w:rPr>
              <w:t xml:space="preserve">), další podklady jako hlukové studie nebo hodnocení zdravotních rizik (čítajících 14 položek) a přílohy vyžádané úřadem vydávajícím rozhodnutí (zmíněná stavba vyžadovala doložení 14 takovýchto dokumentů). V odůvodnění musí být dále uvedeny všichni účastníci územního řízení tedy žadatelé, vlastníci dotčených pozemků, osoby mající jiné právo k pozemkům či pozemkům dotčeným, vlastníci nezapsaní v katastru nemovitostí, osoby mající právo být účastníky na základě zvláštního právního předpisu a osoby, které se prohlásily za účastníka řízení. Dále jsou evidovány osoby, které musí být ze zákona o tomto záměru informovány. Územní rozhodnutí pro stavbu „R 48 – MÚK Nošovice“ identifikuje </w:t>
            </w:r>
            <w:r w:rsidRPr="00A57A1B">
              <w:rPr>
                <w:b/>
                <w:sz w:val="20"/>
                <w:szCs w:val="20"/>
              </w:rPr>
              <w:t>přes 130</w:t>
            </w:r>
            <w:r w:rsidRPr="00646266">
              <w:rPr>
                <w:sz w:val="20"/>
                <w:szCs w:val="20"/>
              </w:rPr>
              <w:t xml:space="preserve"> takovýchto </w:t>
            </w:r>
            <w:r w:rsidRPr="00A57A1B">
              <w:rPr>
                <w:b/>
                <w:sz w:val="20"/>
                <w:szCs w:val="20"/>
                <w:u w:val="single"/>
              </w:rPr>
              <w:t>subjektů</w:t>
            </w:r>
            <w:r w:rsidRPr="00646266">
              <w:rPr>
                <w:sz w:val="20"/>
                <w:szCs w:val="20"/>
              </w:rPr>
              <w:t xml:space="preserve"> (</w:t>
            </w:r>
            <w:r w:rsidRPr="00A57A1B">
              <w:rPr>
                <w:b/>
                <w:sz w:val="20"/>
                <w:szCs w:val="20"/>
                <w:u w:val="single"/>
              </w:rPr>
              <w:t>seznam o cca 10 stranách</w:t>
            </w:r>
            <w:r w:rsidRPr="00646266">
              <w:rPr>
                <w:sz w:val="20"/>
                <w:szCs w:val="20"/>
              </w:rPr>
              <w:t xml:space="preserve">). Odůvodnění následně popisuje další postup v územním řízení, tedy oznámení o zahájení územního řízení, veřejné jednání či vydání rozhodnutí o umístění stavby, u kterého bylo ověřeno, že je v souladu s územním plánem a dalšími zákonem danými požadavky. Poslední část je opět tvořena seznamem námitek a odůvodněním způsobu jejich vypořádání.  </w:t>
            </w:r>
          </w:p>
          <w:p w:rsidR="00F16D67" w:rsidRPr="00646266" w:rsidRDefault="00F16D67" w:rsidP="003E4A5D">
            <w:pPr>
              <w:widowControl w:val="0"/>
              <w:rPr>
                <w:sz w:val="20"/>
                <w:szCs w:val="20"/>
              </w:rPr>
            </w:pPr>
            <w:r w:rsidRPr="00646266">
              <w:rPr>
                <w:sz w:val="20"/>
                <w:szCs w:val="20"/>
              </w:rPr>
              <w:t xml:space="preserve">Závěr rozhodnutí obsahuje poučení o odvolání a platnosti územního rozhodnutí, stejně jako seznam příloh k rozhodnutí a seznam všech subjektů, kterým bude územní </w:t>
            </w:r>
            <w:r w:rsidRPr="00A57A1B">
              <w:rPr>
                <w:b/>
                <w:sz w:val="20"/>
                <w:szCs w:val="20"/>
                <w:u w:val="single"/>
              </w:rPr>
              <w:t>rozhodnutí zasláno</w:t>
            </w:r>
            <w:r w:rsidRPr="00646266">
              <w:rPr>
                <w:sz w:val="20"/>
                <w:szCs w:val="20"/>
              </w:rPr>
              <w:t xml:space="preserve"> (ve zmíněném případě to bylo </w:t>
            </w:r>
            <w:r w:rsidRPr="00A57A1B">
              <w:rPr>
                <w:b/>
                <w:sz w:val="20"/>
                <w:szCs w:val="20"/>
                <w:u w:val="single"/>
              </w:rPr>
              <w:t>111 subjektů</w:t>
            </w:r>
            <w:r w:rsidRPr="00646266">
              <w:rPr>
                <w:sz w:val="20"/>
                <w:szCs w:val="20"/>
              </w:rPr>
              <w:t>).</w:t>
            </w:r>
          </w:p>
        </w:tc>
      </w:tr>
    </w:tbl>
    <w:p w:rsidR="00F16D67" w:rsidRPr="00F3403E" w:rsidRDefault="007A1D00" w:rsidP="003E4A5D">
      <w:pPr>
        <w:pStyle w:val="Zkladntext"/>
        <w:widowControl w:val="0"/>
        <w:tabs>
          <w:tab w:val="left" w:pos="284"/>
        </w:tabs>
      </w:pPr>
      <w:r>
        <w:lastRenderedPageBreak/>
        <w:t xml:space="preserve">V neposlední řadě je zde i </w:t>
      </w:r>
      <w:r w:rsidR="00F16D67" w:rsidRPr="007A1D00">
        <w:t xml:space="preserve">otázka míry kvalifikovanosti stavebních úřadů </w:t>
      </w:r>
      <w:r w:rsidR="00F16D67">
        <w:t>pro</w:t>
      </w:r>
      <w:r w:rsidR="00D268A4">
        <w:t xml:space="preserve"> </w:t>
      </w:r>
      <w:r w:rsidR="00F16D67">
        <w:t xml:space="preserve">posuzování takto složitých záměrů. </w:t>
      </w:r>
      <w:r w:rsidR="00F16D67" w:rsidRPr="00A120A2">
        <w:t xml:space="preserve">Územní řízení vedou </w:t>
      </w:r>
      <w:r w:rsidR="00B40A6D">
        <w:t xml:space="preserve">převážně </w:t>
      </w:r>
      <w:r w:rsidR="00F16D67" w:rsidRPr="00A120A2">
        <w:t>ob</w:t>
      </w:r>
      <w:r w:rsidR="00F16D67">
        <w:t>e</w:t>
      </w:r>
      <w:r w:rsidR="00F16D67" w:rsidRPr="00A120A2">
        <w:t>c</w:t>
      </w:r>
      <w:r w:rsidR="00F16D67">
        <w:t xml:space="preserve">né stavební úřady </w:t>
      </w:r>
      <w:r w:rsidR="00B40A6D">
        <w:t xml:space="preserve">na </w:t>
      </w:r>
      <w:r w:rsidR="00F16D67">
        <w:t>jednotlivých ob</w:t>
      </w:r>
      <w:r w:rsidR="00B40A6D">
        <w:t>e</w:t>
      </w:r>
      <w:r w:rsidR="00F16D67">
        <w:t>c</w:t>
      </w:r>
      <w:r w:rsidR="00B40A6D">
        <w:t>n</w:t>
      </w:r>
      <w:r w:rsidR="00F16D67">
        <w:t>ích</w:t>
      </w:r>
      <w:r w:rsidR="00B40A6D">
        <w:t xml:space="preserve"> úřadech</w:t>
      </w:r>
      <w:r w:rsidR="00214224">
        <w:t>.</w:t>
      </w:r>
      <w:r w:rsidR="00F16D67" w:rsidRPr="00A120A2">
        <w:t xml:space="preserve"> </w:t>
      </w:r>
      <w:r w:rsidR="00D422C7">
        <w:t>Stavební úřady na nižších typech obcí (obce I</w:t>
      </w:r>
      <w:r w:rsidR="00214224">
        <w:t>. typu</w:t>
      </w:r>
      <w:r w:rsidR="00D422C7">
        <w:t>) ve většině případů rozhodují o</w:t>
      </w:r>
      <w:r w:rsidR="00F16D67" w:rsidRPr="00A120A2">
        <w:t xml:space="preserve"> jednoduch</w:t>
      </w:r>
      <w:r w:rsidR="00D422C7">
        <w:t>ých</w:t>
      </w:r>
      <w:r w:rsidR="00F16D67" w:rsidRPr="00A120A2">
        <w:t xml:space="preserve"> případ</w:t>
      </w:r>
      <w:r w:rsidR="00D422C7">
        <w:t>ech</w:t>
      </w:r>
      <w:r w:rsidR="00F16D67">
        <w:t>.</w:t>
      </w:r>
      <w:r w:rsidR="00F16D67" w:rsidRPr="00A120A2">
        <w:t xml:space="preserve"> </w:t>
      </w:r>
    </w:p>
    <w:p w:rsidR="00F16D67" w:rsidRDefault="007A1D00" w:rsidP="003E4A5D">
      <w:pPr>
        <w:pStyle w:val="Zkladntext"/>
        <w:widowControl w:val="0"/>
        <w:tabs>
          <w:tab w:val="left" w:pos="284"/>
        </w:tabs>
      </w:pPr>
      <w:r>
        <w:t>U velkých projektů mohou být</w:t>
      </w:r>
      <w:r w:rsidR="00F16D67" w:rsidRPr="00F3403E">
        <w:t xml:space="preserve"> problémy spojen</w:t>
      </w:r>
      <w:r>
        <w:t>y i</w:t>
      </w:r>
      <w:r w:rsidR="00F16D67" w:rsidRPr="00F3403E">
        <w:t xml:space="preserve"> se </w:t>
      </w:r>
      <w:r w:rsidR="00F16D67" w:rsidRPr="007A1D00">
        <w:t>segmentací stavebního řízení</w:t>
      </w:r>
      <w:r w:rsidR="00507776">
        <w:t xml:space="preserve"> (především u </w:t>
      </w:r>
      <w:r>
        <w:t>projektů veřejné správy)</w:t>
      </w:r>
      <w:r w:rsidR="00F16D67" w:rsidRPr="007A1D00">
        <w:t>.</w:t>
      </w:r>
      <w:r w:rsidR="00F16D67" w:rsidRPr="00F3403E">
        <w:t xml:space="preserve"> K</w:t>
      </w:r>
      <w:r w:rsidR="00F16D67" w:rsidRPr="00A120A2">
        <w:t xml:space="preserve"> segmentaci stavebního řízení, tedy rozdělování staveb na dílčí stavební objekty, </w:t>
      </w:r>
      <w:r w:rsidR="00F16D67">
        <w:t xml:space="preserve">dochází </w:t>
      </w:r>
      <w:r w:rsidR="00F16D67" w:rsidRPr="00A120A2">
        <w:t xml:space="preserve">z důvodu rozdílného stavu přípravy jednotlivých částí stavby, a to zejména majetkoprávní přípravy. Z důvodu zachování platnosti předcházejících rozhodnutí investoři žádají o vydání stavebního povolení pro dílčí objekty, </w:t>
      </w:r>
      <w:r w:rsidR="00686D84" w:rsidRPr="00686D84">
        <w:t>například</w:t>
      </w:r>
      <w:r w:rsidR="00F16D67" w:rsidRPr="00A120A2">
        <w:t xml:space="preserve"> </w:t>
      </w:r>
      <w:r w:rsidR="00F16D67">
        <w:t>pro stavby, kde je</w:t>
      </w:r>
      <w:r w:rsidR="00F16D67" w:rsidRPr="00A120A2">
        <w:t xml:space="preserve"> již dokončeno majetkoprávní vypořádání pozemků, případně tam, kde nejsou problémy z hlediska ochrany přírody. Tento způsob realizace staveb </w:t>
      </w:r>
      <w:r w:rsidR="00D21555">
        <w:t>může být</w:t>
      </w:r>
      <w:r w:rsidR="00F16D67" w:rsidRPr="00A120A2">
        <w:t xml:space="preserve"> neefektivní a neumožňuj</w:t>
      </w:r>
      <w:r w:rsidR="00874EBC">
        <w:t>ící</w:t>
      </w:r>
      <w:r w:rsidR="00F16D67" w:rsidRPr="00A120A2">
        <w:t xml:space="preserve"> optimalizaci výstavbových kapacit dodavatelů a využití úspor z rozsahu.</w:t>
      </w:r>
      <w:r w:rsidR="00837A41" w:rsidRPr="00837A41">
        <w:t xml:space="preserve"> </w:t>
      </w:r>
    </w:p>
    <w:p w:rsidR="009203E6" w:rsidRPr="00CB3D2B" w:rsidRDefault="009203E6" w:rsidP="00FB38EE">
      <w:pPr>
        <w:pStyle w:val="Nadpis5"/>
      </w:pPr>
      <w:bookmarkStart w:id="29" w:name="_Toc535835927"/>
      <w:bookmarkStart w:id="30" w:name="_Toc536553903"/>
      <w:r w:rsidRPr="00CB3D2B">
        <w:t>Řízení o vyvlastnění</w:t>
      </w:r>
      <w:bookmarkEnd w:id="29"/>
      <w:bookmarkEnd w:id="30"/>
    </w:p>
    <w:p w:rsidR="009203E6" w:rsidRPr="00A120A2" w:rsidRDefault="009203E6" w:rsidP="009203E6">
      <w:pPr>
        <w:widowControl w:val="0"/>
      </w:pPr>
      <w:r w:rsidRPr="00A120A2">
        <w:t>Právní úprava institutu vyvlastnění není obsažena komplexně v jednom právním předpise. Zákon o vyvlastnění je sice samostatným vyvlastňovacím předpisem, ale plní pouze funkci předpisu obecného. Vyvlastnění ve smyslu tohoto zákona je odnětí, ale i omezení vlastnického práva nebo práva odpovídajícího věcnému břemenu k pozemku nebo ke stavbě pro dosažení účelu vyvlastnění stanoveného zvláštním zákonem.</w:t>
      </w:r>
      <w:r>
        <w:t xml:space="preserve"> </w:t>
      </w:r>
      <w:r w:rsidRPr="00A120A2">
        <w:t xml:space="preserve">Zákon o vyvlastnění obsahuje normy hmotněprávní i procesně právní. Hmotněprávní úprava se týká ustanovení </w:t>
      </w:r>
      <w:r w:rsidR="00686D84" w:rsidRPr="00686D84">
        <w:t>například</w:t>
      </w:r>
      <w:r w:rsidRPr="00A120A2">
        <w:t xml:space="preserve"> o podmínkách vyvlastnění, práv třetích osob či náhrad při vyvlastnění. Procesně je zde upraveno vyvlastňovací řízení, kter</w:t>
      </w:r>
      <w:r>
        <w:t>é má statut zvláštního správního řízení</w:t>
      </w:r>
      <w:r w:rsidRPr="00A120A2">
        <w:t xml:space="preserve">. </w:t>
      </w:r>
    </w:p>
    <w:p w:rsidR="009203E6" w:rsidRPr="00A120A2" w:rsidRDefault="009203E6" w:rsidP="009203E6">
      <w:pPr>
        <w:widowControl w:val="0"/>
      </w:pPr>
      <w:r w:rsidRPr="00A120A2">
        <w:t>Aby mohlo dojít k vyvlastnění, musí být současně napln</w:t>
      </w:r>
      <w:r w:rsidR="00507776">
        <w:t>ěny podmínky uvedené v zákoně o </w:t>
      </w:r>
      <w:r w:rsidRPr="00A120A2">
        <w:t>vyvlastnění. Vyvlastnění je tedy přípustné:</w:t>
      </w:r>
    </w:p>
    <w:p w:rsidR="009203E6" w:rsidRPr="00A120A2" w:rsidRDefault="009203E6" w:rsidP="009D4B5F">
      <w:pPr>
        <w:pStyle w:val="Odstavecseseznamem"/>
        <w:widowControl w:val="0"/>
        <w:numPr>
          <w:ilvl w:val="0"/>
          <w:numId w:val="59"/>
        </w:numPr>
      </w:pPr>
      <w:r w:rsidRPr="00A120A2">
        <w:t>jen pro účel vyvlastnění stanovený zvláštním zákonem;</w:t>
      </w:r>
    </w:p>
    <w:p w:rsidR="009203E6" w:rsidRPr="00A120A2" w:rsidRDefault="009203E6" w:rsidP="009D4B5F">
      <w:pPr>
        <w:pStyle w:val="Odstavecseseznamem"/>
        <w:widowControl w:val="0"/>
        <w:numPr>
          <w:ilvl w:val="0"/>
          <w:numId w:val="59"/>
        </w:numPr>
      </w:pPr>
      <w:r w:rsidRPr="00A120A2">
        <w:t>jestliže veřejný zájem na dosažení tohoto účelu převažuje nad zachováním dosavadních práv vyvlastňovaného;</w:t>
      </w:r>
    </w:p>
    <w:p w:rsidR="009203E6" w:rsidRPr="00A120A2" w:rsidRDefault="009203E6" w:rsidP="009D4B5F">
      <w:pPr>
        <w:pStyle w:val="Odstavecseseznamem"/>
        <w:widowControl w:val="0"/>
        <w:numPr>
          <w:ilvl w:val="0"/>
          <w:numId w:val="59"/>
        </w:numPr>
      </w:pPr>
      <w:r w:rsidRPr="00A120A2">
        <w:lastRenderedPageBreak/>
        <w:t>pokud stanoveného účelu nelze dosáhnout jinak;</w:t>
      </w:r>
    </w:p>
    <w:p w:rsidR="009203E6" w:rsidRPr="00A120A2" w:rsidRDefault="009203E6" w:rsidP="009D4B5F">
      <w:pPr>
        <w:pStyle w:val="Odstavecseseznamem"/>
        <w:widowControl w:val="0"/>
        <w:numPr>
          <w:ilvl w:val="0"/>
          <w:numId w:val="59"/>
        </w:numPr>
      </w:pPr>
      <w:r w:rsidRPr="00A120A2">
        <w:t>účel vyvlastnění musí být v souladu s cíli a úkoly územního plánování</w:t>
      </w:r>
      <w:r w:rsidR="005D728A">
        <w:t xml:space="preserve"> v případě, že se vyvlastnění týká staveb</w:t>
      </w:r>
      <w:r w:rsidRPr="00A120A2">
        <w:t>;</w:t>
      </w:r>
    </w:p>
    <w:p w:rsidR="009203E6" w:rsidRPr="00A120A2" w:rsidRDefault="009203E6" w:rsidP="009D4B5F">
      <w:pPr>
        <w:pStyle w:val="Odstavecseseznamem"/>
        <w:widowControl w:val="0"/>
        <w:numPr>
          <w:ilvl w:val="0"/>
          <w:numId w:val="59"/>
        </w:numPr>
      </w:pPr>
      <w:r w:rsidRPr="00A120A2">
        <w:t>pouze v takovém rozsahu, který je nezbytný pro dosažení jeho účelu;</w:t>
      </w:r>
    </w:p>
    <w:p w:rsidR="009203E6" w:rsidRPr="00A120A2" w:rsidRDefault="009203E6" w:rsidP="009D4B5F">
      <w:pPr>
        <w:pStyle w:val="Odstavecseseznamem"/>
        <w:widowControl w:val="0"/>
        <w:numPr>
          <w:ilvl w:val="0"/>
          <w:numId w:val="59"/>
        </w:numPr>
      </w:pPr>
      <w:r w:rsidRPr="00A120A2">
        <w:t>za náhradu.</w:t>
      </w:r>
    </w:p>
    <w:p w:rsidR="009203E6" w:rsidRPr="00A120A2" w:rsidRDefault="009203E6" w:rsidP="009203E6">
      <w:pPr>
        <w:widowControl w:val="0"/>
      </w:pPr>
      <w:r w:rsidRPr="00A120A2">
        <w:t xml:space="preserve">Věcně příslušnými orgány k rozhodování ve vyvlastňovacím </w:t>
      </w:r>
      <w:r>
        <w:t>řízení jsou vyvlastňovací úřady (</w:t>
      </w:r>
      <w:r w:rsidR="0025562E" w:rsidRPr="0025562E">
        <w:t>OÚ ORP</w:t>
      </w:r>
      <w:r w:rsidRPr="00A120A2">
        <w:t xml:space="preserve"> nebo magistráty územně členěných statutárních měst a Magistrát hlavního města Prahy</w:t>
      </w:r>
      <w:r>
        <w:t>)</w:t>
      </w:r>
      <w:r w:rsidRPr="00A120A2">
        <w:t xml:space="preserve">. Ústředním orgánem ve věcech vyvlastnění je </w:t>
      </w:r>
      <w:r>
        <w:t>MMR</w:t>
      </w:r>
      <w:r w:rsidRPr="00A120A2">
        <w:t>.</w:t>
      </w:r>
      <w:r>
        <w:t xml:space="preserve"> </w:t>
      </w:r>
      <w:r w:rsidRPr="00A120A2">
        <w:t>Místně příslušný je vyvlastňovací úřad, v jehož správním obvodu (území) se nachází pozemek nebo stavba, jichž se vyvlastnění týká. Dojde-li ke kompetenčním sporům, rozhoduje nejblíže společně nadřízený správní orgán usnesením, který vyvlastňovací úřad řízení provede.</w:t>
      </w:r>
    </w:p>
    <w:p w:rsidR="009203E6" w:rsidRDefault="009203E6" w:rsidP="009203E6">
      <w:pPr>
        <w:widowControl w:val="0"/>
      </w:pPr>
      <w:r>
        <w:t>Specifika řízení:</w:t>
      </w:r>
    </w:p>
    <w:p w:rsidR="009203E6" w:rsidRDefault="009203E6" w:rsidP="009D4B5F">
      <w:pPr>
        <w:pStyle w:val="Odstavecseseznamem"/>
        <w:widowControl w:val="0"/>
        <w:numPr>
          <w:ilvl w:val="0"/>
          <w:numId w:val="59"/>
        </w:numPr>
      </w:pPr>
      <w:r>
        <w:t>p</w:t>
      </w:r>
      <w:r w:rsidRPr="00A120A2">
        <w:t>o zahájení řízení jsou právní úkony, kterými by se vyvlastňovaný pokusil vyvlastňovaný pozemek nebo stavb</w:t>
      </w:r>
      <w:r w:rsidR="00874EBC">
        <w:t>u</w:t>
      </w:r>
      <w:r w:rsidRPr="00A120A2">
        <w:t xml:space="preserve"> převést, pronajmout nebo jinak zatížit neplatné</w:t>
      </w:r>
      <w:r>
        <w:t>;</w:t>
      </w:r>
      <w:r w:rsidRPr="00A120A2">
        <w:t xml:space="preserve"> </w:t>
      </w:r>
    </w:p>
    <w:p w:rsidR="009203E6" w:rsidRDefault="009203E6" w:rsidP="009D4B5F">
      <w:pPr>
        <w:pStyle w:val="Odstavecseseznamem"/>
        <w:widowControl w:val="0"/>
        <w:numPr>
          <w:ilvl w:val="0"/>
          <w:numId w:val="59"/>
        </w:numPr>
      </w:pPr>
      <w:r>
        <w:t>z</w:t>
      </w:r>
      <w:r w:rsidRPr="00A120A2">
        <w:t>a omezení vlastníka v dispozici s předmětem vyvlastnění ukládá zákon vyvlastniteli povinnost poskytnout vyvlastňovanému náhradu v prokázané výš</w:t>
      </w:r>
      <w:r>
        <w:t>i újmy způsobené tímto omezením;</w:t>
      </w:r>
    </w:p>
    <w:p w:rsidR="009203E6" w:rsidRDefault="009203E6" w:rsidP="009D4B5F">
      <w:pPr>
        <w:pStyle w:val="Odstavecseseznamem"/>
        <w:widowControl w:val="0"/>
        <w:numPr>
          <w:ilvl w:val="0"/>
          <w:numId w:val="59"/>
        </w:numPr>
      </w:pPr>
      <w:r w:rsidRPr="00FC3C9B">
        <w:t>výroková část rozhodnutí je rozdělena do dvou skupin výroků, a to na výroky o vyvlastnění práv k pozemku nebo ke stavbě a na výroky o náhradě za vyvlastnění</w:t>
      </w:r>
      <w:r>
        <w:t>;</w:t>
      </w:r>
    </w:p>
    <w:p w:rsidR="009203E6" w:rsidRDefault="009203E6" w:rsidP="009D4B5F">
      <w:pPr>
        <w:pStyle w:val="Odstavecseseznamem"/>
        <w:widowControl w:val="0"/>
        <w:numPr>
          <w:ilvl w:val="0"/>
          <w:numId w:val="59"/>
        </w:numPr>
      </w:pPr>
      <w:r>
        <w:t>v</w:t>
      </w:r>
      <w:r w:rsidRPr="00A120A2">
        <w:t>e výrocích týkajících se vyvlastnění práv k pozemku nebo ke stavbě rozhodne vyvlastňovací úřad o rozsahu, v jakém se vyvlastňuje</w:t>
      </w:r>
      <w:r w:rsidR="00874EBC">
        <w:t>;</w:t>
      </w:r>
    </w:p>
    <w:p w:rsidR="009203E6" w:rsidRDefault="009203E6" w:rsidP="009D4B5F">
      <w:pPr>
        <w:pStyle w:val="Odstavecseseznamem"/>
        <w:widowControl w:val="0"/>
        <w:numPr>
          <w:ilvl w:val="0"/>
          <w:numId w:val="59"/>
        </w:numPr>
      </w:pPr>
      <w:r>
        <w:t>v</w:t>
      </w:r>
      <w:r w:rsidRPr="00A120A2">
        <w:t>ýrokové části týkající se náhrady za vyvlastnění stanoví výš</w:t>
      </w:r>
      <w:r w:rsidR="00507776">
        <w:t>i náhrady pro vyvlastňovaného a </w:t>
      </w:r>
      <w:r w:rsidRPr="00A120A2">
        <w:t>oprávněného z věcného břemene, jejichž práva daným rozhodnutím zanikají</w:t>
      </w:r>
      <w:r>
        <w:t>;</w:t>
      </w:r>
    </w:p>
    <w:p w:rsidR="009203E6" w:rsidRDefault="009203E6" w:rsidP="009D4B5F">
      <w:pPr>
        <w:pStyle w:val="Odstavecseseznamem"/>
        <w:widowControl w:val="0"/>
        <w:numPr>
          <w:ilvl w:val="0"/>
          <w:numId w:val="59"/>
        </w:numPr>
      </w:pPr>
      <w:r>
        <w:t>v</w:t>
      </w:r>
      <w:r w:rsidRPr="00A120A2">
        <w:t xml:space="preserve"> případě, že bude podáno </w:t>
      </w:r>
      <w:r>
        <w:t xml:space="preserve">odvolání proti </w:t>
      </w:r>
      <w:r w:rsidRPr="00A120A2">
        <w:t>výrokům</w:t>
      </w:r>
      <w:r>
        <w:t xml:space="preserve"> týkajícím se náhrady</w:t>
      </w:r>
      <w:r w:rsidRPr="00A120A2">
        <w:t xml:space="preserve">, nemá </w:t>
      </w:r>
      <w:r>
        <w:t xml:space="preserve">toto odvolání </w:t>
      </w:r>
      <w:r w:rsidRPr="00A120A2">
        <w:t xml:space="preserve">na rozdíl od případu týkajícího se výrokové části vztahující se k vyvlastnění práv, odkladný účinek na ostatní výroky rozhodnutí. </w:t>
      </w:r>
    </w:p>
    <w:p w:rsidR="009203E6" w:rsidRPr="00A120A2" w:rsidRDefault="009203E6" w:rsidP="009203E6">
      <w:pPr>
        <w:widowControl w:val="0"/>
      </w:pPr>
      <w:r w:rsidRPr="00A120A2">
        <w:t>Zákon o vyvlastn</w:t>
      </w:r>
      <w:r w:rsidR="00F76ADF">
        <w:t xml:space="preserve">ění </w:t>
      </w:r>
      <w:r w:rsidRPr="00A120A2">
        <w:t xml:space="preserve">připouští možnost zrušení vyvlastnění, a </w:t>
      </w:r>
      <w:r w:rsidR="00F76ADF">
        <w:t>to na žádost vyvlastňovaného. V </w:t>
      </w:r>
      <w:r w:rsidRPr="00A120A2">
        <w:t xml:space="preserve">případě, že vyvlastňovací úřad vydá rozhodnutí o vyvlastnění a následné odvolání účastníka je neúspěšné, </w:t>
      </w:r>
      <w:r>
        <w:t>má účastník</w:t>
      </w:r>
      <w:r w:rsidRPr="00A120A2">
        <w:t xml:space="preserve"> dále možnost projednání vyvlastnění v řízení před soudem. Pokud podá žalobu proti výrokům vztahujícím se k vyvlastnění práv k pozemku nebo ke stavbě vyvlastňovaný, má tato žaloba automaticky odkladný účinek. Jestliže bude žaloba podána jinými účastníky řízení než vyvlastňovaným, odkladný účinek nemá, čímž ovšem není dotčena možnost soudu tento odkladný účinek usnesením žalobě přiznat. </w:t>
      </w:r>
    </w:p>
    <w:p w:rsidR="009203E6" w:rsidRPr="00A120A2" w:rsidRDefault="009203E6" w:rsidP="009203E6">
      <w:pPr>
        <w:widowControl w:val="0"/>
      </w:pPr>
      <w:r w:rsidRPr="00A120A2">
        <w:t>Pokud nedojde k zamítnutí žaloby, mohou soudy rozhodnout tímto způsobem:</w:t>
      </w:r>
    </w:p>
    <w:p w:rsidR="009203E6" w:rsidRPr="00A120A2" w:rsidRDefault="009203E6" w:rsidP="009D4B5F">
      <w:pPr>
        <w:pStyle w:val="Odstavecseseznamem"/>
        <w:widowControl w:val="0"/>
        <w:numPr>
          <w:ilvl w:val="0"/>
          <w:numId w:val="60"/>
        </w:numPr>
      </w:pPr>
      <w:r w:rsidRPr="00A120A2">
        <w:t>žalob</w:t>
      </w:r>
      <w:r>
        <w:t>ě</w:t>
      </w:r>
      <w:r w:rsidRPr="00A120A2">
        <w:t xml:space="preserve"> proti výrokům vztahujícím se k vyvlastnění soud vyho</w:t>
      </w:r>
      <w:r w:rsidR="00F76ADF">
        <w:t>ví, napadené rozhodnutí zruší a </w:t>
      </w:r>
      <w:r w:rsidRPr="00A120A2">
        <w:t>věc vrátí vyvlastňovacímu úřadu se závazným právním názorem k dalšímu řízení</w:t>
      </w:r>
      <w:r>
        <w:t>;</w:t>
      </w:r>
    </w:p>
    <w:p w:rsidR="009203E6" w:rsidRPr="00A120A2" w:rsidRDefault="009203E6" w:rsidP="009D4B5F">
      <w:pPr>
        <w:pStyle w:val="Odstavecseseznamem"/>
        <w:widowControl w:val="0"/>
        <w:numPr>
          <w:ilvl w:val="0"/>
          <w:numId w:val="60"/>
        </w:numPr>
      </w:pPr>
      <w:r>
        <w:t xml:space="preserve">v případě </w:t>
      </w:r>
      <w:r w:rsidRPr="00A120A2">
        <w:t>žalob</w:t>
      </w:r>
      <w:r>
        <w:t>y</w:t>
      </w:r>
      <w:r w:rsidRPr="00A120A2">
        <w:t xml:space="preserve"> pod</w:t>
      </w:r>
      <w:r>
        <w:t>a</w:t>
      </w:r>
      <w:r w:rsidRPr="00A120A2">
        <w:t>n</w:t>
      </w:r>
      <w:r>
        <w:t>é</w:t>
      </w:r>
      <w:r w:rsidRPr="00A120A2">
        <w:t xml:space="preserve"> proti výrokům o náhradě soud rozhodne ve věci samé rozsudkem, který nahrazuje rozhodnutí vyvlastňovacího úřadu v takovém rozsahu, v jakém je rozsudkem soudu dotčeno.</w:t>
      </w:r>
    </w:p>
    <w:p w:rsidR="009203E6" w:rsidRPr="00A120A2" w:rsidRDefault="009203E6" w:rsidP="009203E6">
      <w:pPr>
        <w:pStyle w:val="Zkladntext"/>
        <w:widowControl w:val="0"/>
        <w:tabs>
          <w:tab w:val="left" w:pos="284"/>
        </w:tabs>
      </w:pPr>
      <w:r w:rsidRPr="00A120A2">
        <w:t>Dalším prostředkem ochrany může být ústavní stížnost, a to s ohledem na fakt, že institut vyvlastnění zasahuje do vlastnického práva, které je jední</w:t>
      </w:r>
      <w:r>
        <w:t>m ze základních lidských práv. (</w:t>
      </w:r>
      <w:r w:rsidRPr="00DD7551">
        <w:rPr>
          <w:i/>
        </w:rPr>
        <w:t xml:space="preserve">Zdroj: </w:t>
      </w:r>
      <w:r w:rsidRPr="009203E6">
        <w:rPr>
          <w:i/>
        </w:rPr>
        <w:t xml:space="preserve">Hodnocení dopadů regulace (RIA) k novele zákona </w:t>
      </w:r>
      <w:r w:rsidR="00BA30EC">
        <w:rPr>
          <w:i/>
        </w:rPr>
        <w:t>stávajícího stavebního zákona (</w:t>
      </w:r>
      <w:r>
        <w:rPr>
          <w:i/>
        </w:rPr>
        <w:t>2016</w:t>
      </w:r>
      <w:r>
        <w:t xml:space="preserve">) </w:t>
      </w:r>
    </w:p>
    <w:p w:rsidR="00297D3D" w:rsidRPr="00297D3D" w:rsidRDefault="00297D3D" w:rsidP="00FB3A0E">
      <w:pPr>
        <w:pStyle w:val="Nadpis5"/>
      </w:pPr>
      <w:bookmarkStart w:id="31" w:name="_Toc536553904"/>
      <w:r w:rsidRPr="00297D3D">
        <w:t xml:space="preserve">Problém </w:t>
      </w:r>
      <w:r w:rsidR="00855025">
        <w:t xml:space="preserve">systémové </w:t>
      </w:r>
      <w:r w:rsidRPr="00297D3D">
        <w:t>podjatosti</w:t>
      </w:r>
      <w:bookmarkEnd w:id="31"/>
      <w:r w:rsidRPr="00297D3D">
        <w:t xml:space="preserve">  </w:t>
      </w:r>
    </w:p>
    <w:p w:rsidR="00297D3D" w:rsidRDefault="00297D3D" w:rsidP="003E4A5D">
      <w:pPr>
        <w:widowControl w:val="0"/>
      </w:pPr>
      <w:r>
        <w:t>„Systémovou podjatostí správního orgánu se rozumí situace, kdy z rozhodování o určité věci musí být vyloučeny všechny úřední osoby příslušného správního</w:t>
      </w:r>
      <w:r w:rsidR="00F76ADF">
        <w:t xml:space="preserve"> orgánu, včetně osoby stojící </w:t>
      </w:r>
      <w:r w:rsidR="00F76ADF">
        <w:lastRenderedPageBreak/>
        <w:t>v </w:t>
      </w:r>
      <w:r>
        <w:t xml:space="preserve">čele orgánu, a to pro jejich služební či zaměstnanecký poměr k subjektu veřejné správy (zpravidla obci či kraji), který má na výsledku příslušného správního řízení takový zájem, že existuje reálné riziko, že by jejich postoj k věci mohl být ovlivněn i jinými než zákonnými hledisky. Jako nejčastější příklad systémové podjatosti bývají uváděny stavební úřady, kde úředníci stavebních úřadů coby zaměstnanci obcí v rámci výkonu přenesené státní správy často rozhodují o záměrech, na jejichž povolení má příslušná obec konkrétní zájem. Tyto obce přitom bývají </w:t>
      </w:r>
      <w:r w:rsidR="00873098">
        <w:t xml:space="preserve">pravidelně i </w:t>
      </w:r>
      <w:r>
        <w:t>účastníkem příslušného správního řízení</w:t>
      </w:r>
      <w:r w:rsidR="00873098">
        <w:t xml:space="preserve">, a to buď </w:t>
      </w:r>
      <w:r w:rsidR="00B43083">
        <w:t xml:space="preserve">ze zákona nebo </w:t>
      </w:r>
      <w:r w:rsidR="00873098">
        <w:t>jako stavebníci</w:t>
      </w:r>
      <w:r>
        <w:t xml:space="preserve">. Tím může být narušena nestrannost rozhodování příslušných úředníků stavebních úřadů </w:t>
      </w:r>
      <w:r w:rsidR="00B43083">
        <w:t>v </w:t>
      </w:r>
      <w:r>
        <w:t>důsledku jejich závislosti na obci jako zaměstnavateli.“ (</w:t>
      </w:r>
      <w:r w:rsidRPr="00365A23">
        <w:rPr>
          <w:i/>
        </w:rPr>
        <w:t xml:space="preserve">Zdroj: </w:t>
      </w:r>
      <w:hyperlink r:id="rId25" w:history="1">
        <w:r w:rsidRPr="00365A23">
          <w:rPr>
            <w:rStyle w:val="Hypertextovodkaz"/>
            <w:i/>
          </w:rPr>
          <w:t>www.pravniprostor.cz/clanky/spravni-pravo/ht-konec-namitkam-systemove-podjatosti</w:t>
        </w:r>
      </w:hyperlink>
      <w:r>
        <w:t>)</w:t>
      </w:r>
      <w:r w:rsidR="00E31F9D">
        <w:t>.</w:t>
      </w:r>
    </w:p>
    <w:p w:rsidR="00297D3D" w:rsidRDefault="00297D3D" w:rsidP="003E4A5D">
      <w:pPr>
        <w:widowControl w:val="0"/>
      </w:pPr>
      <w:r>
        <w:t>Základním problémem, na jehož vyřešení se zaměřuje i tato RIA i jí hodnocený návrh právního předpisu, je konflikt zájmů, do kterého se dostávají úředníci vykonávající v přenesené působnosti agendu obecných</w:t>
      </w:r>
      <w:r w:rsidR="00E31F9D">
        <w:t xml:space="preserve"> a</w:t>
      </w:r>
      <w:r>
        <w:t xml:space="preserve"> speciálních stavebních úřadů, vyvlastňovacích úřadů a ty agendy územního plánování, které spadají do přenesené působnosti. Tito úředníci jsou zaměstnanci územn</w:t>
      </w:r>
      <w:r w:rsidR="00E31F9D">
        <w:t>ích</w:t>
      </w:r>
      <w:r>
        <w:t xml:space="preserve"> samosprávných celků – obcí a krajů – avšak vykonávají agendu v přenesené působnosti jménem státu. Zatímco v případě celé řady agend vykonávaných rovněž v přenesené působnosti nemusí být postavení úředníka, jakožto vykonavatele přenesené působnosti a současně zaměstnance obce či kraje, problém, v případě řízení </w:t>
      </w:r>
      <w:r w:rsidR="00B43083">
        <w:t xml:space="preserve">podle stavebního zákona </w:t>
      </w:r>
      <w:r>
        <w:t xml:space="preserve">úředník v řadě situací stojí proti svému zaměstnavateli. V takovýchto případech se úředník dostává do obtížné situace – ve vztahu ke svému zaměstnavateli (který může ovlivnit jeho osobní ohodnocení aj.), ale i vůči jakékoliv třetí straně, která může jednání úředníka ve vztahu ke kraji nebo obci, která ho zaměstnává, vždy považovat za podjaté. </w:t>
      </w:r>
    </w:p>
    <w:p w:rsidR="00297D3D" w:rsidRDefault="00297D3D" w:rsidP="003E4A5D">
      <w:pPr>
        <w:widowControl w:val="0"/>
      </w:pPr>
      <w:r>
        <w:t>O tom, že je výše popsaná situace problémem, svědčí i soudní spory týkající se podjatosti</w:t>
      </w:r>
      <w:r w:rsidR="00507776">
        <w:t xml:space="preserve"> a </w:t>
      </w:r>
      <w:r w:rsidR="00357FCD">
        <w:t>využívání i zneužívání námitek systémové pojatosti celých stavebních úřadů</w:t>
      </w:r>
      <w:r>
        <w:t xml:space="preserve">. </w:t>
      </w:r>
    </w:p>
    <w:p w:rsidR="00297D3D" w:rsidRPr="00E05F37" w:rsidRDefault="00297D3D" w:rsidP="0089559F">
      <w:pPr>
        <w:widowControl w:val="0"/>
      </w:pPr>
      <w:r>
        <w:t xml:space="preserve">Z vyhodnocení provedeného v rámci </w:t>
      </w:r>
      <w:r w:rsidR="004A734C" w:rsidRPr="004A734C">
        <w:t>Analýz</w:t>
      </w:r>
      <w:r w:rsidR="004A734C">
        <w:t>y</w:t>
      </w:r>
      <w:r w:rsidR="004A734C" w:rsidRPr="004A734C">
        <w:t xml:space="preserve"> stavu na úseku územního plánování a stavebního řádu (Analýza 2012-2014)</w:t>
      </w:r>
      <w:r>
        <w:t xml:space="preserve"> dále vyplývá, že v oblasti řízení </w:t>
      </w:r>
      <w:r w:rsidR="004A734C">
        <w:t xml:space="preserve">před stavebním úřadem </w:t>
      </w:r>
      <w:r>
        <w:t>se vyskytuje ještě několik dalších problémů, které vyplývají ze struktury a fungování úřadů ve stávající podobě a které navrhovaná právní úprava může do jisté míry vyřešit. Těmito problémy jsou: (i) roztříštěnost struktury úřadů a jejich řízení, (ii</w:t>
      </w:r>
      <w:r w:rsidR="00507776">
        <w:t>) kombinace výkonu samostatné a </w:t>
      </w:r>
      <w:r>
        <w:t>přenesené působnosti u konkrétních úředníků, (iii) nedostatečnost metodické podpory ze strany nadřízených orgánů, (iv) netransparentnost ve využívání finančních příspěvků na činnost úřadů, (v) vysoká míra nezákonnosti v rozhodování úřadů (méně než 50</w:t>
      </w:r>
      <w:r w:rsidR="00365A23">
        <w:t xml:space="preserve"> </w:t>
      </w:r>
      <w:r>
        <w:t xml:space="preserve">% stavebních povolení napadených odvoláním je potvrzeno, přičemž nejkritičtější je situace u nejmenších stavebních úřadů na obcích </w:t>
      </w:r>
      <w:r w:rsidR="00DD13D4">
        <w:t>I</w:t>
      </w:r>
      <w:r>
        <w:t>. typu).</w:t>
      </w:r>
    </w:p>
    <w:p w:rsidR="002D3B15" w:rsidRPr="008B42BE" w:rsidRDefault="002D3B15" w:rsidP="003E4A5D">
      <w:pPr>
        <w:pStyle w:val="Nadpis2"/>
        <w:keepNext w:val="0"/>
        <w:widowControl w:val="0"/>
        <w:rPr>
          <w:rFonts w:eastAsia="Calibri"/>
        </w:rPr>
      </w:pPr>
      <w:bookmarkStart w:id="32" w:name="_Toc536553905"/>
      <w:r w:rsidRPr="008B42BE">
        <w:rPr>
          <w:rFonts w:eastAsia="Calibri"/>
        </w:rPr>
        <w:t>Popis existujícího právního stavu v dané oblasti</w:t>
      </w:r>
      <w:bookmarkEnd w:id="32"/>
      <w:r w:rsidRPr="008B42BE">
        <w:rPr>
          <w:rFonts w:eastAsia="Calibri"/>
        </w:rPr>
        <w:t xml:space="preserve"> </w:t>
      </w:r>
    </w:p>
    <w:p w:rsidR="00FB3A0E" w:rsidRDefault="004A734C" w:rsidP="00FB3A0E">
      <w:pPr>
        <w:pStyle w:val="Text-Normaln"/>
        <w:widowControl w:val="0"/>
      </w:pPr>
      <w:r>
        <w:t>MMR</w:t>
      </w:r>
      <w:r w:rsidR="00FB3A0E">
        <w:t xml:space="preserve"> uvádí v materiálu „Rekodifikace veřejného stavebního práva – právní okolí stavebního zákona, roztříštěnost veřejného staveb</w:t>
      </w:r>
      <w:r w:rsidR="00507776">
        <w:t>ního práva v České republice“ z </w:t>
      </w:r>
      <w:r w:rsidR="00FB3A0E">
        <w:t>27. července 2018 potřebu změny až 100 jiných zákonů. Aby</w:t>
      </w:r>
      <w:r w:rsidR="00DD13D4">
        <w:t xml:space="preserve"> </w:t>
      </w:r>
      <w:r w:rsidR="00FB3A0E">
        <w:t xml:space="preserve">RIA, která by měla cílit především na identifikaci věcných </w:t>
      </w:r>
      <w:r w:rsidR="00DD13D4">
        <w:t>a </w:t>
      </w:r>
      <w:r w:rsidR="00FB3A0E">
        <w:t xml:space="preserve">ekonomických dopadů na jednotlivé dotčené strany, </w:t>
      </w:r>
      <w:r w:rsidR="00DD13D4">
        <w:t xml:space="preserve">nebyla zahlcena </w:t>
      </w:r>
      <w:r w:rsidR="00FB3A0E">
        <w:t xml:space="preserve">záplavou textu, </w:t>
      </w:r>
      <w:r w:rsidR="00DD13D4">
        <w:t>je níže uveden</w:t>
      </w:r>
      <w:r w:rsidR="00697784">
        <w:t>,</w:t>
      </w:r>
      <w:r w:rsidR="00DD13D4">
        <w:t xml:space="preserve"> </w:t>
      </w:r>
      <w:r w:rsidR="00FB3A0E">
        <w:t>pro naznačení rozsahu a složitost problému</w:t>
      </w:r>
      <w:r w:rsidR="00697784">
        <w:t>,</w:t>
      </w:r>
      <w:r w:rsidR="00FB3A0E">
        <w:t xml:space="preserve"> </w:t>
      </w:r>
      <w:r w:rsidR="009E2357">
        <w:t xml:space="preserve">demonstrativní </w:t>
      </w:r>
      <w:r w:rsidR="00FB3A0E">
        <w:t xml:space="preserve">seznam klíčových předpisů, kterých se případná rekodifikace </w:t>
      </w:r>
      <w:r>
        <w:t xml:space="preserve">zejména </w:t>
      </w:r>
      <w:r w:rsidR="00FB3A0E">
        <w:t>dotkne.</w:t>
      </w:r>
    </w:p>
    <w:p w:rsidR="00114F8D" w:rsidRDefault="00114F8D" w:rsidP="00C873B4">
      <w:pPr>
        <w:pStyle w:val="Text-Normaln"/>
        <w:widowControl w:val="0"/>
        <w:numPr>
          <w:ilvl w:val="0"/>
          <w:numId w:val="65"/>
        </w:numPr>
        <w:ind w:left="284" w:hanging="284"/>
      </w:pPr>
      <w:r>
        <w:t xml:space="preserve">Zákon č. 183/2006 Sb., </w:t>
      </w:r>
      <w:r w:rsidRPr="00114F8D">
        <w:t>o územním plánování a stavebním řádu (stavební zákon)</w:t>
      </w:r>
      <w:r>
        <w:t>, ve znění pozdějších předpisů;</w:t>
      </w:r>
    </w:p>
    <w:p w:rsidR="004540F4" w:rsidRDefault="004540F4" w:rsidP="00C873B4">
      <w:pPr>
        <w:pStyle w:val="Text-Normaln"/>
        <w:widowControl w:val="0"/>
        <w:numPr>
          <w:ilvl w:val="0"/>
          <w:numId w:val="65"/>
        </w:numPr>
        <w:ind w:left="284" w:hanging="284"/>
      </w:pPr>
      <w:r>
        <w:t xml:space="preserve">Zákon č. 2/1969 Sb., o zřízení ministerstev a jiných ústředních orgánů státní správy České republiky (kompetenční zákon), ve znění pozdějších předpisů; </w:t>
      </w:r>
    </w:p>
    <w:p w:rsidR="004540F4" w:rsidRDefault="004540F4" w:rsidP="00C873B4">
      <w:pPr>
        <w:pStyle w:val="Text-Normaln"/>
        <w:widowControl w:val="0"/>
        <w:numPr>
          <w:ilvl w:val="0"/>
          <w:numId w:val="65"/>
        </w:numPr>
        <w:ind w:left="284" w:hanging="284"/>
      </w:pPr>
      <w:r>
        <w:t xml:space="preserve">Zákon č. 128/2000 Sb., o obcích (obecní zřízení), ve znění pozdějších předpisů; </w:t>
      </w:r>
    </w:p>
    <w:p w:rsidR="004540F4" w:rsidRDefault="004540F4" w:rsidP="00C873B4">
      <w:pPr>
        <w:pStyle w:val="Text-Normaln"/>
        <w:widowControl w:val="0"/>
        <w:numPr>
          <w:ilvl w:val="0"/>
          <w:numId w:val="65"/>
        </w:numPr>
        <w:ind w:left="284" w:hanging="284"/>
      </w:pPr>
      <w:r>
        <w:t xml:space="preserve">Zákon č. 129/2000 Sb., o krajích (krajské zřízení), ve znění pozdějších předpisů; </w:t>
      </w:r>
    </w:p>
    <w:p w:rsidR="004540F4" w:rsidRDefault="004540F4" w:rsidP="00C873B4">
      <w:pPr>
        <w:pStyle w:val="Text-Normaln"/>
        <w:widowControl w:val="0"/>
        <w:numPr>
          <w:ilvl w:val="0"/>
          <w:numId w:val="65"/>
        </w:numPr>
        <w:ind w:left="284" w:hanging="284"/>
      </w:pPr>
      <w:r>
        <w:lastRenderedPageBreak/>
        <w:t xml:space="preserve">Zákon č. 131/2000 Sb., o hlavním městě Praze, ve znění pozdějších předpisů; </w:t>
      </w:r>
    </w:p>
    <w:p w:rsidR="004540F4" w:rsidRDefault="004540F4" w:rsidP="00C873B4">
      <w:pPr>
        <w:pStyle w:val="Text-Normaln"/>
        <w:widowControl w:val="0"/>
        <w:numPr>
          <w:ilvl w:val="0"/>
          <w:numId w:val="65"/>
        </w:numPr>
        <w:ind w:left="284" w:hanging="284"/>
      </w:pPr>
      <w:r>
        <w:t>Zákon č. 314/2002 Sb., o stanovení obcí s pověřeným ob</w:t>
      </w:r>
      <w:r w:rsidR="00507776">
        <w:t>ecním úřadem a stanovení obcí s </w:t>
      </w:r>
      <w:r>
        <w:t>rozšířenou působností, ve znění pozdějších předpisů;</w:t>
      </w:r>
    </w:p>
    <w:p w:rsidR="004540F4" w:rsidRDefault="004540F4" w:rsidP="00C873B4">
      <w:pPr>
        <w:pStyle w:val="Text-Normaln"/>
        <w:widowControl w:val="0"/>
        <w:numPr>
          <w:ilvl w:val="0"/>
          <w:numId w:val="65"/>
        </w:numPr>
        <w:ind w:left="284" w:hanging="284"/>
      </w:pPr>
      <w:r>
        <w:t xml:space="preserve">Zákon č. 500/2004 Sb., správní řád, ve znění pozdějších předpisů; </w:t>
      </w:r>
    </w:p>
    <w:p w:rsidR="004540F4" w:rsidRDefault="004540F4" w:rsidP="00C873B4">
      <w:pPr>
        <w:pStyle w:val="Text-Normaln"/>
        <w:widowControl w:val="0"/>
        <w:numPr>
          <w:ilvl w:val="0"/>
          <w:numId w:val="65"/>
        </w:numPr>
        <w:ind w:left="284" w:hanging="284"/>
      </w:pPr>
      <w:r>
        <w:t xml:space="preserve">Zákon č. 150/2002 Sb., soudní řád správní, ve znění pozdějších předpisů; </w:t>
      </w:r>
    </w:p>
    <w:p w:rsidR="004540F4" w:rsidRDefault="004540F4" w:rsidP="00C873B4">
      <w:pPr>
        <w:pStyle w:val="Text-Normaln"/>
        <w:widowControl w:val="0"/>
        <w:numPr>
          <w:ilvl w:val="0"/>
          <w:numId w:val="65"/>
        </w:numPr>
        <w:ind w:left="284" w:hanging="284"/>
      </w:pPr>
      <w:r>
        <w:t xml:space="preserve">Zákon č. 114/1992 Sb., o ochraně přírody a krajiny, ve znění pozdějších předpisů; </w:t>
      </w:r>
    </w:p>
    <w:p w:rsidR="004540F4" w:rsidRDefault="004540F4" w:rsidP="00C873B4">
      <w:pPr>
        <w:pStyle w:val="Text-Normaln"/>
        <w:widowControl w:val="0"/>
        <w:numPr>
          <w:ilvl w:val="0"/>
          <w:numId w:val="65"/>
        </w:numPr>
        <w:ind w:left="284" w:hanging="284"/>
      </w:pPr>
      <w:r>
        <w:t xml:space="preserve">Zákon č. 100/2001 Sb., o posuzování vlivů na životní prostředí a o změně některých souvisejících zákonů (zákon o posuzování vlivů na životní prostředí), ve znění pozdějších předpisů; </w:t>
      </w:r>
    </w:p>
    <w:p w:rsidR="004540F4" w:rsidRDefault="004540F4" w:rsidP="00C873B4">
      <w:pPr>
        <w:pStyle w:val="Text-Normaln"/>
        <w:widowControl w:val="0"/>
        <w:numPr>
          <w:ilvl w:val="0"/>
          <w:numId w:val="65"/>
        </w:numPr>
        <w:ind w:left="284" w:hanging="284"/>
      </w:pPr>
      <w:r>
        <w:t>Zákon č. 224/2015 Sb., o prevenci závažných havárií, ve znění pozdějších předpisů;</w:t>
      </w:r>
    </w:p>
    <w:p w:rsidR="004540F4" w:rsidRDefault="004540F4" w:rsidP="00C873B4">
      <w:pPr>
        <w:pStyle w:val="Text-Normaln"/>
        <w:widowControl w:val="0"/>
        <w:numPr>
          <w:ilvl w:val="0"/>
          <w:numId w:val="65"/>
        </w:numPr>
        <w:ind w:left="284" w:hanging="284"/>
      </w:pPr>
      <w:r>
        <w:t xml:space="preserve">Zákon č. 239/2000 Sb., o integrovaném záchranném systému, ve znění pozdějších předpisů; </w:t>
      </w:r>
    </w:p>
    <w:p w:rsidR="004540F4" w:rsidRDefault="004540F4" w:rsidP="00C873B4">
      <w:pPr>
        <w:pStyle w:val="Text-Normaln"/>
        <w:widowControl w:val="0"/>
        <w:numPr>
          <w:ilvl w:val="0"/>
          <w:numId w:val="65"/>
        </w:numPr>
        <w:ind w:left="284" w:hanging="284"/>
      </w:pPr>
      <w:r>
        <w:t>Zákon č. 184/2006 Sb., o odnětí nebo omezení vlastnického práva k pozemku nebo ke stavbě (zákon o vyvlastnění), ve znění pozdějších předpisů;</w:t>
      </w:r>
    </w:p>
    <w:p w:rsidR="004540F4" w:rsidRDefault="004540F4" w:rsidP="00C873B4">
      <w:pPr>
        <w:pStyle w:val="Text-Normaln"/>
        <w:widowControl w:val="0"/>
        <w:numPr>
          <w:ilvl w:val="0"/>
          <w:numId w:val="65"/>
        </w:numPr>
        <w:ind w:left="284" w:hanging="284"/>
      </w:pPr>
      <w:r>
        <w:t>Zákon č. 416/2009 Sb., o urychlení výstavby dopravní, vodní</w:t>
      </w:r>
      <w:r w:rsidR="00507776">
        <w:t xml:space="preserve"> a energetické infrastruktury a </w:t>
      </w:r>
      <w:r>
        <w:t xml:space="preserve">infrastruktury elektronických komunikací, ve znění pozdějších předpisů; </w:t>
      </w:r>
    </w:p>
    <w:p w:rsidR="004540F4" w:rsidRDefault="004540F4" w:rsidP="00C873B4">
      <w:pPr>
        <w:pStyle w:val="Text-Normaln"/>
        <w:widowControl w:val="0"/>
        <w:numPr>
          <w:ilvl w:val="0"/>
          <w:numId w:val="65"/>
        </w:numPr>
        <w:ind w:left="284" w:hanging="284"/>
      </w:pPr>
      <w:r>
        <w:t xml:space="preserve">Zákon č. 194/2017 Sb., o opatřeních ke snížení nákladů na zavádění vysokorychlostních sítí elektronických komunikací, ve znění pozdějších předpisů; </w:t>
      </w:r>
    </w:p>
    <w:p w:rsidR="004540F4" w:rsidRDefault="004540F4" w:rsidP="00C873B4">
      <w:pPr>
        <w:pStyle w:val="Text-Normaln"/>
        <w:widowControl w:val="0"/>
        <w:numPr>
          <w:ilvl w:val="0"/>
          <w:numId w:val="65"/>
        </w:numPr>
        <w:ind w:left="284" w:hanging="284"/>
      </w:pPr>
      <w:r>
        <w:t>Zákon č. 289/1995 Sb., o lesích a o změně a doplnění něk</w:t>
      </w:r>
      <w:r w:rsidR="00507776">
        <w:t>terých zákonů (lesní zákon), ve </w:t>
      </w:r>
      <w:r>
        <w:t xml:space="preserve">znění pozdějších předpisů; </w:t>
      </w:r>
    </w:p>
    <w:p w:rsidR="004540F4" w:rsidRDefault="004540F4" w:rsidP="00C873B4">
      <w:pPr>
        <w:pStyle w:val="Text-Normaln"/>
        <w:widowControl w:val="0"/>
        <w:numPr>
          <w:ilvl w:val="0"/>
          <w:numId w:val="65"/>
        </w:numPr>
        <w:ind w:left="284" w:hanging="284"/>
      </w:pPr>
      <w:r>
        <w:t>Zákon č. 13/1997 Sb., o pozemních komunikacích, ve znění pozdějších předpisů;</w:t>
      </w:r>
    </w:p>
    <w:p w:rsidR="004540F4" w:rsidRDefault="004540F4" w:rsidP="00C873B4">
      <w:pPr>
        <w:pStyle w:val="Text-Normaln"/>
        <w:widowControl w:val="0"/>
        <w:numPr>
          <w:ilvl w:val="0"/>
          <w:numId w:val="65"/>
        </w:numPr>
        <w:ind w:left="284" w:hanging="284"/>
      </w:pPr>
      <w:r>
        <w:t>Zákon č. 266/1994 Sb., o dráhách, ve znění pozdějších předpisů;</w:t>
      </w:r>
    </w:p>
    <w:p w:rsidR="004540F4" w:rsidRDefault="004540F4" w:rsidP="00C873B4">
      <w:pPr>
        <w:pStyle w:val="Text-Normaln"/>
        <w:widowControl w:val="0"/>
        <w:numPr>
          <w:ilvl w:val="0"/>
          <w:numId w:val="65"/>
        </w:numPr>
        <w:ind w:left="284" w:hanging="284"/>
      </w:pPr>
      <w:r>
        <w:t>Zákon č. 114/1995 Sb., o vnitrozemské plavbě, ve znění pozdějších předpisů;</w:t>
      </w:r>
    </w:p>
    <w:p w:rsidR="004540F4" w:rsidRDefault="004540F4" w:rsidP="00C873B4">
      <w:pPr>
        <w:pStyle w:val="Text-Normaln"/>
        <w:widowControl w:val="0"/>
        <w:numPr>
          <w:ilvl w:val="0"/>
          <w:numId w:val="65"/>
        </w:numPr>
        <w:ind w:left="284" w:hanging="284"/>
      </w:pPr>
      <w:r>
        <w:t>Zákon č. 256/2001, o pohřebnictví a o změně některých zákonů, ve znění pozdějších předpisů;</w:t>
      </w:r>
    </w:p>
    <w:p w:rsidR="004540F4" w:rsidRDefault="004540F4" w:rsidP="00C873B4">
      <w:pPr>
        <w:pStyle w:val="Text-Normaln"/>
        <w:widowControl w:val="0"/>
        <w:numPr>
          <w:ilvl w:val="0"/>
          <w:numId w:val="65"/>
        </w:numPr>
        <w:ind w:left="284" w:hanging="284"/>
      </w:pPr>
      <w:r>
        <w:t>Zákon č. 185/2001 Sb., o odpadech a o změně některých dalších zákonů, ve znění pozdějších předpisů;</w:t>
      </w:r>
    </w:p>
    <w:p w:rsidR="004540F4" w:rsidRDefault="004540F4" w:rsidP="00C873B4">
      <w:pPr>
        <w:pStyle w:val="Text-Normaln"/>
        <w:widowControl w:val="0"/>
        <w:numPr>
          <w:ilvl w:val="0"/>
          <w:numId w:val="65"/>
        </w:numPr>
        <w:ind w:left="284" w:hanging="284"/>
      </w:pPr>
      <w:r>
        <w:t>Zákon č. 254/2001 Sb., o vodách a o změně některých zákonů (vodní zákon), ve znění pozdějších předpisů;</w:t>
      </w:r>
    </w:p>
    <w:p w:rsidR="004540F4" w:rsidRDefault="004540F4" w:rsidP="00C873B4">
      <w:pPr>
        <w:pStyle w:val="Text-Normaln"/>
        <w:widowControl w:val="0"/>
        <w:numPr>
          <w:ilvl w:val="0"/>
          <w:numId w:val="65"/>
        </w:numPr>
        <w:ind w:left="284" w:hanging="284"/>
      </w:pPr>
      <w:r>
        <w:t>Zákon č. 274/2001 Sb., o vodovodech a kanalizacích pro veřejnou potřebu a o změně některých zákonů (zákon o vodovodech a kanalizacích), ve znění pozdějších předpisů;</w:t>
      </w:r>
    </w:p>
    <w:p w:rsidR="004540F4" w:rsidRDefault="004540F4" w:rsidP="00C873B4">
      <w:pPr>
        <w:pStyle w:val="Text-Normaln"/>
        <w:widowControl w:val="0"/>
        <w:numPr>
          <w:ilvl w:val="0"/>
          <w:numId w:val="65"/>
        </w:numPr>
        <w:ind w:left="284" w:hanging="284"/>
      </w:pPr>
      <w:r>
        <w:t>Zákon č. 201/2012 Sb., o ochraně ovzduší, ve znění pozdějších předpisů;</w:t>
      </w:r>
    </w:p>
    <w:p w:rsidR="004540F4" w:rsidRDefault="004540F4" w:rsidP="00C873B4">
      <w:pPr>
        <w:pStyle w:val="Text-Normaln"/>
        <w:widowControl w:val="0"/>
        <w:numPr>
          <w:ilvl w:val="0"/>
          <w:numId w:val="65"/>
        </w:numPr>
        <w:ind w:left="284" w:hanging="284"/>
      </w:pPr>
      <w:r>
        <w:t>Zákon č. 334/1992 Sb., o ochraně zemědělského půdního fondu, ve znění pozdějších předpisů;</w:t>
      </w:r>
    </w:p>
    <w:p w:rsidR="004540F4" w:rsidRDefault="004540F4" w:rsidP="00C873B4">
      <w:pPr>
        <w:pStyle w:val="Text-Normaln"/>
        <w:widowControl w:val="0"/>
        <w:numPr>
          <w:ilvl w:val="0"/>
          <w:numId w:val="65"/>
        </w:numPr>
        <w:ind w:left="284" w:hanging="284"/>
      </w:pPr>
      <w:r>
        <w:t>Zákon č. 139/2002 Sb., o pozemkových úpravách a pozemkových úřadech, ve znění pozdějších předpisů;</w:t>
      </w:r>
    </w:p>
    <w:p w:rsidR="004540F4" w:rsidRDefault="004540F4" w:rsidP="00C873B4">
      <w:pPr>
        <w:pStyle w:val="Text-Normaln"/>
        <w:widowControl w:val="0"/>
        <w:numPr>
          <w:ilvl w:val="0"/>
          <w:numId w:val="65"/>
        </w:numPr>
        <w:ind w:left="284" w:hanging="284"/>
      </w:pPr>
      <w:r>
        <w:t>Zákon č. 133/1985 Sb., o požární ochraně, ve znění pozdějších předpisů;</w:t>
      </w:r>
    </w:p>
    <w:p w:rsidR="004540F4" w:rsidRDefault="004540F4" w:rsidP="00C873B4">
      <w:pPr>
        <w:pStyle w:val="Text-Normaln"/>
        <w:widowControl w:val="0"/>
        <w:numPr>
          <w:ilvl w:val="0"/>
          <w:numId w:val="65"/>
        </w:numPr>
        <w:ind w:left="284" w:hanging="284"/>
      </w:pPr>
      <w:r>
        <w:t>Zákon č. 44/1988 Sb., o ochraně a využití nerostného bohatství (horní zákon), ve znění pozdějších předpisů;</w:t>
      </w:r>
    </w:p>
    <w:p w:rsidR="004540F4" w:rsidRDefault="004540F4" w:rsidP="00C873B4">
      <w:pPr>
        <w:pStyle w:val="Text-Normaln"/>
        <w:widowControl w:val="0"/>
        <w:numPr>
          <w:ilvl w:val="0"/>
          <w:numId w:val="65"/>
        </w:numPr>
        <w:ind w:left="284" w:hanging="284"/>
      </w:pPr>
      <w:r>
        <w:lastRenderedPageBreak/>
        <w:t>Zákon č. 164/2001 Sb., o přírodních léčivých zdrojích, zdrojích přírodních minerálních vod, přírodních léčebných lázních a lázeňských místech a o změně některých souvisejících zákonů (lázeňský zákon), ve znění pozdějších předpisů;</w:t>
      </w:r>
    </w:p>
    <w:p w:rsidR="004540F4" w:rsidRDefault="004540F4" w:rsidP="00C873B4">
      <w:pPr>
        <w:pStyle w:val="Text-Normaln"/>
        <w:widowControl w:val="0"/>
        <w:numPr>
          <w:ilvl w:val="0"/>
          <w:numId w:val="65"/>
        </w:numPr>
        <w:ind w:left="284" w:hanging="284"/>
      </w:pPr>
      <w:r>
        <w:t>Zákon č. 62/1988 Sb., o geologických pracích, ve znění pozdějších předpisů;</w:t>
      </w:r>
    </w:p>
    <w:p w:rsidR="004540F4" w:rsidRDefault="004540F4" w:rsidP="00C873B4">
      <w:pPr>
        <w:pStyle w:val="Text-Normaln"/>
        <w:widowControl w:val="0"/>
        <w:numPr>
          <w:ilvl w:val="0"/>
          <w:numId w:val="65"/>
        </w:numPr>
        <w:ind w:left="284" w:hanging="284"/>
      </w:pPr>
      <w:r>
        <w:t>Zákon č. 258/2000 Sb., o ochraně veřejného zdraví a o změně některých souvisejících zákonů, ve znění pozdějších předpisů;</w:t>
      </w:r>
    </w:p>
    <w:p w:rsidR="004540F4" w:rsidRDefault="004540F4" w:rsidP="00C873B4">
      <w:pPr>
        <w:pStyle w:val="Text-Normaln"/>
        <w:widowControl w:val="0"/>
        <w:numPr>
          <w:ilvl w:val="0"/>
          <w:numId w:val="65"/>
        </w:numPr>
        <w:ind w:left="284" w:hanging="284"/>
      </w:pPr>
      <w:r>
        <w:t>Zákon č. 406/2000 Sb., o hospodaření energií, ve znění pozdějších předpisů;</w:t>
      </w:r>
    </w:p>
    <w:p w:rsidR="004540F4" w:rsidRDefault="004540F4" w:rsidP="00C873B4">
      <w:pPr>
        <w:pStyle w:val="Text-Normaln"/>
        <w:widowControl w:val="0"/>
        <w:numPr>
          <w:ilvl w:val="0"/>
          <w:numId w:val="65"/>
        </w:numPr>
        <w:ind w:left="284" w:hanging="284"/>
      </w:pPr>
      <w:r>
        <w:t>Zákon č. 76/2002 Sb., o integrované prevenci a omezování znečištění, o integrovaném registru znečišťování (zákon o integrované prevenci);</w:t>
      </w:r>
    </w:p>
    <w:p w:rsidR="004540F4" w:rsidRDefault="004540F4" w:rsidP="00C873B4">
      <w:pPr>
        <w:pStyle w:val="Text-Normaln"/>
        <w:widowControl w:val="0"/>
        <w:numPr>
          <w:ilvl w:val="0"/>
          <w:numId w:val="65"/>
        </w:numPr>
        <w:ind w:left="284" w:hanging="284"/>
      </w:pPr>
      <w:r>
        <w:t>Zákon č. 18/1997 Sb., o mírovém využívání jaderné energie a ionizujícího záření (atomový zákon), ve znění pozdějších předpisů;</w:t>
      </w:r>
    </w:p>
    <w:p w:rsidR="004540F4" w:rsidRDefault="004540F4" w:rsidP="00C873B4">
      <w:pPr>
        <w:pStyle w:val="Text-Normaln"/>
        <w:widowControl w:val="0"/>
        <w:numPr>
          <w:ilvl w:val="0"/>
          <w:numId w:val="65"/>
        </w:numPr>
        <w:ind w:left="284" w:hanging="284"/>
      </w:pPr>
      <w:r>
        <w:t>Zákon č. 263/2016 Sb., atomový zákon, ve znění pozdějších předpisů;</w:t>
      </w:r>
    </w:p>
    <w:p w:rsidR="004540F4" w:rsidRDefault="004540F4" w:rsidP="00C873B4">
      <w:pPr>
        <w:pStyle w:val="Text-Normaln"/>
        <w:widowControl w:val="0"/>
        <w:numPr>
          <w:ilvl w:val="0"/>
          <w:numId w:val="65"/>
        </w:numPr>
        <w:ind w:left="284" w:hanging="284"/>
      </w:pPr>
      <w:r>
        <w:t>Zákon č. 458/2000 Sb., o podmínkách podnikání a o výkonu státní správy v energetických odvětvích (energetický zákon), ve znění pozdějších předpisů;</w:t>
      </w:r>
    </w:p>
    <w:p w:rsidR="004540F4" w:rsidRDefault="004540F4" w:rsidP="00C873B4">
      <w:pPr>
        <w:pStyle w:val="Text-Normaln"/>
        <w:widowControl w:val="0"/>
        <w:numPr>
          <w:ilvl w:val="0"/>
          <w:numId w:val="65"/>
        </w:numPr>
        <w:ind w:left="284" w:hanging="284"/>
      </w:pPr>
      <w:r>
        <w:t>Zákon č. 49/1997 Sb., o civilním letectví a o změně a dop</w:t>
      </w:r>
      <w:r w:rsidR="005344C5">
        <w:t>lnění zákona č. 455/1991 Sb., o </w:t>
      </w:r>
      <w:r>
        <w:t>živnostenském podnikání (živnostenský zákon), ve znění pozdějších předpisů;</w:t>
      </w:r>
    </w:p>
    <w:p w:rsidR="004540F4" w:rsidRDefault="004540F4" w:rsidP="00C873B4">
      <w:pPr>
        <w:pStyle w:val="Text-Normaln"/>
        <w:widowControl w:val="0"/>
        <w:numPr>
          <w:ilvl w:val="0"/>
          <w:numId w:val="65"/>
        </w:numPr>
        <w:ind w:left="284" w:hanging="284"/>
      </w:pPr>
      <w:r>
        <w:t>Zákon č. 20/1987 Sb., o státní památkové péči, ve znění pozdějších předpisů;</w:t>
      </w:r>
    </w:p>
    <w:p w:rsidR="004540F4" w:rsidRDefault="004540F4" w:rsidP="00C873B4">
      <w:pPr>
        <w:pStyle w:val="Text-Normaln"/>
        <w:widowControl w:val="0"/>
        <w:numPr>
          <w:ilvl w:val="0"/>
          <w:numId w:val="65"/>
        </w:numPr>
        <w:ind w:left="284" w:hanging="284"/>
      </w:pPr>
      <w:r>
        <w:t>Zákon č. 360/1992 Sb., o výkonu povolání autorizovaných architektů a o výkonu povolání autorizovaných inženýrů a techniků činných ve výstavbě, ve znění pozdějších předpisů;</w:t>
      </w:r>
    </w:p>
    <w:p w:rsidR="004540F4" w:rsidRDefault="004540F4" w:rsidP="00C873B4">
      <w:pPr>
        <w:pStyle w:val="Text-Normaln"/>
        <w:widowControl w:val="0"/>
        <w:numPr>
          <w:ilvl w:val="0"/>
          <w:numId w:val="65"/>
        </w:numPr>
        <w:ind w:left="284" w:hanging="284"/>
      </w:pPr>
      <w:r>
        <w:t>Zákon č. 312/2002 Sb., o úřednících územních samosprávných celků a o změně některých zákonů, ve znění pozdějších předpisů;</w:t>
      </w:r>
    </w:p>
    <w:p w:rsidR="004540F4" w:rsidRDefault="004540F4" w:rsidP="00C873B4">
      <w:pPr>
        <w:pStyle w:val="Text-Normaln"/>
        <w:widowControl w:val="0"/>
        <w:numPr>
          <w:ilvl w:val="0"/>
          <w:numId w:val="65"/>
        </w:numPr>
        <w:ind w:left="284" w:hanging="284"/>
      </w:pPr>
      <w:r>
        <w:t>Zákon č. 218/2000 Sb., o rozpočtových pravidlech a o změně některých souvisejících zákonů (rozpočtová pravidla) a zákona č. 250/2000 Sb., o rozpočtových pravidlech územních rozpočtů, ve znění pozdějších předpisů;</w:t>
      </w:r>
    </w:p>
    <w:p w:rsidR="004540F4" w:rsidRDefault="004540F4" w:rsidP="00C873B4">
      <w:pPr>
        <w:pStyle w:val="Text-Normaln"/>
        <w:widowControl w:val="0"/>
        <w:numPr>
          <w:ilvl w:val="0"/>
          <w:numId w:val="65"/>
        </w:numPr>
        <w:ind w:left="284" w:hanging="284"/>
      </w:pPr>
      <w:r>
        <w:t>Zákon č. 248/2000 Sb., o podpoře regionálního rozvoje, ve znění pozdějších předpisů;</w:t>
      </w:r>
    </w:p>
    <w:p w:rsidR="00114F8D" w:rsidRDefault="00114F8D" w:rsidP="00C873B4">
      <w:pPr>
        <w:pStyle w:val="Text-Normaln"/>
        <w:widowControl w:val="0"/>
        <w:numPr>
          <w:ilvl w:val="0"/>
          <w:numId w:val="65"/>
        </w:numPr>
        <w:ind w:left="284" w:hanging="284"/>
      </w:pPr>
      <w:r>
        <w:t>Zákon č. 89/2012 Sb., občanský zákoník, ve znění pozdějších předpisů;</w:t>
      </w:r>
    </w:p>
    <w:p w:rsidR="004540F4" w:rsidRDefault="004540F4" w:rsidP="00C873B4">
      <w:pPr>
        <w:pStyle w:val="Text-Normaln"/>
        <w:widowControl w:val="0"/>
        <w:numPr>
          <w:ilvl w:val="0"/>
          <w:numId w:val="65"/>
        </w:numPr>
        <w:ind w:left="284" w:hanging="284"/>
      </w:pPr>
      <w:r>
        <w:t>a mnohé další.</w:t>
      </w:r>
    </w:p>
    <w:p w:rsidR="00F24A78" w:rsidRPr="00F24A78" w:rsidRDefault="00F24A78" w:rsidP="00C873B4">
      <w:pPr>
        <w:pStyle w:val="Nadpis2"/>
        <w:numPr>
          <w:ilvl w:val="1"/>
          <w:numId w:val="66"/>
        </w:numPr>
      </w:pPr>
      <w:bookmarkStart w:id="33" w:name="_Toc534419792"/>
      <w:bookmarkStart w:id="34" w:name="_Toc536553906"/>
      <w:bookmarkStart w:id="35" w:name="_Toc399509833"/>
      <w:r w:rsidRPr="00F24A78">
        <w:rPr>
          <w:rFonts w:eastAsia="Calibri"/>
        </w:rPr>
        <w:t>Identifikace dotčených subjektů</w:t>
      </w:r>
      <w:bookmarkEnd w:id="33"/>
      <w:bookmarkEnd w:id="34"/>
      <w:r w:rsidRPr="00F24A78">
        <w:rPr>
          <w:rFonts w:eastAsia="Calibri"/>
        </w:rPr>
        <w:t xml:space="preserve"> </w:t>
      </w:r>
    </w:p>
    <w:p w:rsidR="00F24A78" w:rsidRDefault="00F24A78" w:rsidP="00F24A78">
      <w:pPr>
        <w:pStyle w:val="Text-Normaln"/>
      </w:pPr>
      <w:r>
        <w:t xml:space="preserve">Návrh právní úpravy se dotkne především níže uvedených subjektů a institucí: </w:t>
      </w:r>
    </w:p>
    <w:p w:rsidR="00F24A78" w:rsidRDefault="00F24A78" w:rsidP="00F24A78">
      <w:pPr>
        <w:spacing w:line="24" w:lineRule="atLeast"/>
        <w:rPr>
          <w:u w:val="single"/>
        </w:rPr>
      </w:pPr>
      <w:r>
        <w:rPr>
          <w:u w:val="single"/>
        </w:rPr>
        <w:t>Orgány územního plánování (konkrétní detaily v kapitole A.1)</w:t>
      </w:r>
    </w:p>
    <w:p w:rsidR="00F24A78" w:rsidRDefault="00F24A78" w:rsidP="00F24A78">
      <w:pPr>
        <w:spacing w:line="24" w:lineRule="atLeast"/>
        <w:rPr>
          <w:u w:val="single"/>
        </w:rPr>
      </w:pPr>
      <w:r>
        <w:rPr>
          <w:u w:val="single"/>
        </w:rPr>
        <w:t>Stavební úřady</w:t>
      </w:r>
    </w:p>
    <w:p w:rsidR="00F24A78" w:rsidRDefault="00F24A78" w:rsidP="00C873B4">
      <w:pPr>
        <w:pStyle w:val="Text-Normaln"/>
        <w:numPr>
          <w:ilvl w:val="0"/>
          <w:numId w:val="67"/>
        </w:numPr>
      </w:pPr>
      <w:r>
        <w:t xml:space="preserve">Stavební úřady obecné </w:t>
      </w:r>
    </w:p>
    <w:p w:rsidR="00F24A78" w:rsidRDefault="00F24A78" w:rsidP="00C873B4">
      <w:pPr>
        <w:pStyle w:val="Zkladntext"/>
        <w:numPr>
          <w:ilvl w:val="0"/>
          <w:numId w:val="67"/>
        </w:numPr>
        <w:spacing w:line="24" w:lineRule="atLeast"/>
      </w:pPr>
      <w:r>
        <w:t xml:space="preserve">Stavební úřady speciální </w:t>
      </w:r>
    </w:p>
    <w:p w:rsidR="00F24A78" w:rsidRDefault="00F24A78" w:rsidP="00F24A78">
      <w:pPr>
        <w:pStyle w:val="Zkladntext"/>
        <w:spacing w:line="24" w:lineRule="atLeast"/>
      </w:pPr>
      <w:r>
        <w:t>Detailní popis soustavy stavebních úřadů je obsažen v kapitole A.1, která jednotlivé kategorie těchto úřadů provazuje s dostupnými údaji popisujícími jejich fungování.</w:t>
      </w:r>
    </w:p>
    <w:p w:rsidR="00F24A78" w:rsidRDefault="00F24A78" w:rsidP="00F24A78">
      <w:pPr>
        <w:spacing w:line="24" w:lineRule="atLeast"/>
        <w:rPr>
          <w:u w:val="single"/>
        </w:rPr>
      </w:pPr>
      <w:r>
        <w:rPr>
          <w:u w:val="single"/>
        </w:rPr>
        <w:t>Další dotčené orgány (</w:t>
      </w:r>
      <w:r w:rsidR="0078162F">
        <w:rPr>
          <w:u w:val="single"/>
        </w:rPr>
        <w:t>DO</w:t>
      </w:r>
      <w:r>
        <w:rPr>
          <w:u w:val="single"/>
        </w:rPr>
        <w:t xml:space="preserve">) </w:t>
      </w:r>
    </w:p>
    <w:p w:rsidR="00F24A78" w:rsidRDefault="00F24A78" w:rsidP="00F24A78">
      <w:pPr>
        <w:spacing w:line="24" w:lineRule="atLeast"/>
        <w:rPr>
          <w:u w:val="single"/>
        </w:rPr>
      </w:pPr>
      <w:r>
        <w:t xml:space="preserve">Stavební úřady a orgány územního plánování postupují ve vzájemné součinnosti s </w:t>
      </w:r>
      <w:r w:rsidR="00393DAA">
        <w:t>DO</w:t>
      </w:r>
      <w:r>
        <w:t xml:space="preserve"> chránícími veřejné zájmy podle zvláštních právních předpisů. Na obrázcích níže jsou </w:t>
      </w:r>
      <w:r w:rsidR="00393DAA">
        <w:t xml:space="preserve">demonstrativní </w:t>
      </w:r>
      <w:r>
        <w:t xml:space="preserve">ukázky </w:t>
      </w:r>
      <w:r>
        <w:lastRenderedPageBreak/>
        <w:t xml:space="preserve">počtu zákonů a rezortů, v jejichž gesci tyto právní předpisy jsou, a ve kterých je založena působnost správního orgánu jako </w:t>
      </w:r>
      <w:r w:rsidR="00393DAA">
        <w:t>DO</w:t>
      </w:r>
      <w:r>
        <w:t xml:space="preserve"> pro postupy a řízení před stavebním úřadem a v oblasti územního plánování (více viz kapitola A.2).</w:t>
      </w:r>
    </w:p>
    <w:p w:rsidR="00F24A78" w:rsidRDefault="00F24A78" w:rsidP="008712FB">
      <w:pPr>
        <w:pStyle w:val="Titulek"/>
        <w:ind w:left="1276" w:hanging="1276"/>
      </w:pPr>
      <w:r>
        <w:t xml:space="preserve">Obrázek </w:t>
      </w:r>
      <w:r w:rsidR="00AB65E9">
        <w:fldChar w:fldCharType="begin"/>
      </w:r>
      <w:r>
        <w:instrText xml:space="preserve"> SEQ Obrázek \* ARABIC </w:instrText>
      </w:r>
      <w:r w:rsidR="00AB65E9">
        <w:fldChar w:fldCharType="separate"/>
      </w:r>
      <w:r w:rsidR="00263A1B">
        <w:rPr>
          <w:noProof/>
        </w:rPr>
        <w:t>11</w:t>
      </w:r>
      <w:r w:rsidR="00AB65E9">
        <w:fldChar w:fldCharType="end"/>
      </w:r>
      <w:r>
        <w:t xml:space="preserve">: </w:t>
      </w:r>
      <w:r w:rsidR="00393DAA">
        <w:t xml:space="preserve">Demonstrativní výčet DO </w:t>
      </w:r>
      <w:r>
        <w:t>ve vztahu ke stavebnímu zákonu v oblasti územního plánování</w:t>
      </w:r>
    </w:p>
    <w:p w:rsidR="00F24A78" w:rsidRDefault="00F24A78" w:rsidP="00F24A78">
      <w:pPr>
        <w:rPr>
          <w:noProof/>
          <w:lang w:eastAsia="cs-CZ"/>
        </w:rPr>
      </w:pPr>
      <w:r>
        <w:rPr>
          <w:noProof/>
          <w:lang w:eastAsia="cs-CZ"/>
        </w:rPr>
        <w:drawing>
          <wp:inline distT="0" distB="0" distL="0" distR="0" wp14:anchorId="11DBF07A" wp14:editId="3DA53670">
            <wp:extent cx="5720746" cy="5619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8671" cy="5627535"/>
                    </a:xfrm>
                    <a:prstGeom prst="rect">
                      <a:avLst/>
                    </a:prstGeom>
                    <a:noFill/>
                    <a:ln>
                      <a:noFill/>
                    </a:ln>
                  </pic:spPr>
                </pic:pic>
              </a:graphicData>
            </a:graphic>
          </wp:inline>
        </w:drawing>
      </w:r>
    </w:p>
    <w:p w:rsidR="00F24A78" w:rsidRDefault="00F24A78" w:rsidP="00F24A78">
      <w:pPr>
        <w:rPr>
          <w:rFonts w:eastAsia="Times New Roman"/>
          <w:i/>
          <w:iCs/>
          <w:color w:val="000000"/>
          <w:sz w:val="22"/>
          <w:szCs w:val="20"/>
          <w:lang w:eastAsia="cs-CZ"/>
        </w:rPr>
      </w:pPr>
      <w:r>
        <w:rPr>
          <w:rFonts w:eastAsia="Times New Roman"/>
          <w:i/>
          <w:iCs/>
          <w:color w:val="000000"/>
          <w:sz w:val="22"/>
          <w:szCs w:val="20"/>
          <w:lang w:eastAsia="cs-CZ"/>
        </w:rPr>
        <w:t>Zdroj: MMR</w:t>
      </w:r>
    </w:p>
    <w:p w:rsidR="00F24A78" w:rsidRDefault="00F24A78">
      <w:pPr>
        <w:spacing w:before="0" w:after="0"/>
        <w:jc w:val="left"/>
        <w:rPr>
          <w:rFonts w:eastAsia="Times New Roman"/>
          <w:b/>
          <w:bCs/>
          <w:color w:val="000000"/>
          <w:sz w:val="22"/>
          <w:szCs w:val="20"/>
          <w:lang w:eastAsia="cs-CZ"/>
        </w:rPr>
      </w:pPr>
      <w:r>
        <w:br w:type="page"/>
      </w:r>
    </w:p>
    <w:p w:rsidR="00DD54F3" w:rsidRDefault="00F24A78" w:rsidP="00616A8F">
      <w:pPr>
        <w:pStyle w:val="Titulek"/>
        <w:ind w:left="1276" w:hanging="1276"/>
      </w:pPr>
      <w:r>
        <w:lastRenderedPageBreak/>
        <w:t xml:space="preserve">Obrázek </w:t>
      </w:r>
      <w:r w:rsidR="00AB65E9">
        <w:rPr>
          <w:noProof/>
        </w:rPr>
        <w:fldChar w:fldCharType="begin"/>
      </w:r>
      <w:r>
        <w:rPr>
          <w:noProof/>
        </w:rPr>
        <w:instrText xml:space="preserve"> SEQ Obrázek \* ARABIC </w:instrText>
      </w:r>
      <w:r w:rsidR="00AB65E9">
        <w:rPr>
          <w:noProof/>
        </w:rPr>
        <w:fldChar w:fldCharType="separate"/>
      </w:r>
      <w:r w:rsidR="00263A1B">
        <w:rPr>
          <w:noProof/>
        </w:rPr>
        <w:t>12</w:t>
      </w:r>
      <w:r w:rsidR="00AB65E9">
        <w:rPr>
          <w:noProof/>
        </w:rPr>
        <w:fldChar w:fldCharType="end"/>
      </w:r>
      <w:r>
        <w:t xml:space="preserve">: </w:t>
      </w:r>
      <w:r w:rsidR="00393DAA" w:rsidRPr="00393DAA">
        <w:t xml:space="preserve">Demonstrativní výčet DO </w:t>
      </w:r>
      <w:r>
        <w:t>ve vztahu ke stavebnímu zákonu v oblasti územního rozhodování a stavebního řádu</w:t>
      </w:r>
    </w:p>
    <w:p w:rsidR="00F24A78" w:rsidRDefault="00F24A78" w:rsidP="00F24A78">
      <w:pPr>
        <w:pStyle w:val="Text-Normaln"/>
        <w:rPr>
          <w:b/>
        </w:rPr>
      </w:pPr>
      <w:r>
        <w:rPr>
          <w:noProof/>
          <w:lang w:eastAsia="cs-CZ"/>
        </w:rPr>
        <w:drawing>
          <wp:inline distT="0" distB="0" distL="0" distR="0" wp14:anchorId="0626306C" wp14:editId="021C4886">
            <wp:extent cx="5746750" cy="5659458"/>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750" cy="5659458"/>
                    </a:xfrm>
                    <a:prstGeom prst="rect">
                      <a:avLst/>
                    </a:prstGeom>
                    <a:noFill/>
                    <a:ln>
                      <a:noFill/>
                    </a:ln>
                  </pic:spPr>
                </pic:pic>
              </a:graphicData>
            </a:graphic>
          </wp:inline>
        </w:drawing>
      </w:r>
    </w:p>
    <w:p w:rsidR="00F24A78" w:rsidRDefault="00F24A78" w:rsidP="00F24A78">
      <w:pPr>
        <w:rPr>
          <w:rFonts w:eastAsia="Times New Roman"/>
          <w:i/>
          <w:iCs/>
          <w:color w:val="000000"/>
          <w:sz w:val="22"/>
          <w:szCs w:val="20"/>
          <w:lang w:eastAsia="cs-CZ"/>
        </w:rPr>
      </w:pPr>
      <w:r>
        <w:rPr>
          <w:rFonts w:eastAsia="Times New Roman"/>
          <w:i/>
          <w:iCs/>
          <w:color w:val="000000"/>
          <w:sz w:val="22"/>
          <w:szCs w:val="20"/>
          <w:lang w:eastAsia="cs-CZ"/>
        </w:rPr>
        <w:t>Zdroj: MMR</w:t>
      </w:r>
    </w:p>
    <w:p w:rsidR="00F24A78" w:rsidRDefault="00F24A78" w:rsidP="00F24A78">
      <w:pPr>
        <w:spacing w:line="24" w:lineRule="atLeast"/>
      </w:pPr>
      <w:r>
        <w:rPr>
          <w:u w:val="single"/>
        </w:rPr>
        <w:t>Vlastníci pozemků a staveb</w:t>
      </w:r>
      <w:r>
        <w:t>, na kterých má být požadovaný záměr uskutečněn; subjekt, který má věcné břemeno k pozemku, na kterém má být požadovaný záměr uskutečněn; vlastníci sousedních a přilehlých pozemků případně subjekty mající věcná břemena k těmto pozemkům, jejichž vlastnická nebo jiná práva mohou být rozhodnutím dotčena apod.</w:t>
      </w:r>
    </w:p>
    <w:p w:rsidR="00F24A78" w:rsidRPr="006E39DC" w:rsidRDefault="00AB65E9" w:rsidP="00F24A78">
      <w:pPr>
        <w:spacing w:line="24" w:lineRule="atLeast"/>
        <w:rPr>
          <w:u w:val="single"/>
        </w:rPr>
      </w:pPr>
      <w:r w:rsidRPr="006E39DC">
        <w:rPr>
          <w:u w:val="single"/>
        </w:rPr>
        <w:t>Spolky</w:t>
      </w:r>
    </w:p>
    <w:p w:rsidR="00385CE9" w:rsidRPr="00616A8F" w:rsidRDefault="00AB65E9" w:rsidP="00F24A78">
      <w:pPr>
        <w:spacing w:line="24" w:lineRule="atLeast"/>
      </w:pPr>
      <w:r w:rsidRPr="006E39DC">
        <w:t xml:space="preserve">Spolky se stávají účastníky řízení za podmínek daných zvláštním zákonem. </w:t>
      </w:r>
      <w:r w:rsidR="009E2357" w:rsidRPr="00616A8F">
        <w:t>Podle současné právní úpravy se j</w:t>
      </w:r>
      <w:r w:rsidRPr="006E39DC">
        <w:t>edná o spolky, které se zúčastnily projednávání EIA</w:t>
      </w:r>
      <w:r w:rsidR="006E39DC" w:rsidRPr="00616A8F">
        <w:t xml:space="preserve"> (vyloučení spolků, které mají za cíl ochranu přírody a krajiny je předmětem ústavní stížnosti).</w:t>
      </w:r>
    </w:p>
    <w:p w:rsidR="00F24A78" w:rsidRDefault="00F24A78" w:rsidP="00F24A78">
      <w:pPr>
        <w:spacing w:line="24" w:lineRule="atLeast"/>
        <w:rPr>
          <w:u w:val="single"/>
        </w:rPr>
      </w:pPr>
      <w:r>
        <w:rPr>
          <w:u w:val="single"/>
        </w:rPr>
        <w:t xml:space="preserve">Investoři (občané realizující stavby pro vlastní </w:t>
      </w:r>
      <w:r w:rsidRPr="00051393">
        <w:rPr>
          <w:u w:val="single"/>
        </w:rPr>
        <w:t xml:space="preserve">bydlení, </w:t>
      </w:r>
      <w:r w:rsidR="00AB65E9" w:rsidRPr="00051393">
        <w:rPr>
          <w:u w:val="single"/>
        </w:rPr>
        <w:t xml:space="preserve">ale i </w:t>
      </w:r>
      <w:r w:rsidR="00686D84" w:rsidRPr="00616A8F">
        <w:rPr>
          <w:u w:val="single"/>
        </w:rPr>
        <w:t>například</w:t>
      </w:r>
      <w:r w:rsidR="00AB65E9" w:rsidRPr="00051393">
        <w:rPr>
          <w:u w:val="single"/>
        </w:rPr>
        <w:t xml:space="preserve"> </w:t>
      </w:r>
      <w:r w:rsidR="006E39DC" w:rsidRPr="00616A8F">
        <w:rPr>
          <w:u w:val="single"/>
        </w:rPr>
        <w:t>ŘSD</w:t>
      </w:r>
      <w:r w:rsidR="00051393" w:rsidRPr="00616A8F">
        <w:rPr>
          <w:u w:val="single"/>
        </w:rPr>
        <w:t>, SŽDC</w:t>
      </w:r>
      <w:r w:rsidR="00051393">
        <w:rPr>
          <w:u w:val="single"/>
        </w:rPr>
        <w:t xml:space="preserve"> atd.</w:t>
      </w:r>
      <w:r w:rsidR="00AB65E9" w:rsidRPr="00051393">
        <w:rPr>
          <w:u w:val="single"/>
        </w:rPr>
        <w:t>)</w:t>
      </w:r>
    </w:p>
    <w:p w:rsidR="00E44D36" w:rsidRPr="0089559F" w:rsidRDefault="00F24A78" w:rsidP="00F24A78">
      <w:pPr>
        <w:spacing w:line="24" w:lineRule="atLeast"/>
      </w:pPr>
      <w:r>
        <w:t xml:space="preserve">Mezi dotčenými stranami, které sice stavební zákon nezmiňuje, nicméně budou přímo benefitovat ze změny regulace </w:t>
      </w:r>
      <w:r w:rsidR="00051393">
        <w:t xml:space="preserve">jsou například </w:t>
      </w:r>
      <w:r>
        <w:t>stavební firmy</w:t>
      </w:r>
      <w:r w:rsidR="00051393">
        <w:t xml:space="preserve"> a</w:t>
      </w:r>
      <w:r>
        <w:t xml:space="preserve"> ostatní subjekty, jimž realizované stavby poskytují ekonomický benefit aj.</w:t>
      </w:r>
    </w:p>
    <w:p w:rsidR="00F24A78" w:rsidRPr="00E44D36" w:rsidRDefault="00F24A78" w:rsidP="00C873B4">
      <w:pPr>
        <w:pStyle w:val="Nadpis2"/>
        <w:numPr>
          <w:ilvl w:val="1"/>
          <w:numId w:val="66"/>
        </w:numPr>
        <w:rPr>
          <w:rFonts w:eastAsia="Calibri"/>
        </w:rPr>
      </w:pPr>
      <w:bookmarkStart w:id="36" w:name="_Toc534419793"/>
      <w:bookmarkStart w:id="37" w:name="_Toc536553907"/>
      <w:r w:rsidRPr="00E44D36">
        <w:rPr>
          <w:rFonts w:eastAsia="Calibri"/>
        </w:rPr>
        <w:lastRenderedPageBreak/>
        <w:t>Popis cílového stavu</w:t>
      </w:r>
      <w:bookmarkEnd w:id="36"/>
      <w:bookmarkEnd w:id="37"/>
      <w:r w:rsidRPr="00E44D36">
        <w:rPr>
          <w:rFonts w:eastAsia="Calibri"/>
        </w:rPr>
        <w:t xml:space="preserve"> </w:t>
      </w:r>
    </w:p>
    <w:p w:rsidR="00F24A78" w:rsidRDefault="00F24A78" w:rsidP="00F24A78">
      <w:pPr>
        <w:pStyle w:val="Text-Normaln"/>
      </w:pPr>
      <w:r>
        <w:t xml:space="preserve">V této části </w:t>
      </w:r>
      <w:r w:rsidR="00051393">
        <w:t>je popsán</w:t>
      </w:r>
      <w:r>
        <w:t xml:space="preserve"> stručně a jasně stav, který má být rekodifikací dosažen, a to formou kvantifikovatelných cílů. Nástroje, s nimiž by cíle neměly být zaměňovány, pak budou náplní kapitoly navrhující a hodnotící konkrétní varianty. Ke stanoveným cílům pak </w:t>
      </w:r>
      <w:r w:rsidR="00051393">
        <w:t>budou přiřazeny</w:t>
      </w:r>
      <w:r>
        <w:t xml:space="preserve"> indikátory, na jejichž základě by bylo vhodné plnění cílů sledovat.</w:t>
      </w:r>
    </w:p>
    <w:p w:rsidR="00F24A78" w:rsidRDefault="00F24A78" w:rsidP="00F24A78">
      <w:pPr>
        <w:pStyle w:val="Text-Normaln"/>
        <w:rPr>
          <w:u w:val="single"/>
        </w:rPr>
      </w:pPr>
      <w:r>
        <w:rPr>
          <w:u w:val="single"/>
        </w:rPr>
        <w:t>Obecné cíle</w:t>
      </w:r>
    </w:p>
    <w:p w:rsidR="00F24B03" w:rsidRDefault="00F24A78" w:rsidP="00F24B03">
      <w:pPr>
        <w:pStyle w:val="Text-Normaln"/>
      </w:pPr>
      <w:r>
        <w:t xml:space="preserve">Podle studie Světové banky Doing Business 2019 je proces povolování staveb v </w:t>
      </w:r>
      <w:r w:rsidR="00571659">
        <w:t>ČR</w:t>
      </w:r>
      <w:r>
        <w:t xml:space="preserve"> velmi pomalý. V tomto roce se </w:t>
      </w:r>
      <w:r w:rsidR="00571659">
        <w:t>ČR</w:t>
      </w:r>
      <w:r>
        <w:t xml:space="preserve"> po srovnání indikátoru délky standardizovaného stavebního řízení (v ČR 246 dnů) umístila na 156. místě ze 190 posuzovaných zemí. </w:t>
      </w:r>
      <w:r w:rsidR="00F24B03">
        <w:t xml:space="preserve">Jako obecný cíl tak můžeme stanovit posílení konkurenceschopnosti ČR reformou veřejného stavebního práva zaměřenou na zkvalitnění a zrychlení povolovacích procesů staveb. Měřit splnění cíle bude možné na základě posunu ČR výše v žebříčku Doing Business.  </w:t>
      </w:r>
    </w:p>
    <w:p w:rsidR="00F24B03" w:rsidRDefault="00F24B03" w:rsidP="00F24B03">
      <w:pPr>
        <w:pStyle w:val="Text-Normaln"/>
        <w:rPr>
          <w:u w:val="single"/>
        </w:rPr>
      </w:pPr>
      <w:r>
        <w:rPr>
          <w:u w:val="single"/>
        </w:rPr>
        <w:t>Konkrétní cíle</w:t>
      </w:r>
    </w:p>
    <w:p w:rsidR="00F24B03" w:rsidRDefault="00F24B03" w:rsidP="00F24B03">
      <w:pPr>
        <w:pStyle w:val="Text-Normaln"/>
      </w:pPr>
      <w:r>
        <w:t xml:space="preserve">Konkrétním cílovým stavem je minimalizace ztrát plynoucích z oddalování realizace staveb, zefektivnění procesu územního plánování a povolovacích řízení, zvýšení kvality rozhodování, nezávislosti, odborné kapacity a metodického řízení stavebních úřadů, eliminace problému systémové podjatosti se současným zachováním adekvátní možnosti prosadit své zájmy všem dotčeným subjektům (lze monitorovat </w:t>
      </w:r>
      <w:r w:rsidR="00686D84">
        <w:t>například</w:t>
      </w:r>
      <w:r>
        <w:t xml:space="preserve"> na základě výsledků procesních auditů o kvalitě výkonu přenesené působnosti v agendě územního plánování a stavebních úřadů), tj.</w:t>
      </w:r>
      <w:r w:rsidRPr="00224451">
        <w:t xml:space="preserve"> zachován</w:t>
      </w:r>
      <w:r>
        <w:t>ím</w:t>
      </w:r>
      <w:r w:rsidRPr="00224451">
        <w:t xml:space="preserve"> ochran</w:t>
      </w:r>
      <w:r>
        <w:t>y</w:t>
      </w:r>
      <w:r w:rsidRPr="00224451">
        <w:t xml:space="preserve"> veřejných zájmů při profesionálním </w:t>
      </w:r>
      <w:r>
        <w:t xml:space="preserve">a správném </w:t>
      </w:r>
      <w:r w:rsidRPr="00224451">
        <w:t>úředním výkonu</w:t>
      </w:r>
      <w:r>
        <w:t xml:space="preserve">. Toto zefektivnění se může projevit celkovým zkrácením povolovacího procesu, eliminací nežádoucích jevů, které jsou podrobně popsány v kapitole </w:t>
      </w:r>
      <w:r>
        <w:rPr>
          <w:i/>
        </w:rPr>
        <w:t>1.2 Definice problému</w:t>
      </w:r>
      <w:r>
        <w:t xml:space="preserve"> či poklesem nákladovosti celého procesu a také významným nárůstem multiplikačního efektu. </w:t>
      </w:r>
    </w:p>
    <w:p w:rsidR="00F24A78" w:rsidRDefault="00F24A78" w:rsidP="00F24B03">
      <w:pPr>
        <w:pStyle w:val="Text-Normaln"/>
        <w:rPr>
          <w:u w:val="single"/>
        </w:rPr>
      </w:pPr>
      <w:r>
        <w:rPr>
          <w:u w:val="single"/>
        </w:rPr>
        <w:t>Operativní cíle</w:t>
      </w:r>
    </w:p>
    <w:p w:rsidR="00F24A78" w:rsidRDefault="00D62621" w:rsidP="00F24A78">
      <w:pPr>
        <w:pStyle w:val="Text-Normaln"/>
      </w:pPr>
      <w:r>
        <w:t>O</w:t>
      </w:r>
      <w:r w:rsidR="00F24A78">
        <w:t xml:space="preserve">perativní </w:t>
      </w:r>
      <w:r>
        <w:t>cíle</w:t>
      </w:r>
      <w:r w:rsidR="00F24A78">
        <w:t xml:space="preserve"> jsou obvykle vyjadřovány z hlediska výstupů – zboží nebo služeb, jež by změna mohla vytvořit. Dosažení těchto cílů (nebo výstupů) podléhá obvykle přímé kontrole těch, kteří činnost řídí, a může tak být přímo ověřováno.</w:t>
      </w:r>
    </w:p>
    <w:p w:rsidR="00F24A78" w:rsidRDefault="00F24A78" w:rsidP="00F24A78">
      <w:r>
        <w:t xml:space="preserve">Pro přezkum účinnosti na operativní úrovni je doporučeno sledování především oblasti délky přípravné fáze výstavby staveb. </w:t>
      </w:r>
      <w:r w:rsidR="00D62621">
        <w:t xml:space="preserve">RIA </w:t>
      </w:r>
      <w:r>
        <w:t>doporučuje sledovat následující ukazatele:</w:t>
      </w:r>
    </w:p>
    <w:p w:rsidR="00F24A78" w:rsidRDefault="00F24A78" w:rsidP="00C873B4">
      <w:pPr>
        <w:pStyle w:val="Odstavecseseznamem"/>
        <w:numPr>
          <w:ilvl w:val="0"/>
          <w:numId w:val="68"/>
        </w:numPr>
      </w:pPr>
      <w:r>
        <w:t>délku povolovacího procesu (na základě dat o podání žádosti a vydání rozhodnutí);</w:t>
      </w:r>
    </w:p>
    <w:p w:rsidR="00F24A78" w:rsidRDefault="00F24A78" w:rsidP="00C873B4">
      <w:pPr>
        <w:pStyle w:val="Odstavecseseznamem"/>
        <w:numPr>
          <w:ilvl w:val="0"/>
          <w:numId w:val="68"/>
        </w:numPr>
      </w:pPr>
      <w:r>
        <w:t xml:space="preserve">věcnou náplň problémů, které musely být v rámci povolovacího procesu řešeny a měly vliv na délku povolovacího procesu;  </w:t>
      </w:r>
    </w:p>
    <w:p w:rsidR="00F24A78" w:rsidRDefault="00F24A78" w:rsidP="00C873B4">
      <w:pPr>
        <w:pStyle w:val="Odstavecseseznamem"/>
        <w:numPr>
          <w:ilvl w:val="0"/>
          <w:numId w:val="68"/>
        </w:numPr>
      </w:pPr>
      <w:r>
        <w:t>počet úspěšných odvolání a délku odvolacího řízení v případě zachování této možnosti ochrany před správním rozhodnutím;</w:t>
      </w:r>
    </w:p>
    <w:p w:rsidR="00F24A78" w:rsidRDefault="00F24A78" w:rsidP="00C873B4">
      <w:pPr>
        <w:pStyle w:val="Odstavecseseznamem"/>
        <w:numPr>
          <w:ilvl w:val="0"/>
          <w:numId w:val="68"/>
        </w:numPr>
      </w:pPr>
      <w:r>
        <w:t>počet a délku soudních řízení;</w:t>
      </w:r>
    </w:p>
    <w:p w:rsidR="00F24A78" w:rsidRDefault="00F24A78" w:rsidP="00C873B4">
      <w:pPr>
        <w:pStyle w:val="Odstavecseseznamem"/>
        <w:numPr>
          <w:ilvl w:val="0"/>
          <w:numId w:val="68"/>
        </w:numPr>
      </w:pPr>
      <w:r>
        <w:t xml:space="preserve">stabilitu záměrů; </w:t>
      </w:r>
    </w:p>
    <w:p w:rsidR="00F24A78" w:rsidRDefault="00F24A78" w:rsidP="00C873B4">
      <w:pPr>
        <w:pStyle w:val="Odstavecseseznamem"/>
        <w:numPr>
          <w:ilvl w:val="0"/>
          <w:numId w:val="68"/>
        </w:numPr>
      </w:pPr>
      <w:r>
        <w:t xml:space="preserve">dostupnost a přesnost údajů o území </w:t>
      </w:r>
    </w:p>
    <w:p w:rsidR="00F24A78" w:rsidRDefault="00F24A78" w:rsidP="00C873B4">
      <w:pPr>
        <w:pStyle w:val="Odstavecseseznamem"/>
        <w:numPr>
          <w:ilvl w:val="0"/>
          <w:numId w:val="68"/>
        </w:numPr>
      </w:pPr>
      <w:r>
        <w:t>délku procesu pořizování aktualizací a změn ÚPD apod.</w:t>
      </w:r>
    </w:p>
    <w:p w:rsidR="00F24A78" w:rsidRPr="00E44D36" w:rsidRDefault="00F24A78" w:rsidP="00C873B4">
      <w:pPr>
        <w:pStyle w:val="Nadpis2"/>
        <w:numPr>
          <w:ilvl w:val="1"/>
          <w:numId w:val="66"/>
        </w:numPr>
        <w:rPr>
          <w:rFonts w:eastAsia="Calibri"/>
        </w:rPr>
      </w:pPr>
      <w:bookmarkStart w:id="38" w:name="_Toc534419794"/>
      <w:bookmarkStart w:id="39" w:name="_Toc536553908"/>
      <w:r w:rsidRPr="00E44D36">
        <w:rPr>
          <w:rFonts w:eastAsia="Calibri"/>
        </w:rPr>
        <w:t>Zhodnocení rizik</w:t>
      </w:r>
      <w:bookmarkEnd w:id="38"/>
      <w:bookmarkEnd w:id="39"/>
    </w:p>
    <w:p w:rsidR="00F24A78" w:rsidRDefault="00F24A78" w:rsidP="00F24A78">
      <w:pPr>
        <w:pStyle w:val="Text-Normaln"/>
      </w:pPr>
      <w:r>
        <w:t xml:space="preserve">V této části RIA </w:t>
      </w:r>
      <w:r w:rsidR="00D62621">
        <w:t xml:space="preserve">jsou shrnuta </w:t>
      </w:r>
      <w:r>
        <w:t xml:space="preserve">rizika, která jsou spojena s neřešením problému. </w:t>
      </w:r>
    </w:p>
    <w:p w:rsidR="00F24A78" w:rsidRDefault="00F24B03" w:rsidP="00F24A78">
      <w:pPr>
        <w:pStyle w:val="Text-Normaln"/>
      </w:pPr>
      <w:r>
        <w:t xml:space="preserve">V případě, že by stávající stav byl ponechán bez řešení, došlo by k dalšímu poklesu konkurenceschopnosti </w:t>
      </w:r>
      <w:r w:rsidR="00987999">
        <w:t xml:space="preserve">ČR </w:t>
      </w:r>
      <w:r>
        <w:t xml:space="preserve">v oblasti stavebnictví a regionálního rozvoje. </w:t>
      </w:r>
      <w:r w:rsidR="00F24A78">
        <w:t xml:space="preserve">Průtahy v přípravě investičních akcí by nadále vedly ke ztrátám soukromých </w:t>
      </w:r>
      <w:r w:rsidR="00DB3CE5">
        <w:t xml:space="preserve">i veřejných </w:t>
      </w:r>
      <w:r w:rsidR="00F24A78">
        <w:t>zdrojů</w:t>
      </w:r>
      <w:r w:rsidR="00DB3CE5">
        <w:t>. U</w:t>
      </w:r>
      <w:r w:rsidR="00F24A78">
        <w:t xml:space="preserve"> prostředků ze státního rozpočtu </w:t>
      </w:r>
      <w:r w:rsidR="00DB3CE5">
        <w:t xml:space="preserve">by vznikaly ztráty </w:t>
      </w:r>
      <w:r w:rsidR="00F24A78">
        <w:t>vlivem snížené efektivity vydávaných prostředků</w:t>
      </w:r>
      <w:r w:rsidR="00DB3CE5">
        <w:t xml:space="preserve">. Neřešení stávajícího stavu by </w:t>
      </w:r>
      <w:r w:rsidR="00692F26">
        <w:t>vedlo k</w:t>
      </w:r>
      <w:r w:rsidR="00DB3CE5">
        <w:t> </w:t>
      </w:r>
      <w:r w:rsidR="00F24A78">
        <w:t xml:space="preserve">ohrožování či přímo ztrátám finančních prostředků ze strukturálních </w:t>
      </w:r>
      <w:r w:rsidR="00F24A78">
        <w:lastRenderedPageBreak/>
        <w:t xml:space="preserve">fondů EU, které by nebylo možné včas čerpat z důvodu nepřipravenosti staveb, na které byly alokovány. Zpožďování výstavby by způsobovalo celospolečenské ztráty, které přináší negativní dopady na kvalitu života. </w:t>
      </w:r>
    </w:p>
    <w:p w:rsidR="00F24A78" w:rsidRDefault="00F24A78" w:rsidP="00F24A78">
      <w:pPr>
        <w:pStyle w:val="Textkomente"/>
        <w:rPr>
          <w:rFonts w:eastAsia="MS Mincho"/>
          <w:sz w:val="24"/>
          <w:szCs w:val="22"/>
        </w:rPr>
      </w:pPr>
      <w:r>
        <w:rPr>
          <w:rFonts w:eastAsia="MS Mincho"/>
          <w:sz w:val="24"/>
          <w:szCs w:val="22"/>
        </w:rPr>
        <w:t>Konkrétně budou s vysokou pravděpodobností přetrvávat problémy zmíněné v kapitole 1.2 této RIA, a to zejména</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zbytečné vynakládání státních prostředků na zaměstnance řeš</w:t>
      </w:r>
      <w:r w:rsidR="005344C5">
        <w:rPr>
          <w:rFonts w:eastAsia="MS Mincho"/>
        </w:rPr>
        <w:t>ící opakovaně složitá správní a </w:t>
      </w:r>
      <w:r>
        <w:rPr>
          <w:rFonts w:eastAsia="MS Mincho"/>
        </w:rPr>
        <w:t>soudní řízení;</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 xml:space="preserve">nízká transparentnost použití finančních prostředků na financování výkonu agend územního plánování a stavebních úřadů, příp. agend </w:t>
      </w:r>
      <w:r w:rsidR="0078162F">
        <w:rPr>
          <w:rFonts w:eastAsia="MS Mincho"/>
        </w:rPr>
        <w:t>DO</w:t>
      </w:r>
      <w:r>
        <w:rPr>
          <w:rFonts w:eastAsia="MS Mincho"/>
        </w:rPr>
        <w:t>, v přenesené působnosti;</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nedodržování závazných lhůt;</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málo aktivní a na obcích nižších typů méně kvalifikované rozhodování bez odpovědnostního dopadu;</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 xml:space="preserve">převaha důrazu na formální namísto </w:t>
      </w:r>
      <w:r w:rsidR="005C2CC6">
        <w:rPr>
          <w:rFonts w:eastAsia="MS Mincho"/>
        </w:rPr>
        <w:t xml:space="preserve">na </w:t>
      </w:r>
      <w:r>
        <w:rPr>
          <w:rFonts w:eastAsia="MS Mincho"/>
        </w:rPr>
        <w:t>věcnou stránku rozhodování o životních situacích žadatelů, a to jak fyzických, tak právnických osob;</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existence bariér rozvoji MSP;</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vysoké vynucené náklady občanů na zajištění jejich právní ochrany a násobná potřeba využití externích odborných subjektů;</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omezenost přístupu k informacím o území v jednotné srozumitelné neměnné podobě vč</w:t>
      </w:r>
      <w:r w:rsidR="00987999">
        <w:rPr>
          <w:rFonts w:eastAsia="MS Mincho"/>
        </w:rPr>
        <w:t>etné</w:t>
      </w:r>
      <w:r>
        <w:rPr>
          <w:rFonts w:eastAsia="MS Mincho"/>
        </w:rPr>
        <w:t xml:space="preserve"> přístupu k datovému archivu.</w:t>
      </w:r>
    </w:p>
    <w:p w:rsidR="00F24A78" w:rsidRDefault="00F24A78" w:rsidP="00F24A78">
      <w:pPr>
        <w:pStyle w:val="Text-Normaln"/>
      </w:pPr>
    </w:p>
    <w:p w:rsidR="00EF7338" w:rsidRDefault="00EF7338" w:rsidP="003E4A5D">
      <w:pPr>
        <w:pStyle w:val="Text-Normaln"/>
        <w:widowControl w:val="0"/>
      </w:pPr>
    </w:p>
    <w:p w:rsidR="008B37B8" w:rsidRPr="00445D47" w:rsidRDefault="008B37B8" w:rsidP="003E4A5D">
      <w:pPr>
        <w:pStyle w:val="Text-Normaln"/>
        <w:widowControl w:val="0"/>
      </w:pPr>
    </w:p>
    <w:p w:rsidR="00365A23" w:rsidRDefault="00365A23" w:rsidP="003E4A5D">
      <w:pPr>
        <w:widowControl w:val="0"/>
        <w:spacing w:before="0" w:after="0"/>
        <w:jc w:val="left"/>
        <w:rPr>
          <w:rFonts w:ascii="Cambria" w:eastAsia="Times New Roman" w:hAnsi="Cambria"/>
          <w:b/>
          <w:bCs/>
          <w:color w:val="B6B002"/>
          <w:sz w:val="28"/>
          <w:szCs w:val="28"/>
        </w:rPr>
      </w:pPr>
      <w:bookmarkStart w:id="40" w:name="_Toc433757485"/>
      <w:bookmarkEnd w:id="35"/>
      <w:r>
        <w:br w:type="page"/>
      </w:r>
    </w:p>
    <w:p w:rsidR="00C65260" w:rsidRPr="00445D47" w:rsidRDefault="00C65260" w:rsidP="003E4A5D">
      <w:pPr>
        <w:pStyle w:val="Nadpis1"/>
        <w:numPr>
          <w:ilvl w:val="0"/>
          <w:numId w:val="0"/>
        </w:numPr>
        <w:ind w:left="360" w:hanging="360"/>
      </w:pPr>
      <w:bookmarkStart w:id="41" w:name="_Toc536553909"/>
      <w:r w:rsidRPr="00445D47">
        <w:lastRenderedPageBreak/>
        <w:t xml:space="preserve">2 - </w:t>
      </w:r>
      <w:r w:rsidR="008D7C17" w:rsidRPr="00445D47">
        <w:t>3</w:t>
      </w:r>
      <w:r w:rsidRPr="00445D47">
        <w:t xml:space="preserve"> Návrh variant řešení, vyhodnocení nákladů a přínosů - hodnocení dopadů opatření jednotlivých věcně souvisejících okruhů</w:t>
      </w:r>
      <w:bookmarkEnd w:id="40"/>
      <w:bookmarkEnd w:id="41"/>
    </w:p>
    <w:p w:rsidR="004407F5" w:rsidRPr="008B37B8" w:rsidRDefault="00617F3E" w:rsidP="003E4A5D">
      <w:pPr>
        <w:widowControl w:val="0"/>
      </w:pPr>
      <w:r w:rsidRPr="008B37B8">
        <w:t xml:space="preserve">V následujících odstavcích představíme </w:t>
      </w:r>
      <w:r w:rsidR="00EE46FC" w:rsidRPr="008B37B8">
        <w:t>obecný postup výpočtu administrativních nákladů a</w:t>
      </w:r>
      <w:r w:rsidR="00E04E5C" w:rsidRPr="008B37B8">
        <w:t> </w:t>
      </w:r>
      <w:r w:rsidR="00EE46FC" w:rsidRPr="008B37B8">
        <w:t>přínosů, jejichž kategorie se budou týkat více věcných okruhů tak, aby tento postup nemusel být vícekrát rekapitulován. Konkrétní hodnoty výše nákladů a přínosů pak budou uvedeny u</w:t>
      </w:r>
      <w:r w:rsidR="00E04E5C" w:rsidRPr="008B37B8">
        <w:t> </w:t>
      </w:r>
      <w:r w:rsidR="00EE46FC" w:rsidRPr="008B37B8">
        <w:t>jednotlivých variant dle jejich reálného obsahu.</w:t>
      </w:r>
    </w:p>
    <w:p w:rsidR="00FA53CB" w:rsidRPr="0032110B" w:rsidRDefault="00FA53CB" w:rsidP="003E4A5D">
      <w:pPr>
        <w:widowControl w:val="0"/>
        <w:rPr>
          <w:u w:val="single"/>
        </w:rPr>
      </w:pPr>
      <w:r w:rsidRPr="0032110B">
        <w:rPr>
          <w:u w:val="single"/>
        </w:rPr>
        <w:t>Administrativní náklady</w:t>
      </w:r>
    </w:p>
    <w:p w:rsidR="00FA53CB" w:rsidRPr="008B37B8" w:rsidRDefault="00EC753A" w:rsidP="003E4A5D">
      <w:pPr>
        <w:widowControl w:val="0"/>
      </w:pPr>
      <w:r w:rsidRPr="008B37B8">
        <w:t>Odhad a</w:t>
      </w:r>
      <w:r w:rsidR="00FA53CB" w:rsidRPr="008B37B8">
        <w:t>dministrativní</w:t>
      </w:r>
      <w:r w:rsidRPr="008B37B8">
        <w:t>ch</w:t>
      </w:r>
      <w:r w:rsidR="00FA53CB" w:rsidRPr="008B37B8">
        <w:t xml:space="preserve"> náklad</w:t>
      </w:r>
      <w:r w:rsidRPr="008B37B8">
        <w:t>ů</w:t>
      </w:r>
      <w:r w:rsidR="00FA53CB" w:rsidRPr="008B37B8">
        <w:t xml:space="preserve"> spojen</w:t>
      </w:r>
      <w:r w:rsidRPr="008B37B8">
        <w:t>ých</w:t>
      </w:r>
      <w:r w:rsidR="00FA53CB" w:rsidRPr="008B37B8">
        <w:t xml:space="preserve"> s</w:t>
      </w:r>
      <w:r w:rsidRPr="008B37B8">
        <w:t> novými administrativními povinnostmi</w:t>
      </w:r>
      <w:r w:rsidR="00FA53CB" w:rsidRPr="008B37B8">
        <w:t xml:space="preserve"> </w:t>
      </w:r>
      <w:r w:rsidR="008B37B8">
        <w:t xml:space="preserve">či úsporami </w:t>
      </w:r>
      <w:r w:rsidR="00FA53CB" w:rsidRPr="008B37B8">
        <w:t xml:space="preserve">bude vycházet z průměrné časové náročnosti </w:t>
      </w:r>
      <w:r w:rsidR="00E802DB" w:rsidRPr="008B37B8">
        <w:t>úkonu</w:t>
      </w:r>
      <w:r w:rsidR="00FA53CB" w:rsidRPr="008B37B8">
        <w:t xml:space="preserve"> a ceny práce (včetně režijních nákladů). Pro výpočet osobních a režijních nákladů </w:t>
      </w:r>
      <w:r w:rsidR="006B17F3">
        <w:t xml:space="preserve">vycházela společnost </w:t>
      </w:r>
      <w:r w:rsidR="006B17F3" w:rsidRPr="006B17F3">
        <w:t>EEIP, a.s.</w:t>
      </w:r>
      <w:r w:rsidR="006B17F3" w:rsidRPr="008B37B8">
        <w:t xml:space="preserve"> </w:t>
      </w:r>
      <w:r w:rsidR="00FA53CB" w:rsidRPr="008B37B8">
        <w:t>z Obecných zásad hodnocení dopadů regulace a</w:t>
      </w:r>
      <w:r w:rsidR="00E04E5C" w:rsidRPr="008B37B8">
        <w:t> </w:t>
      </w:r>
      <w:r w:rsidR="00C8377F" w:rsidRPr="008B37B8">
        <w:t xml:space="preserve">rovněž </w:t>
      </w:r>
      <w:r w:rsidR="00FA53CB" w:rsidRPr="008B37B8">
        <w:t xml:space="preserve">z metodiky Ministerstva vnitra (2007) pro výpočet mzdových a režijních nákladů. </w:t>
      </w:r>
    </w:p>
    <w:tbl>
      <w:tblPr>
        <w:tblW w:w="9046" w:type="dxa"/>
        <w:jc w:val="center"/>
        <w:shd w:val="clear" w:color="auto" w:fill="D9D9D9" w:themeFill="background1" w:themeFillShade="D9"/>
        <w:tblCellMar>
          <w:left w:w="70" w:type="dxa"/>
          <w:right w:w="70" w:type="dxa"/>
        </w:tblCellMar>
        <w:tblLook w:val="00A0" w:firstRow="1" w:lastRow="0" w:firstColumn="1" w:lastColumn="0" w:noHBand="0" w:noVBand="0"/>
      </w:tblPr>
      <w:tblGrid>
        <w:gridCol w:w="1883"/>
        <w:gridCol w:w="3733"/>
        <w:gridCol w:w="3430"/>
      </w:tblGrid>
      <w:tr w:rsidR="00FA53CB" w:rsidRPr="008B37B8" w:rsidTr="00852610">
        <w:trPr>
          <w:trHeight w:val="454"/>
          <w:jc w:val="center"/>
        </w:trPr>
        <w:tc>
          <w:tcPr>
            <w:tcW w:w="9046" w:type="dxa"/>
            <w:gridSpan w:val="3"/>
            <w:shd w:val="clear" w:color="auto" w:fill="D9D9D9" w:themeFill="background1" w:themeFillShade="D9"/>
            <w:noWrap/>
            <w:vAlign w:val="center"/>
          </w:tcPr>
          <w:p w:rsidR="00022672" w:rsidRDefault="00022672" w:rsidP="003E4A5D">
            <w:pPr>
              <w:pStyle w:val="Titulek"/>
              <w:rPr>
                <w:sz w:val="20"/>
              </w:rPr>
            </w:pPr>
            <w:r>
              <w:t xml:space="preserve">Box </w:t>
            </w:r>
            <w:r w:rsidR="007F1F7C">
              <w:rPr>
                <w:noProof/>
              </w:rPr>
              <w:t>4</w:t>
            </w:r>
          </w:p>
          <w:p w:rsidR="00FA53CB" w:rsidRPr="008B37B8" w:rsidRDefault="00FA53CB" w:rsidP="003E4A5D">
            <w:pPr>
              <w:widowControl w:val="0"/>
              <w:spacing w:before="0" w:after="0"/>
              <w:rPr>
                <w:b/>
                <w:bCs/>
                <w:color w:val="000000"/>
                <w:sz w:val="20"/>
                <w:szCs w:val="20"/>
                <w:lang w:eastAsia="cs-CZ"/>
              </w:rPr>
            </w:pPr>
            <w:r w:rsidRPr="008B37B8">
              <w:rPr>
                <w:b/>
                <w:bCs/>
                <w:color w:val="000000"/>
                <w:sz w:val="20"/>
                <w:szCs w:val="20"/>
                <w:lang w:eastAsia="cs-CZ"/>
              </w:rPr>
              <w:t>Výpočet nákladů procesu (podle metodiky Ministerstva vnitra z roku 2007)</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Mzdové náklady na zaměstnance MNz= T*(1+mNS)*(1+mPO)</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xml:space="preserve">Mzdové náklady na 1 </w:t>
            </w:r>
            <w:r w:rsidR="009D15C8" w:rsidRPr="008B37B8">
              <w:rPr>
                <w:color w:val="000000"/>
                <w:sz w:val="20"/>
                <w:szCs w:val="20"/>
                <w:lang w:eastAsia="cs-CZ"/>
              </w:rPr>
              <w:t xml:space="preserve">úkon </w:t>
            </w:r>
            <w:r w:rsidRPr="008B37B8">
              <w:rPr>
                <w:color w:val="000000"/>
                <w:sz w:val="20"/>
                <w:szCs w:val="20"/>
                <w:lang w:eastAsia="cs-CZ"/>
              </w:rPr>
              <w:t>Mna=MNz*CN/160 (předpokládáme průměrný pracovní měsíc 160 hodin se zohledněním dovolených)</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xml:space="preserve">Režijní náklady na 1 </w:t>
            </w:r>
            <w:r w:rsidR="009D15C8" w:rsidRPr="008B37B8">
              <w:rPr>
                <w:color w:val="000000"/>
                <w:sz w:val="20"/>
                <w:szCs w:val="20"/>
                <w:lang w:eastAsia="cs-CZ"/>
              </w:rPr>
              <w:t xml:space="preserve">úkon </w:t>
            </w:r>
            <w:r w:rsidRPr="008B37B8">
              <w:rPr>
                <w:color w:val="000000"/>
                <w:sz w:val="20"/>
                <w:szCs w:val="20"/>
                <w:lang w:eastAsia="cs-CZ"/>
              </w:rPr>
              <w:t>Rna=Mna*mRN</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kde:</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w:t>
            </w:r>
          </w:p>
        </w:tc>
        <w:tc>
          <w:tcPr>
            <w:tcW w:w="3733" w:type="dxa"/>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w:t>
            </w:r>
          </w:p>
        </w:tc>
        <w:tc>
          <w:tcPr>
            <w:tcW w:w="3430"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Hodnota (v případě že je stanovena)</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T</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 xml:space="preserve">Měsíční hrubá mzda podle platového tarifu </w:t>
            </w:r>
            <w:r w:rsidR="009D15C8" w:rsidRPr="008B37B8">
              <w:rPr>
                <w:color w:val="000000"/>
                <w:sz w:val="20"/>
                <w:szCs w:val="20"/>
                <w:lang w:eastAsia="cs-CZ"/>
              </w:rPr>
              <w:t>a</w:t>
            </w:r>
            <w:r w:rsidRPr="008B37B8">
              <w:rPr>
                <w:color w:val="000000"/>
                <w:sz w:val="20"/>
                <w:szCs w:val="20"/>
                <w:lang w:eastAsia="cs-CZ"/>
              </w:rPr>
              <w:t xml:space="preserve"> platov</w:t>
            </w:r>
            <w:r w:rsidR="009D15C8" w:rsidRPr="008B37B8">
              <w:rPr>
                <w:color w:val="000000"/>
                <w:sz w:val="20"/>
                <w:szCs w:val="20"/>
                <w:lang w:eastAsia="cs-CZ"/>
              </w:rPr>
              <w:t>ého</w:t>
            </w:r>
            <w:r w:rsidRPr="008B37B8">
              <w:rPr>
                <w:color w:val="000000"/>
                <w:sz w:val="20"/>
                <w:szCs w:val="20"/>
                <w:lang w:eastAsia="cs-CZ"/>
              </w:rPr>
              <w:t xml:space="preserve"> stup</w:t>
            </w:r>
            <w:r w:rsidR="009D15C8" w:rsidRPr="008B37B8">
              <w:rPr>
                <w:color w:val="000000"/>
                <w:sz w:val="20"/>
                <w:szCs w:val="20"/>
                <w:lang w:eastAsia="cs-CZ"/>
              </w:rPr>
              <w:t>ně</w:t>
            </w:r>
            <w:r w:rsidRPr="008B37B8">
              <w:rPr>
                <w:color w:val="000000"/>
                <w:sz w:val="20"/>
                <w:szCs w:val="20"/>
                <w:lang w:eastAsia="cs-CZ"/>
              </w:rPr>
              <w:t xml:space="preserve"> </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Je stanovena podle zařazení zaměstnance</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mNS</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netarifních složek platu</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0,2</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mPO</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povinných odvodů</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0,34</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CN</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 xml:space="preserve">Časová náročnost </w:t>
            </w:r>
            <w:r w:rsidR="009D15C8" w:rsidRPr="008B37B8">
              <w:rPr>
                <w:color w:val="000000"/>
                <w:sz w:val="20"/>
                <w:szCs w:val="20"/>
                <w:lang w:eastAsia="cs-CZ"/>
              </w:rPr>
              <w:t xml:space="preserve">úkonu </w:t>
            </w:r>
            <w:r w:rsidRPr="008B37B8">
              <w:rPr>
                <w:color w:val="000000"/>
                <w:sz w:val="20"/>
                <w:szCs w:val="20"/>
                <w:lang w:eastAsia="cs-CZ"/>
              </w:rPr>
              <w:t>(v hodinách)</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X</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mRN</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režijních nákladů</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0,43</w:t>
            </w:r>
          </w:p>
        </w:tc>
      </w:tr>
    </w:tbl>
    <w:p w:rsidR="00FA53CB" w:rsidRPr="008B37B8" w:rsidRDefault="00A701CD" w:rsidP="003E4A5D">
      <w:pPr>
        <w:widowControl w:val="0"/>
      </w:pPr>
      <w:r w:rsidRPr="003B6334">
        <w:t xml:space="preserve">Pro účely výpočtu </w:t>
      </w:r>
      <w:r w:rsidR="006B17F3" w:rsidRPr="003B6334">
        <w:t xml:space="preserve">pracovala společnost </w:t>
      </w:r>
      <w:r w:rsidR="006B17F3" w:rsidRPr="00FF7321">
        <w:t>EEIP, a.s.</w:t>
      </w:r>
      <w:r w:rsidRPr="003B6334">
        <w:t xml:space="preserve"> s 11. třídou a 6. stupněm platové tabulky – tj. 25 860 Kč měsíčně (10. a 11. platová třída jsou nejčetnějším zařazením zaměstnanců </w:t>
      </w:r>
      <w:r w:rsidR="00172D29">
        <w:t>obecných stavebních úřadů</w:t>
      </w:r>
      <w:r w:rsidRPr="003B6334">
        <w:t xml:space="preserve">). Celkové náklady oproti platovému tarifu (tj. včetně netarifních složek platu, povinných odvodů zaměstnavatele a režijních nákladů) budou 59 470 Kč měsíčně, 372 Kč za hodinu práce při výkonu administrativní činnosti. </w:t>
      </w:r>
      <w:r w:rsidR="00FA53CB" w:rsidRPr="00FF7321">
        <w:t>Celkové</w:t>
      </w:r>
      <w:r w:rsidRPr="00FF7321">
        <w:t xml:space="preserve"> </w:t>
      </w:r>
      <w:r w:rsidR="00FA53CB" w:rsidRPr="00FF7321">
        <w:t>administrativní náklady</w:t>
      </w:r>
      <w:r w:rsidR="00722888" w:rsidRPr="00FF7321">
        <w:t xml:space="preserve"> jednotlivých variant</w:t>
      </w:r>
      <w:r w:rsidR="00FA53CB" w:rsidRPr="00FF7321">
        <w:t xml:space="preserve"> </w:t>
      </w:r>
      <w:r w:rsidR="00722888" w:rsidRPr="00FF7321">
        <w:t>p</w:t>
      </w:r>
      <w:r w:rsidR="00FA53CB" w:rsidRPr="00FF7321">
        <w:t>ak budou následující:</w:t>
      </w:r>
    </w:p>
    <w:p w:rsidR="00FA53CB" w:rsidRPr="008B37B8" w:rsidRDefault="00FA53CB" w:rsidP="003E4A5D">
      <w:pPr>
        <w:widowControl w:val="0"/>
        <w:rPr>
          <w:i/>
        </w:rPr>
      </w:pPr>
      <m:oMath>
        <m:r>
          <w:rPr>
            <w:rFonts w:ascii="Cambria Math" w:hAnsi="Cambria Math"/>
          </w:rPr>
          <m:t>AN=372 Kč*X*Y</m:t>
        </m:r>
      </m:oMath>
      <w:r w:rsidRPr="008B37B8">
        <w:rPr>
          <w:i/>
        </w:rPr>
        <w:t xml:space="preserve"> </w:t>
      </w:r>
    </w:p>
    <w:p w:rsidR="00FA53CB" w:rsidRPr="008B37B8" w:rsidRDefault="00FA53CB" w:rsidP="003E4A5D">
      <w:pPr>
        <w:widowControl w:val="0"/>
      </w:pPr>
      <w:r w:rsidRPr="008B37B8">
        <w:t>kde:</w:t>
      </w:r>
    </w:p>
    <w:p w:rsidR="00FA53CB" w:rsidRPr="008B37B8" w:rsidRDefault="00FA53CB" w:rsidP="003E4A5D">
      <w:pPr>
        <w:widowControl w:val="0"/>
      </w:pPr>
      <w:r w:rsidRPr="008B37B8">
        <w:t>AN</w:t>
      </w:r>
      <w:r w:rsidR="003530BF">
        <w:t xml:space="preserve"> </w:t>
      </w:r>
      <w:r w:rsidRPr="008B37B8">
        <w:tab/>
      </w:r>
      <w:r w:rsidRPr="008B37B8">
        <w:tab/>
        <w:t>jsou administrativní náklady</w:t>
      </w:r>
    </w:p>
    <w:p w:rsidR="00FA53CB" w:rsidRPr="008B37B8" w:rsidRDefault="00FA53CB" w:rsidP="003E4A5D">
      <w:pPr>
        <w:widowControl w:val="0"/>
      </w:pPr>
      <w:r w:rsidRPr="008B37B8">
        <w:t>X</w:t>
      </w:r>
      <w:r w:rsidRPr="008B37B8">
        <w:tab/>
      </w:r>
      <w:r w:rsidRPr="008B37B8">
        <w:tab/>
      </w:r>
      <w:r w:rsidR="003530BF">
        <w:t xml:space="preserve"> </w:t>
      </w:r>
      <w:r w:rsidRPr="008B37B8">
        <w:t xml:space="preserve">je průměrná časová náročnost </w:t>
      </w:r>
      <w:r w:rsidR="006F6A9E" w:rsidRPr="008B37B8">
        <w:t>administrativního úkonu</w:t>
      </w:r>
      <w:r w:rsidRPr="008B37B8">
        <w:t xml:space="preserve"> (v hodinách)</w:t>
      </w:r>
    </w:p>
    <w:p w:rsidR="00FA53CB" w:rsidRPr="008B37B8" w:rsidRDefault="00FA53CB" w:rsidP="003E4A5D">
      <w:pPr>
        <w:widowControl w:val="0"/>
      </w:pPr>
      <w:r w:rsidRPr="008B37B8">
        <w:t>Y</w:t>
      </w:r>
      <w:r w:rsidR="003530BF">
        <w:t xml:space="preserve"> </w:t>
      </w:r>
      <w:r w:rsidRPr="008B37B8">
        <w:tab/>
      </w:r>
      <w:r w:rsidRPr="008B37B8">
        <w:tab/>
        <w:t xml:space="preserve">je průměrný počet </w:t>
      </w:r>
      <w:r w:rsidR="006F6A9E" w:rsidRPr="008B37B8">
        <w:t>úkonů</w:t>
      </w:r>
      <w:r w:rsidRPr="008B37B8">
        <w:t xml:space="preserve">. </w:t>
      </w:r>
    </w:p>
    <w:p w:rsidR="00FA53CB" w:rsidRDefault="00722888" w:rsidP="003E4A5D">
      <w:pPr>
        <w:widowControl w:val="0"/>
      </w:pPr>
      <w:r w:rsidRPr="008B37B8">
        <w:t>U</w:t>
      </w:r>
      <w:r w:rsidR="00FA53CB" w:rsidRPr="008B37B8">
        <w:t xml:space="preserve"> soukrom</w:t>
      </w:r>
      <w:r w:rsidRPr="008B37B8">
        <w:t>ých</w:t>
      </w:r>
      <w:r w:rsidR="00FA53CB" w:rsidRPr="008B37B8">
        <w:t xml:space="preserve"> subjekt</w:t>
      </w:r>
      <w:r w:rsidRPr="008B37B8">
        <w:t xml:space="preserve">ů budeme pracovat s </w:t>
      </w:r>
      <w:r w:rsidR="003530BF">
        <w:t>c</w:t>
      </w:r>
      <w:r w:rsidRPr="008B37B8">
        <w:t>ca 1,1násob</w:t>
      </w:r>
      <w:r w:rsidR="00FA53CB" w:rsidRPr="008B37B8">
        <w:t>k</w:t>
      </w:r>
      <w:r w:rsidRPr="008B37B8">
        <w:t>em</w:t>
      </w:r>
      <w:r w:rsidR="00FA53CB" w:rsidRPr="008B37B8">
        <w:t>.</w:t>
      </w:r>
    </w:p>
    <w:p w:rsidR="003176F5" w:rsidRPr="00445D47" w:rsidRDefault="00C63EA8" w:rsidP="003E4A5D">
      <w:pPr>
        <w:widowControl w:val="0"/>
      </w:pPr>
      <w:r>
        <w:t>Ještě je třeba zmínit, že h</w:t>
      </w:r>
      <w:r w:rsidRPr="00F17D93">
        <w:t>odnocení dopadů se nezabývá a nevyčísl</w:t>
      </w:r>
      <w:r w:rsidR="005344C5">
        <w:t>uje absolutní výši aktuálních a </w:t>
      </w:r>
      <w:r w:rsidRPr="00F17D93">
        <w:t xml:space="preserve">budoucích nákladů a přínosů, ale kvantifikuje jejich změnu (tj. nárůst či pokles) po zavedení </w:t>
      </w:r>
      <w:r w:rsidRPr="00F17D93">
        <w:lastRenderedPageBreak/>
        <w:t>vybraných variant. RIA kalkuluje s nejvýznamnějšími dopady na veškeré dotčené strany, marginální náklady a přínosy jsou hodnoceny jako zanedbatelné a nejsou pro jejich nepodstatnost detailně rozebírány.</w:t>
      </w:r>
    </w:p>
    <w:p w:rsidR="009D7687" w:rsidRPr="00486BB0" w:rsidRDefault="004540F4" w:rsidP="003E4A5D">
      <w:pPr>
        <w:pStyle w:val="Nadpis2a"/>
        <w:widowControl w:val="0"/>
      </w:pPr>
      <w:bookmarkStart w:id="42" w:name="_Toc536553910"/>
      <w:r w:rsidRPr="00486BB0">
        <w:t>INSTITUCIONÁLNÍ ZMĚNY</w:t>
      </w:r>
      <w:bookmarkEnd w:id="42"/>
    </w:p>
    <w:p w:rsidR="00F8483B" w:rsidRDefault="00F8483B" w:rsidP="002D3BD1">
      <w:pPr>
        <w:pStyle w:val="Nadpis3a"/>
        <w:widowControl w:val="0"/>
        <w:ind w:left="567" w:hanging="567"/>
      </w:pPr>
      <w:bookmarkStart w:id="43" w:name="_Toc536553911"/>
      <w:r>
        <w:t>Struktura</w:t>
      </w:r>
      <w:r w:rsidR="0011797D">
        <w:t xml:space="preserve"> </w:t>
      </w:r>
      <w:r w:rsidR="00C90B80">
        <w:t>orgánů</w:t>
      </w:r>
      <w:r w:rsidR="00200FA0">
        <w:t xml:space="preserve"> územního plánování a </w:t>
      </w:r>
      <w:r w:rsidR="0011797D">
        <w:t>stavebních úřadů</w:t>
      </w:r>
      <w:bookmarkEnd w:id="43"/>
    </w:p>
    <w:p w:rsidR="008416A6" w:rsidRPr="0076394C" w:rsidRDefault="008416A6" w:rsidP="0076394C">
      <w:pPr>
        <w:pStyle w:val="Nadpis3a"/>
        <w:numPr>
          <w:ilvl w:val="0"/>
          <w:numId w:val="0"/>
        </w:numPr>
      </w:pPr>
      <w:bookmarkStart w:id="44" w:name="_Toc536553912"/>
      <w:r w:rsidRPr="0076394C">
        <w:t>A.1.1 Popis současného stavu</w:t>
      </w:r>
      <w:bookmarkEnd w:id="44"/>
    </w:p>
    <w:p w:rsidR="00506C4F" w:rsidRDefault="00506C4F" w:rsidP="003E4A5D">
      <w:pPr>
        <w:pStyle w:val="Text-Normaln"/>
        <w:widowControl w:val="0"/>
      </w:pPr>
      <w:r>
        <w:t xml:space="preserve">Podle </w:t>
      </w:r>
      <w:r w:rsidR="00BA30EC">
        <w:t>stávajícího stavebního zákona</w:t>
      </w:r>
      <w:r>
        <w:t xml:space="preserve"> vykonávají působnost na úseku územního plánování orgány územního plánování.</w:t>
      </w:r>
    </w:p>
    <w:p w:rsidR="00506C4F" w:rsidRDefault="00506C4F" w:rsidP="003E4A5D">
      <w:pPr>
        <w:pStyle w:val="Text-Normaln"/>
        <w:widowControl w:val="0"/>
      </w:pPr>
      <w:r>
        <w:t xml:space="preserve">Orgány územního plánování </w:t>
      </w:r>
      <w:r w:rsidR="00A10E86">
        <w:t>(OÚP</w:t>
      </w:r>
      <w:r w:rsidR="00647D6D">
        <w:t>, příp. ÚÚP</w:t>
      </w:r>
      <w:r w:rsidR="00A10E86">
        <w:t xml:space="preserve">) </w:t>
      </w:r>
      <w:r>
        <w:t>jsou:</w:t>
      </w:r>
    </w:p>
    <w:p w:rsidR="00506C4F" w:rsidRDefault="00506C4F" w:rsidP="003E4A5D">
      <w:pPr>
        <w:pStyle w:val="Text-Normaln"/>
        <w:widowControl w:val="0"/>
        <w:numPr>
          <w:ilvl w:val="0"/>
          <w:numId w:val="29"/>
        </w:numPr>
      </w:pPr>
      <w:r>
        <w:t>orgány obcí,</w:t>
      </w:r>
    </w:p>
    <w:p w:rsidR="00506C4F" w:rsidRDefault="00506C4F" w:rsidP="003E4A5D">
      <w:pPr>
        <w:pStyle w:val="Text-Normaln"/>
        <w:widowControl w:val="0"/>
        <w:numPr>
          <w:ilvl w:val="0"/>
          <w:numId w:val="29"/>
        </w:numPr>
      </w:pPr>
      <w:r>
        <w:t>orgány krajů,</w:t>
      </w:r>
    </w:p>
    <w:p w:rsidR="00506C4F" w:rsidRDefault="00506C4F" w:rsidP="003E4A5D">
      <w:pPr>
        <w:pStyle w:val="Text-Normaln"/>
        <w:widowControl w:val="0"/>
        <w:numPr>
          <w:ilvl w:val="0"/>
          <w:numId w:val="29"/>
        </w:numPr>
      </w:pPr>
      <w:r>
        <w:t>Ministerstvo pro místní rozvoj,</w:t>
      </w:r>
    </w:p>
    <w:p w:rsidR="00175422" w:rsidRDefault="00506C4F" w:rsidP="003E4A5D">
      <w:pPr>
        <w:pStyle w:val="Text-Normaln"/>
        <w:widowControl w:val="0"/>
        <w:numPr>
          <w:ilvl w:val="0"/>
          <w:numId w:val="29"/>
        </w:numPr>
      </w:pPr>
      <w:r>
        <w:t>Ministerstvo obrany a újezdní úřady.</w:t>
      </w:r>
    </w:p>
    <w:p w:rsidR="00506C4F" w:rsidRDefault="00271B14" w:rsidP="003E4A5D">
      <w:pPr>
        <w:pStyle w:val="Text-Normaln"/>
        <w:widowControl w:val="0"/>
      </w:pPr>
      <w:r w:rsidRPr="00271B14">
        <w:t>Orgány obce a kraje vykonávají působnost ve věcech územního plánování podle zákona jako působnost přenesenou, nestanoví-li zákon, že o věci rozhoduje zastupitelstvo obce nebo kraje.</w:t>
      </w:r>
    </w:p>
    <w:p w:rsidR="00271B14" w:rsidRPr="00271B14" w:rsidRDefault="006B17F3" w:rsidP="003E4A5D">
      <w:pPr>
        <w:pStyle w:val="Text-Normaln"/>
        <w:widowControl w:val="0"/>
      </w:pPr>
      <w:r>
        <w:t>Stávající s</w:t>
      </w:r>
      <w:r w:rsidR="00271B14" w:rsidRPr="00271B14">
        <w:t xml:space="preserve">tavební zákon svěřuje výkon státní správy na úseku územního </w:t>
      </w:r>
      <w:r w:rsidR="00172D29">
        <w:t>rozhodování</w:t>
      </w:r>
      <w:r w:rsidR="00172D29" w:rsidRPr="00271B14">
        <w:t xml:space="preserve"> a</w:t>
      </w:r>
      <w:r w:rsidR="00172D29">
        <w:t> </w:t>
      </w:r>
      <w:r w:rsidR="00271B14" w:rsidRPr="00271B14">
        <w:t>stavebního řádu soustavě stavebních úřadů. Stavební úřady se člení na:</w:t>
      </w:r>
    </w:p>
    <w:p w:rsidR="00271B14" w:rsidRPr="00271B14" w:rsidRDefault="00271B14" w:rsidP="003E4A5D">
      <w:pPr>
        <w:pStyle w:val="Text-Normaln"/>
        <w:widowControl w:val="0"/>
        <w:numPr>
          <w:ilvl w:val="0"/>
          <w:numId w:val="31"/>
        </w:numPr>
      </w:pPr>
      <w:r w:rsidRPr="00271B14">
        <w:t>obecné stavební úřady,</w:t>
      </w:r>
    </w:p>
    <w:p w:rsidR="00271B14" w:rsidRPr="00271B14" w:rsidRDefault="00271B14" w:rsidP="003E4A5D">
      <w:pPr>
        <w:pStyle w:val="Text-Normaln"/>
        <w:widowControl w:val="0"/>
        <w:numPr>
          <w:ilvl w:val="0"/>
          <w:numId w:val="31"/>
        </w:numPr>
      </w:pPr>
      <w:r w:rsidRPr="00271B14">
        <w:t>speciální stavební úřady,</w:t>
      </w:r>
    </w:p>
    <w:p w:rsidR="00271B14" w:rsidRPr="00271B14" w:rsidRDefault="00271B14" w:rsidP="003E4A5D">
      <w:pPr>
        <w:pStyle w:val="Text-Normaln"/>
        <w:widowControl w:val="0"/>
        <w:numPr>
          <w:ilvl w:val="0"/>
          <w:numId w:val="31"/>
        </w:numPr>
      </w:pPr>
      <w:r w:rsidRPr="00271B14">
        <w:t>vojenské stavební úřady,</w:t>
      </w:r>
    </w:p>
    <w:p w:rsidR="00271B14" w:rsidRPr="00271B14" w:rsidRDefault="00271B14" w:rsidP="003E4A5D">
      <w:pPr>
        <w:pStyle w:val="Text-Normaln"/>
        <w:widowControl w:val="0"/>
        <w:numPr>
          <w:ilvl w:val="0"/>
          <w:numId w:val="31"/>
        </w:numPr>
      </w:pPr>
      <w:r w:rsidRPr="00271B14">
        <w:t>jiné stavební úřady.</w:t>
      </w:r>
    </w:p>
    <w:p w:rsidR="00271B14" w:rsidRPr="00271B14" w:rsidRDefault="00271B14" w:rsidP="003E4A5D">
      <w:pPr>
        <w:pStyle w:val="Text-Normaln"/>
        <w:widowControl w:val="0"/>
      </w:pPr>
      <w:r w:rsidRPr="00271B14">
        <w:t xml:space="preserve">Ad a) Obecným stavebním úřadem </w:t>
      </w:r>
      <w:r w:rsidR="00A10E86">
        <w:t xml:space="preserve">(OSÚ) </w:t>
      </w:r>
      <w:r w:rsidRPr="00271B14">
        <w:t xml:space="preserve">podle § 13 </w:t>
      </w:r>
      <w:r w:rsidR="003A42B0">
        <w:t>SZ</w:t>
      </w:r>
      <w:r w:rsidRPr="00271B14">
        <w:t xml:space="preserve"> je:</w:t>
      </w:r>
    </w:p>
    <w:p w:rsidR="00271B14" w:rsidRPr="00271B14" w:rsidRDefault="00271B14" w:rsidP="003E4A5D">
      <w:pPr>
        <w:pStyle w:val="Text-Normaln"/>
        <w:widowControl w:val="0"/>
        <w:numPr>
          <w:ilvl w:val="0"/>
          <w:numId w:val="32"/>
        </w:numPr>
      </w:pPr>
      <w:r w:rsidRPr="00271B14">
        <w:t>Ministerstvo pro místní rozvoj,</w:t>
      </w:r>
    </w:p>
    <w:p w:rsidR="00271B14" w:rsidRPr="00271B14" w:rsidRDefault="00271B14" w:rsidP="003E4A5D">
      <w:pPr>
        <w:pStyle w:val="Text-Normaln"/>
        <w:widowControl w:val="0"/>
        <w:numPr>
          <w:ilvl w:val="0"/>
          <w:numId w:val="32"/>
        </w:numPr>
      </w:pPr>
      <w:r w:rsidRPr="00271B14">
        <w:t>krajský úřad,</w:t>
      </w:r>
    </w:p>
    <w:p w:rsidR="00271B14" w:rsidRPr="00271B14" w:rsidRDefault="00271B14" w:rsidP="003E4A5D">
      <w:pPr>
        <w:pStyle w:val="Text-Normaln"/>
        <w:widowControl w:val="0"/>
        <w:numPr>
          <w:ilvl w:val="0"/>
          <w:numId w:val="32"/>
        </w:numPr>
      </w:pPr>
      <w:r w:rsidRPr="00271B14">
        <w:t>obecní úřad obce s rozšířenou působností,</w:t>
      </w:r>
    </w:p>
    <w:p w:rsidR="00271B14" w:rsidRPr="00271B14" w:rsidRDefault="00271B14" w:rsidP="003E4A5D">
      <w:pPr>
        <w:pStyle w:val="Text-Normaln"/>
        <w:widowControl w:val="0"/>
        <w:numPr>
          <w:ilvl w:val="0"/>
          <w:numId w:val="32"/>
        </w:numPr>
      </w:pPr>
      <w:r w:rsidRPr="00271B14">
        <w:t>pověřený obecní úřad</w:t>
      </w:r>
      <w:r w:rsidR="003530BF">
        <w:t>,</w:t>
      </w:r>
    </w:p>
    <w:p w:rsidR="00271B14" w:rsidRPr="00271B14" w:rsidRDefault="00271B14" w:rsidP="003E4A5D">
      <w:pPr>
        <w:pStyle w:val="Text-Normaln"/>
        <w:widowControl w:val="0"/>
        <w:numPr>
          <w:ilvl w:val="0"/>
          <w:numId w:val="32"/>
        </w:numPr>
      </w:pPr>
      <w:r w:rsidRPr="00271B14">
        <w:t>městský a obecní úřad, který tuto působnost vykonával ke dni 31. 12. 2012.</w:t>
      </w:r>
    </w:p>
    <w:p w:rsidR="00271B14" w:rsidRPr="00271B14" w:rsidRDefault="00172D29" w:rsidP="003E4A5D">
      <w:pPr>
        <w:pStyle w:val="Text-Normaln"/>
        <w:widowControl w:val="0"/>
      </w:pPr>
      <w:r>
        <w:t>OÚS</w:t>
      </w:r>
      <w:r w:rsidR="00271B14" w:rsidRPr="00271B14">
        <w:t xml:space="preserve"> jsou základním článkem soustavy stavebních úřadů. Mají postavení orgánů státní správy </w:t>
      </w:r>
      <w:r w:rsidRPr="00271B14">
        <w:t>s</w:t>
      </w:r>
      <w:r>
        <w:t> </w:t>
      </w:r>
      <w:r w:rsidR="00271B14" w:rsidRPr="00271B14">
        <w:t xml:space="preserve">„univerzální“ působností ve věcech územního rozhodování a stavebního řádu a jsou příslušné </w:t>
      </w:r>
      <w:r w:rsidRPr="00271B14">
        <w:t>i</w:t>
      </w:r>
      <w:r>
        <w:t> </w:t>
      </w:r>
      <w:r w:rsidR="00271B14" w:rsidRPr="00271B14">
        <w:t xml:space="preserve">v dalších věcech, stanovených zákonem, včetně správního trestání. Působnost vykonávají </w:t>
      </w:r>
      <w:r>
        <w:t>OÚS</w:t>
      </w:r>
      <w:r w:rsidR="00271B14" w:rsidRPr="00271B14">
        <w:t xml:space="preserve"> (kromě ministerstva) jako působnost přenesenou.</w:t>
      </w:r>
      <w:r w:rsidR="00271B14">
        <w:t xml:space="preserve"> (RIA MMR)</w:t>
      </w:r>
    </w:p>
    <w:p w:rsidR="00271B14" w:rsidRPr="00271B14" w:rsidRDefault="00271B14" w:rsidP="003E4A5D">
      <w:pPr>
        <w:pStyle w:val="Text-Normaln"/>
        <w:widowControl w:val="0"/>
      </w:pPr>
      <w:r w:rsidRPr="00271B14">
        <w:t xml:space="preserve">Ad b) Speciálním stavebním úřadem </w:t>
      </w:r>
      <w:r w:rsidR="00A10E86">
        <w:t xml:space="preserve">(SSÚ) </w:t>
      </w:r>
      <w:r w:rsidRPr="00271B14">
        <w:t xml:space="preserve">podle § 15 </w:t>
      </w:r>
      <w:r w:rsidR="003A42B0">
        <w:t>SZ</w:t>
      </w:r>
      <w:r w:rsidRPr="00271B14">
        <w:t xml:space="preserve"> </w:t>
      </w:r>
      <w:r w:rsidR="003A42B0">
        <w:t>je</w:t>
      </w:r>
      <w:r w:rsidRPr="00271B14">
        <w:t>:</w:t>
      </w:r>
    </w:p>
    <w:p w:rsidR="00271B14" w:rsidRPr="00271B14" w:rsidRDefault="00271B14" w:rsidP="003E4A5D">
      <w:pPr>
        <w:pStyle w:val="Text-Normaln"/>
        <w:widowControl w:val="0"/>
        <w:numPr>
          <w:ilvl w:val="0"/>
          <w:numId w:val="33"/>
        </w:numPr>
      </w:pPr>
      <w:r w:rsidRPr="00271B14">
        <w:t>Úřad pro civilní letectví u staveb leteckých,</w:t>
      </w:r>
    </w:p>
    <w:p w:rsidR="00271B14" w:rsidRPr="00271B14" w:rsidRDefault="00271B14" w:rsidP="003E4A5D">
      <w:pPr>
        <w:pStyle w:val="Text-Normaln"/>
        <w:widowControl w:val="0"/>
        <w:numPr>
          <w:ilvl w:val="0"/>
          <w:numId w:val="33"/>
        </w:numPr>
      </w:pPr>
      <w:r w:rsidRPr="00271B14">
        <w:t>Drážní správní úřady u staveb drah a na dráze, včetně zařízení na dráze,</w:t>
      </w:r>
    </w:p>
    <w:p w:rsidR="00271B14" w:rsidRPr="00271B14" w:rsidRDefault="00271B14" w:rsidP="003E4A5D">
      <w:pPr>
        <w:pStyle w:val="Text-Normaln"/>
        <w:widowControl w:val="0"/>
        <w:numPr>
          <w:ilvl w:val="0"/>
          <w:numId w:val="33"/>
        </w:numPr>
      </w:pPr>
      <w:r w:rsidRPr="00271B14">
        <w:t>Silniční správní úřady u staveb dálnic, silnic, místních komunikací a veřejně přístupných účelových komunikací, konkrétně podle § 40 zákona č. 13/1997 Sb., o pozemních komunikacích, jsou jimi:</w:t>
      </w:r>
    </w:p>
    <w:p w:rsidR="00271B14" w:rsidRPr="00271B14" w:rsidRDefault="003530BF" w:rsidP="00837A41">
      <w:pPr>
        <w:pStyle w:val="Text-Normaln"/>
        <w:widowControl w:val="0"/>
        <w:numPr>
          <w:ilvl w:val="1"/>
          <w:numId w:val="33"/>
        </w:numPr>
      </w:pPr>
      <w:r>
        <w:tab/>
      </w:r>
      <w:r>
        <w:tab/>
      </w:r>
      <w:r w:rsidR="00271B14" w:rsidRPr="00271B14">
        <w:t>Ministerstvo dopravy ve věcech dálnic a rychlostních silnic,</w:t>
      </w:r>
    </w:p>
    <w:p w:rsidR="00271B14" w:rsidRPr="00271B14" w:rsidRDefault="00271B14" w:rsidP="003E4A5D">
      <w:pPr>
        <w:pStyle w:val="Text-Normaln"/>
        <w:widowControl w:val="0"/>
        <w:numPr>
          <w:ilvl w:val="1"/>
          <w:numId w:val="33"/>
        </w:numPr>
      </w:pPr>
      <w:r w:rsidRPr="00271B14">
        <w:t>krajský úřad ve věcech silnic I. třídy,</w:t>
      </w:r>
    </w:p>
    <w:p w:rsidR="00271B14" w:rsidRPr="00271B14" w:rsidRDefault="00271B14" w:rsidP="003E4A5D">
      <w:pPr>
        <w:pStyle w:val="Text-Normaln"/>
        <w:widowControl w:val="0"/>
        <w:numPr>
          <w:ilvl w:val="1"/>
          <w:numId w:val="33"/>
        </w:numPr>
      </w:pPr>
      <w:r w:rsidRPr="00271B14">
        <w:lastRenderedPageBreak/>
        <w:t>obecní úřad obce s rozšířenou působností ve věcech silnic II. a III. třídy, místních komunikací a veřejně přístupných účelových komunikací</w:t>
      </w:r>
      <w:r w:rsidR="00A10E86">
        <w:t xml:space="preserve"> </w:t>
      </w:r>
      <w:r w:rsidR="00A30461">
        <w:rPr>
          <w:rFonts w:ascii="Times New Roman" w:hAnsi="Times New Roman"/>
        </w:rPr>
        <w:t>[</w:t>
      </w:r>
      <w:r w:rsidR="00A10E86">
        <w:t xml:space="preserve">a) – d) </w:t>
      </w:r>
      <w:r w:rsidR="00A30461">
        <w:t>(</w:t>
      </w:r>
      <w:r w:rsidR="00A10E86">
        <w:t>SSÚ – D)</w:t>
      </w:r>
      <w:r w:rsidR="00A30461">
        <w:rPr>
          <w:rFonts w:ascii="Times New Roman" w:hAnsi="Times New Roman"/>
        </w:rPr>
        <w:t>]</w:t>
      </w:r>
      <w:r w:rsidRPr="00271B14">
        <w:t>;</w:t>
      </w:r>
    </w:p>
    <w:p w:rsidR="00271B14" w:rsidRPr="00271B14" w:rsidRDefault="00271B14" w:rsidP="003E4A5D">
      <w:pPr>
        <w:pStyle w:val="Text-Normaln"/>
        <w:widowControl w:val="0"/>
        <w:numPr>
          <w:ilvl w:val="0"/>
          <w:numId w:val="33"/>
        </w:numPr>
      </w:pPr>
      <w:r w:rsidRPr="00271B14">
        <w:t xml:space="preserve">Vodoprávní úřady </w:t>
      </w:r>
      <w:r w:rsidR="00A10E86">
        <w:t xml:space="preserve">(SSÚ – V) </w:t>
      </w:r>
      <w:r w:rsidRPr="00271B14">
        <w:t xml:space="preserve">u staveb vodních děl, konkrétně </w:t>
      </w:r>
      <w:r w:rsidR="005344C5">
        <w:t>podle § 104 a následujících (ve </w:t>
      </w:r>
      <w:r w:rsidRPr="00271B14">
        <w:t>spojení s § 15) zákona č. 254/2001 Sb., o vodách a o změně některých zákonů (vodní zákon), jsou speciálními stavebními úřady:</w:t>
      </w:r>
    </w:p>
    <w:p w:rsidR="00271B14" w:rsidRPr="00271B14" w:rsidRDefault="00271B14" w:rsidP="003E4A5D">
      <w:pPr>
        <w:pStyle w:val="Text-Normaln"/>
        <w:widowControl w:val="0"/>
        <w:numPr>
          <w:ilvl w:val="1"/>
          <w:numId w:val="33"/>
        </w:numPr>
      </w:pPr>
      <w:r w:rsidRPr="00271B14">
        <w:t>Ministerstvo zemědělství,</w:t>
      </w:r>
    </w:p>
    <w:p w:rsidR="00271B14" w:rsidRPr="00271B14" w:rsidRDefault="00271B14" w:rsidP="003E4A5D">
      <w:pPr>
        <w:pStyle w:val="Text-Normaln"/>
        <w:widowControl w:val="0"/>
        <w:numPr>
          <w:ilvl w:val="1"/>
          <w:numId w:val="33"/>
        </w:numPr>
      </w:pPr>
      <w:r w:rsidRPr="00271B14">
        <w:t>krajské úřady,</w:t>
      </w:r>
    </w:p>
    <w:p w:rsidR="00271B14" w:rsidRPr="00271B14" w:rsidRDefault="00271B14" w:rsidP="003E4A5D">
      <w:pPr>
        <w:pStyle w:val="Text-Normaln"/>
        <w:widowControl w:val="0"/>
        <w:numPr>
          <w:ilvl w:val="1"/>
          <w:numId w:val="33"/>
        </w:numPr>
      </w:pPr>
      <w:r w:rsidRPr="00271B14">
        <w:t>obecní úřady obcí s rozšířenou působností,</w:t>
      </w:r>
    </w:p>
    <w:p w:rsidR="00271B14" w:rsidRPr="00271B14" w:rsidRDefault="00271B14" w:rsidP="003E4A5D">
      <w:pPr>
        <w:pStyle w:val="Text-Normaln"/>
        <w:widowControl w:val="0"/>
        <w:numPr>
          <w:ilvl w:val="1"/>
          <w:numId w:val="33"/>
        </w:numPr>
      </w:pPr>
      <w:r w:rsidRPr="00271B14">
        <w:t>újezdní úřady na území vojenských újezdů.</w:t>
      </w:r>
    </w:p>
    <w:p w:rsidR="00271B14" w:rsidRPr="00271B14" w:rsidRDefault="00172D29" w:rsidP="003E4A5D">
      <w:pPr>
        <w:pStyle w:val="Text-Normaln"/>
        <w:widowControl w:val="0"/>
      </w:pPr>
      <w:r w:rsidRPr="00172D29">
        <w:t>SSÚ</w:t>
      </w:r>
      <w:r w:rsidRPr="00172D29" w:rsidDel="00172D29">
        <w:t xml:space="preserve"> </w:t>
      </w:r>
      <w:r w:rsidR="00271B14" w:rsidRPr="00271B14">
        <w:t xml:space="preserve">vykonávají působnost podle </w:t>
      </w:r>
      <w:r w:rsidR="003A42B0">
        <w:t xml:space="preserve">stávajícího </w:t>
      </w:r>
      <w:r w:rsidR="00271B14" w:rsidRPr="00271B14">
        <w:t>stavebního zákona, s výjimkou pravomoci ve věcech územního rozhodování</w:t>
      </w:r>
      <w:r w:rsidR="003F2FC9">
        <w:t xml:space="preserve"> (pokud nevydávají společné povolení)</w:t>
      </w:r>
      <w:r w:rsidR="00271B14" w:rsidRPr="00271B14">
        <w:t xml:space="preserve">. Postupují přitom podle </w:t>
      </w:r>
      <w:r w:rsidR="003A42B0">
        <w:t xml:space="preserve">stávajícího </w:t>
      </w:r>
      <w:r w:rsidR="00271B14" w:rsidRPr="00271B14">
        <w:t>stavebního zákona, pokud zvláštní právní předpisy pro stavby letecké, stavby drah a na dráze, stavby pozemních komunikací nebo vodní díla nestanoví jinak.</w:t>
      </w:r>
      <w:r w:rsidR="00271B14">
        <w:t xml:space="preserve"> (RIA MMR)</w:t>
      </w:r>
    </w:p>
    <w:p w:rsidR="00271B14" w:rsidRPr="00271B14" w:rsidRDefault="00271B14" w:rsidP="003E4A5D">
      <w:pPr>
        <w:pStyle w:val="Text-Normaln"/>
        <w:widowControl w:val="0"/>
      </w:pPr>
      <w:r w:rsidRPr="00271B14">
        <w:t>Ad c) Vojenským stavebním úřadem podle § 16 SZ jsou újezdní úřady na území vojenských újezdů. Újezdní úřady vykonávají působnost stavebního úřadu na území vojenských újezdů, včetně pravomoci ve věcech územního rozhodování.</w:t>
      </w:r>
    </w:p>
    <w:p w:rsidR="00271B14" w:rsidRPr="00271B14" w:rsidRDefault="00271B14" w:rsidP="003E4A5D">
      <w:pPr>
        <w:pStyle w:val="Text-Normaln"/>
        <w:widowControl w:val="0"/>
      </w:pPr>
      <w:r w:rsidRPr="00271B14">
        <w:t xml:space="preserve">Ad d) Jiným stavebním úřadem podle § 16 SZ </w:t>
      </w:r>
      <w:r w:rsidR="003A42B0">
        <w:t>je</w:t>
      </w:r>
      <w:r w:rsidRPr="00271B14">
        <w:t>:</w:t>
      </w:r>
    </w:p>
    <w:p w:rsidR="00271B14" w:rsidRPr="00271B14" w:rsidRDefault="00271B14" w:rsidP="003E4A5D">
      <w:pPr>
        <w:pStyle w:val="Text-Normaln"/>
        <w:widowControl w:val="0"/>
        <w:numPr>
          <w:ilvl w:val="0"/>
          <w:numId w:val="34"/>
        </w:numPr>
      </w:pPr>
      <w:r w:rsidRPr="00271B14">
        <w:t>Ministerstvo obrany u staveb důležitých pro obranu státu mimo území vojenských újezdů, které slouží nebo mají sloužit k zajišťování obrany státu a jsou zřizovány Ministerstvem obrany nebo právnickou osobou jím zřízenou nebo založenou;</w:t>
      </w:r>
    </w:p>
    <w:p w:rsidR="00271B14" w:rsidRPr="00271B14" w:rsidRDefault="00271B14" w:rsidP="003E4A5D">
      <w:pPr>
        <w:pStyle w:val="Text-Normaln"/>
        <w:widowControl w:val="0"/>
        <w:numPr>
          <w:ilvl w:val="0"/>
          <w:numId w:val="34"/>
        </w:numPr>
      </w:pPr>
      <w:r w:rsidRPr="00271B14">
        <w:t>Ministerstvo vnitra u staveb pro bezpečnost státu, kterými se rozumí stavby nebo jejich části sloužící k plnění úkolů Ministerstva vnitra, organizačních složek státu zřízených Ministerstvem vnitra, Policie České republiky, Policejní akademie České republiky, Hasičského záchranného sboru České republiky, Úřadu pro</w:t>
      </w:r>
      <w:r w:rsidR="005344C5">
        <w:t xml:space="preserve"> zahraniční styky a informace a </w:t>
      </w:r>
      <w:r w:rsidRPr="00271B14">
        <w:t>Bezpečnostní informační služby s výjimkou staveb nebo jejich částí převážně užívaných pro účely bytové nebo rekreační, a u staveb sloužících k plnění úkolů Národního bezpečnostního úřadu;</w:t>
      </w:r>
    </w:p>
    <w:p w:rsidR="00271B14" w:rsidRPr="00271B14" w:rsidRDefault="00271B14" w:rsidP="003E4A5D">
      <w:pPr>
        <w:pStyle w:val="Text-Normaln"/>
        <w:widowControl w:val="0"/>
        <w:numPr>
          <w:ilvl w:val="0"/>
          <w:numId w:val="34"/>
        </w:numPr>
      </w:pPr>
      <w:r w:rsidRPr="00271B14">
        <w:t xml:space="preserve">Ministerstvo spravedlnosti u staveb pro účely Vězeňské služby a jejich organizačních jednotek; </w:t>
      </w:r>
    </w:p>
    <w:p w:rsidR="00271B14" w:rsidRPr="00271B14" w:rsidRDefault="00271B14" w:rsidP="003E4A5D">
      <w:pPr>
        <w:pStyle w:val="Text-Normaln"/>
        <w:widowControl w:val="0"/>
        <w:numPr>
          <w:ilvl w:val="0"/>
          <w:numId w:val="34"/>
        </w:numPr>
      </w:pPr>
      <w:r w:rsidRPr="00271B14">
        <w:t>Ministerstvo průmyslu a obchodu u staveb k účelům těžby, zpracování, transportu a ukládání radioaktivních surovin na území vyhrazeném pro tyto účely a u staveb souvisejících s úložišti radioaktivních odpadů obsahujících přírodní radionuklidy a u staveb náležejících k provozním celkům, jejichž součástí je jaderné zařízení a u staveb zařízení pro přenos elektřiny, zařízení pro přepravu plynu, zařízení pro uskladňování plynu nebo výrobky elektřiny o celkovém instalovaném elektrickém výkonu 100 MW a více;</w:t>
      </w:r>
    </w:p>
    <w:p w:rsidR="00271B14" w:rsidRPr="00271B14" w:rsidRDefault="00271B14" w:rsidP="003E4A5D">
      <w:pPr>
        <w:pStyle w:val="Text-Normaln"/>
        <w:widowControl w:val="0"/>
        <w:numPr>
          <w:ilvl w:val="0"/>
          <w:numId w:val="34"/>
        </w:numPr>
      </w:pPr>
      <w:r w:rsidRPr="00271B14">
        <w:t>Obvodní báňské úřady vykonávají působnost stavebních úřadů v dobývacích prostorech, jde-li o stavby, které mají sloužit otvírce, přípravě a dobývání výhradních ložisek, jakož i úpravě a</w:t>
      </w:r>
      <w:r w:rsidR="005344C5">
        <w:t> </w:t>
      </w:r>
      <w:r w:rsidRPr="00271B14">
        <w:t xml:space="preserve">zušlechťování nerostů prováděných v souvislosti s jejich dobýváním, včetně staveb úložných míst pro těžební odpad a skladů výbušnin, s výjimkou staveb náležejících do působnosti ministerstva průmyslu a obchodu a staveb vodních děl. </w:t>
      </w:r>
    </w:p>
    <w:p w:rsidR="0032110B" w:rsidRPr="00FB46CF" w:rsidRDefault="0032110B" w:rsidP="003E4A5D">
      <w:pPr>
        <w:pStyle w:val="Text-Normaln"/>
        <w:widowControl w:val="0"/>
      </w:pPr>
    </w:p>
    <w:p w:rsidR="0032110B" w:rsidRPr="00041B6B" w:rsidRDefault="00041B6B" w:rsidP="00041B6B">
      <w:pPr>
        <w:pStyle w:val="Nadpis3a"/>
        <w:numPr>
          <w:ilvl w:val="0"/>
          <w:numId w:val="0"/>
        </w:numPr>
        <w:ind w:left="720" w:hanging="720"/>
        <w:rPr>
          <w:sz w:val="22"/>
        </w:rPr>
      </w:pPr>
      <w:bookmarkStart w:id="45" w:name="_Toc536553913"/>
      <w:r w:rsidRPr="00041B6B">
        <w:rPr>
          <w:sz w:val="22"/>
        </w:rPr>
        <w:t>A.</w:t>
      </w:r>
      <w:r w:rsidR="00F76ADF" w:rsidRPr="00041B6B">
        <w:rPr>
          <w:sz w:val="22"/>
        </w:rPr>
        <w:t>1.1</w:t>
      </w:r>
      <w:r w:rsidR="00F76ADF">
        <w:rPr>
          <w:sz w:val="22"/>
        </w:rPr>
        <w:t>.1</w:t>
      </w:r>
      <w:r w:rsidR="00F76ADF" w:rsidRPr="00041B6B">
        <w:rPr>
          <w:sz w:val="22"/>
        </w:rPr>
        <w:t xml:space="preserve"> </w:t>
      </w:r>
      <w:r w:rsidR="00F76ADF">
        <w:rPr>
          <w:sz w:val="22"/>
        </w:rPr>
        <w:t>Úřady</w:t>
      </w:r>
      <w:r w:rsidR="0032110B" w:rsidRPr="00041B6B">
        <w:rPr>
          <w:sz w:val="22"/>
        </w:rPr>
        <w:t xml:space="preserve"> územního plánování</w:t>
      </w:r>
      <w:bookmarkEnd w:id="45"/>
    </w:p>
    <w:p w:rsidR="00CF1747" w:rsidRPr="007E5107" w:rsidRDefault="004820C8" w:rsidP="003E4A5D">
      <w:pPr>
        <w:pStyle w:val="Text-Normaln"/>
        <w:widowControl w:val="0"/>
      </w:pPr>
      <w:r>
        <w:t>V</w:t>
      </w:r>
      <w:r w:rsidR="00332DCF" w:rsidRPr="007E5107">
        <w:t xml:space="preserve"> ČR je 206 (spolu s úřadem v hl. m. Praze) </w:t>
      </w:r>
      <w:r w:rsidR="00CF1747" w:rsidRPr="007E5107">
        <w:t xml:space="preserve">úřadů územního plánování </w:t>
      </w:r>
      <w:r w:rsidR="0025562E">
        <w:t xml:space="preserve">(ÚÚP) </w:t>
      </w:r>
      <w:r w:rsidR="00CF1747" w:rsidRPr="007E5107">
        <w:t xml:space="preserve">na </w:t>
      </w:r>
      <w:r w:rsidR="0025562E" w:rsidRPr="0025562E">
        <w:t>OÚ ORP</w:t>
      </w:r>
      <w:r w:rsidR="00CF1747" w:rsidRPr="007E5107">
        <w:t xml:space="preserve"> s celkovým počtem 803 úředníků a 691 </w:t>
      </w:r>
      <w:r w:rsidR="00CF1747" w:rsidRPr="00D67A9A">
        <w:t>úvazky</w:t>
      </w:r>
      <w:r w:rsidR="007E5107" w:rsidRPr="00D67A9A">
        <w:t xml:space="preserve"> (</w:t>
      </w:r>
      <w:r w:rsidR="007E5107" w:rsidRPr="00D67A9A">
        <w:rPr>
          <w:i/>
        </w:rPr>
        <w:t>tj. tito se budou přesouvat</w:t>
      </w:r>
      <w:r w:rsidR="00C90B80">
        <w:rPr>
          <w:i/>
        </w:rPr>
        <w:t xml:space="preserve"> v dále uvedeném poměru</w:t>
      </w:r>
      <w:r w:rsidR="007E5107" w:rsidRPr="00D67A9A">
        <w:t>)</w:t>
      </w:r>
      <w:r w:rsidR="00D67A9A" w:rsidRPr="00D67A9A">
        <w:t>.</w:t>
      </w:r>
    </w:p>
    <w:p w:rsidR="00CF1747" w:rsidRDefault="00CF1747" w:rsidP="003E4A5D">
      <w:pPr>
        <w:pStyle w:val="Titulek"/>
      </w:pPr>
      <w:r>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13</w:t>
      </w:r>
      <w:r w:rsidR="00AB65E9">
        <w:rPr>
          <w:noProof/>
        </w:rPr>
        <w:fldChar w:fldCharType="end"/>
      </w:r>
      <w:r>
        <w:t xml:space="preserve">: </w:t>
      </w:r>
      <w:r w:rsidRPr="00CF1747">
        <w:t>Počet úředníků ÚÚP</w:t>
      </w:r>
      <w:r w:rsidR="00096E37">
        <w:t xml:space="preserve"> </w:t>
      </w:r>
    </w:p>
    <w:p w:rsidR="00332DCF" w:rsidRDefault="00CF1747" w:rsidP="003E4A5D">
      <w:pPr>
        <w:pStyle w:val="Text-Normaln"/>
        <w:widowControl w:val="0"/>
        <w:spacing w:after="0"/>
      </w:pPr>
      <w:r w:rsidRPr="00CF1747">
        <w:rPr>
          <w:noProof/>
          <w:lang w:eastAsia="cs-CZ"/>
        </w:rPr>
        <w:drawing>
          <wp:inline distT="0" distB="0" distL="0" distR="0" wp14:anchorId="1216F361" wp14:editId="15839AA6">
            <wp:extent cx="5410200" cy="27456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23576" cy="2752441"/>
                    </a:xfrm>
                    <a:prstGeom prst="rect">
                      <a:avLst/>
                    </a:prstGeom>
                  </pic:spPr>
                </pic:pic>
              </a:graphicData>
            </a:graphic>
          </wp:inline>
        </w:drawing>
      </w:r>
      <w:r>
        <w:rPr>
          <w:highlight w:val="yellow"/>
        </w:rPr>
        <w:t xml:space="preserve"> </w:t>
      </w:r>
    </w:p>
    <w:p w:rsidR="00CF1747" w:rsidRPr="00CF1747" w:rsidRDefault="00CF1747" w:rsidP="003E4A5D">
      <w:pPr>
        <w:pStyle w:val="Zdroj1"/>
        <w:spacing w:before="0"/>
      </w:pPr>
      <w:r w:rsidRPr="00CF1747">
        <w:t>Zdroj: ÚÚR</w:t>
      </w:r>
    </w:p>
    <w:p w:rsidR="00BF39C6" w:rsidRDefault="00BF39C6" w:rsidP="003E4A5D">
      <w:pPr>
        <w:pStyle w:val="Titulek"/>
        <w:rPr>
          <w:rFonts w:eastAsia="Calibri"/>
          <w:b w:val="0"/>
          <w:bCs w:val="0"/>
          <w:color w:val="auto"/>
          <w:sz w:val="24"/>
          <w:szCs w:val="22"/>
          <w:lang w:eastAsia="en-US"/>
        </w:rPr>
      </w:pPr>
    </w:p>
    <w:p w:rsidR="00BF39C6" w:rsidRDefault="00BF39C6" w:rsidP="003E4A5D">
      <w:pPr>
        <w:pStyle w:val="Titulek"/>
        <w:rPr>
          <w:rFonts w:eastAsia="Calibri"/>
          <w:b w:val="0"/>
          <w:bCs w:val="0"/>
          <w:color w:val="auto"/>
          <w:sz w:val="24"/>
          <w:szCs w:val="22"/>
          <w:lang w:eastAsia="en-US"/>
        </w:rPr>
      </w:pPr>
    </w:p>
    <w:p w:rsidR="007E5107" w:rsidRPr="00041B6B" w:rsidRDefault="007E5107" w:rsidP="003E4A5D">
      <w:pPr>
        <w:pStyle w:val="Titulek"/>
        <w:rPr>
          <w:rFonts w:eastAsia="Calibri"/>
          <w:b w:val="0"/>
          <w:bCs w:val="0"/>
          <w:color w:val="auto"/>
          <w:sz w:val="24"/>
          <w:szCs w:val="22"/>
          <w:lang w:eastAsia="en-US"/>
        </w:rPr>
      </w:pPr>
    </w:p>
    <w:p w:rsidR="00365A23" w:rsidRDefault="00365A23" w:rsidP="003E4A5D">
      <w:pPr>
        <w:pStyle w:val="Titulek"/>
      </w:pPr>
    </w:p>
    <w:p w:rsidR="003B4D46" w:rsidRDefault="003B4D46" w:rsidP="003E4A5D">
      <w:pPr>
        <w:pStyle w:val="Titulek"/>
        <w:rPr>
          <w:highlight w:val="yellow"/>
        </w:rPr>
      </w:pPr>
      <w:r>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14</w:t>
      </w:r>
      <w:r w:rsidR="00AB65E9">
        <w:rPr>
          <w:noProof/>
        </w:rPr>
        <w:fldChar w:fldCharType="end"/>
      </w:r>
      <w:r>
        <w:t xml:space="preserve">: </w:t>
      </w:r>
      <w:r w:rsidRPr="003B4D46">
        <w:t>Počet obcí s platnou územně plánovací dokumentací ve správním obvodu ÚÚP</w:t>
      </w:r>
      <w:r w:rsidR="00096E37">
        <w:t xml:space="preserve"> </w:t>
      </w:r>
    </w:p>
    <w:p w:rsidR="00CF1747" w:rsidRDefault="003B4D46" w:rsidP="003E4A5D">
      <w:pPr>
        <w:widowControl w:val="0"/>
        <w:spacing w:after="0"/>
        <w:rPr>
          <w:highlight w:val="yellow"/>
        </w:rPr>
      </w:pPr>
      <w:r w:rsidRPr="003B4D46">
        <w:rPr>
          <w:noProof/>
          <w:lang w:eastAsia="cs-CZ"/>
        </w:rPr>
        <w:drawing>
          <wp:inline distT="0" distB="0" distL="0" distR="0" wp14:anchorId="74D08494" wp14:editId="7E7B1D65">
            <wp:extent cx="5751443" cy="3392556"/>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5485" cy="3400839"/>
                    </a:xfrm>
                    <a:prstGeom prst="rect">
                      <a:avLst/>
                    </a:prstGeom>
                  </pic:spPr>
                </pic:pic>
              </a:graphicData>
            </a:graphic>
          </wp:inline>
        </w:drawing>
      </w:r>
    </w:p>
    <w:p w:rsidR="003B4D46" w:rsidRPr="00CF1747" w:rsidRDefault="003B4D46" w:rsidP="003E4A5D">
      <w:pPr>
        <w:pStyle w:val="Zdroj1"/>
        <w:spacing w:before="0"/>
      </w:pPr>
      <w:r w:rsidRPr="00CF1747">
        <w:t>Zdroj: ÚÚR</w:t>
      </w:r>
    </w:p>
    <w:p w:rsidR="00365A23" w:rsidRDefault="00365A23" w:rsidP="003E4A5D">
      <w:pPr>
        <w:widowControl w:val="0"/>
        <w:spacing w:before="0" w:after="0"/>
        <w:jc w:val="left"/>
        <w:rPr>
          <w:rFonts w:eastAsia="Times New Roman"/>
          <w:b/>
          <w:bCs/>
          <w:color w:val="000000"/>
          <w:sz w:val="22"/>
          <w:szCs w:val="20"/>
          <w:lang w:eastAsia="cs-CZ"/>
        </w:rPr>
      </w:pPr>
      <w:r>
        <w:br w:type="page"/>
      </w:r>
    </w:p>
    <w:p w:rsidR="00EF43F4" w:rsidRDefault="00EF43F4" w:rsidP="00215D45">
      <w:pPr>
        <w:pStyle w:val="Titulek"/>
        <w:ind w:left="1162" w:hanging="1162"/>
      </w:pPr>
      <w:r>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15</w:t>
      </w:r>
      <w:r w:rsidR="00AB65E9">
        <w:rPr>
          <w:noProof/>
        </w:rPr>
        <w:fldChar w:fldCharType="end"/>
      </w:r>
      <w:r>
        <w:t>:</w:t>
      </w:r>
      <w:r w:rsidRPr="00EF43F4">
        <w:t xml:space="preserve"> Po</w:t>
      </w:r>
      <w:r w:rsidR="003B32CD">
        <w:t>díl</w:t>
      </w:r>
      <w:r w:rsidRPr="00EF43F4">
        <w:t xml:space="preserve"> obcí ve správním území ÚÚP, které nemají platný územní plán nebo mají platný územní plán pořízený před 1. 1. 2007 a dosud neupravený podle platného SZ</w:t>
      </w:r>
      <w:r w:rsidR="003B32CD">
        <w:t>, stav k 31. 12. 2017</w:t>
      </w:r>
      <w:r w:rsidR="00096E37">
        <w:t xml:space="preserve"> </w:t>
      </w:r>
    </w:p>
    <w:p w:rsidR="00CF1747" w:rsidRDefault="003B32CD" w:rsidP="003E4A5D">
      <w:pPr>
        <w:widowControl w:val="0"/>
        <w:rPr>
          <w:highlight w:val="yellow"/>
        </w:rPr>
      </w:pPr>
      <w:r w:rsidRPr="003B32CD">
        <w:rPr>
          <w:noProof/>
          <w:lang w:eastAsia="cs-CZ"/>
        </w:rPr>
        <w:drawing>
          <wp:inline distT="0" distB="0" distL="0" distR="0" wp14:anchorId="5423A0CE" wp14:editId="75DCD513">
            <wp:extent cx="5760720" cy="292354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923540"/>
                    </a:xfrm>
                    <a:prstGeom prst="rect">
                      <a:avLst/>
                    </a:prstGeom>
                  </pic:spPr>
                </pic:pic>
              </a:graphicData>
            </a:graphic>
          </wp:inline>
        </w:drawing>
      </w:r>
    </w:p>
    <w:p w:rsidR="00EF43F4" w:rsidRPr="00CF1747" w:rsidRDefault="00EF43F4" w:rsidP="003E4A5D">
      <w:pPr>
        <w:pStyle w:val="Zdroj1"/>
      </w:pPr>
      <w:r w:rsidRPr="00CF1747">
        <w:t>Zdroj: ÚÚR</w:t>
      </w:r>
    </w:p>
    <w:p w:rsidR="0032110B" w:rsidRDefault="0007180B" w:rsidP="0089559F">
      <w:pPr>
        <w:widowControl w:val="0"/>
      </w:pPr>
      <w:r w:rsidRPr="0007180B">
        <w:t>Na krajských úřadech územního plánování pracuje celkem</w:t>
      </w:r>
      <w:r>
        <w:t xml:space="preserve"> </w:t>
      </w:r>
      <w:r w:rsidR="003A1979">
        <w:t>158 úředníků o necelých 156 pracovních úvazcích</w:t>
      </w:r>
      <w:r w:rsidR="00D67A9A">
        <w:t xml:space="preserve"> (</w:t>
      </w:r>
      <w:r w:rsidR="00D67A9A" w:rsidRPr="00D67A9A">
        <w:rPr>
          <w:i/>
        </w:rPr>
        <w:t>k přesunu</w:t>
      </w:r>
      <w:r w:rsidR="00C90B80">
        <w:rPr>
          <w:i/>
        </w:rPr>
        <w:t xml:space="preserve"> v dále uvedeném poměru</w:t>
      </w:r>
      <w:r w:rsidR="00D67A9A">
        <w:t>)</w:t>
      </w:r>
      <w:r w:rsidR="003A1979">
        <w:t>.</w:t>
      </w:r>
      <w:r w:rsidRPr="0007180B">
        <w:t xml:space="preserve"> </w:t>
      </w:r>
    </w:p>
    <w:p w:rsidR="0032110B" w:rsidRPr="00041B6B" w:rsidRDefault="00041B6B" w:rsidP="00041B6B">
      <w:pPr>
        <w:pStyle w:val="Nadpis3a"/>
        <w:numPr>
          <w:ilvl w:val="0"/>
          <w:numId w:val="0"/>
        </w:numPr>
        <w:ind w:left="720" w:hanging="720"/>
        <w:rPr>
          <w:sz w:val="22"/>
        </w:rPr>
      </w:pPr>
      <w:bookmarkStart w:id="46" w:name="_Toc536553914"/>
      <w:r>
        <w:rPr>
          <w:sz w:val="22"/>
        </w:rPr>
        <w:t>A.1.</w:t>
      </w:r>
      <w:r w:rsidR="008416A6">
        <w:rPr>
          <w:sz w:val="22"/>
        </w:rPr>
        <w:t>1.</w:t>
      </w:r>
      <w:r>
        <w:rPr>
          <w:sz w:val="22"/>
        </w:rPr>
        <w:t xml:space="preserve">2 </w:t>
      </w:r>
      <w:r w:rsidR="0032110B" w:rsidRPr="00041B6B">
        <w:rPr>
          <w:sz w:val="22"/>
        </w:rPr>
        <w:t>Obecné stavební úřady</w:t>
      </w:r>
      <w:r w:rsidR="002F389B" w:rsidRPr="00041B6B">
        <w:rPr>
          <w:sz w:val="22"/>
        </w:rPr>
        <w:t xml:space="preserve"> (OSÚ)</w:t>
      </w:r>
      <w:bookmarkEnd w:id="46"/>
    </w:p>
    <w:p w:rsidR="00175422" w:rsidRDefault="00BD230D" w:rsidP="003E4A5D">
      <w:pPr>
        <w:pStyle w:val="Text-Normaln"/>
        <w:widowControl w:val="0"/>
      </w:pPr>
      <w:r w:rsidRPr="002F389B">
        <w:rPr>
          <w:b/>
        </w:rPr>
        <w:t>Prvoinstančních OSÚ</w:t>
      </w:r>
      <w:r w:rsidRPr="00BD230D">
        <w:t xml:space="preserve"> je celkem 696 (i se započtením úřadů při městských obvodech a</w:t>
      </w:r>
      <w:r w:rsidR="00F9155E">
        <w:t> </w:t>
      </w:r>
      <w:r w:rsidRPr="00BD230D">
        <w:t xml:space="preserve">městských částech statutárních měst). </w:t>
      </w:r>
      <w:r>
        <w:t>Zaměstnávají celkem 3 507 osob se 3 350 úvazky. V průměru připadá na jeden OSÚ 4,81 pracovního úvazku</w:t>
      </w:r>
      <w:r w:rsidR="00D67A9A">
        <w:t xml:space="preserve"> (</w:t>
      </w:r>
      <w:r w:rsidR="00D67A9A" w:rsidRPr="00D67A9A">
        <w:rPr>
          <w:i/>
        </w:rPr>
        <w:t>k přesunu</w:t>
      </w:r>
      <w:r w:rsidR="00C90B80">
        <w:rPr>
          <w:i/>
        </w:rPr>
        <w:t xml:space="preserve"> v dále uvedeném poměru</w:t>
      </w:r>
      <w:r w:rsidR="00D67A9A">
        <w:t>)</w:t>
      </w:r>
      <w:r>
        <w:t>.</w:t>
      </w:r>
      <w:r w:rsidR="00096E37">
        <w:t xml:space="preserve"> </w:t>
      </w:r>
    </w:p>
    <w:p w:rsidR="00022672" w:rsidRDefault="00022672"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9</w:t>
      </w:r>
      <w:r w:rsidR="00AB65E9">
        <w:rPr>
          <w:noProof/>
        </w:rPr>
        <w:fldChar w:fldCharType="end"/>
      </w:r>
      <w:r>
        <w:t>: Počet úvazků na OSÚ</w:t>
      </w:r>
    </w:p>
    <w:tbl>
      <w:tblPr>
        <w:tblStyle w:val="Barevntabulkaseznamu6zvraznn51"/>
        <w:tblW w:w="9072" w:type="dxa"/>
        <w:tblInd w:w="108" w:type="dxa"/>
        <w:tblLayout w:type="fixed"/>
        <w:tblLook w:val="04A0" w:firstRow="1" w:lastRow="0" w:firstColumn="1" w:lastColumn="0" w:noHBand="0" w:noVBand="1"/>
      </w:tblPr>
      <w:tblGrid>
        <w:gridCol w:w="3085"/>
        <w:gridCol w:w="2031"/>
        <w:gridCol w:w="2032"/>
        <w:gridCol w:w="1924"/>
      </w:tblGrid>
      <w:tr w:rsidR="00E63FF0" w:rsidRPr="00E63FF0" w:rsidTr="00D67A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Popisky řádků</w:t>
            </w:r>
          </w:p>
        </w:tc>
        <w:tc>
          <w:tcPr>
            <w:tcW w:w="2031"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 OSÚ</w:t>
            </w:r>
          </w:p>
        </w:tc>
        <w:tc>
          <w:tcPr>
            <w:tcW w:w="2032"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w:t>
            </w:r>
            <w:r w:rsidR="00E63FF0" w:rsidRPr="00E63FF0">
              <w:rPr>
                <w:rFonts w:eastAsia="Times New Roman" w:cs="Calibri"/>
                <w:color w:val="000000"/>
                <w:sz w:val="20"/>
                <w:szCs w:val="20"/>
                <w:lang w:eastAsia="cs-CZ"/>
              </w:rPr>
              <w:t xml:space="preserve"> úředních osob</w:t>
            </w:r>
          </w:p>
        </w:tc>
        <w:tc>
          <w:tcPr>
            <w:tcW w:w="1924"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w:t>
            </w:r>
            <w:r w:rsidR="00E63FF0" w:rsidRPr="00E63FF0">
              <w:rPr>
                <w:rFonts w:eastAsia="Times New Roman" w:cs="Calibri"/>
                <w:color w:val="000000"/>
                <w:sz w:val="20"/>
                <w:szCs w:val="20"/>
                <w:lang w:eastAsia="cs-CZ"/>
              </w:rPr>
              <w:t xml:space="preserve"> pracovních úvazků úředních osob</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 stupně = 1</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227,00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497,00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467,48</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II. stupně = 2</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183,00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603,00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583,50</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III. stupně = 3</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203,00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1 745,00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1 648,53</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magistrát územně členěného statutárního města = 4</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3,00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23,00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22,20</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městského obvodu = 5</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30,00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109,00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104,75</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městské části = 6</w:t>
            </w: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50,00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530,00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523,07</w:t>
            </w:r>
          </w:p>
        </w:tc>
      </w:tr>
      <w:tr w:rsidR="00E63FF0" w:rsidRPr="00E63FF0" w:rsidTr="003B633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Celkový součet</w:t>
            </w: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696,00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3 507,00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3 349,53</w:t>
            </w:r>
          </w:p>
        </w:tc>
      </w:tr>
    </w:tbl>
    <w:p w:rsidR="0011797D" w:rsidRDefault="0011797D" w:rsidP="003E4A5D">
      <w:pPr>
        <w:pStyle w:val="Citt"/>
      </w:pPr>
      <w:r>
        <w:t>Zdroj: ÚÚR</w:t>
      </w:r>
    </w:p>
    <w:p w:rsidR="00053688" w:rsidRDefault="00B969F5" w:rsidP="003E4A5D">
      <w:pPr>
        <w:pStyle w:val="Text-Normaln"/>
        <w:widowControl w:val="0"/>
      </w:pPr>
      <w:r>
        <w:t>Zajímavá z pohledu kvalifikovanosti úředních osob může být statistika jejich vzdělanosti dle kategorie obce.</w:t>
      </w:r>
      <w:r w:rsidR="007D16A0">
        <w:t xml:space="preserve"> Jak ilustruje graf níže, posunem od obcí I. </w:t>
      </w:r>
      <w:r w:rsidR="00A30461">
        <w:t xml:space="preserve">typu </w:t>
      </w:r>
      <w:r w:rsidR="007D16A0">
        <w:t xml:space="preserve">k obcím III. </w:t>
      </w:r>
      <w:r w:rsidR="00A30461">
        <w:t xml:space="preserve">typu </w:t>
      </w:r>
      <w:r w:rsidR="007D16A0">
        <w:t>a ke statutárním městům výrazně narůstá počet zaměstnanců s magisterským vzděláním.</w:t>
      </w:r>
      <w:r w:rsidR="00764BEE">
        <w:t xml:space="preserve"> Co se tý</w:t>
      </w:r>
      <w:r w:rsidR="008D6975">
        <w:t>ká</w:t>
      </w:r>
      <w:r w:rsidR="00764BEE">
        <w:t xml:space="preserve"> počtu let praxe, trend je opačný, nicméně rozdíly jsou pouze v řádu jednotek procent (76/72/68/69 procent v roce 2017).</w:t>
      </w:r>
    </w:p>
    <w:p w:rsidR="00F9155E" w:rsidRDefault="00F9155E" w:rsidP="003E4A5D">
      <w:pPr>
        <w:pStyle w:val="Text-Normaln"/>
        <w:widowControl w:val="0"/>
      </w:pPr>
    </w:p>
    <w:p w:rsidR="00022672" w:rsidRDefault="00022672"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4</w:t>
      </w:r>
      <w:r w:rsidR="00AB65E9">
        <w:rPr>
          <w:noProof/>
        </w:rPr>
        <w:fldChar w:fldCharType="end"/>
      </w:r>
      <w:r>
        <w:t xml:space="preserve">: </w:t>
      </w:r>
      <w:r w:rsidRPr="00022672">
        <w:t>Struktura vzdělanosti úředních osob na OSÚ dle kategorie obcí</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3"/>
        <w:gridCol w:w="4509"/>
      </w:tblGrid>
      <w:tr w:rsidR="00E7060D" w:rsidTr="00F9155E">
        <w:tc>
          <w:tcPr>
            <w:tcW w:w="4563" w:type="dxa"/>
            <w:vAlign w:val="center"/>
          </w:tcPr>
          <w:p w:rsidR="00B969F5" w:rsidRDefault="00B969F5" w:rsidP="003E4A5D">
            <w:pPr>
              <w:pStyle w:val="Text-Normaln"/>
              <w:widowControl w:val="0"/>
              <w:spacing w:before="0"/>
            </w:pPr>
            <w:r>
              <w:rPr>
                <w:noProof/>
                <w:lang w:eastAsia="cs-CZ"/>
              </w:rPr>
              <w:drawing>
                <wp:inline distT="0" distB="0" distL="0" distR="0" wp14:anchorId="33E73CBA" wp14:editId="49118B1B">
                  <wp:extent cx="2767911" cy="170410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987" cy="1724473"/>
                          </a:xfrm>
                          <a:prstGeom prst="rect">
                            <a:avLst/>
                          </a:prstGeom>
                          <a:noFill/>
                        </pic:spPr>
                      </pic:pic>
                    </a:graphicData>
                  </a:graphic>
                </wp:inline>
              </w:drawing>
            </w:r>
          </w:p>
        </w:tc>
        <w:tc>
          <w:tcPr>
            <w:tcW w:w="4509" w:type="dxa"/>
            <w:vAlign w:val="center"/>
          </w:tcPr>
          <w:p w:rsidR="00B969F5" w:rsidRDefault="00E7060D" w:rsidP="003E4A5D">
            <w:pPr>
              <w:pStyle w:val="Text-Normaln"/>
              <w:widowControl w:val="0"/>
              <w:spacing w:before="0"/>
            </w:pPr>
            <w:r>
              <w:rPr>
                <w:noProof/>
                <w:lang w:eastAsia="cs-CZ"/>
              </w:rPr>
              <w:drawing>
                <wp:inline distT="0" distB="0" distL="0" distR="0" wp14:anchorId="411254FD" wp14:editId="77534101">
                  <wp:extent cx="2745407" cy="1690254"/>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6237" cy="1709235"/>
                          </a:xfrm>
                          <a:prstGeom prst="rect">
                            <a:avLst/>
                          </a:prstGeom>
                          <a:noFill/>
                        </pic:spPr>
                      </pic:pic>
                    </a:graphicData>
                  </a:graphic>
                </wp:inline>
              </w:drawing>
            </w:r>
          </w:p>
        </w:tc>
      </w:tr>
      <w:tr w:rsidR="00E7060D" w:rsidTr="00F9155E">
        <w:trPr>
          <w:trHeight w:val="2673"/>
        </w:trPr>
        <w:tc>
          <w:tcPr>
            <w:tcW w:w="4563" w:type="dxa"/>
            <w:vAlign w:val="center"/>
          </w:tcPr>
          <w:p w:rsidR="00B969F5" w:rsidRDefault="00E7060D" w:rsidP="003E4A5D">
            <w:pPr>
              <w:pStyle w:val="Text-Normaln"/>
              <w:widowControl w:val="0"/>
              <w:spacing w:before="0"/>
            </w:pPr>
            <w:r>
              <w:rPr>
                <w:noProof/>
                <w:lang w:eastAsia="cs-CZ"/>
              </w:rPr>
              <w:drawing>
                <wp:inline distT="0" distB="0" distL="0" distR="0" wp14:anchorId="4FF1AE0F" wp14:editId="05AF6878">
                  <wp:extent cx="2756660" cy="1697182"/>
                  <wp:effectExtent l="0" t="0" r="571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8416" cy="1710577"/>
                          </a:xfrm>
                          <a:prstGeom prst="rect">
                            <a:avLst/>
                          </a:prstGeom>
                          <a:noFill/>
                        </pic:spPr>
                      </pic:pic>
                    </a:graphicData>
                  </a:graphic>
                </wp:inline>
              </w:drawing>
            </w:r>
          </w:p>
        </w:tc>
        <w:tc>
          <w:tcPr>
            <w:tcW w:w="4509" w:type="dxa"/>
            <w:vAlign w:val="center"/>
          </w:tcPr>
          <w:p w:rsidR="00B969F5" w:rsidRDefault="00E7060D" w:rsidP="003E4A5D">
            <w:pPr>
              <w:pStyle w:val="Text-Normaln"/>
              <w:widowControl w:val="0"/>
              <w:spacing w:before="0"/>
            </w:pPr>
            <w:r>
              <w:rPr>
                <w:noProof/>
                <w:lang w:eastAsia="cs-CZ"/>
              </w:rPr>
              <w:drawing>
                <wp:inline distT="0" distB="0" distL="0" distR="0" wp14:anchorId="3547701A" wp14:editId="10A46B3E">
                  <wp:extent cx="2796227" cy="1721542"/>
                  <wp:effectExtent l="0" t="0" r="444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7629" cy="1728562"/>
                          </a:xfrm>
                          <a:prstGeom prst="rect">
                            <a:avLst/>
                          </a:prstGeom>
                          <a:noFill/>
                        </pic:spPr>
                      </pic:pic>
                    </a:graphicData>
                  </a:graphic>
                </wp:inline>
              </w:drawing>
            </w:r>
          </w:p>
        </w:tc>
      </w:tr>
    </w:tbl>
    <w:p w:rsidR="00B969F5" w:rsidRDefault="007D16A0" w:rsidP="003E4A5D">
      <w:pPr>
        <w:pStyle w:val="Citt"/>
      </w:pPr>
      <w:r>
        <w:t>Zdroj: ÚÚR</w:t>
      </w:r>
    </w:p>
    <w:p w:rsidR="00053688" w:rsidRDefault="00C2697B" w:rsidP="003E4A5D">
      <w:pPr>
        <w:pStyle w:val="Text-Normaln"/>
        <w:widowControl w:val="0"/>
      </w:pPr>
      <w:r>
        <w:t xml:space="preserve">Pokud se podíváme na programové vybavení </w:t>
      </w:r>
      <w:r w:rsidR="00A748EB">
        <w:t xml:space="preserve">OSÚ opět dle </w:t>
      </w:r>
      <w:r w:rsidR="00A85CA4">
        <w:t>typů</w:t>
      </w:r>
      <w:r w:rsidR="00A748EB">
        <w:t xml:space="preserve"> obcí, vliv velikosti úřadu na používání sofistikovanějších IT nástrojů je opět zřetelný.  </w:t>
      </w:r>
    </w:p>
    <w:p w:rsidR="00022672" w:rsidRDefault="00022672"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5</w:t>
      </w:r>
      <w:r w:rsidR="00AB65E9">
        <w:rPr>
          <w:noProof/>
        </w:rPr>
        <w:fldChar w:fldCharType="end"/>
      </w:r>
      <w:r>
        <w:t xml:space="preserve">: </w:t>
      </w:r>
      <w:r w:rsidRPr="00022672">
        <w:t>Programové vybavení SÚ v letech 2011 až 2017 dle kategorií obcí</w:t>
      </w:r>
      <w:r w:rsidR="00116877">
        <w:t xml:space="preserve">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10"/>
      </w:tblGrid>
      <w:tr w:rsidR="00394C2F" w:rsidTr="00394C2F">
        <w:tc>
          <w:tcPr>
            <w:tcW w:w="4498" w:type="dxa"/>
          </w:tcPr>
          <w:p w:rsidR="0004147F" w:rsidRDefault="00116877" w:rsidP="003E4A5D">
            <w:pPr>
              <w:pStyle w:val="Text-Normaln"/>
              <w:widowControl w:val="0"/>
              <w:spacing w:before="0" w:after="0"/>
            </w:pPr>
            <w:r>
              <w:rPr>
                <w:noProof/>
                <w:lang w:eastAsia="cs-CZ"/>
              </w:rPr>
              <w:drawing>
                <wp:inline distT="0" distB="0" distL="0" distR="0" wp14:anchorId="0EB2DC2E" wp14:editId="7EB57C17">
                  <wp:extent cx="2746856" cy="18859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7697" cy="1900259"/>
                          </a:xfrm>
                          <a:prstGeom prst="rect">
                            <a:avLst/>
                          </a:prstGeom>
                          <a:noFill/>
                        </pic:spPr>
                      </pic:pic>
                    </a:graphicData>
                  </a:graphic>
                </wp:inline>
              </w:drawing>
            </w:r>
          </w:p>
        </w:tc>
        <w:tc>
          <w:tcPr>
            <w:tcW w:w="4464" w:type="dxa"/>
          </w:tcPr>
          <w:p w:rsidR="0004147F" w:rsidRDefault="00116877" w:rsidP="003E4A5D">
            <w:pPr>
              <w:pStyle w:val="Text-Normaln"/>
              <w:widowControl w:val="0"/>
              <w:spacing w:before="0" w:after="0"/>
            </w:pPr>
            <w:r>
              <w:rPr>
                <w:noProof/>
                <w:lang w:eastAsia="cs-CZ"/>
              </w:rPr>
              <w:drawing>
                <wp:inline distT="0" distB="0" distL="0" distR="0" wp14:anchorId="13668514" wp14:editId="5F0C1A85">
                  <wp:extent cx="2720330" cy="1873250"/>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793" cy="1882521"/>
                          </a:xfrm>
                          <a:prstGeom prst="rect">
                            <a:avLst/>
                          </a:prstGeom>
                          <a:noFill/>
                        </pic:spPr>
                      </pic:pic>
                    </a:graphicData>
                  </a:graphic>
                </wp:inline>
              </w:drawing>
            </w:r>
          </w:p>
        </w:tc>
      </w:tr>
      <w:tr w:rsidR="00394C2F" w:rsidTr="00215D45">
        <w:trPr>
          <w:trHeight w:val="2831"/>
        </w:trPr>
        <w:tc>
          <w:tcPr>
            <w:tcW w:w="4498" w:type="dxa"/>
          </w:tcPr>
          <w:p w:rsidR="0004147F" w:rsidRDefault="00116877" w:rsidP="003E4A5D">
            <w:pPr>
              <w:pStyle w:val="Text-Normaln"/>
              <w:widowControl w:val="0"/>
              <w:spacing w:before="0" w:after="0"/>
            </w:pPr>
            <w:r>
              <w:rPr>
                <w:noProof/>
                <w:lang w:eastAsia="cs-CZ"/>
              </w:rPr>
              <w:drawing>
                <wp:inline distT="0" distB="0" distL="0" distR="0" wp14:anchorId="6E623A61" wp14:editId="496681D1">
                  <wp:extent cx="2706370" cy="183814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901" cy="1858885"/>
                          </a:xfrm>
                          <a:prstGeom prst="rect">
                            <a:avLst/>
                          </a:prstGeom>
                          <a:noFill/>
                        </pic:spPr>
                      </pic:pic>
                    </a:graphicData>
                  </a:graphic>
                </wp:inline>
              </w:drawing>
            </w:r>
          </w:p>
        </w:tc>
        <w:tc>
          <w:tcPr>
            <w:tcW w:w="4464" w:type="dxa"/>
          </w:tcPr>
          <w:p w:rsidR="0004147F" w:rsidRDefault="00394C2F" w:rsidP="003E4A5D">
            <w:pPr>
              <w:pStyle w:val="Text-Normaln"/>
              <w:widowControl w:val="0"/>
              <w:spacing w:before="0" w:after="0"/>
            </w:pPr>
            <w:r>
              <w:rPr>
                <w:noProof/>
                <w:lang w:eastAsia="cs-CZ"/>
              </w:rPr>
              <w:drawing>
                <wp:inline distT="0" distB="0" distL="0" distR="0" wp14:anchorId="7C8EFC06" wp14:editId="14676EDD">
                  <wp:extent cx="2727189" cy="185674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1106" cy="1866215"/>
                          </a:xfrm>
                          <a:prstGeom prst="rect">
                            <a:avLst/>
                          </a:prstGeom>
                          <a:noFill/>
                        </pic:spPr>
                      </pic:pic>
                    </a:graphicData>
                  </a:graphic>
                </wp:inline>
              </w:drawing>
            </w:r>
          </w:p>
        </w:tc>
      </w:tr>
    </w:tbl>
    <w:p w:rsidR="007322CE" w:rsidRDefault="007322CE" w:rsidP="003E4A5D">
      <w:pPr>
        <w:pStyle w:val="Citt"/>
      </w:pPr>
      <w:r w:rsidRPr="007322CE">
        <w:t>Zdroj: ÚÚR</w:t>
      </w:r>
    </w:p>
    <w:p w:rsidR="00053688" w:rsidRDefault="00D67A9A" w:rsidP="003E4A5D">
      <w:pPr>
        <w:pStyle w:val="Text-Normaln"/>
        <w:widowControl w:val="0"/>
      </w:pPr>
      <w:r w:rsidRPr="00D67A9A">
        <w:t xml:space="preserve">Z výše uvedeného je vidět, že </w:t>
      </w:r>
      <w:r w:rsidR="007403D5" w:rsidRPr="00D67A9A">
        <w:t>čím vetší úřad, tím lepší</w:t>
      </w:r>
      <w:r w:rsidR="00CA41A5">
        <w:t>,</w:t>
      </w:r>
      <w:r w:rsidR="007403D5" w:rsidRPr="00D67A9A">
        <w:t xml:space="preserve"> </w:t>
      </w:r>
      <w:r w:rsidR="008D6975">
        <w:t xml:space="preserve">pokud jde o </w:t>
      </w:r>
      <w:r w:rsidR="007403D5" w:rsidRPr="00D67A9A">
        <w:t>odbornost úředníků i kvalit</w:t>
      </w:r>
      <w:r w:rsidR="008D6975">
        <w:t>u</w:t>
      </w:r>
      <w:r w:rsidR="007403D5" w:rsidRPr="00D67A9A">
        <w:t xml:space="preserve"> vybavení</w:t>
      </w:r>
      <w:r w:rsidRPr="00D67A9A">
        <w:t>.</w:t>
      </w:r>
    </w:p>
    <w:p w:rsidR="009808D5" w:rsidRDefault="009808D5" w:rsidP="003E4A5D">
      <w:pPr>
        <w:pStyle w:val="Text-Normaln"/>
        <w:widowControl w:val="0"/>
      </w:pPr>
      <w:r>
        <w:lastRenderedPageBreak/>
        <w:t>Následující grafy ilustrují činnost prvoinstančních OSÚ v kontextu z</w:t>
      </w:r>
      <w:r w:rsidRPr="009808D5">
        <w:t>ákladní</w:t>
      </w:r>
      <w:r>
        <w:t>ch</w:t>
      </w:r>
      <w:r w:rsidRPr="009808D5">
        <w:t xml:space="preserve"> údaj</w:t>
      </w:r>
      <w:r>
        <w:t>ů</w:t>
      </w:r>
      <w:r w:rsidRPr="009808D5">
        <w:t xml:space="preserve"> </w:t>
      </w:r>
      <w:r>
        <w:t xml:space="preserve">o stavebních pracích a dokončených </w:t>
      </w:r>
      <w:r w:rsidRPr="009808D5">
        <w:t>bytech</w:t>
      </w:r>
      <w:r>
        <w:t xml:space="preserve">. Ze vzájemného porovnání by mělo být vidět, zda pokles vydaných příslušných rozhodnutí apod. nebyl způsoben uvolněním regulace (tj. vypuštěním povinnosti žádat o umístění/povolení stavby pro zákonem stanovené kategorie </w:t>
      </w:r>
      <w:r w:rsidR="00DE64CC">
        <w:t xml:space="preserve">záměrů). Pokud ano, měl by být klesající trend zřejmý pouze u prvních dvou grafů. Je-li tomu naopak, budou se postupem času snižovat jak počty provedených úkonů, tak hodnota stavebních prací či hodnota dokončených bytů. Pro statisticky podložený závěr o vlivu regulace na vývoj stavebnictví v ČR by bylo třeba pracovat s údaji za všechny kategorie staveb (tak, aby bylo možné zachytit případný přeliv investic) v různých fázích přípravy/realizace (tj. analyzovat ukazatele za počet vydaných rozhodnutí dle příslušných paragrafů stavebního zákona, hodnoty realizovaných stavebních prací i počty dokončených staveb) a odfiltrovat vliv hospodářského cyklu. Protože </w:t>
      </w:r>
      <w:r w:rsidR="00DF1E71">
        <w:t>takováto data ve výše zmíněném detailu nikdo nesbírá, je třeba se spokojit s níže uvedenou ilustrací potvrzenou závěry z provedených konzultací.</w:t>
      </w:r>
      <w:r w:rsidR="00DE64CC">
        <w:t xml:space="preserve">     </w:t>
      </w:r>
      <w:r>
        <w:t xml:space="preserve">   </w:t>
      </w:r>
    </w:p>
    <w:p w:rsidR="00436865" w:rsidRDefault="00436865" w:rsidP="003E4A5D">
      <w:pPr>
        <w:pStyle w:val="Titulek"/>
      </w:pPr>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6</w:t>
      </w:r>
      <w:r w:rsidR="00AB65E9">
        <w:rPr>
          <w:noProof/>
        </w:rPr>
        <w:fldChar w:fldCharType="end"/>
      </w:r>
      <w:r>
        <w:t xml:space="preserve">: </w:t>
      </w:r>
      <w:r w:rsidR="00FB3FB2">
        <w:t xml:space="preserve">Umisťování staveb SÚ </w:t>
      </w:r>
      <w:r w:rsidR="00096E37">
        <w:t>–</w:t>
      </w:r>
      <w:r w:rsidR="00FB3FB2">
        <w:t xml:space="preserve"> </w:t>
      </w:r>
      <w:r w:rsidR="00FB3FB2" w:rsidRPr="00022672">
        <w:t>vývoj</w:t>
      </w:r>
      <w:r w:rsidR="00096E37" w:rsidRPr="00022672">
        <w:t xml:space="preserve"> </w:t>
      </w:r>
      <w:r w:rsidR="00022672" w:rsidRPr="00022672">
        <w:t>(počty)</w:t>
      </w:r>
    </w:p>
    <w:p w:rsidR="00A748EB" w:rsidRPr="001B2817" w:rsidRDefault="00436865" w:rsidP="003E4A5D">
      <w:pPr>
        <w:pStyle w:val="Text-Normaln"/>
        <w:widowControl w:val="0"/>
      </w:pPr>
      <w:r>
        <w:rPr>
          <w:noProof/>
          <w:lang w:eastAsia="cs-CZ"/>
        </w:rPr>
        <w:drawing>
          <wp:inline distT="0" distB="0" distL="0" distR="0" wp14:anchorId="5F14D15A" wp14:editId="3CB044F5">
            <wp:extent cx="5727700" cy="23241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660" cy="2333011"/>
                    </a:xfrm>
                    <a:prstGeom prst="rect">
                      <a:avLst/>
                    </a:prstGeom>
                    <a:noFill/>
                  </pic:spPr>
                </pic:pic>
              </a:graphicData>
            </a:graphic>
          </wp:inline>
        </w:drawing>
      </w:r>
    </w:p>
    <w:p w:rsidR="00FB3FB2" w:rsidRPr="007322CE" w:rsidRDefault="00FB3FB2" w:rsidP="003E4A5D">
      <w:pPr>
        <w:pStyle w:val="Citt"/>
      </w:pPr>
      <w:r w:rsidRPr="007322CE">
        <w:t>Zdroj: ÚÚR</w:t>
      </w:r>
    </w:p>
    <w:p w:rsidR="00C20957" w:rsidRDefault="00C20957" w:rsidP="0089559F">
      <w:pPr>
        <w:pStyle w:val="Titulek"/>
        <w:keepNext/>
      </w:pPr>
      <w:bookmarkStart w:id="47" w:name="_Hlk534400972"/>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7</w:t>
      </w:r>
      <w:r w:rsidR="00AB65E9">
        <w:rPr>
          <w:noProof/>
        </w:rPr>
        <w:fldChar w:fldCharType="end"/>
      </w:r>
      <w:r>
        <w:t xml:space="preserve">: Povolování </w:t>
      </w:r>
      <w:r w:rsidRPr="00200A47">
        <w:t>staveb</w:t>
      </w:r>
      <w:r w:rsidR="00096E37" w:rsidRPr="00200A47">
        <w:t xml:space="preserve"> </w:t>
      </w:r>
      <w:r w:rsidR="00200A47" w:rsidRPr="00200A47">
        <w:t>(počty)</w:t>
      </w:r>
    </w:p>
    <w:p w:rsidR="00C20957" w:rsidRDefault="00C20957" w:rsidP="0089559F">
      <w:pPr>
        <w:pStyle w:val="Text-Normaln"/>
        <w:keepNext/>
        <w:widowControl w:val="0"/>
        <w:spacing w:before="0" w:after="0"/>
        <w:contextualSpacing/>
        <w:rPr>
          <w:b/>
        </w:rPr>
      </w:pPr>
      <w:r>
        <w:rPr>
          <w:b/>
          <w:noProof/>
          <w:lang w:eastAsia="cs-CZ"/>
        </w:rPr>
        <w:drawing>
          <wp:inline distT="0" distB="0" distL="0" distR="0" wp14:anchorId="51524DFC" wp14:editId="5D86945D">
            <wp:extent cx="5746750" cy="23749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5625" cy="2395098"/>
                    </a:xfrm>
                    <a:prstGeom prst="rect">
                      <a:avLst/>
                    </a:prstGeom>
                    <a:noFill/>
                  </pic:spPr>
                </pic:pic>
              </a:graphicData>
            </a:graphic>
          </wp:inline>
        </w:drawing>
      </w:r>
    </w:p>
    <w:p w:rsidR="00C20957" w:rsidRPr="007322CE" w:rsidRDefault="00C20957" w:rsidP="0089559F">
      <w:pPr>
        <w:pStyle w:val="Citt"/>
        <w:keepNext/>
        <w:contextualSpacing/>
      </w:pPr>
      <w:r w:rsidRPr="007322CE">
        <w:t>Zdroj: ÚÚR</w:t>
      </w:r>
    </w:p>
    <w:p w:rsidR="00AB36C8" w:rsidRPr="00804432" w:rsidRDefault="00AB36C8" w:rsidP="003E4A5D">
      <w:pPr>
        <w:pStyle w:val="Titulek"/>
        <w:rPr>
          <w:rFonts w:eastAsia="Calibri"/>
          <w:b w:val="0"/>
          <w:bCs w:val="0"/>
          <w:color w:val="auto"/>
          <w:sz w:val="24"/>
          <w:szCs w:val="22"/>
          <w:lang w:eastAsia="en-US"/>
        </w:rPr>
      </w:pPr>
      <w:r w:rsidRPr="00804432">
        <w:rPr>
          <w:rFonts w:eastAsia="Calibri"/>
          <w:b w:val="0"/>
          <w:bCs w:val="0"/>
          <w:color w:val="auto"/>
          <w:sz w:val="24"/>
          <w:szCs w:val="22"/>
          <w:lang w:eastAsia="en-US"/>
        </w:rPr>
        <w:t>Dle předchozích grafů došlo k největšímu poklesu počtu vydaných rozhodnutí v roce 2012. Nicméně klesající tendence je dlouhodobá.</w:t>
      </w:r>
    </w:p>
    <w:p w:rsidR="00AB36C8" w:rsidRPr="00AB36C8" w:rsidRDefault="00AB36C8" w:rsidP="003E4A5D">
      <w:pPr>
        <w:widowControl w:val="0"/>
      </w:pPr>
      <w:r>
        <w:t>Následující graf zachycuj</w:t>
      </w:r>
      <w:r w:rsidR="005F1434">
        <w:t>e</w:t>
      </w:r>
      <w:r>
        <w:t xml:space="preserve"> aktivitu stavebního sektoru, která od rou 2010 klesá s návratem k růstu v roce 2014 a opětovným poklesem od roku 2016.</w:t>
      </w:r>
      <w:r w:rsidR="005F1434">
        <w:t xml:space="preserve"> Počet dokončených staveb je pak výsledkem stavební aktivity, kterou sleduje s určitým zpožděním.</w:t>
      </w:r>
    </w:p>
    <w:p w:rsidR="00FC43D9" w:rsidRDefault="00FC43D9"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8</w:t>
      </w:r>
      <w:r w:rsidR="00AB65E9">
        <w:rPr>
          <w:noProof/>
        </w:rPr>
        <w:fldChar w:fldCharType="end"/>
      </w:r>
      <w:r>
        <w:t>:</w:t>
      </w:r>
      <w:r w:rsidRPr="00FC43D9">
        <w:t xml:space="preserve"> </w:t>
      </w:r>
      <w:r w:rsidR="002070BB" w:rsidRPr="002070BB">
        <w:t>Stavební práce "S"</w:t>
      </w:r>
      <w:r w:rsidR="002070BB">
        <w:t xml:space="preserve"> – položka </w:t>
      </w:r>
      <w:r w:rsidR="00617F3D">
        <w:t>N</w:t>
      </w:r>
      <w:r w:rsidRPr="00FC43D9">
        <w:t>ová výstavba, rekonstrukce a modernizace</w:t>
      </w:r>
      <w:r w:rsidR="00617F3D">
        <w:t xml:space="preserve"> (neobsahuje opravy a údržbu), mil. Kč</w:t>
      </w:r>
      <w:r w:rsidR="00096E37">
        <w:t xml:space="preserve"> </w:t>
      </w:r>
    </w:p>
    <w:p w:rsidR="00436865" w:rsidRDefault="00494352" w:rsidP="003E4A5D">
      <w:pPr>
        <w:pStyle w:val="Text-Normaln"/>
        <w:widowControl w:val="0"/>
        <w:spacing w:before="0" w:after="0"/>
        <w:contextualSpacing/>
        <w:rPr>
          <w:b/>
        </w:rPr>
      </w:pPr>
      <w:r>
        <w:rPr>
          <w:b/>
          <w:noProof/>
          <w:lang w:eastAsia="cs-CZ"/>
        </w:rPr>
        <w:drawing>
          <wp:inline distT="0" distB="0" distL="0" distR="0" wp14:anchorId="0EF68922" wp14:editId="22F78C8F">
            <wp:extent cx="5746750" cy="15875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842" cy="1636973"/>
                    </a:xfrm>
                    <a:prstGeom prst="rect">
                      <a:avLst/>
                    </a:prstGeom>
                    <a:noFill/>
                  </pic:spPr>
                </pic:pic>
              </a:graphicData>
            </a:graphic>
          </wp:inline>
        </w:drawing>
      </w:r>
    </w:p>
    <w:p w:rsidR="00436865" w:rsidRDefault="00617F3D" w:rsidP="003E4A5D">
      <w:pPr>
        <w:pStyle w:val="Citt"/>
        <w:contextualSpacing/>
      </w:pPr>
      <w:r>
        <w:t>Zdroj: ČSÚ</w:t>
      </w:r>
    </w:p>
    <w:bookmarkEnd w:id="47"/>
    <w:p w:rsidR="001F41A1" w:rsidRDefault="001F41A1" w:rsidP="003E4A5D">
      <w:pPr>
        <w:pStyle w:val="Titulek"/>
      </w:pPr>
    </w:p>
    <w:p w:rsidR="00781363" w:rsidRDefault="00781363" w:rsidP="003E4A5D">
      <w:pPr>
        <w:pStyle w:val="Titulek"/>
      </w:pPr>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9</w:t>
      </w:r>
      <w:r w:rsidR="00AB65E9">
        <w:rPr>
          <w:noProof/>
        </w:rPr>
        <w:fldChar w:fldCharType="end"/>
      </w:r>
      <w:r>
        <w:t>:</w:t>
      </w:r>
      <w:r w:rsidRPr="00781363">
        <w:t xml:space="preserve"> Počet </w:t>
      </w:r>
      <w:r w:rsidR="009808D5">
        <w:t xml:space="preserve">dokončených </w:t>
      </w:r>
      <w:r w:rsidRPr="00781363">
        <w:t>bytových budov</w:t>
      </w:r>
      <w:r w:rsidR="00096E37">
        <w:t xml:space="preserve"> </w:t>
      </w:r>
    </w:p>
    <w:p w:rsidR="00436865" w:rsidRDefault="00647DA2" w:rsidP="003E4A5D">
      <w:pPr>
        <w:pStyle w:val="Text-Normaln"/>
        <w:widowControl w:val="0"/>
        <w:spacing w:before="0" w:after="0"/>
        <w:contextualSpacing/>
        <w:rPr>
          <w:b/>
        </w:rPr>
      </w:pPr>
      <w:r>
        <w:rPr>
          <w:b/>
          <w:noProof/>
          <w:lang w:eastAsia="cs-CZ"/>
        </w:rPr>
        <w:drawing>
          <wp:inline distT="0" distB="0" distL="0" distR="0" wp14:anchorId="791C4CBA" wp14:editId="4DB88669">
            <wp:extent cx="5714323" cy="17970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5305" cy="1831952"/>
                    </a:xfrm>
                    <a:prstGeom prst="rect">
                      <a:avLst/>
                    </a:prstGeom>
                    <a:noFill/>
                  </pic:spPr>
                </pic:pic>
              </a:graphicData>
            </a:graphic>
          </wp:inline>
        </w:drawing>
      </w:r>
    </w:p>
    <w:p w:rsidR="00781363" w:rsidRDefault="00781363" w:rsidP="003E4A5D">
      <w:pPr>
        <w:pStyle w:val="Citt"/>
        <w:contextualSpacing/>
      </w:pPr>
      <w:r>
        <w:t>Zdroj: ČSÚ</w:t>
      </w:r>
    </w:p>
    <w:p w:rsidR="001F41A1" w:rsidRDefault="001F41A1" w:rsidP="003E4A5D">
      <w:pPr>
        <w:pStyle w:val="Textkomente"/>
        <w:widowControl w:val="0"/>
        <w:rPr>
          <w:rFonts w:eastAsia="Times New Roman"/>
          <w:b/>
          <w:bCs/>
          <w:color w:val="000000"/>
          <w:sz w:val="22"/>
          <w:lang w:eastAsia="cs-CZ"/>
        </w:rPr>
      </w:pPr>
    </w:p>
    <w:p w:rsidR="00781363" w:rsidRPr="00022484" w:rsidRDefault="00781363" w:rsidP="0089559F">
      <w:pPr>
        <w:pStyle w:val="Textkomente"/>
        <w:keepNext/>
        <w:widowControl w:val="0"/>
        <w:rPr>
          <w:rFonts w:eastAsia="Times New Roman"/>
          <w:b/>
          <w:bCs/>
          <w:color w:val="000000"/>
          <w:sz w:val="22"/>
          <w:lang w:eastAsia="cs-CZ"/>
        </w:rPr>
      </w:pPr>
      <w:r w:rsidRPr="00022484">
        <w:rPr>
          <w:rFonts w:eastAsia="Times New Roman"/>
          <w:b/>
          <w:bCs/>
          <w:color w:val="000000"/>
          <w:sz w:val="22"/>
          <w:lang w:eastAsia="cs-CZ"/>
        </w:rPr>
        <w:t xml:space="preserve">Graf </w:t>
      </w:r>
      <w:r w:rsidR="00AB65E9" w:rsidRPr="00022484">
        <w:rPr>
          <w:rFonts w:eastAsia="Times New Roman"/>
          <w:b/>
          <w:bCs/>
          <w:color w:val="000000"/>
          <w:sz w:val="22"/>
          <w:lang w:eastAsia="cs-CZ"/>
        </w:rPr>
        <w:fldChar w:fldCharType="begin"/>
      </w:r>
      <w:r w:rsidR="007B0D8A" w:rsidRPr="00022484">
        <w:rPr>
          <w:rFonts w:eastAsia="Times New Roman"/>
          <w:b/>
          <w:bCs/>
          <w:color w:val="000000"/>
          <w:sz w:val="22"/>
          <w:lang w:eastAsia="cs-CZ"/>
        </w:rPr>
        <w:instrText xml:space="preserve"> SEQ Graf \* ARABIC </w:instrText>
      </w:r>
      <w:r w:rsidR="00AB65E9" w:rsidRPr="00022484">
        <w:rPr>
          <w:rFonts w:eastAsia="Times New Roman"/>
          <w:b/>
          <w:bCs/>
          <w:color w:val="000000"/>
          <w:sz w:val="22"/>
          <w:lang w:eastAsia="cs-CZ"/>
        </w:rPr>
        <w:fldChar w:fldCharType="separate"/>
      </w:r>
      <w:r w:rsidR="00263A1B">
        <w:rPr>
          <w:rFonts w:eastAsia="Times New Roman"/>
          <w:b/>
          <w:bCs/>
          <w:noProof/>
          <w:color w:val="000000"/>
          <w:sz w:val="22"/>
          <w:lang w:eastAsia="cs-CZ"/>
        </w:rPr>
        <w:t>10</w:t>
      </w:r>
      <w:r w:rsidR="00AB65E9" w:rsidRPr="00022484">
        <w:rPr>
          <w:rFonts w:eastAsia="Times New Roman"/>
          <w:b/>
          <w:bCs/>
          <w:color w:val="000000"/>
          <w:sz w:val="22"/>
          <w:lang w:eastAsia="cs-CZ"/>
        </w:rPr>
        <w:fldChar w:fldCharType="end"/>
      </w:r>
      <w:r w:rsidRPr="00022484">
        <w:rPr>
          <w:rFonts w:eastAsia="Times New Roman"/>
          <w:b/>
          <w:bCs/>
          <w:color w:val="000000"/>
          <w:sz w:val="22"/>
          <w:lang w:eastAsia="cs-CZ"/>
        </w:rPr>
        <w:t>: Počet dokončených bytů</w:t>
      </w:r>
      <w:r w:rsidR="00022484" w:rsidRPr="00022484">
        <w:rPr>
          <w:rFonts w:eastAsia="Times New Roman"/>
          <w:b/>
          <w:bCs/>
          <w:color w:val="000000"/>
          <w:sz w:val="22"/>
          <w:lang w:eastAsia="cs-CZ"/>
        </w:rPr>
        <w:t xml:space="preserve"> </w:t>
      </w:r>
    </w:p>
    <w:p w:rsidR="00436865" w:rsidRDefault="00781363" w:rsidP="0089559F">
      <w:pPr>
        <w:pStyle w:val="Text-Normaln"/>
        <w:keepNext/>
        <w:widowControl w:val="0"/>
        <w:spacing w:before="0" w:after="0"/>
        <w:contextualSpacing/>
        <w:rPr>
          <w:b/>
        </w:rPr>
      </w:pPr>
      <w:r>
        <w:rPr>
          <w:b/>
          <w:noProof/>
          <w:lang w:eastAsia="cs-CZ"/>
        </w:rPr>
        <w:drawing>
          <wp:inline distT="0" distB="0" distL="0" distR="0" wp14:anchorId="3B095A50" wp14:editId="70DA85AD">
            <wp:extent cx="5734050" cy="187325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4676" cy="1893056"/>
                    </a:xfrm>
                    <a:prstGeom prst="rect">
                      <a:avLst/>
                    </a:prstGeom>
                    <a:noFill/>
                  </pic:spPr>
                </pic:pic>
              </a:graphicData>
            </a:graphic>
          </wp:inline>
        </w:drawing>
      </w:r>
    </w:p>
    <w:p w:rsidR="00781363" w:rsidRDefault="00781363" w:rsidP="0089559F">
      <w:pPr>
        <w:pStyle w:val="Citt"/>
        <w:keepNext/>
        <w:contextualSpacing/>
      </w:pPr>
      <w:r>
        <w:t>Zdroj: ČSÚ</w:t>
      </w:r>
    </w:p>
    <w:p w:rsidR="0032110B" w:rsidRDefault="0032110B" w:rsidP="003E4A5D">
      <w:pPr>
        <w:widowControl w:val="0"/>
        <w:spacing w:before="0" w:after="0"/>
        <w:jc w:val="left"/>
        <w:rPr>
          <w:rFonts w:eastAsia="MS Mincho"/>
        </w:rPr>
      </w:pPr>
      <w:bookmarkStart w:id="48" w:name="_Ref531396109"/>
    </w:p>
    <w:p w:rsidR="00A31AEE" w:rsidRDefault="00D67A9A" w:rsidP="003E4A5D">
      <w:pPr>
        <w:pStyle w:val="Normln-tun"/>
        <w:widowControl w:val="0"/>
      </w:pPr>
      <w:r>
        <w:t>Následující graf kvantitativně popisuj</w:t>
      </w:r>
      <w:r w:rsidR="002F389B">
        <w:t>e</w:t>
      </w:r>
      <w:r>
        <w:t xml:space="preserve"> problematick</w:t>
      </w:r>
      <w:r w:rsidR="002F389B">
        <w:t>ý</w:t>
      </w:r>
      <w:r>
        <w:t xml:space="preserve"> aspekt současného povolovacího procesu</w:t>
      </w:r>
      <w:r w:rsidR="005344C5">
        <w:t>, a </w:t>
      </w:r>
      <w:r w:rsidR="002F389B">
        <w:t>to úspěšnost odvolávajících se účastníků řízení</w:t>
      </w:r>
      <w:r>
        <w:t xml:space="preserve">. </w:t>
      </w:r>
      <w:r w:rsidR="005F1434">
        <w:t>Z těchto</w:t>
      </w:r>
      <w:r>
        <w:t xml:space="preserve"> údaj</w:t>
      </w:r>
      <w:r w:rsidR="005F1434">
        <w:t xml:space="preserve">ů bude vycházet </w:t>
      </w:r>
      <w:r w:rsidR="002F389B">
        <w:t xml:space="preserve">i </w:t>
      </w:r>
      <w:r w:rsidR="005F1434">
        <w:t xml:space="preserve">argumentace </w:t>
      </w:r>
      <w:r>
        <w:t>v hodnotící části.</w:t>
      </w:r>
      <w:r w:rsidR="00022484">
        <w:t xml:space="preserve"> </w:t>
      </w:r>
      <w:r w:rsidR="0085384B">
        <w:t>Z rozhodnutí, které byly napadeny odvoláním, n</w:t>
      </w:r>
      <w:r w:rsidR="002F389B">
        <w:t xml:space="preserve">ejvětší </w:t>
      </w:r>
      <w:r w:rsidR="00732C22">
        <w:t>podíl počtu rozhodnutí o odvolání, jímž bylo rozhodnutí zrušeno a věc vrácena k novému projednání, mají obce I. typu.</w:t>
      </w:r>
    </w:p>
    <w:p w:rsidR="00A31AEE" w:rsidRDefault="00A31AEE">
      <w:pPr>
        <w:spacing w:before="0" w:after="0"/>
        <w:jc w:val="left"/>
        <w:rPr>
          <w:rFonts w:eastAsia="MS Mincho"/>
        </w:rPr>
      </w:pPr>
      <w:r>
        <w:br w:type="page"/>
      </w:r>
    </w:p>
    <w:p w:rsidR="005938A6" w:rsidRDefault="005938A6"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11</w:t>
      </w:r>
      <w:r w:rsidR="00AB65E9">
        <w:rPr>
          <w:noProof/>
        </w:rPr>
        <w:fldChar w:fldCharType="end"/>
      </w:r>
      <w:r>
        <w:t>: Odvolací řízení, prvoinstanční OSÚ</w:t>
      </w:r>
      <w:bookmarkEnd w:id="48"/>
      <w:r w:rsidR="002F389B">
        <w:t xml:space="preserve"> 2017</w:t>
      </w:r>
    </w:p>
    <w:p w:rsidR="00CE1593" w:rsidRDefault="00721B79" w:rsidP="003E4A5D">
      <w:pPr>
        <w:pStyle w:val="Text-Normaln"/>
        <w:widowControl w:val="0"/>
        <w:spacing w:before="0"/>
        <w:rPr>
          <w:b/>
        </w:rPr>
      </w:pPr>
      <w:r>
        <w:rPr>
          <w:b/>
          <w:noProof/>
          <w:lang w:eastAsia="cs-CZ"/>
        </w:rPr>
        <w:drawing>
          <wp:inline distT="0" distB="0" distL="0" distR="0" wp14:anchorId="0A473D28" wp14:editId="6A01CC05">
            <wp:extent cx="5751915" cy="2609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314" b="3211"/>
                    <a:stretch/>
                  </pic:blipFill>
                  <pic:spPr bwMode="auto">
                    <a:xfrm>
                      <a:off x="0" y="0"/>
                      <a:ext cx="5773023" cy="2619427"/>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732C22" w:rsidRDefault="00732C22" w:rsidP="003E4A5D">
      <w:pPr>
        <w:pStyle w:val="Text-Normaln"/>
        <w:widowControl w:val="0"/>
      </w:pPr>
      <w:r>
        <w:rPr>
          <w:b/>
        </w:rPr>
        <w:t>Druh</w:t>
      </w:r>
      <w:r w:rsidRPr="002F389B">
        <w:rPr>
          <w:b/>
        </w:rPr>
        <w:t>oinstančních OSÚ</w:t>
      </w:r>
      <w:r w:rsidRPr="00BD230D">
        <w:t xml:space="preserve"> je celkem </w:t>
      </w:r>
      <w:r w:rsidR="001F41A1">
        <w:t>17</w:t>
      </w:r>
      <w:r w:rsidRPr="00BD230D">
        <w:t xml:space="preserve">. </w:t>
      </w:r>
      <w:r>
        <w:t xml:space="preserve">Zaměstnávají celkem </w:t>
      </w:r>
      <w:r w:rsidR="001F41A1">
        <w:t>235</w:t>
      </w:r>
      <w:r>
        <w:t xml:space="preserve"> osob se </w:t>
      </w:r>
      <w:r w:rsidR="001F41A1">
        <w:t>217</w:t>
      </w:r>
      <w:r>
        <w:t xml:space="preserve"> úvazky (</w:t>
      </w:r>
      <w:r w:rsidRPr="00D67A9A">
        <w:rPr>
          <w:i/>
        </w:rPr>
        <w:t>k přesunu</w:t>
      </w:r>
      <w:r>
        <w:rPr>
          <w:i/>
        </w:rPr>
        <w:t xml:space="preserve"> v dále uvedeném poměru</w:t>
      </w:r>
      <w:r>
        <w:t xml:space="preserve">). </w:t>
      </w:r>
    </w:p>
    <w:p w:rsidR="003B6334" w:rsidRDefault="003B6334" w:rsidP="003E4A5D">
      <w:pPr>
        <w:pStyle w:val="Text-Normaln"/>
        <w:widowControl w:val="0"/>
      </w:pPr>
    </w:p>
    <w:p w:rsidR="009F7886" w:rsidRDefault="009F7886"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10</w:t>
      </w:r>
      <w:r w:rsidR="00AB65E9">
        <w:rPr>
          <w:noProof/>
        </w:rPr>
        <w:fldChar w:fldCharType="end"/>
      </w:r>
      <w:r>
        <w:t xml:space="preserve">: </w:t>
      </w:r>
      <w:r w:rsidRPr="009F7886">
        <w:t xml:space="preserve">Druhoinstanční OSÚ </w:t>
      </w:r>
      <w:r w:rsidR="00453674">
        <w:t>(</w:t>
      </w:r>
      <w:r w:rsidR="00453674" w:rsidRPr="00D67A9A">
        <w:rPr>
          <w:i/>
        </w:rPr>
        <w:t>k přesunu</w:t>
      </w:r>
      <w:r w:rsidR="00453674">
        <w:rPr>
          <w:i/>
        </w:rPr>
        <w:t xml:space="preserve"> v dále uvedeném poměru</w:t>
      </w:r>
      <w:r w:rsidR="00453674">
        <w:t>)</w:t>
      </w:r>
      <w:r w:rsidR="00022484">
        <w:t xml:space="preserve"> </w:t>
      </w:r>
    </w:p>
    <w:tbl>
      <w:tblPr>
        <w:tblStyle w:val="Svtlstnovn1"/>
        <w:tblW w:w="9072" w:type="dxa"/>
        <w:tblInd w:w="108" w:type="dxa"/>
        <w:tblLayout w:type="fixed"/>
        <w:tblLook w:val="04A0" w:firstRow="1" w:lastRow="0" w:firstColumn="1" w:lastColumn="0" w:noHBand="0" w:noVBand="1"/>
      </w:tblPr>
      <w:tblGrid>
        <w:gridCol w:w="4253"/>
        <w:gridCol w:w="1417"/>
        <w:gridCol w:w="2127"/>
        <w:gridCol w:w="1275"/>
      </w:tblGrid>
      <w:tr w:rsidR="00C15348" w:rsidRPr="006B4DD5" w:rsidTr="00873B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3E4A5D">
            <w:pPr>
              <w:widowControl w:val="0"/>
              <w:spacing w:before="0" w:after="0"/>
              <w:jc w:val="left"/>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Popisky řádků</w:t>
            </w:r>
          </w:p>
        </w:tc>
        <w:tc>
          <w:tcPr>
            <w:tcW w:w="1417"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úředních osob</w:t>
            </w:r>
          </w:p>
        </w:tc>
        <w:tc>
          <w:tcPr>
            <w:tcW w:w="2127"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pracovních úvazků úředních osob</w:t>
            </w:r>
          </w:p>
        </w:tc>
        <w:tc>
          <w:tcPr>
            <w:tcW w:w="1275"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úřadů</w:t>
            </w:r>
          </w:p>
        </w:tc>
      </w:tr>
      <w:tr w:rsidR="00C15348" w:rsidRPr="006B4DD5" w:rsidTr="00873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873B3D" w:rsidP="003E4A5D">
            <w:pPr>
              <w:widowControl w:val="0"/>
              <w:spacing w:before="0" w:after="0"/>
              <w:jc w:val="left"/>
              <w:rPr>
                <w:rFonts w:asciiTheme="minorHAnsi" w:eastAsia="Times New Roman" w:hAnsiTheme="minorHAnsi" w:cstheme="minorHAnsi"/>
                <w:b w:val="0"/>
                <w:sz w:val="20"/>
                <w:szCs w:val="20"/>
                <w:lang w:eastAsia="cs-CZ"/>
              </w:rPr>
            </w:pPr>
            <w:r>
              <w:rPr>
                <w:rFonts w:asciiTheme="minorHAnsi" w:eastAsia="Times New Roman" w:hAnsiTheme="minorHAnsi" w:cstheme="minorHAnsi"/>
                <w:b w:val="0"/>
                <w:sz w:val="20"/>
                <w:szCs w:val="20"/>
                <w:lang w:eastAsia="cs-CZ"/>
              </w:rPr>
              <w:t>krajský úřad</w:t>
            </w:r>
          </w:p>
        </w:tc>
        <w:tc>
          <w:tcPr>
            <w:tcW w:w="141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210</w:t>
            </w:r>
          </w:p>
        </w:tc>
        <w:tc>
          <w:tcPr>
            <w:tcW w:w="212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192,25</w:t>
            </w:r>
          </w:p>
        </w:tc>
        <w:tc>
          <w:tcPr>
            <w:tcW w:w="1275"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14</w:t>
            </w:r>
          </w:p>
        </w:tc>
      </w:tr>
      <w:tr w:rsidR="00C15348" w:rsidRPr="006B4DD5" w:rsidTr="00873B3D">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873B3D">
            <w:pPr>
              <w:widowControl w:val="0"/>
              <w:spacing w:before="0" w:after="0"/>
              <w:jc w:val="left"/>
              <w:rPr>
                <w:rFonts w:asciiTheme="minorHAnsi" w:eastAsia="Times New Roman" w:hAnsiTheme="minorHAnsi" w:cstheme="minorHAnsi"/>
                <w:b w:val="0"/>
                <w:sz w:val="20"/>
                <w:szCs w:val="20"/>
                <w:lang w:eastAsia="cs-CZ"/>
              </w:rPr>
            </w:pPr>
            <w:r w:rsidRPr="006B4DD5">
              <w:rPr>
                <w:rFonts w:asciiTheme="minorHAnsi" w:eastAsia="Times New Roman" w:hAnsiTheme="minorHAnsi" w:cstheme="minorHAnsi"/>
                <w:b w:val="0"/>
                <w:sz w:val="20"/>
                <w:szCs w:val="20"/>
                <w:lang w:eastAsia="cs-CZ"/>
              </w:rPr>
              <w:t>magistrát úze</w:t>
            </w:r>
            <w:r w:rsidR="00873B3D">
              <w:rPr>
                <w:rFonts w:asciiTheme="minorHAnsi" w:eastAsia="Times New Roman" w:hAnsiTheme="minorHAnsi" w:cstheme="minorHAnsi"/>
                <w:b w:val="0"/>
                <w:sz w:val="20"/>
                <w:szCs w:val="20"/>
                <w:lang w:eastAsia="cs-CZ"/>
              </w:rPr>
              <w:t>mně členěného statutárního města</w:t>
            </w:r>
          </w:p>
        </w:tc>
        <w:tc>
          <w:tcPr>
            <w:tcW w:w="1417"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25</w:t>
            </w:r>
          </w:p>
        </w:tc>
        <w:tc>
          <w:tcPr>
            <w:tcW w:w="2127"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24,3</w:t>
            </w:r>
          </w:p>
        </w:tc>
        <w:tc>
          <w:tcPr>
            <w:tcW w:w="1275"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3</w:t>
            </w:r>
          </w:p>
        </w:tc>
      </w:tr>
      <w:tr w:rsidR="00C15348" w:rsidRPr="006B4DD5" w:rsidTr="00873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3E4A5D">
            <w:pPr>
              <w:widowControl w:val="0"/>
              <w:spacing w:before="0" w:after="0"/>
              <w:jc w:val="left"/>
              <w:rPr>
                <w:rFonts w:asciiTheme="minorHAnsi" w:eastAsia="Times New Roman" w:hAnsiTheme="minorHAnsi" w:cstheme="minorHAnsi"/>
                <w:b w:val="0"/>
                <w:sz w:val="20"/>
                <w:szCs w:val="20"/>
                <w:lang w:eastAsia="cs-CZ"/>
              </w:rPr>
            </w:pPr>
            <w:r w:rsidRPr="006B4DD5">
              <w:rPr>
                <w:rFonts w:asciiTheme="minorHAnsi" w:eastAsia="Times New Roman" w:hAnsiTheme="minorHAnsi" w:cstheme="minorHAnsi"/>
                <w:b w:val="0"/>
                <w:sz w:val="20"/>
                <w:szCs w:val="20"/>
                <w:lang w:eastAsia="cs-CZ"/>
              </w:rPr>
              <w:t>Celkový součet</w:t>
            </w:r>
          </w:p>
        </w:tc>
        <w:tc>
          <w:tcPr>
            <w:tcW w:w="141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235</w:t>
            </w:r>
          </w:p>
        </w:tc>
        <w:tc>
          <w:tcPr>
            <w:tcW w:w="212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216,55</w:t>
            </w:r>
          </w:p>
        </w:tc>
        <w:tc>
          <w:tcPr>
            <w:tcW w:w="1275"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17</w:t>
            </w:r>
          </w:p>
        </w:tc>
      </w:tr>
    </w:tbl>
    <w:p w:rsidR="0011797D" w:rsidRDefault="0011797D" w:rsidP="003E4A5D">
      <w:pPr>
        <w:pStyle w:val="Citt"/>
      </w:pPr>
      <w:r>
        <w:t>Zdroj: ÚÚR</w:t>
      </w:r>
    </w:p>
    <w:p w:rsidR="0085384B" w:rsidRDefault="001F41A1" w:rsidP="003E4A5D">
      <w:pPr>
        <w:pStyle w:val="Text-Normaln"/>
        <w:widowControl w:val="0"/>
      </w:pPr>
      <w:r w:rsidRPr="001F41A1">
        <w:t xml:space="preserve">Vzdělání </w:t>
      </w:r>
      <w:r>
        <w:t>druhoinstančních OSÚ je v porovnání s prvoinstančními OSÚ výrazně vyšší, programové vybavení srovnatelné s úřady na větších obcích.</w:t>
      </w:r>
    </w:p>
    <w:p w:rsidR="003B0219" w:rsidRDefault="001F41A1" w:rsidP="00C05621">
      <w:pPr>
        <w:pStyle w:val="Text-Normaln"/>
        <w:widowControl w:val="0"/>
      </w:pPr>
      <w:r>
        <w:t xml:space="preserve"> </w:t>
      </w:r>
      <w:r w:rsidR="003B0219">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12</w:t>
      </w:r>
      <w:r w:rsidR="00AB65E9">
        <w:rPr>
          <w:noProof/>
        </w:rPr>
        <w:fldChar w:fldCharType="end"/>
      </w:r>
      <w:r w:rsidR="003B0219">
        <w:t>: Druhoinstanční OSÚ – vzdělání úředních osob 2017</w:t>
      </w:r>
      <w:r w:rsidR="00022484">
        <w:t xml:space="preserve"> </w:t>
      </w:r>
    </w:p>
    <w:p w:rsidR="003B0219" w:rsidRDefault="003B0219" w:rsidP="0089559F">
      <w:pPr>
        <w:pStyle w:val="Text-Normaln"/>
        <w:keepNext/>
        <w:widowControl w:val="0"/>
        <w:spacing w:before="0" w:after="0"/>
        <w:rPr>
          <w:b/>
        </w:rPr>
      </w:pPr>
      <w:r>
        <w:rPr>
          <w:b/>
          <w:noProof/>
          <w:lang w:eastAsia="cs-CZ"/>
        </w:rPr>
        <w:drawing>
          <wp:inline distT="0" distB="0" distL="0" distR="0" wp14:anchorId="61FCC743" wp14:editId="39754150">
            <wp:extent cx="5751077" cy="27559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702" b="6133"/>
                    <a:stretch/>
                  </pic:blipFill>
                  <pic:spPr bwMode="auto">
                    <a:xfrm>
                      <a:off x="0" y="0"/>
                      <a:ext cx="5791587" cy="2775312"/>
                    </a:xfrm>
                    <a:prstGeom prst="rect">
                      <a:avLst/>
                    </a:prstGeom>
                    <a:noFill/>
                    <a:ln>
                      <a:noFill/>
                    </a:ln>
                    <a:extLst>
                      <a:ext uri="{53640926-AAD7-44D8-BBD7-CCE9431645EC}">
                        <a14:shadowObscured xmlns:a14="http://schemas.microsoft.com/office/drawing/2010/main"/>
                      </a:ext>
                    </a:extLst>
                  </pic:spPr>
                </pic:pic>
              </a:graphicData>
            </a:graphic>
          </wp:inline>
        </w:drawing>
      </w:r>
    </w:p>
    <w:p w:rsidR="003B0219" w:rsidRDefault="003B0219" w:rsidP="0089559F">
      <w:pPr>
        <w:pStyle w:val="Citt"/>
        <w:keepNext/>
      </w:pPr>
      <w:r>
        <w:t>Zdroj: ÚÚR</w:t>
      </w:r>
    </w:p>
    <w:p w:rsidR="003B6334" w:rsidRPr="003B6334" w:rsidRDefault="003B6334" w:rsidP="003B6334">
      <w:pPr>
        <w:rPr>
          <w:lang w:eastAsia="cs-CZ"/>
        </w:rPr>
      </w:pPr>
    </w:p>
    <w:p w:rsidR="00022484" w:rsidRDefault="008B2425"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13</w:t>
      </w:r>
      <w:r w:rsidR="00AB65E9">
        <w:rPr>
          <w:noProof/>
        </w:rPr>
        <w:fldChar w:fldCharType="end"/>
      </w:r>
      <w:r>
        <w:t>: Programové vybavení druhoinstančních OSÚ</w:t>
      </w:r>
      <w:r w:rsidR="00022484">
        <w:t xml:space="preserve"> </w:t>
      </w:r>
      <w:r w:rsidR="001F41A1">
        <w:t>v roce 2017</w:t>
      </w:r>
      <w:r w:rsidR="00B47025">
        <w:t xml:space="preserve"> (počet)</w:t>
      </w:r>
    </w:p>
    <w:p w:rsidR="00C15348" w:rsidRDefault="00DE3EA3" w:rsidP="003E4A5D">
      <w:pPr>
        <w:pStyle w:val="Text-Normaln"/>
        <w:widowControl w:val="0"/>
        <w:spacing w:before="0" w:after="0"/>
        <w:rPr>
          <w:b/>
        </w:rPr>
      </w:pPr>
      <w:r>
        <w:rPr>
          <w:b/>
          <w:noProof/>
          <w:lang w:eastAsia="cs-CZ"/>
        </w:rPr>
        <w:drawing>
          <wp:inline distT="0" distB="0" distL="0" distR="0" wp14:anchorId="62576A16" wp14:editId="4E8DA788">
            <wp:extent cx="5753100" cy="22669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066" b="3184"/>
                    <a:stretch/>
                  </pic:blipFill>
                  <pic:spPr bwMode="auto">
                    <a:xfrm>
                      <a:off x="0" y="0"/>
                      <a:ext cx="5769975" cy="2273599"/>
                    </a:xfrm>
                    <a:prstGeom prst="rect">
                      <a:avLst/>
                    </a:prstGeom>
                    <a:noFill/>
                    <a:ln>
                      <a:noFill/>
                    </a:ln>
                    <a:extLst>
                      <a:ext uri="{53640926-AAD7-44D8-BBD7-CCE9431645EC}">
                        <a14:shadowObscured xmlns:a14="http://schemas.microsoft.com/office/drawing/2010/main"/>
                      </a:ext>
                    </a:extLst>
                  </pic:spPr>
                </pic:pic>
              </a:graphicData>
            </a:graphic>
          </wp:inline>
        </w:drawing>
      </w:r>
    </w:p>
    <w:p w:rsidR="008B2425" w:rsidRDefault="008B2425" w:rsidP="003E4A5D">
      <w:pPr>
        <w:pStyle w:val="Citt"/>
      </w:pPr>
      <w:r>
        <w:t>Zdroj: ÚÚR</w:t>
      </w:r>
    </w:p>
    <w:p w:rsidR="0032110B" w:rsidRPr="00041B6B" w:rsidRDefault="00041B6B" w:rsidP="00041B6B">
      <w:pPr>
        <w:pStyle w:val="Nadpis3a"/>
        <w:numPr>
          <w:ilvl w:val="0"/>
          <w:numId w:val="0"/>
        </w:numPr>
        <w:ind w:left="720" w:hanging="720"/>
        <w:rPr>
          <w:sz w:val="22"/>
        </w:rPr>
      </w:pPr>
      <w:bookmarkStart w:id="49" w:name="_Toc536553915"/>
      <w:r>
        <w:rPr>
          <w:sz w:val="22"/>
        </w:rPr>
        <w:t>A.1.</w:t>
      </w:r>
      <w:r w:rsidR="008416A6">
        <w:rPr>
          <w:sz w:val="22"/>
        </w:rPr>
        <w:t>1.</w:t>
      </w:r>
      <w:r>
        <w:rPr>
          <w:sz w:val="22"/>
        </w:rPr>
        <w:t xml:space="preserve">3 </w:t>
      </w:r>
      <w:r w:rsidR="0032110B" w:rsidRPr="00041B6B">
        <w:rPr>
          <w:sz w:val="22"/>
        </w:rPr>
        <w:t>Speciální stavební úřady (SSÚ)</w:t>
      </w:r>
      <w:bookmarkEnd w:id="49"/>
    </w:p>
    <w:p w:rsidR="0032110B" w:rsidRDefault="0032110B" w:rsidP="003E4A5D">
      <w:pPr>
        <w:pStyle w:val="Text-Normaln"/>
        <w:widowControl w:val="0"/>
      </w:pPr>
      <w:r w:rsidRPr="0032110B">
        <w:t xml:space="preserve">V poslední řadě </w:t>
      </w:r>
      <w:r>
        <w:t xml:space="preserve">budou následovat tabulky s údaji za </w:t>
      </w:r>
      <w:r w:rsidR="00873B3D">
        <w:t>SSÚ</w:t>
      </w:r>
      <w:r>
        <w:t xml:space="preserve">, u nichž by k přesunu pod </w:t>
      </w:r>
      <w:r w:rsidR="000E28B7" w:rsidRPr="000E28B7">
        <w:t xml:space="preserve">Nejvyšší stavební úřad </w:t>
      </w:r>
      <w:r w:rsidR="000E28B7">
        <w:t>(</w:t>
      </w:r>
      <w:r>
        <w:t>NSÚ</w:t>
      </w:r>
      <w:r w:rsidR="000E28B7">
        <w:t>)</w:t>
      </w:r>
      <w:r>
        <w:t xml:space="preserve"> </w:t>
      </w:r>
      <w:r w:rsidR="007E301E" w:rsidRPr="007E301E">
        <w:t xml:space="preserve">v dále uvedeném poměru </w:t>
      </w:r>
      <w:r>
        <w:t>mělo dojít také.</w:t>
      </w:r>
    </w:p>
    <w:p w:rsidR="001F41A1" w:rsidRDefault="001F41A1" w:rsidP="003E4A5D">
      <w:pPr>
        <w:pStyle w:val="Text-Normaln"/>
        <w:widowControl w:val="0"/>
      </w:pPr>
      <w:r w:rsidRPr="002F389B">
        <w:rPr>
          <w:b/>
        </w:rPr>
        <w:t xml:space="preserve">Prvoinstančních </w:t>
      </w:r>
      <w:r>
        <w:rPr>
          <w:b/>
        </w:rPr>
        <w:t>S</w:t>
      </w:r>
      <w:r w:rsidRPr="002F389B">
        <w:rPr>
          <w:b/>
        </w:rPr>
        <w:t>SÚ</w:t>
      </w:r>
      <w:r w:rsidRPr="00BD230D">
        <w:t xml:space="preserve"> je celkem </w:t>
      </w:r>
      <w:r>
        <w:t>298 pro dopravní stavby a 276 pro vodní díla</w:t>
      </w:r>
      <w:r w:rsidRPr="00BD230D">
        <w:t xml:space="preserve">. </w:t>
      </w:r>
      <w:r>
        <w:t xml:space="preserve">Zaměstnávají celkem 1 850 osob s </w:t>
      </w:r>
      <w:r w:rsidR="008F2F50">
        <w:t>1 527</w:t>
      </w:r>
      <w:r>
        <w:t xml:space="preserve"> úvazky (</w:t>
      </w:r>
      <w:r w:rsidRPr="00D67A9A">
        <w:rPr>
          <w:i/>
        </w:rPr>
        <w:t>k přesunu</w:t>
      </w:r>
      <w:r>
        <w:rPr>
          <w:i/>
        </w:rPr>
        <w:t xml:space="preserve"> v dále uvedeném poměru</w:t>
      </w:r>
      <w:r>
        <w:t xml:space="preserve">). </w:t>
      </w:r>
    </w:p>
    <w:p w:rsidR="0032110B" w:rsidRDefault="0032110B" w:rsidP="003E4A5D">
      <w:pPr>
        <w:pStyle w:val="Titulek"/>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11</w:t>
      </w:r>
      <w:r w:rsidR="00AB65E9">
        <w:rPr>
          <w:noProof/>
        </w:rPr>
        <w:fldChar w:fldCharType="end"/>
      </w:r>
      <w:r>
        <w:t xml:space="preserve">: </w:t>
      </w:r>
      <w:r w:rsidRPr="009D5F63">
        <w:t xml:space="preserve">SSÚ – </w:t>
      </w:r>
      <w:r w:rsidR="0011797D">
        <w:t>dopravní stavby</w:t>
      </w:r>
      <w:r w:rsidRPr="009D5F63">
        <w:t xml:space="preserve"> </w:t>
      </w:r>
      <w:r w:rsidR="0011797D">
        <w:t>(SSÚ – D) –</w:t>
      </w:r>
      <w:r w:rsidRPr="009D5F63">
        <w:t xml:space="preserve"> </w:t>
      </w:r>
      <w:r w:rsidR="0011797D">
        <w:t>počty zaměstnanců</w:t>
      </w:r>
      <w:r w:rsidR="00022484">
        <w:t xml:space="preserve"> </w:t>
      </w:r>
    </w:p>
    <w:tbl>
      <w:tblPr>
        <w:tblStyle w:val="Svtlstnovn1"/>
        <w:tblW w:w="9072" w:type="dxa"/>
        <w:tblInd w:w="108" w:type="dxa"/>
        <w:tblLayout w:type="fixed"/>
        <w:tblLook w:val="04A0" w:firstRow="1" w:lastRow="0" w:firstColumn="1" w:lastColumn="0" w:noHBand="0" w:noVBand="1"/>
      </w:tblPr>
      <w:tblGrid>
        <w:gridCol w:w="4253"/>
        <w:gridCol w:w="1559"/>
        <w:gridCol w:w="2126"/>
        <w:gridCol w:w="1134"/>
      </w:tblGrid>
      <w:tr w:rsidR="005943DA" w:rsidRPr="005943DA"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Popisky řádků</w:t>
            </w:r>
          </w:p>
        </w:tc>
        <w:tc>
          <w:tcPr>
            <w:tcW w:w="1559"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5943DA">
              <w:rPr>
                <w:rFonts w:ascii="Calibri" w:eastAsia="Times New Roman" w:hAnsi="Calibri" w:cs="Calibri"/>
                <w:b w:val="0"/>
                <w:sz w:val="20"/>
                <w:szCs w:val="20"/>
                <w:lang w:eastAsia="cs-CZ"/>
              </w:rPr>
              <w:t xml:space="preserve"> úředních osob</w:t>
            </w:r>
          </w:p>
        </w:tc>
        <w:tc>
          <w:tcPr>
            <w:tcW w:w="2126"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5943DA">
              <w:rPr>
                <w:rFonts w:ascii="Calibri" w:eastAsia="Times New Roman" w:hAnsi="Calibri" w:cs="Calibri"/>
                <w:b w:val="0"/>
                <w:sz w:val="20"/>
                <w:szCs w:val="20"/>
                <w:lang w:eastAsia="cs-CZ"/>
              </w:rPr>
              <w:t xml:space="preserve"> pracovních úvazků úředních osob</w:t>
            </w:r>
          </w:p>
        </w:tc>
        <w:tc>
          <w:tcPr>
            <w:tcW w:w="1134"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85384B">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úřad obce III. </w:t>
            </w:r>
            <w:r w:rsidR="0085384B">
              <w:rPr>
                <w:rFonts w:ascii="Calibri" w:eastAsia="Times New Roman" w:hAnsi="Calibri" w:cs="Calibri"/>
                <w:b w:val="0"/>
                <w:sz w:val="20"/>
                <w:szCs w:val="20"/>
                <w:lang w:eastAsia="cs-CZ"/>
              </w:rPr>
              <w:t>typu</w:t>
            </w:r>
            <w:r w:rsidRPr="005943DA">
              <w:rPr>
                <w:rFonts w:ascii="Calibri" w:eastAsia="Times New Roman" w:hAnsi="Calibri" w:cs="Calibri"/>
                <w:b w:val="0"/>
                <w:sz w:val="20"/>
                <w:szCs w:val="20"/>
                <w:lang w:eastAsia="cs-CZ"/>
              </w:rPr>
              <w:t xml:space="preserve">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563</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412,33</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202</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magistrát územně členěného statutárního města </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13</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úřad městského obvodu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63</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54,45</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30</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85384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úřad městské části </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141</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123,185</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46</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krajský úřad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69</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40,1</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14</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ministerstvo</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51</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51</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Celkový součet</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900</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687,065</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298</w:t>
            </w:r>
          </w:p>
        </w:tc>
      </w:tr>
    </w:tbl>
    <w:p w:rsidR="0011797D" w:rsidRDefault="0011797D" w:rsidP="003E4A5D">
      <w:pPr>
        <w:pStyle w:val="Titulek"/>
      </w:pPr>
    </w:p>
    <w:p w:rsidR="008F2F50" w:rsidRDefault="008F2F50" w:rsidP="0089559F">
      <w:pPr>
        <w:pStyle w:val="Titulek"/>
        <w:keepNext/>
      </w:pPr>
      <w:r>
        <w:t xml:space="preserve">Tabulka </w:t>
      </w:r>
      <w:r w:rsidR="00AB65E9">
        <w:rPr>
          <w:noProof/>
        </w:rPr>
        <w:fldChar w:fldCharType="begin"/>
      </w:r>
      <w:r>
        <w:rPr>
          <w:noProof/>
        </w:rPr>
        <w:instrText xml:space="preserve"> SEQ Tabulka \* ARABIC </w:instrText>
      </w:r>
      <w:r w:rsidR="00AB65E9">
        <w:rPr>
          <w:noProof/>
        </w:rPr>
        <w:fldChar w:fldCharType="separate"/>
      </w:r>
      <w:r w:rsidR="00263A1B">
        <w:rPr>
          <w:noProof/>
        </w:rPr>
        <w:t>12</w:t>
      </w:r>
      <w:r w:rsidR="00AB65E9">
        <w:rPr>
          <w:noProof/>
        </w:rPr>
        <w:fldChar w:fldCharType="end"/>
      </w:r>
      <w:r>
        <w:t>: SSÚ – vodní díla (SSÚ – V) –</w:t>
      </w:r>
      <w:r w:rsidRPr="009D5F63">
        <w:t xml:space="preserve"> </w:t>
      </w:r>
      <w:r>
        <w:t xml:space="preserve">počty zaměstnanců </w:t>
      </w:r>
    </w:p>
    <w:tbl>
      <w:tblPr>
        <w:tblStyle w:val="Svtlstnovn1"/>
        <w:tblW w:w="9072" w:type="dxa"/>
        <w:tblInd w:w="108" w:type="dxa"/>
        <w:tblLayout w:type="fixed"/>
        <w:tblLook w:val="04A0" w:firstRow="1" w:lastRow="0" w:firstColumn="1" w:lastColumn="0" w:noHBand="0" w:noVBand="1"/>
      </w:tblPr>
      <w:tblGrid>
        <w:gridCol w:w="4253"/>
        <w:gridCol w:w="1559"/>
        <w:gridCol w:w="2126"/>
        <w:gridCol w:w="1134"/>
      </w:tblGrid>
      <w:tr w:rsidR="008F2F50" w:rsidRPr="00D94F6C"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Popisky řádků</w:t>
            </w:r>
          </w:p>
        </w:tc>
        <w:tc>
          <w:tcPr>
            <w:tcW w:w="1559"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1134"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73B3D" w:rsidP="00873B3D">
            <w:pPr>
              <w:keepNext/>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úřad obce III. typu</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672</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594,705</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202</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73B3D">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magistrát územně členěného statutárního města</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30</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73B3D" w:rsidP="0089559F">
            <w:pPr>
              <w:keepNext/>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úřad městského obvodu</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27</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26,05</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10</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úřad městské části</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120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96,8</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47</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krajský úřad</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101</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92,54</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14</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Celkový součet</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950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840,095</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276</w:t>
            </w:r>
          </w:p>
        </w:tc>
      </w:tr>
    </w:tbl>
    <w:p w:rsidR="008F2F50" w:rsidRDefault="008F2F50" w:rsidP="0089559F">
      <w:pPr>
        <w:pStyle w:val="Citt"/>
        <w:keepNext/>
      </w:pPr>
      <w:r>
        <w:t>Zdroj: ÚÚR</w:t>
      </w:r>
    </w:p>
    <w:p w:rsidR="008F2F50" w:rsidRDefault="008F2F50" w:rsidP="003E4A5D">
      <w:pPr>
        <w:pStyle w:val="Titulek"/>
        <w:rPr>
          <w:rFonts w:eastAsia="Calibri"/>
          <w:b w:val="0"/>
          <w:bCs w:val="0"/>
          <w:color w:val="auto"/>
          <w:sz w:val="24"/>
          <w:szCs w:val="22"/>
          <w:lang w:eastAsia="en-US"/>
        </w:rPr>
      </w:pPr>
      <w:r w:rsidRPr="00804432">
        <w:rPr>
          <w:rFonts w:eastAsia="Calibri"/>
          <w:b w:val="0"/>
          <w:bCs w:val="0"/>
          <w:color w:val="auto"/>
          <w:sz w:val="24"/>
          <w:szCs w:val="22"/>
          <w:lang w:eastAsia="en-US"/>
        </w:rPr>
        <w:t>Úspěšnost odvolávajících se, a tudíž míru pravděpodobnosti prodloužení povolovacího procesu, zachycují následující dva grafy pro SSÚ.</w:t>
      </w:r>
    </w:p>
    <w:p w:rsidR="00A31AEE" w:rsidRDefault="00A31AEE">
      <w:pPr>
        <w:spacing w:before="0" w:after="0"/>
        <w:jc w:val="left"/>
      </w:pPr>
      <w:r>
        <w:br w:type="page"/>
      </w:r>
    </w:p>
    <w:p w:rsidR="007E301E" w:rsidRDefault="007E301E"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14</w:t>
      </w:r>
      <w:r w:rsidR="00AB65E9">
        <w:rPr>
          <w:noProof/>
        </w:rPr>
        <w:fldChar w:fldCharType="end"/>
      </w:r>
      <w:r>
        <w:t>: Odvolací řízení – SSÚ – D</w:t>
      </w:r>
    </w:p>
    <w:p w:rsidR="00DC4415" w:rsidRDefault="0035159B" w:rsidP="003E4A5D">
      <w:pPr>
        <w:pStyle w:val="Text-Normaln"/>
        <w:widowControl w:val="0"/>
        <w:tabs>
          <w:tab w:val="left" w:pos="6521"/>
        </w:tabs>
        <w:spacing w:before="0"/>
        <w:rPr>
          <w:b/>
        </w:rPr>
      </w:pPr>
      <w:r>
        <w:rPr>
          <w:b/>
          <w:noProof/>
          <w:lang w:eastAsia="cs-CZ"/>
        </w:rPr>
        <w:drawing>
          <wp:inline distT="0" distB="0" distL="0" distR="0" wp14:anchorId="2B60E892" wp14:editId="3FC6EC8D">
            <wp:extent cx="5753100" cy="2159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739" b="1524"/>
                    <a:stretch/>
                  </pic:blipFill>
                  <pic:spPr bwMode="auto">
                    <a:xfrm>
                      <a:off x="0" y="0"/>
                      <a:ext cx="5751260" cy="2158309"/>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7E301E" w:rsidRDefault="007E301E"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15</w:t>
      </w:r>
      <w:r w:rsidR="00AB65E9">
        <w:rPr>
          <w:noProof/>
        </w:rPr>
        <w:fldChar w:fldCharType="end"/>
      </w:r>
      <w:r>
        <w:t>: Odvolací řízení SSÚ – V 2017</w:t>
      </w:r>
    </w:p>
    <w:p w:rsidR="0011797D" w:rsidRDefault="0011797D" w:rsidP="003E4A5D">
      <w:pPr>
        <w:pStyle w:val="Text-Normaln"/>
        <w:widowControl w:val="0"/>
        <w:spacing w:before="0" w:after="0"/>
        <w:rPr>
          <w:b/>
        </w:rPr>
      </w:pPr>
      <w:r>
        <w:rPr>
          <w:b/>
          <w:noProof/>
          <w:lang w:eastAsia="cs-CZ"/>
        </w:rPr>
        <w:drawing>
          <wp:inline distT="0" distB="0" distL="0" distR="0" wp14:anchorId="4D6DA9F3" wp14:editId="031DA91F">
            <wp:extent cx="5744496" cy="22161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colorTemperature colorTemp="6400"/>
                              </a14:imgEffect>
                            </a14:imgLayer>
                          </a14:imgProps>
                        </a:ext>
                        <a:ext uri="{28A0092B-C50C-407E-A947-70E740481C1C}">
                          <a14:useLocalDpi xmlns:a14="http://schemas.microsoft.com/office/drawing/2010/main" val="0"/>
                        </a:ext>
                      </a:extLst>
                    </a:blip>
                    <a:srcRect t="11191" b="2333"/>
                    <a:stretch/>
                  </pic:blipFill>
                  <pic:spPr bwMode="auto">
                    <a:xfrm>
                      <a:off x="0" y="0"/>
                      <a:ext cx="5824561" cy="2247038"/>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3B6334" w:rsidRDefault="0011797D" w:rsidP="003B6334">
      <w:pPr>
        <w:pStyle w:val="Text-Normaln"/>
        <w:widowControl w:val="0"/>
      </w:pPr>
      <w:r w:rsidRPr="0011797D">
        <w:t>Co se tý</w:t>
      </w:r>
      <w:r w:rsidR="00F8593A">
        <w:t>ká</w:t>
      </w:r>
      <w:r w:rsidRPr="0011797D">
        <w:t xml:space="preserve"> </w:t>
      </w:r>
      <w:r w:rsidRPr="008F2F50">
        <w:rPr>
          <w:b/>
        </w:rPr>
        <w:t>druhoinstančních</w:t>
      </w:r>
      <w:r w:rsidRPr="0011797D">
        <w:t xml:space="preserve"> </w:t>
      </w:r>
      <w:r w:rsidR="000E28B7">
        <w:t>SSÚ</w:t>
      </w:r>
      <w:r w:rsidRPr="0011797D">
        <w:t>, situace tam z pohledu počtu zaměstnanců vypadá následovně.</w:t>
      </w:r>
    </w:p>
    <w:p w:rsidR="003B6334" w:rsidRDefault="003B6334" w:rsidP="003B6334">
      <w:pPr>
        <w:pStyle w:val="Text-Normaln"/>
        <w:widowControl w:val="0"/>
        <w:spacing w:before="0" w:after="0"/>
      </w:pPr>
    </w:p>
    <w:p w:rsidR="0011797D" w:rsidRDefault="0011797D" w:rsidP="003B6334">
      <w:pPr>
        <w:pStyle w:val="Text-Normaln"/>
        <w:widowControl w:val="0"/>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13</w:t>
      </w:r>
      <w:r w:rsidR="00AB65E9">
        <w:rPr>
          <w:noProof/>
        </w:rPr>
        <w:fldChar w:fldCharType="end"/>
      </w:r>
      <w:r>
        <w:t xml:space="preserve">: Druhoinstanční SSÚ </w:t>
      </w:r>
      <w:r w:rsidR="007E301E">
        <w:t>–</w:t>
      </w:r>
      <w:r>
        <w:t xml:space="preserve"> D</w:t>
      </w:r>
      <w:r w:rsidR="007E301E">
        <w:t xml:space="preserve"> (</w:t>
      </w:r>
      <w:r w:rsidR="007E301E" w:rsidRPr="00D67A9A">
        <w:rPr>
          <w:i/>
        </w:rPr>
        <w:t>k přesunu</w:t>
      </w:r>
      <w:r w:rsidR="007E301E">
        <w:rPr>
          <w:i/>
        </w:rPr>
        <w:t xml:space="preserve"> v dále uvedeném poměru</w:t>
      </w:r>
      <w:r w:rsidR="007E301E">
        <w:t xml:space="preserve">) </w:t>
      </w:r>
    </w:p>
    <w:tbl>
      <w:tblPr>
        <w:tblStyle w:val="Svtlstnovn1"/>
        <w:tblW w:w="9072" w:type="dxa"/>
        <w:tblInd w:w="108" w:type="dxa"/>
        <w:tblLayout w:type="fixed"/>
        <w:tblLook w:val="04A0" w:firstRow="1" w:lastRow="0" w:firstColumn="1" w:lastColumn="0" w:noHBand="0" w:noVBand="1"/>
      </w:tblPr>
      <w:tblGrid>
        <w:gridCol w:w="4536"/>
        <w:gridCol w:w="1560"/>
        <w:gridCol w:w="2126"/>
        <w:gridCol w:w="850"/>
      </w:tblGrid>
      <w:tr w:rsidR="008F2F50" w:rsidRPr="009F2358"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8F2F50" w:rsidRPr="009F2358" w:rsidRDefault="008F2F50" w:rsidP="003E4A5D">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Popisky řádků</w:t>
            </w:r>
          </w:p>
        </w:tc>
        <w:tc>
          <w:tcPr>
            <w:tcW w:w="1560" w:type="dxa"/>
            <w:noWrap/>
            <w:vAlign w:val="center"/>
            <w:hideMark/>
          </w:tcPr>
          <w:p w:rsidR="008F2F50" w:rsidRPr="009F2358"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9F2358">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7E301E"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850" w:type="dxa"/>
            <w:noWrap/>
            <w:vAlign w:val="center"/>
            <w:hideMark/>
          </w:tcPr>
          <w:p w:rsidR="008F2F50" w:rsidRPr="007E301E"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9F2358" w:rsidRPr="009F2358"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ČR </w:t>
            </w:r>
          </w:p>
        </w:tc>
        <w:tc>
          <w:tcPr>
            <w:tcW w:w="156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27</w:t>
            </w:r>
          </w:p>
        </w:tc>
        <w:tc>
          <w:tcPr>
            <w:tcW w:w="2126"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20,9</w:t>
            </w:r>
          </w:p>
        </w:tc>
        <w:tc>
          <w:tcPr>
            <w:tcW w:w="85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w:t>
            </w:r>
          </w:p>
        </w:tc>
      </w:tr>
      <w:tr w:rsidR="009F2358" w:rsidRPr="009F2358"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krajský úřad </w:t>
            </w:r>
          </w:p>
        </w:tc>
        <w:tc>
          <w:tcPr>
            <w:tcW w:w="156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44</w:t>
            </w:r>
          </w:p>
        </w:tc>
        <w:tc>
          <w:tcPr>
            <w:tcW w:w="2126"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22,8</w:t>
            </w:r>
          </w:p>
        </w:tc>
        <w:tc>
          <w:tcPr>
            <w:tcW w:w="85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13</w:t>
            </w:r>
          </w:p>
        </w:tc>
      </w:tr>
      <w:tr w:rsidR="009F2358" w:rsidRPr="009F2358"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F2358" w:rsidP="00952ADB">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magistrát územně člen</w:t>
            </w:r>
            <w:r w:rsidR="00952ADB">
              <w:rPr>
                <w:rFonts w:ascii="Calibri" w:eastAsia="Times New Roman" w:hAnsi="Calibri" w:cs="Calibri"/>
                <w:b w:val="0"/>
                <w:sz w:val="20"/>
                <w:szCs w:val="20"/>
                <w:lang w:eastAsia="cs-CZ"/>
              </w:rPr>
              <w:t>ěného</w:t>
            </w:r>
            <w:r w:rsidRPr="009F2358">
              <w:rPr>
                <w:rFonts w:ascii="Calibri" w:eastAsia="Times New Roman" w:hAnsi="Calibri" w:cs="Calibri"/>
                <w:b w:val="0"/>
                <w:sz w:val="20"/>
                <w:szCs w:val="20"/>
                <w:lang w:eastAsia="cs-CZ"/>
              </w:rPr>
              <w:t xml:space="preserve"> statutárního města </w:t>
            </w:r>
          </w:p>
        </w:tc>
        <w:tc>
          <w:tcPr>
            <w:tcW w:w="156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10</w:t>
            </w:r>
          </w:p>
        </w:tc>
        <w:tc>
          <w:tcPr>
            <w:tcW w:w="2126"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8,1</w:t>
            </w:r>
          </w:p>
        </w:tc>
        <w:tc>
          <w:tcPr>
            <w:tcW w:w="85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w:t>
            </w:r>
          </w:p>
        </w:tc>
      </w:tr>
      <w:tr w:rsidR="009F2358" w:rsidRPr="009F2358"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F2358" w:rsidP="003E4A5D">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Celkový součet</w:t>
            </w:r>
          </w:p>
        </w:tc>
        <w:tc>
          <w:tcPr>
            <w:tcW w:w="156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81</w:t>
            </w:r>
          </w:p>
        </w:tc>
        <w:tc>
          <w:tcPr>
            <w:tcW w:w="2126"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51,8</w:t>
            </w:r>
          </w:p>
        </w:tc>
        <w:tc>
          <w:tcPr>
            <w:tcW w:w="85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21</w:t>
            </w:r>
          </w:p>
        </w:tc>
      </w:tr>
    </w:tbl>
    <w:p w:rsidR="0011797D" w:rsidRDefault="0011797D" w:rsidP="003E4A5D">
      <w:pPr>
        <w:pStyle w:val="Citt"/>
      </w:pPr>
      <w:r>
        <w:t>Zdroj: ÚÚR</w:t>
      </w:r>
    </w:p>
    <w:p w:rsidR="0011797D" w:rsidRDefault="0011797D" w:rsidP="003E4A5D">
      <w:pPr>
        <w:pStyle w:val="Titulek"/>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14</w:t>
      </w:r>
      <w:r w:rsidR="00AB65E9">
        <w:rPr>
          <w:noProof/>
        </w:rPr>
        <w:fldChar w:fldCharType="end"/>
      </w:r>
      <w:r>
        <w:t xml:space="preserve">: Druhoinstanční SSÚ </w:t>
      </w:r>
      <w:r w:rsidR="00022484">
        <w:t>–</w:t>
      </w:r>
      <w:r>
        <w:t xml:space="preserve"> V</w:t>
      </w:r>
      <w:r w:rsidR="00022484">
        <w:t xml:space="preserve"> </w:t>
      </w:r>
    </w:p>
    <w:tbl>
      <w:tblPr>
        <w:tblStyle w:val="Svtlstnovn1"/>
        <w:tblW w:w="9106" w:type="dxa"/>
        <w:tblInd w:w="108" w:type="dxa"/>
        <w:tblLayout w:type="fixed"/>
        <w:tblLook w:val="04A0" w:firstRow="1" w:lastRow="0" w:firstColumn="1" w:lastColumn="0" w:noHBand="0" w:noVBand="1"/>
      </w:tblPr>
      <w:tblGrid>
        <w:gridCol w:w="4536"/>
        <w:gridCol w:w="1560"/>
        <w:gridCol w:w="2126"/>
        <w:gridCol w:w="884"/>
      </w:tblGrid>
      <w:tr w:rsidR="008F2F50" w:rsidRPr="000E37B5"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8F2F50" w:rsidRPr="000E37B5" w:rsidRDefault="008F2F50"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Popisky řádků</w:t>
            </w:r>
          </w:p>
        </w:tc>
        <w:tc>
          <w:tcPr>
            <w:tcW w:w="1560" w:type="dxa"/>
            <w:noWrap/>
            <w:vAlign w:val="center"/>
            <w:hideMark/>
          </w:tcPr>
          <w:p w:rsidR="008F2F50" w:rsidRPr="000E37B5"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0E37B5">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7E301E"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884" w:type="dxa"/>
            <w:noWrap/>
            <w:vAlign w:val="center"/>
            <w:hideMark/>
          </w:tcPr>
          <w:p w:rsidR="008F2F50" w:rsidRPr="007E301E"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0E37B5" w:rsidRPr="000E37B5"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0E37B5"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ČR</w:t>
            </w:r>
          </w:p>
        </w:tc>
        <w:tc>
          <w:tcPr>
            <w:tcW w:w="1560"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10</w:t>
            </w:r>
          </w:p>
        </w:tc>
        <w:tc>
          <w:tcPr>
            <w:tcW w:w="2126"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10</w:t>
            </w:r>
          </w:p>
        </w:tc>
        <w:tc>
          <w:tcPr>
            <w:tcW w:w="884"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w:t>
            </w:r>
          </w:p>
        </w:tc>
      </w:tr>
      <w:tr w:rsidR="000E37B5" w:rsidRPr="000E37B5"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krajský úřad</w:t>
            </w:r>
          </w:p>
        </w:tc>
        <w:tc>
          <w:tcPr>
            <w:tcW w:w="1560"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80</w:t>
            </w:r>
          </w:p>
        </w:tc>
        <w:tc>
          <w:tcPr>
            <w:tcW w:w="2126"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67,2</w:t>
            </w:r>
          </w:p>
        </w:tc>
        <w:tc>
          <w:tcPr>
            <w:tcW w:w="884"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13</w:t>
            </w:r>
          </w:p>
        </w:tc>
      </w:tr>
      <w:tr w:rsidR="000E37B5" w:rsidRPr="000E37B5"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39617D" w:rsidP="00952ADB">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magistrát územně člen</w:t>
            </w:r>
            <w:r w:rsidR="00952ADB">
              <w:rPr>
                <w:rFonts w:ascii="Calibri" w:eastAsia="Times New Roman" w:hAnsi="Calibri" w:cs="Calibri"/>
                <w:b w:val="0"/>
                <w:sz w:val="20"/>
                <w:szCs w:val="20"/>
                <w:lang w:eastAsia="cs-CZ"/>
              </w:rPr>
              <w:t>ěného</w:t>
            </w:r>
            <w:r w:rsidRPr="000E37B5">
              <w:rPr>
                <w:rFonts w:ascii="Calibri" w:eastAsia="Times New Roman" w:hAnsi="Calibri" w:cs="Calibri"/>
                <w:b w:val="0"/>
                <w:sz w:val="20"/>
                <w:szCs w:val="20"/>
                <w:lang w:eastAsia="cs-CZ"/>
              </w:rPr>
              <w:t xml:space="preserve"> statutárního města</w:t>
            </w:r>
          </w:p>
        </w:tc>
        <w:tc>
          <w:tcPr>
            <w:tcW w:w="1560"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24</w:t>
            </w:r>
          </w:p>
        </w:tc>
        <w:tc>
          <w:tcPr>
            <w:tcW w:w="2126"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23,6</w:t>
            </w:r>
          </w:p>
        </w:tc>
        <w:tc>
          <w:tcPr>
            <w:tcW w:w="884"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3</w:t>
            </w:r>
          </w:p>
        </w:tc>
      </w:tr>
      <w:tr w:rsidR="000E37B5" w:rsidRPr="000E37B5"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0E37B5"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Celkový součet</w:t>
            </w:r>
          </w:p>
        </w:tc>
        <w:tc>
          <w:tcPr>
            <w:tcW w:w="1560"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114</w:t>
            </w:r>
          </w:p>
        </w:tc>
        <w:tc>
          <w:tcPr>
            <w:tcW w:w="2126"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100,8</w:t>
            </w:r>
          </w:p>
        </w:tc>
        <w:tc>
          <w:tcPr>
            <w:tcW w:w="884"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17</w:t>
            </w:r>
          </w:p>
        </w:tc>
      </w:tr>
    </w:tbl>
    <w:p w:rsidR="0011797D" w:rsidRDefault="0011797D" w:rsidP="003E4A5D">
      <w:pPr>
        <w:pStyle w:val="Citt"/>
      </w:pPr>
      <w:r>
        <w:t>Zdroj: ÚÚR</w:t>
      </w:r>
    </w:p>
    <w:p w:rsidR="006059A5" w:rsidRPr="0076394C" w:rsidRDefault="00041B6B" w:rsidP="0076394C">
      <w:pPr>
        <w:pStyle w:val="Nadpis3a"/>
        <w:numPr>
          <w:ilvl w:val="0"/>
          <w:numId w:val="0"/>
        </w:numPr>
        <w:ind w:left="720" w:hanging="720"/>
        <w:rPr>
          <w:i/>
        </w:rPr>
      </w:pPr>
      <w:bookmarkStart w:id="50" w:name="_Toc536553916"/>
      <w:r w:rsidRPr="0076394C">
        <w:rPr>
          <w:i/>
        </w:rPr>
        <w:lastRenderedPageBreak/>
        <w:t>A.1.</w:t>
      </w:r>
      <w:r w:rsidR="00F75BB5">
        <w:rPr>
          <w:i/>
        </w:rPr>
        <w:t>2</w:t>
      </w:r>
      <w:r w:rsidRPr="0076394C">
        <w:rPr>
          <w:i/>
        </w:rPr>
        <w:t xml:space="preserve"> </w:t>
      </w:r>
      <w:r w:rsidR="00F250C0" w:rsidRPr="0076394C">
        <w:rPr>
          <w:i/>
        </w:rPr>
        <w:t>Definice problém</w:t>
      </w:r>
      <w:r w:rsidRPr="0076394C">
        <w:rPr>
          <w:i/>
        </w:rPr>
        <w:t>ů spojených se současnou</w:t>
      </w:r>
      <w:r w:rsidR="00E54E26" w:rsidRPr="0076394C">
        <w:rPr>
          <w:i/>
        </w:rPr>
        <w:t xml:space="preserve"> </w:t>
      </w:r>
      <w:r w:rsidR="008F2F50" w:rsidRPr="0076394C">
        <w:rPr>
          <w:i/>
        </w:rPr>
        <w:t>institucionální struktur</w:t>
      </w:r>
      <w:r w:rsidRPr="0076394C">
        <w:rPr>
          <w:i/>
        </w:rPr>
        <w:t>ou</w:t>
      </w:r>
      <w:bookmarkEnd w:id="50"/>
    </w:p>
    <w:p w:rsidR="00041B6B" w:rsidRPr="00041B6B" w:rsidRDefault="00041B6B" w:rsidP="003E4A5D">
      <w:pPr>
        <w:pStyle w:val="Text-Normaln"/>
        <w:widowControl w:val="0"/>
      </w:pPr>
      <w:r w:rsidRPr="003B6334">
        <w:t>Následující odstavce shrnují problém</w:t>
      </w:r>
      <w:r w:rsidR="00044B50">
        <w:t>y i</w:t>
      </w:r>
      <w:r w:rsidRPr="003B6334">
        <w:t>nstitucionální struktury. Jde zejména o</w:t>
      </w:r>
      <w:r w:rsidR="00F8593A" w:rsidRPr="003B6334">
        <w:t>:</w:t>
      </w:r>
    </w:p>
    <w:p w:rsidR="000E14B3" w:rsidRDefault="008F2F50" w:rsidP="009D4B5F">
      <w:pPr>
        <w:pStyle w:val="Text-Normaln"/>
        <w:widowControl w:val="0"/>
        <w:numPr>
          <w:ilvl w:val="0"/>
          <w:numId w:val="35"/>
        </w:numPr>
      </w:pPr>
      <w:r>
        <w:t>r</w:t>
      </w:r>
      <w:r w:rsidR="00816E06">
        <w:t>oztříštěnost struktury úřadů</w:t>
      </w:r>
      <w:r w:rsidR="00940E9F">
        <w:t xml:space="preserve"> (</w:t>
      </w:r>
      <w:r w:rsidR="00A43EAA">
        <w:t>stanoviska jsou zasílána z několika/mnoha různých kanceláří, příp. míst – hůře zkoordinovatelné)</w:t>
      </w:r>
      <w:r w:rsidR="00816E06">
        <w:t xml:space="preserve">, </w:t>
      </w:r>
    </w:p>
    <w:p w:rsidR="000E14B3" w:rsidRDefault="007D395A" w:rsidP="009D4B5F">
      <w:pPr>
        <w:pStyle w:val="Text-Normaln"/>
        <w:widowControl w:val="0"/>
        <w:numPr>
          <w:ilvl w:val="0"/>
          <w:numId w:val="35"/>
        </w:numPr>
      </w:pPr>
      <w:r>
        <w:t xml:space="preserve">kompetenční </w:t>
      </w:r>
      <w:r w:rsidR="000E14B3">
        <w:t>roztříštěnost, kvůli kter</w:t>
      </w:r>
      <w:r w:rsidR="008F2F50">
        <w:t>é</w:t>
      </w:r>
      <w:r w:rsidR="000E14B3">
        <w:t xml:space="preserve"> není pro stavebníky a i</w:t>
      </w:r>
      <w:r w:rsidR="005344C5">
        <w:t>nvestory jednoduché se vyznat v </w:t>
      </w:r>
      <w:r w:rsidR="000E14B3">
        <w:t xml:space="preserve">kategoriích stavebních úřadů, jejich organizaci a zejména </w:t>
      </w:r>
      <w:r w:rsidR="005344C5">
        <w:t>v rozsahu jejich kompetencí a s </w:t>
      </w:r>
      <w:r w:rsidR="000E14B3">
        <w:t xml:space="preserve">tím souvisejících sporech o věcnou příslušnost k </w:t>
      </w:r>
      <w:r w:rsidR="000E14B3" w:rsidRPr="00E54E26">
        <w:t>vedení řízení</w:t>
      </w:r>
      <w:r w:rsidR="008F2F50">
        <w:t>,</w:t>
      </w:r>
    </w:p>
    <w:p w:rsidR="00887726" w:rsidRDefault="00887726" w:rsidP="009D4B5F">
      <w:pPr>
        <w:pStyle w:val="Text-Normaln"/>
        <w:widowControl w:val="0"/>
        <w:numPr>
          <w:ilvl w:val="0"/>
          <w:numId w:val="35"/>
        </w:numPr>
      </w:pPr>
      <w:r>
        <w:t xml:space="preserve">nejednotnost </w:t>
      </w:r>
      <w:r w:rsidR="00940E9F">
        <w:t xml:space="preserve">řízení a </w:t>
      </w:r>
      <w:r>
        <w:t xml:space="preserve">metodické podpory </w:t>
      </w:r>
      <w:r w:rsidR="008F2F50">
        <w:t xml:space="preserve">úřadů </w:t>
      </w:r>
      <w:r>
        <w:t>ze strany nadřízených orgánů</w:t>
      </w:r>
      <w:r w:rsidR="00D220D2">
        <w:t>.</w:t>
      </w:r>
    </w:p>
    <w:p w:rsidR="00682D95" w:rsidRDefault="006F5910" w:rsidP="000E28B7">
      <w:pPr>
        <w:pStyle w:val="Text-Normaln"/>
        <w:widowControl w:val="0"/>
      </w:pPr>
      <w:r w:rsidRPr="00E54E26">
        <w:t xml:space="preserve">Ústřední úroveň stavební správy </w:t>
      </w:r>
      <w:r w:rsidR="000E28B7">
        <w:t xml:space="preserve">(obecné, speciální a jiné) </w:t>
      </w:r>
      <w:r w:rsidRPr="00E54E26">
        <w:t>není centralizovaná a jednotná</w:t>
      </w:r>
      <w:r w:rsidR="00940F8F">
        <w:t>.</w:t>
      </w:r>
      <w:r w:rsidR="00682D95">
        <w:t xml:space="preserve"> </w:t>
      </w:r>
      <w:r w:rsidR="00940F8F">
        <w:t xml:space="preserve">Tato úroveň nekoncentruje </w:t>
      </w:r>
      <w:r w:rsidRPr="00E54E26">
        <w:t>know-how, správní praxi</w:t>
      </w:r>
      <w:r w:rsidR="00940F8F">
        <w:t>,</w:t>
      </w:r>
      <w:r w:rsidRPr="00E54E26">
        <w:t xml:space="preserve"> správní judikaturu a </w:t>
      </w:r>
      <w:r w:rsidR="00A31AEE">
        <w:t>jednotně neřídí</w:t>
      </w:r>
      <w:r w:rsidRPr="00E54E26">
        <w:t xml:space="preserve"> podřízené složky. </w:t>
      </w:r>
      <w:r w:rsidR="00682D95">
        <w:t>Celkem</w:t>
      </w:r>
      <w:r w:rsidR="00EC2B43" w:rsidRPr="00EC2B43">
        <w:t xml:space="preserve"> existuje devět, resp. dvanáct</w:t>
      </w:r>
      <w:r w:rsidR="00682D95">
        <w:t>,</w:t>
      </w:r>
      <w:r w:rsidR="00EC2B43" w:rsidRPr="00EC2B43">
        <w:t xml:space="preserve"> různých režimů (Úřad pro civilní letectví, Drážní úřad a Český báňský úřad jsou též samostatnými ústředními orgány státní správy).</w:t>
      </w:r>
      <w:r w:rsidR="00682D95">
        <w:t xml:space="preserve"> Z tohoto důvodu je vykazována </w:t>
      </w:r>
      <w:r w:rsidR="00A43EAA" w:rsidRPr="00E54E26">
        <w:t xml:space="preserve">relativně </w:t>
      </w:r>
      <w:r w:rsidR="003F6D7C" w:rsidRPr="00E54E26">
        <w:t xml:space="preserve">vysoká míra </w:t>
      </w:r>
      <w:r w:rsidR="00A43EAA" w:rsidRPr="00E54E26">
        <w:t xml:space="preserve">formálních </w:t>
      </w:r>
      <w:r w:rsidR="00682D95">
        <w:t xml:space="preserve">a </w:t>
      </w:r>
      <w:r w:rsidR="00A43EAA" w:rsidRPr="00E54E26">
        <w:t>(méně častěji) věcných chyb</w:t>
      </w:r>
      <w:r w:rsidR="003F6D7C" w:rsidRPr="00E54E26">
        <w:t xml:space="preserve"> </w:t>
      </w:r>
      <w:r w:rsidR="00A31AEE" w:rsidRPr="00E54E26">
        <w:t>v</w:t>
      </w:r>
      <w:r w:rsidR="00A31AEE">
        <w:t> </w:t>
      </w:r>
      <w:r w:rsidR="003F6D7C" w:rsidRPr="00E54E26">
        <w:t>rozhodování úřadů (méně než 50 % stavebních povolení napadených odvoláním je potvrzeno, přič</w:t>
      </w:r>
      <w:r w:rsidR="005344C5">
        <w:t>emž nejkritičtější je situace u </w:t>
      </w:r>
      <w:r w:rsidR="003F6D7C" w:rsidRPr="00E54E26">
        <w:t xml:space="preserve">nejmenších stavebních úřadů na obcích </w:t>
      </w:r>
      <w:r w:rsidR="00A31AEE">
        <w:t>I</w:t>
      </w:r>
      <w:r w:rsidR="003F6D7C" w:rsidRPr="00E54E26">
        <w:t>. typu</w:t>
      </w:r>
      <w:r w:rsidR="00682D95">
        <w:t>).</w:t>
      </w:r>
      <w:r w:rsidR="003F6D7C" w:rsidRPr="00E54E26">
        <w:t xml:space="preserve"> </w:t>
      </w:r>
    </w:p>
    <w:p w:rsidR="00682D95" w:rsidRDefault="00682D95" w:rsidP="000E28B7">
      <w:pPr>
        <w:pStyle w:val="Text-Normaln"/>
        <w:widowControl w:val="0"/>
        <w:rPr>
          <w:i/>
        </w:rPr>
      </w:pPr>
      <w:r w:rsidRPr="00682D95">
        <w:t>Grafy kvantitativně popisující některé problematické aspekty současného povolovacího procesu jsou uvedeny na předchozích stránkách.</w:t>
      </w:r>
      <w:r>
        <w:rPr>
          <w:i/>
        </w:rPr>
        <w:t xml:space="preserve"> </w:t>
      </w:r>
    </w:p>
    <w:p w:rsidR="00E5020F" w:rsidRPr="00022484" w:rsidRDefault="00E5020F" w:rsidP="000E28B7">
      <w:pPr>
        <w:pStyle w:val="Text-Normaln"/>
        <w:widowControl w:val="0"/>
        <w:rPr>
          <w:i/>
        </w:rPr>
      </w:pPr>
      <w:r>
        <w:rPr>
          <w:i/>
        </w:rPr>
        <w:t>Komentář:</w:t>
      </w:r>
    </w:p>
    <w:p w:rsidR="008C7697" w:rsidRPr="008C7697" w:rsidRDefault="008C7697" w:rsidP="000E28B7">
      <w:pPr>
        <w:pStyle w:val="Text-Normaln"/>
        <w:widowControl w:val="0"/>
        <w:rPr>
          <w:i/>
        </w:rPr>
      </w:pPr>
      <w:r w:rsidRPr="008C7697">
        <w:rPr>
          <w:i/>
        </w:rPr>
        <w:t xml:space="preserve">Z analýzy podnětů za posledních pět let vyplývá, že </w:t>
      </w:r>
      <w:r w:rsidRPr="00FB46CF">
        <w:rPr>
          <w:b/>
          <w:i/>
          <w:u w:val="single"/>
        </w:rPr>
        <w:t>88 % šetření končí zjištěním pochybení na straně stavebního úřadu</w:t>
      </w:r>
      <w:r w:rsidRPr="008C7697">
        <w:rPr>
          <w:i/>
        </w:rPr>
        <w:t>, tj</w:t>
      </w:r>
      <w:r w:rsidRPr="00054780">
        <w:rPr>
          <w:i/>
        </w:rPr>
        <w:t>. pouze 1-</w:t>
      </w:r>
      <w:r w:rsidRPr="00E05DA4">
        <w:rPr>
          <w:i/>
        </w:rPr>
        <w:t>2 šetřené případy z deseti jsou v pořádku a postupu stavebního úřadu nelze nic vytknout. Částečně to lze přičítat složitosti řízení, kdy neexistují „univerzální“ rozhodnutí, každé řízení je specifické a každý ze 717 stavebních úřadů v</w:t>
      </w:r>
      <w:r w:rsidR="00C85BD6" w:rsidRPr="001D3B77">
        <w:rPr>
          <w:i/>
        </w:rPr>
        <w:t> </w:t>
      </w:r>
      <w:r w:rsidR="00C85BD6" w:rsidRPr="00696E9E">
        <w:rPr>
          <w:i/>
        </w:rPr>
        <w:t>ČR</w:t>
      </w:r>
      <w:r w:rsidR="00C85BD6" w:rsidRPr="00533FC0">
        <w:rPr>
          <w:i/>
        </w:rPr>
        <w:t xml:space="preserve"> </w:t>
      </w:r>
      <w:r w:rsidR="005344C5" w:rsidRPr="000E635F">
        <w:rPr>
          <w:i/>
        </w:rPr>
        <w:t>si s ním musí sám poradit v </w:t>
      </w:r>
      <w:r w:rsidRPr="000E635F">
        <w:rPr>
          <w:i/>
        </w:rPr>
        <w:t>intencích právních předpisů. Není bez zajímavosti, že za 16 let existence</w:t>
      </w:r>
      <w:r w:rsidRPr="008C7697">
        <w:rPr>
          <w:i/>
        </w:rPr>
        <w:t xml:space="preserve"> </w:t>
      </w:r>
      <w:r w:rsidR="005344C5">
        <w:rPr>
          <w:i/>
        </w:rPr>
        <w:t xml:space="preserve">ombudsmana v </w:t>
      </w:r>
      <w:r w:rsidR="00C85BD6" w:rsidRPr="00C85BD6">
        <w:rPr>
          <w:i/>
        </w:rPr>
        <w:t>ČR</w:t>
      </w:r>
      <w:r w:rsidR="005344C5">
        <w:rPr>
          <w:i/>
        </w:rPr>
        <w:t xml:space="preserve"> se </w:t>
      </w:r>
      <w:r w:rsidRPr="008C7697">
        <w:rPr>
          <w:i/>
        </w:rPr>
        <w:t xml:space="preserve">najde jen 106 stavebních úřadů, jejichž činnost nebyla zmíněna či zpochybněna v žádném podnětu veřejnému ochránci práv. Znamená to, že </w:t>
      </w:r>
      <w:r w:rsidR="007D395A" w:rsidRPr="00FB46CF">
        <w:rPr>
          <w:b/>
          <w:i/>
          <w:u w:val="single"/>
        </w:rPr>
        <w:t>6</w:t>
      </w:r>
      <w:r w:rsidRPr="00FB46CF">
        <w:rPr>
          <w:b/>
          <w:i/>
          <w:u w:val="single"/>
        </w:rPr>
        <w:t xml:space="preserve"> z každých </w:t>
      </w:r>
      <w:r w:rsidR="007D395A" w:rsidRPr="00FB46CF">
        <w:rPr>
          <w:b/>
          <w:i/>
          <w:u w:val="single"/>
        </w:rPr>
        <w:t>7</w:t>
      </w:r>
      <w:r w:rsidRPr="00FB46CF">
        <w:rPr>
          <w:b/>
          <w:i/>
          <w:u w:val="single"/>
        </w:rPr>
        <w:t xml:space="preserve"> stavebních úřadů v</w:t>
      </w:r>
      <w:r w:rsidR="00C85BD6">
        <w:rPr>
          <w:b/>
          <w:i/>
          <w:u w:val="single"/>
        </w:rPr>
        <w:t> </w:t>
      </w:r>
      <w:r w:rsidR="00C85BD6" w:rsidRPr="00C85BD6">
        <w:rPr>
          <w:b/>
          <w:i/>
          <w:u w:val="single"/>
        </w:rPr>
        <w:t>ČR</w:t>
      </w:r>
      <w:r w:rsidR="00C85BD6">
        <w:rPr>
          <w:b/>
          <w:i/>
          <w:u w:val="single"/>
        </w:rPr>
        <w:t xml:space="preserve"> </w:t>
      </w:r>
      <w:r w:rsidRPr="00FB46CF">
        <w:rPr>
          <w:b/>
          <w:i/>
          <w:u w:val="single"/>
        </w:rPr>
        <w:t>svou činností alespoň jednou vyvolalo potřebu lidí obrátit se na ombudsmana</w:t>
      </w:r>
      <w:r w:rsidRPr="009762A5">
        <w:rPr>
          <w:i/>
        </w:rPr>
        <w:t>.</w:t>
      </w:r>
    </w:p>
    <w:p w:rsidR="008C7697" w:rsidRPr="008C7697" w:rsidRDefault="008C7697" w:rsidP="000E28B7">
      <w:pPr>
        <w:pStyle w:val="Text-Normaln"/>
        <w:widowControl w:val="0"/>
        <w:rPr>
          <w:i/>
        </w:rPr>
      </w:pPr>
      <w:r w:rsidRPr="008C7697">
        <w:rPr>
          <w:i/>
        </w:rPr>
        <w:t>Na druhou stranu je třeba uvést, že prakticky vždy se podaří pochyb</w:t>
      </w:r>
      <w:r w:rsidR="005344C5">
        <w:rPr>
          <w:i/>
        </w:rPr>
        <w:t>ení stavebního úřadu napravit a </w:t>
      </w:r>
      <w:r w:rsidRPr="008C7697">
        <w:rPr>
          <w:i/>
        </w:rPr>
        <w:t xml:space="preserve">přesvědčit ho, aby chybnou praxi změnil. V uplynulých pěti letech jen ve 30 případech stavební úřad trval na svém postupu </w:t>
      </w:r>
      <w:r w:rsidR="00A31AEE" w:rsidRPr="008C7697">
        <w:rPr>
          <w:i/>
        </w:rPr>
        <w:t>a</w:t>
      </w:r>
      <w:r w:rsidR="00A31AEE">
        <w:rPr>
          <w:i/>
        </w:rPr>
        <w:t> </w:t>
      </w:r>
      <w:r w:rsidRPr="008C7697">
        <w:rPr>
          <w:i/>
        </w:rPr>
        <w:t>pochybení nenapravil.</w:t>
      </w:r>
    </w:p>
    <w:p w:rsidR="008C7697" w:rsidRPr="008C7697" w:rsidRDefault="008C7697" w:rsidP="000E28B7">
      <w:pPr>
        <w:pStyle w:val="Text-Normaln"/>
        <w:widowControl w:val="0"/>
        <w:rPr>
          <w:i/>
        </w:rPr>
      </w:pPr>
      <w:r w:rsidRPr="008C7697">
        <w:rPr>
          <w:i/>
        </w:rPr>
        <w:t xml:space="preserve">Nejčastěji zjišťovanými pochybeními stavebních úřadů jsou: </w:t>
      </w:r>
      <w:r w:rsidRPr="00FB46CF">
        <w:rPr>
          <w:b/>
          <w:i/>
          <w:u w:val="single"/>
        </w:rPr>
        <w:t>délka řízení a nedodržování zákonných lhůt</w:t>
      </w:r>
      <w:r w:rsidRPr="00FB46CF">
        <w:rPr>
          <w:b/>
          <w:i/>
        </w:rPr>
        <w:t>,</w:t>
      </w:r>
      <w:r w:rsidRPr="008C7697">
        <w:rPr>
          <w:i/>
        </w:rPr>
        <w:t xml:space="preserve"> neřešení stavební nekázně a černých staveb, tolerován</w:t>
      </w:r>
      <w:r w:rsidR="005344C5">
        <w:rPr>
          <w:i/>
        </w:rPr>
        <w:t>í nepovoleného užívání staveb a </w:t>
      </w:r>
      <w:r w:rsidRPr="008C7697">
        <w:rPr>
          <w:i/>
        </w:rPr>
        <w:t>neprovádění výkonu rozhodnutí.</w:t>
      </w:r>
      <w:r>
        <w:rPr>
          <w:i/>
        </w:rPr>
        <w:t xml:space="preserve"> (</w:t>
      </w:r>
      <w:r w:rsidRPr="008C7697">
        <w:rPr>
          <w:i/>
        </w:rPr>
        <w:t>https://www.ochrance.cz/aktualne/tiskove-zpravy-2016/stavebni-urady-jednaji-dlouho-a-nejsou-dostatecne-akcni</w:t>
      </w:r>
      <w:r>
        <w:rPr>
          <w:i/>
        </w:rPr>
        <w:t>)</w:t>
      </w:r>
    </w:p>
    <w:p w:rsidR="00887726" w:rsidRDefault="003F6D7C" w:rsidP="00054780">
      <w:pPr>
        <w:pStyle w:val="Text-Normaln"/>
        <w:widowControl w:val="0"/>
        <w:numPr>
          <w:ilvl w:val="0"/>
          <w:numId w:val="35"/>
        </w:numPr>
        <w:spacing w:before="0"/>
        <w:ind w:left="357" w:hanging="357"/>
      </w:pPr>
      <w:r>
        <w:t>kombinace výkonu samostatné a přenesené působnosti u konkrétních úředníků a z toho plynoucí</w:t>
      </w:r>
      <w:r w:rsidR="009762A5">
        <w:t>:</w:t>
      </w:r>
    </w:p>
    <w:p w:rsidR="003F6D7C" w:rsidRPr="0006162F" w:rsidRDefault="00A43EAA" w:rsidP="00C873B4">
      <w:pPr>
        <w:pStyle w:val="Odstavecseseznamem"/>
        <w:numPr>
          <w:ilvl w:val="0"/>
          <w:numId w:val="69"/>
        </w:numPr>
        <w:spacing w:before="0"/>
        <w:ind w:left="425" w:hanging="425"/>
        <w:rPr>
          <w:rFonts w:eastAsia="MS Mincho"/>
        </w:rPr>
      </w:pPr>
      <w:r w:rsidRPr="0006162F">
        <w:rPr>
          <w:rFonts w:eastAsia="MS Mincho"/>
        </w:rPr>
        <w:t xml:space="preserve">nižší míra </w:t>
      </w:r>
      <w:r w:rsidR="003F6D7C" w:rsidRPr="0006162F">
        <w:rPr>
          <w:rFonts w:eastAsia="MS Mincho"/>
        </w:rPr>
        <w:t>transparen</w:t>
      </w:r>
      <w:r w:rsidR="003E2935" w:rsidRPr="0006162F">
        <w:rPr>
          <w:rFonts w:eastAsia="MS Mincho"/>
        </w:rPr>
        <w:t>tnosti</w:t>
      </w:r>
      <w:r w:rsidR="003F6D7C" w:rsidRPr="0006162F">
        <w:rPr>
          <w:rFonts w:eastAsia="MS Mincho"/>
        </w:rPr>
        <w:t xml:space="preserve"> ve využívání finančních příspěvků na činnost úřadů,</w:t>
      </w:r>
    </w:p>
    <w:p w:rsidR="006059A5" w:rsidRPr="0006162F" w:rsidRDefault="00816E06" w:rsidP="00C873B4">
      <w:pPr>
        <w:pStyle w:val="Odstavecseseznamem"/>
        <w:numPr>
          <w:ilvl w:val="0"/>
          <w:numId w:val="69"/>
        </w:numPr>
        <w:spacing w:before="0"/>
        <w:ind w:left="425" w:hanging="425"/>
        <w:rPr>
          <w:rFonts w:eastAsia="MS Mincho"/>
        </w:rPr>
      </w:pPr>
      <w:r w:rsidRPr="0006162F">
        <w:rPr>
          <w:rFonts w:eastAsia="MS Mincho"/>
        </w:rPr>
        <w:t>k</w:t>
      </w:r>
      <w:r w:rsidR="006059A5" w:rsidRPr="0006162F">
        <w:rPr>
          <w:rFonts w:eastAsia="MS Mincho"/>
        </w:rPr>
        <w:t>onflikt zájmů, do kterého se dostávají úředníci vykonávající v přenesené působnosti agendu obecných, speciálních</w:t>
      </w:r>
      <w:r w:rsidR="0006162F">
        <w:rPr>
          <w:rFonts w:eastAsia="MS Mincho"/>
        </w:rPr>
        <w:t xml:space="preserve"> a</w:t>
      </w:r>
      <w:r w:rsidR="0006162F" w:rsidRPr="0006162F">
        <w:rPr>
          <w:rFonts w:eastAsia="MS Mincho"/>
        </w:rPr>
        <w:t xml:space="preserve"> </w:t>
      </w:r>
      <w:r w:rsidR="006059A5" w:rsidRPr="0006162F">
        <w:rPr>
          <w:rFonts w:eastAsia="MS Mincho"/>
        </w:rPr>
        <w:t xml:space="preserve">vyvlastňovacích úřadů a ty agendy územního plánování, které spadají do přenesené působnosti. Tito úředníci jsou zaměstnanci územně samosprávných celků – obcí a krajů – avšak vykonávají agendu v přenesené působnosti jménem státu. Zatímco </w:t>
      </w:r>
      <w:r w:rsidR="00D931B1" w:rsidRPr="0006162F">
        <w:rPr>
          <w:rFonts w:eastAsia="MS Mincho"/>
        </w:rPr>
        <w:t>v</w:t>
      </w:r>
      <w:r w:rsidR="00D931B1">
        <w:rPr>
          <w:rFonts w:eastAsia="MS Mincho"/>
        </w:rPr>
        <w:t> </w:t>
      </w:r>
      <w:r w:rsidR="006059A5" w:rsidRPr="0006162F">
        <w:rPr>
          <w:rFonts w:eastAsia="MS Mincho"/>
        </w:rPr>
        <w:t>případě celé řady agend vykonávaných rovněž v přenesené působnosti nemusí být postavení úředníka, jakožto vykonavatele přenesené působnosti a současně zaměstnance obce či kraje problém, v případě stavebního řízení úředník v řadě situací stojí proti svému zaměstnavateli. V takovýchto případech se úředník dostává do obtížné situace – ve vztahu ke svému zaměstnavateli (který může ovlivnit jeho osobní ohodnocen</w:t>
      </w:r>
      <w:r w:rsidR="005344C5" w:rsidRPr="0006162F">
        <w:rPr>
          <w:rFonts w:eastAsia="MS Mincho"/>
        </w:rPr>
        <w:t>í aj.), ale i </w:t>
      </w:r>
      <w:r w:rsidR="006059A5" w:rsidRPr="0006162F">
        <w:rPr>
          <w:rFonts w:eastAsia="MS Mincho"/>
        </w:rPr>
        <w:t xml:space="preserve">vůči jakékoliv </w:t>
      </w:r>
      <w:r w:rsidR="006059A5" w:rsidRPr="0006162F">
        <w:rPr>
          <w:rFonts w:eastAsia="MS Mincho"/>
        </w:rPr>
        <w:lastRenderedPageBreak/>
        <w:t xml:space="preserve">třetí straně, která může jednání úředníka ve vztahu ke kraji nebo obci, která ho zaměstnává, vždy považovat za podjaté. </w:t>
      </w:r>
    </w:p>
    <w:p w:rsidR="007B0D3D" w:rsidRDefault="007B0D3D" w:rsidP="00054780">
      <w:pPr>
        <w:widowControl w:val="0"/>
        <w:autoSpaceDE w:val="0"/>
        <w:autoSpaceDN w:val="0"/>
        <w:adjustRightInd w:val="0"/>
        <w:spacing w:before="0"/>
      </w:pPr>
      <w:r w:rsidRPr="00E54E26">
        <w:t>Stávající řešení případů systémové podjatosti, které spočívá v nutnosti detailního</w:t>
      </w:r>
      <w:r w:rsidR="003F5F95" w:rsidRPr="00E54E26">
        <w:t xml:space="preserve"> </w:t>
      </w:r>
      <w:r w:rsidRPr="00E54E26">
        <w:t>prokazování (ne)podjatosti a případně pak v delegaci věci na jiný věcně příslušný</w:t>
      </w:r>
      <w:r w:rsidR="003F5F95" w:rsidRPr="00E54E26">
        <w:t xml:space="preserve"> </w:t>
      </w:r>
      <w:r w:rsidRPr="00E54E26">
        <w:t>stavební úřad, nelze označit za vyhovující. Z judikatury nelze dovodit</w:t>
      </w:r>
      <w:r w:rsidR="003F5F95" w:rsidRPr="00E54E26">
        <w:t xml:space="preserve"> </w:t>
      </w:r>
      <w:r w:rsidRPr="00E54E26">
        <w:t>jednoznačná konkrétní kritéria posuzování jednotlivých případů systémové</w:t>
      </w:r>
      <w:r w:rsidR="003F5F95" w:rsidRPr="00E54E26">
        <w:t xml:space="preserve"> </w:t>
      </w:r>
      <w:r w:rsidRPr="00E54E26">
        <w:t>podjatosti. Současně se nepodařilo do dnešního dne zcela jednoznačně vyjasnit,</w:t>
      </w:r>
      <w:r w:rsidR="003F5F95" w:rsidRPr="00E54E26">
        <w:t xml:space="preserve"> </w:t>
      </w:r>
      <w:r w:rsidRPr="00E54E26">
        <w:t>jak mají procesně v těchto případech stavební úřady postupovat.</w:t>
      </w:r>
      <w:r w:rsidR="003F5F95" w:rsidRPr="00E54E26">
        <w:t xml:space="preserve"> </w:t>
      </w:r>
      <w:r w:rsidRPr="00E54E26">
        <w:t>Kromě těchto problémů, které nepochybně způsobují komplikace a zdržení</w:t>
      </w:r>
      <w:r w:rsidR="003F5F95" w:rsidRPr="00E54E26">
        <w:t xml:space="preserve"> </w:t>
      </w:r>
      <w:r w:rsidRPr="00E54E26">
        <w:t>v jednotlivých řízeních, je však dalším neblahým důsledkem této situace stav,</w:t>
      </w:r>
      <w:r w:rsidR="003F5F95" w:rsidRPr="00E54E26">
        <w:t xml:space="preserve"> </w:t>
      </w:r>
      <w:r w:rsidRPr="00E54E26">
        <w:t>v němž o záměru rozhoduje místně „nepříslušný“ stavební úřad, který nemá</w:t>
      </w:r>
      <w:r w:rsidR="003F5F95" w:rsidRPr="00E54E26">
        <w:t xml:space="preserve"> </w:t>
      </w:r>
      <w:r w:rsidRPr="00E54E26">
        <w:t>potřebnou znalost území ani jiných potenciálně kolidujících záměrů.</w:t>
      </w:r>
    </w:p>
    <w:p w:rsidR="00A04006" w:rsidRPr="0076394C" w:rsidRDefault="00A04006" w:rsidP="0076394C">
      <w:pPr>
        <w:pStyle w:val="Nadpis3a"/>
        <w:numPr>
          <w:ilvl w:val="0"/>
          <w:numId w:val="0"/>
        </w:numPr>
        <w:ind w:left="720" w:hanging="720"/>
        <w:rPr>
          <w:i/>
        </w:rPr>
      </w:pPr>
      <w:bookmarkStart w:id="51" w:name="_Toc536553917"/>
      <w:r w:rsidRPr="0076394C">
        <w:rPr>
          <w:i/>
        </w:rPr>
        <w:t>A.1.</w:t>
      </w:r>
      <w:r w:rsidR="00F75BB5">
        <w:rPr>
          <w:i/>
        </w:rPr>
        <w:t>3</w:t>
      </w:r>
      <w:r w:rsidRPr="0076394C">
        <w:rPr>
          <w:i/>
        </w:rPr>
        <w:t xml:space="preserve"> Hodnocení řešeného věcného okruhu</w:t>
      </w:r>
      <w:bookmarkEnd w:id="51"/>
    </w:p>
    <w:p w:rsidR="00A43EAA" w:rsidRPr="00E414AC" w:rsidRDefault="00F250C0" w:rsidP="003E4A5D">
      <w:pPr>
        <w:pStyle w:val="Text-Normaln"/>
        <w:widowControl w:val="0"/>
        <w:rPr>
          <w:b/>
        </w:rPr>
      </w:pPr>
      <w:r w:rsidRPr="00E414AC">
        <w:rPr>
          <w:b/>
        </w:rPr>
        <w:t>Cíl:</w:t>
      </w:r>
      <w:r w:rsidRPr="00E414AC">
        <w:t xml:space="preserve"> </w:t>
      </w:r>
      <w:r w:rsidR="00A43EAA">
        <w:t xml:space="preserve">Cílovým stavem by měl být takový stav, kdy územně plánovací, stavební a vyvlastňovací úřady zohledňují při územním plánování či územním/stavebním, respektive vyvlastňovacím, řízení vyváženě zájmy všech dotčených subjektů a nejsou na žádný z těchto subjektů </w:t>
      </w:r>
      <w:r w:rsidR="00686D84">
        <w:t>například</w:t>
      </w:r>
      <w:r w:rsidR="00A43EAA">
        <w:t xml:space="preserve"> pracovněprávně vázány. Systém by měl umožňovat administrativně a transakčně nenáročnou koordinaci (</w:t>
      </w:r>
      <w:r w:rsidR="00B257D7">
        <w:t xml:space="preserve">jednak při zohledňování veřejných zájmů chráněných na základě jiných zákonů, jednak </w:t>
      </w:r>
      <w:r w:rsidR="00A43EAA">
        <w:t>v oblasti řízení a metodiky</w:t>
      </w:r>
      <w:r w:rsidR="00B257D7">
        <w:t xml:space="preserve"> atp.</w:t>
      </w:r>
      <w:r w:rsidR="00A43EAA">
        <w:t xml:space="preserve">) a tak nejen sjednotit rozhodovací praxi úřadů napříč ČR, ale zároveň snížit objem </w:t>
      </w:r>
      <w:r w:rsidR="00B257D7">
        <w:t xml:space="preserve">(ať už formálně či věcně) chybných </w:t>
      </w:r>
      <w:r w:rsidR="00A43EAA">
        <w:t>rozhodnutí (resp. úspěšných odvolání proti rozhodnutím stavebních úřadů)</w:t>
      </w:r>
      <w:r w:rsidR="00B257D7">
        <w:t xml:space="preserve"> a i s pomocí vzájemné diskuze (či jiné formy vzájemné interakce) mezi stavebními úřady a </w:t>
      </w:r>
      <w:r w:rsidR="0078162F">
        <w:t>DO</w:t>
      </w:r>
      <w:r w:rsidR="00B257D7">
        <w:t xml:space="preserve"> zrychlit povolovací proces</w:t>
      </w:r>
      <w:r w:rsidR="00A43EAA">
        <w:t>.</w:t>
      </w:r>
    </w:p>
    <w:p w:rsidR="00F250C0" w:rsidRPr="00ED4BCB" w:rsidRDefault="00F250C0" w:rsidP="003E4A5D">
      <w:pPr>
        <w:pStyle w:val="Text-Normaln"/>
        <w:widowControl w:val="0"/>
        <w:rPr>
          <w:b/>
        </w:rPr>
      </w:pPr>
      <w:r w:rsidRPr="00ED4BCB">
        <w:rPr>
          <w:b/>
        </w:rPr>
        <w:t>Návrh variant řešení:</w:t>
      </w:r>
    </w:p>
    <w:p w:rsidR="00F40687" w:rsidRDefault="00F40687" w:rsidP="003E4A5D">
      <w:pPr>
        <w:widowControl w:val="0"/>
        <w:rPr>
          <w:i/>
        </w:rPr>
      </w:pPr>
      <w:r w:rsidRPr="004902ED">
        <w:rPr>
          <w:b/>
        </w:rPr>
        <w:t>Varianta 0:</w:t>
      </w:r>
      <w:r>
        <w:t xml:space="preserve"> </w:t>
      </w:r>
      <w:r w:rsidRPr="006E6CFE">
        <w:rPr>
          <w:i/>
        </w:rPr>
        <w:t>zachování současného stavu</w:t>
      </w:r>
    </w:p>
    <w:p w:rsidR="00033A2C" w:rsidRDefault="00033A2C" w:rsidP="003E4A5D">
      <w:pPr>
        <w:widowControl w:val="0"/>
      </w:pPr>
      <w:r>
        <w:rPr>
          <w:b/>
        </w:rPr>
        <w:t>Varianta 1</w:t>
      </w:r>
      <w:r w:rsidRPr="004902ED">
        <w:rPr>
          <w:b/>
        </w:rPr>
        <w:t>:</w:t>
      </w:r>
      <w:r>
        <w:t xml:space="preserve"> </w:t>
      </w:r>
      <w:r w:rsidRPr="006E6CFE">
        <w:rPr>
          <w:i/>
        </w:rPr>
        <w:t>ponechání stavebních úřadů</w:t>
      </w:r>
      <w:r>
        <w:rPr>
          <w:i/>
        </w:rPr>
        <w:t xml:space="preserve">, úřadů územního plánování a vyvlastňovacích úřadů </w:t>
      </w:r>
      <w:r w:rsidR="00FA22AB">
        <w:rPr>
          <w:i/>
        </w:rPr>
        <w:t xml:space="preserve">aj. </w:t>
      </w:r>
      <w:r w:rsidRPr="006E6CFE">
        <w:rPr>
          <w:i/>
        </w:rPr>
        <w:t>v přenesené působnosti obcí a krajů</w:t>
      </w:r>
      <w:r>
        <w:rPr>
          <w:i/>
        </w:rPr>
        <w:t>,</w:t>
      </w:r>
      <w:r w:rsidRPr="006E6CFE">
        <w:rPr>
          <w:i/>
        </w:rPr>
        <w:t xml:space="preserve"> vytvoření </w:t>
      </w:r>
      <w:r w:rsidR="00FA5B87">
        <w:rPr>
          <w:i/>
        </w:rPr>
        <w:t>dozorové</w:t>
      </w:r>
      <w:r>
        <w:rPr>
          <w:i/>
        </w:rPr>
        <w:t xml:space="preserve"> generální stavební inspekce</w:t>
      </w:r>
      <w:r w:rsidRPr="006E6CFE">
        <w:rPr>
          <w:i/>
        </w:rPr>
        <w:t xml:space="preserve">, která bude kontrolovat stavební </w:t>
      </w:r>
      <w:r>
        <w:rPr>
          <w:i/>
        </w:rPr>
        <w:t xml:space="preserve">a územní </w:t>
      </w:r>
      <w:r w:rsidRPr="006E6CFE">
        <w:rPr>
          <w:i/>
        </w:rPr>
        <w:t>řízení probíhající na stavebních úřadech</w:t>
      </w:r>
      <w:r>
        <w:rPr>
          <w:i/>
        </w:rPr>
        <w:t xml:space="preserve"> a úřadech územního plánování</w:t>
      </w:r>
    </w:p>
    <w:p w:rsidR="00033A2C" w:rsidRDefault="00F40687" w:rsidP="003E4A5D">
      <w:pPr>
        <w:widowControl w:val="0"/>
        <w:rPr>
          <w:i/>
        </w:rPr>
      </w:pPr>
      <w:r w:rsidRPr="00940FC3">
        <w:rPr>
          <w:b/>
        </w:rPr>
        <w:t xml:space="preserve">Varianta </w:t>
      </w:r>
      <w:r w:rsidR="00033A2C">
        <w:rPr>
          <w:b/>
        </w:rPr>
        <w:t>2</w:t>
      </w:r>
      <w:r w:rsidRPr="00940FC3">
        <w:rPr>
          <w:b/>
        </w:rPr>
        <w:t xml:space="preserve">: </w:t>
      </w:r>
      <w:r w:rsidR="00E36BBC" w:rsidRPr="00E36BBC">
        <w:rPr>
          <w:i/>
        </w:rPr>
        <w:t>vytvo</w:t>
      </w:r>
      <w:r w:rsidR="00E36BBC">
        <w:rPr>
          <w:i/>
        </w:rPr>
        <w:t>ření</w:t>
      </w:r>
      <w:r w:rsidR="00E36BBC" w:rsidRPr="00E36BBC">
        <w:rPr>
          <w:i/>
        </w:rPr>
        <w:t xml:space="preserve"> po</w:t>
      </w:r>
      <w:r w:rsidR="00E36BBC">
        <w:rPr>
          <w:i/>
        </w:rPr>
        <w:t xml:space="preserve"> </w:t>
      </w:r>
      <w:r w:rsidR="00E36BBC" w:rsidRPr="00E36BBC">
        <w:rPr>
          <w:i/>
        </w:rPr>
        <w:t xml:space="preserve">vzoru </w:t>
      </w:r>
      <w:r w:rsidR="00741A4A">
        <w:rPr>
          <w:i/>
        </w:rPr>
        <w:t>již</w:t>
      </w:r>
      <w:r w:rsidR="00E36BBC" w:rsidRPr="00E36BBC">
        <w:rPr>
          <w:i/>
        </w:rPr>
        <w:t xml:space="preserve"> fungujících samostatných soustav státní správy novou, samostatnou, jednotnou a hierarchicky členěnou soustavu</w:t>
      </w:r>
      <w:r w:rsidR="00741A4A">
        <w:rPr>
          <w:i/>
        </w:rPr>
        <w:t xml:space="preserve"> </w:t>
      </w:r>
      <w:r w:rsidR="00E36BBC" w:rsidRPr="00E36BBC">
        <w:rPr>
          <w:i/>
        </w:rPr>
        <w:t xml:space="preserve">státní stavební správy, v jejímž čele by stál </w:t>
      </w:r>
      <w:r w:rsidR="00B56274">
        <w:rPr>
          <w:i/>
        </w:rPr>
        <w:t>NSÚ</w:t>
      </w:r>
      <w:r w:rsidR="00E36BBC" w:rsidRPr="00E36BBC">
        <w:rPr>
          <w:i/>
        </w:rPr>
        <w:t>, který by byl nejvyšším článkem v oblasti stavební správy, resp.</w:t>
      </w:r>
      <w:r w:rsidR="00741A4A">
        <w:rPr>
          <w:i/>
        </w:rPr>
        <w:t xml:space="preserve"> </w:t>
      </w:r>
      <w:r w:rsidR="0084658A">
        <w:rPr>
          <w:i/>
        </w:rPr>
        <w:t>územního plánování a </w:t>
      </w:r>
      <w:r w:rsidR="00E36BBC" w:rsidRPr="00E36BBC">
        <w:rPr>
          <w:i/>
        </w:rPr>
        <w:t>stavebního řádu</w:t>
      </w:r>
      <w:r w:rsidR="00B56274">
        <w:rPr>
          <w:i/>
        </w:rPr>
        <w:t xml:space="preserve">, s </w:t>
      </w:r>
      <w:r w:rsidR="00B56274" w:rsidRPr="00B56274">
        <w:rPr>
          <w:i/>
        </w:rPr>
        <w:t>krajský</w:t>
      </w:r>
      <w:r w:rsidR="00B56274">
        <w:rPr>
          <w:i/>
        </w:rPr>
        <w:t>mi</w:t>
      </w:r>
      <w:r w:rsidR="00B56274" w:rsidRPr="00B56274">
        <w:rPr>
          <w:i/>
        </w:rPr>
        <w:t xml:space="preserve"> stavební</w:t>
      </w:r>
      <w:r w:rsidR="00B56274">
        <w:rPr>
          <w:i/>
        </w:rPr>
        <w:t>mi</w:t>
      </w:r>
      <w:r w:rsidR="00B56274" w:rsidRPr="00B56274">
        <w:rPr>
          <w:i/>
        </w:rPr>
        <w:t xml:space="preserve"> úřad</w:t>
      </w:r>
      <w:r w:rsidR="00B56274">
        <w:rPr>
          <w:i/>
        </w:rPr>
        <w:t>y</w:t>
      </w:r>
      <w:r w:rsidR="00B56274" w:rsidRPr="00B56274">
        <w:rPr>
          <w:i/>
        </w:rPr>
        <w:t xml:space="preserve"> s</w:t>
      </w:r>
      <w:r w:rsidR="00B56274">
        <w:rPr>
          <w:i/>
        </w:rPr>
        <w:t> </w:t>
      </w:r>
      <w:r w:rsidR="00133B3B">
        <w:rPr>
          <w:i/>
        </w:rPr>
        <w:t>územními</w:t>
      </w:r>
      <w:r w:rsidR="00B56274">
        <w:rPr>
          <w:i/>
        </w:rPr>
        <w:t xml:space="preserve"> </w:t>
      </w:r>
      <w:r w:rsidR="00B56274" w:rsidRPr="00B56274">
        <w:rPr>
          <w:i/>
        </w:rPr>
        <w:t>pracovišti</w:t>
      </w:r>
      <w:r w:rsidR="00B56274">
        <w:rPr>
          <w:i/>
        </w:rPr>
        <w:t xml:space="preserve"> (nejpravděpodobněji dle současného rozmístění ORP).</w:t>
      </w:r>
      <w:r w:rsidR="00033A2C">
        <w:rPr>
          <w:i/>
        </w:rPr>
        <w:t xml:space="preserve"> </w:t>
      </w:r>
      <w:r w:rsidR="00B56274">
        <w:rPr>
          <w:i/>
        </w:rPr>
        <w:t>V</w:t>
      </w:r>
      <w:r w:rsidR="00033A2C">
        <w:rPr>
          <w:i/>
        </w:rPr>
        <w:t xml:space="preserve">arianta počítá také s převedením všech speciálních, vojenských a jiných stavebních úřadů pod </w:t>
      </w:r>
      <w:r w:rsidR="00D931B1">
        <w:rPr>
          <w:i/>
        </w:rPr>
        <w:t>NSÚ</w:t>
      </w:r>
      <w:r w:rsidR="00033A2C">
        <w:rPr>
          <w:i/>
        </w:rPr>
        <w:t xml:space="preserve">. </w:t>
      </w:r>
    </w:p>
    <w:p w:rsidR="00386CE1" w:rsidRPr="00EE674F" w:rsidRDefault="00E54E26" w:rsidP="00054780">
      <w:pPr>
        <w:widowControl w:val="0"/>
        <w:spacing w:before="0" w:after="80"/>
      </w:pPr>
      <w:r>
        <w:t xml:space="preserve">Problematika </w:t>
      </w:r>
      <w:r w:rsidR="0078162F">
        <w:t>DO</w:t>
      </w:r>
      <w:r w:rsidR="00386CE1" w:rsidRPr="00E54E26">
        <w:t xml:space="preserve"> bud</w:t>
      </w:r>
      <w:r>
        <w:t>e</w:t>
      </w:r>
      <w:r w:rsidR="00386CE1" w:rsidRPr="00E54E26">
        <w:t xml:space="preserve"> řešen</w:t>
      </w:r>
      <w:r>
        <w:t>a</w:t>
      </w:r>
      <w:r w:rsidR="00386CE1" w:rsidRPr="00E54E26">
        <w:t xml:space="preserve"> </w:t>
      </w:r>
      <w:r>
        <w:t xml:space="preserve">samostatně </w:t>
      </w:r>
      <w:r w:rsidR="00386CE1" w:rsidRPr="00E54E26">
        <w:t>dále</w:t>
      </w:r>
      <w:r>
        <w:t>.</w:t>
      </w:r>
    </w:p>
    <w:p w:rsidR="009F52D7" w:rsidRPr="00EE674F" w:rsidRDefault="009F52D7" w:rsidP="00054780">
      <w:pPr>
        <w:widowControl w:val="0"/>
        <w:spacing w:before="0" w:after="80"/>
      </w:pPr>
      <w:r w:rsidRPr="00EE674F">
        <w:t xml:space="preserve">Varianta </w:t>
      </w:r>
      <w:r w:rsidR="009806A7">
        <w:t xml:space="preserve">2 </w:t>
      </w:r>
      <w:r w:rsidRPr="00EE674F">
        <w:t xml:space="preserve">se dále </w:t>
      </w:r>
      <w:r w:rsidR="00FA5B87" w:rsidRPr="00EE674F">
        <w:t>m</w:t>
      </w:r>
      <w:r w:rsidR="009806A7">
        <w:t>ůže</w:t>
      </w:r>
      <w:r w:rsidR="00FA5B87" w:rsidRPr="00EE674F">
        <w:t xml:space="preserve"> </w:t>
      </w:r>
      <w:r w:rsidRPr="00EE674F">
        <w:t>děl</w:t>
      </w:r>
      <w:r w:rsidR="00FA5B87" w:rsidRPr="00EE674F">
        <w:t>it</w:t>
      </w:r>
      <w:r w:rsidRPr="00EE674F">
        <w:t xml:space="preserve"> na: 1a) představuje verzi varianty 1, kde každý stavební úřad bude dělat svoji administrativu (včetně účetnictví, správy majetku a některých dalších administrativní</w:t>
      </w:r>
      <w:r w:rsidR="0072453C">
        <w:t>ch</w:t>
      </w:r>
      <w:r w:rsidRPr="00EE674F">
        <w:t xml:space="preserve"> činností) sám; 1b) představuje verzi varianty 1, kde bude účetnictví, správa majetku a některé další administrativní činnosti místních </w:t>
      </w:r>
      <w:r w:rsidRPr="00EE674F">
        <w:rPr>
          <w:iCs/>
        </w:rPr>
        <w:t xml:space="preserve">stavebních úřadů </w:t>
      </w:r>
      <w:r w:rsidRPr="00EE674F">
        <w:t>děláno na nadřízeném krajském stavebním úřadě.</w:t>
      </w:r>
    </w:p>
    <w:p w:rsidR="00133A48" w:rsidRPr="00133A48" w:rsidRDefault="00133A48" w:rsidP="00054780">
      <w:pPr>
        <w:pStyle w:val="Text-Normaln"/>
        <w:widowControl w:val="0"/>
        <w:spacing w:before="0" w:after="80"/>
      </w:pPr>
      <w:r w:rsidRPr="00133A48">
        <w:t xml:space="preserve">Rizika spočívají především v nákladech. V případě, že </w:t>
      </w:r>
      <w:r w:rsidR="0072453C">
        <w:t>by došlo</w:t>
      </w:r>
      <w:r w:rsidRPr="00133A48">
        <w:t xml:space="preserve"> při transformaci stavebních úřadů k vystěhování téměř všech </w:t>
      </w:r>
      <w:r w:rsidR="00415629">
        <w:t>stavebních úřadů</w:t>
      </w:r>
      <w:r w:rsidR="00415629" w:rsidRPr="00133A48">
        <w:t xml:space="preserve"> </w:t>
      </w:r>
      <w:r w:rsidRPr="00133A48">
        <w:t>mimo budovy obecních a krajských úřadů, moh</w:t>
      </w:r>
      <w:r w:rsidR="0072453C">
        <w:t>ly</w:t>
      </w:r>
      <w:r w:rsidRPr="00133A48">
        <w:t xml:space="preserve"> </w:t>
      </w:r>
      <w:r w:rsidR="0072453C">
        <w:t xml:space="preserve">by </w:t>
      </w:r>
      <w:r w:rsidRPr="00133A48">
        <w:t>vyšplhat transformační náklady změny vysoko. Jedn</w:t>
      </w:r>
      <w:r w:rsidR="0072453C">
        <w:t>alo</w:t>
      </w:r>
      <w:r w:rsidRPr="00133A48">
        <w:t xml:space="preserve"> </w:t>
      </w:r>
      <w:r w:rsidR="0072453C">
        <w:t xml:space="preserve">by </w:t>
      </w:r>
      <w:r w:rsidRPr="00133A48">
        <w:t xml:space="preserve">se především o náklady, které </w:t>
      </w:r>
      <w:r w:rsidR="0072453C">
        <w:t xml:space="preserve">by </w:t>
      </w:r>
      <w:r w:rsidRPr="00133A48">
        <w:t>moh</w:t>
      </w:r>
      <w:r w:rsidR="0072453C">
        <w:t>ly</w:t>
      </w:r>
      <w:r w:rsidRPr="00133A48">
        <w:t xml:space="preserve"> vzniknout tím, že u realizace projektů výstavby </w:t>
      </w:r>
      <w:r w:rsidR="0072453C">
        <w:t>by</w:t>
      </w:r>
      <w:r w:rsidRPr="00133A48">
        <w:t xml:space="preserve"> muse</w:t>
      </w:r>
      <w:r w:rsidR="0072453C">
        <w:t>ly</w:t>
      </w:r>
      <w:r w:rsidRPr="00133A48">
        <w:t xml:space="preserve"> obecní a krajské úřady jednat </w:t>
      </w:r>
      <w:r w:rsidR="00415629" w:rsidRPr="00133A48">
        <w:t>s</w:t>
      </w:r>
      <w:r w:rsidR="00415629">
        <w:t> </w:t>
      </w:r>
      <w:r w:rsidRPr="00133A48">
        <w:t xml:space="preserve">dalším úřadem, náklady na pořízení nových prostor pro stavební úřady a náklady na přesun </w:t>
      </w:r>
      <w:r w:rsidR="00415629" w:rsidRPr="00133A48">
        <w:t>a</w:t>
      </w:r>
      <w:r w:rsidR="00415629">
        <w:t> </w:t>
      </w:r>
      <w:r w:rsidRPr="00133A48">
        <w:t xml:space="preserve">zajištění prostor pro ukládání stavební dokumentace ve spisovně. </w:t>
      </w:r>
    </w:p>
    <w:p w:rsidR="00133A48" w:rsidRPr="00133A48" w:rsidRDefault="00133A48" w:rsidP="00054780">
      <w:pPr>
        <w:pStyle w:val="Text-Normaln"/>
        <w:widowControl w:val="0"/>
        <w:spacing w:before="0" w:after="80"/>
      </w:pPr>
      <w:r w:rsidRPr="00133A48">
        <w:t>Riziko představuje i možnost, že v určitých případech při</w:t>
      </w:r>
      <w:r w:rsidR="0084658A">
        <w:t xml:space="preserve"> vystěhování stavebního úřadu z </w:t>
      </w:r>
      <w:r w:rsidRPr="00133A48">
        <w:t xml:space="preserve">obecního úřadu nebude možné najít odpovídající prostor k pronájmu a stavební úřad bude nucen zajistit prostory pomocí nákupu nemovitosti. Dále se jedná o rizika spojená s nárůstem administrativních činností a o transformační náklady spojené s přesunem vybavení, vybavení kanceláří a pořízení vozového parku. </w:t>
      </w:r>
    </w:p>
    <w:p w:rsidR="00133A48" w:rsidRPr="00133A48" w:rsidRDefault="00133A48" w:rsidP="003E4A5D">
      <w:pPr>
        <w:pStyle w:val="Text-Normaln"/>
        <w:widowControl w:val="0"/>
      </w:pPr>
      <w:r w:rsidRPr="00133A48">
        <w:lastRenderedPageBreak/>
        <w:t>Lze očekávat i problémy spojené s převodem zaměstnanců stave</w:t>
      </w:r>
      <w:r w:rsidR="0084658A">
        <w:t>bních úřadů z krajských úřadů a </w:t>
      </w:r>
      <w:r w:rsidRPr="00133A48">
        <w:t>magistrátů, neboť se odhaduje, že tito zaměstnanci díky osobnímu ohodnocení pobírají podstatně vyšší platy, než indikují platové tabulky pro veřejnou a státní správu. Snížení jejich platů tedy představuje riziko odlivu některých úředníků, spojeného s poklesem kvality služeb stavebních úřadů, vyvlastňovacích úřadů a části úřadů územního plánování</w:t>
      </w:r>
      <w:r>
        <w:t>.</w:t>
      </w:r>
      <w:r w:rsidRPr="00133A48">
        <w:t xml:space="preserve"> Toto riziko však může být eliminováno dodatečnými kroky, které by narovnaly poklesy příjmů v důsledku přechodu zaměstnanců do státní správy</w:t>
      </w:r>
      <w:r w:rsidR="00A94EA2">
        <w:t xml:space="preserve">. Obecně </w:t>
      </w:r>
      <w:r w:rsidRPr="00133A48">
        <w:t>lze očekávat, že riziko, že zaměstnanci ze stavebních úřadů nepřejdou z veřejné do státní správy, se bude typicky týkat především úřadů při krajích a ve velkých městech, kde je pro tyto pracovníky dostatek příležitostí zejména v soukromé sféře (a lze zároveň očekávat, že jejich platy jsou vyšší než st</w:t>
      </w:r>
      <w:r w:rsidR="0084658A">
        <w:t>andardní ve veřejné správě). Na </w:t>
      </w:r>
      <w:r w:rsidRPr="00133A48">
        <w:t>druhou stranu v menších obcích či městech a na nižších pozicích v rámci stavebních úřadů zřejmě převod zaměstnanců do státní správy nebude představovat tak radikální změnu a tedy riziko výrazného úbytku zaměstnanců v důsledku transformace není vysoké – což zároveň znamená, že by nemělo dojít k ohrožení stavebních řízení probíhajících u těchto úřadů.</w:t>
      </w:r>
    </w:p>
    <w:p w:rsidR="00486BB0" w:rsidRDefault="00133A48" w:rsidP="003E4A5D">
      <w:pPr>
        <w:pStyle w:val="Text-Normaln"/>
        <w:widowControl w:val="0"/>
      </w:pPr>
      <w:r w:rsidRPr="00133A48">
        <w:t xml:space="preserve">Rizika varianty </w:t>
      </w:r>
      <w:r w:rsidR="00E32629">
        <w:t>1</w:t>
      </w:r>
      <w:r w:rsidRPr="00133A48">
        <w:t xml:space="preserve"> spočívají v možnosti, že generální inspekce nebude ve svých kontrolách efektivní a fakticky tak nedojde kromě nákladů na zavedení nového úřadu k žádným změnám. Pak by rizika byla stejná jako v případě zachování současného stavu. Riziko z druhé strany naopak představuje varianta, kdy inspekce bude až příliš restrik</w:t>
      </w:r>
      <w:r w:rsidR="0084658A">
        <w:t>tivní, což odradí samosprávy od </w:t>
      </w:r>
      <w:r w:rsidRPr="00133A48">
        <w:t>projektů na rozvoj obce, jelikož úředníci a zastupitelé nebudou chtít riskovat, že udělají chybu, za kterou mohou být přísně trestáni</w:t>
      </w:r>
      <w:r w:rsidR="003F6613">
        <w:t>.</w:t>
      </w:r>
    </w:p>
    <w:p w:rsidR="00AF18EA" w:rsidRDefault="00AF18EA"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15</w:t>
      </w:r>
      <w:r w:rsidR="00AB65E9">
        <w:rPr>
          <w:noProof/>
        </w:rPr>
        <w:fldChar w:fldCharType="end"/>
      </w:r>
      <w:r>
        <w:t xml:space="preserve">: </w:t>
      </w:r>
      <w:r w:rsidRPr="00AF18EA">
        <w:t>Identifikace nákladů a přínosů:</w:t>
      </w:r>
    </w:p>
    <w:tbl>
      <w:tblPr>
        <w:tblW w:w="0" w:type="auto"/>
        <w:tblInd w:w="108" w:type="dxa"/>
        <w:tblBorders>
          <w:top w:val="single" w:sz="4" w:space="0" w:color="auto"/>
        </w:tblBorders>
        <w:shd w:val="clear" w:color="auto" w:fill="B6B002"/>
        <w:tblLook w:val="00A0" w:firstRow="1" w:lastRow="0" w:firstColumn="1" w:lastColumn="0" w:noHBand="0" w:noVBand="0"/>
      </w:tblPr>
      <w:tblGrid>
        <w:gridCol w:w="8962"/>
      </w:tblGrid>
      <w:tr w:rsidR="00430A29" w:rsidRPr="0011797D" w:rsidTr="00AF18EA">
        <w:trPr>
          <w:trHeight w:val="340"/>
        </w:trPr>
        <w:tc>
          <w:tcPr>
            <w:tcW w:w="8962" w:type="dxa"/>
            <w:tcBorders>
              <w:top w:val="single" w:sz="4" w:space="0" w:color="auto"/>
              <w:bottom w:val="single" w:sz="4" w:space="0" w:color="auto"/>
            </w:tcBorders>
            <w:shd w:val="clear" w:color="auto" w:fill="D9D9D9" w:themeFill="background1" w:themeFillShade="D9"/>
            <w:vAlign w:val="center"/>
          </w:tcPr>
          <w:p w:rsidR="00430A29" w:rsidRPr="0011797D" w:rsidRDefault="00430A29" w:rsidP="003E4A5D">
            <w:pPr>
              <w:widowControl w:val="0"/>
              <w:spacing w:before="0" w:after="0"/>
              <w:jc w:val="left"/>
              <w:rPr>
                <w:rFonts w:asciiTheme="minorHAnsi" w:hAnsiTheme="minorHAnsi"/>
                <w:b/>
                <w:color w:val="000000"/>
                <w:sz w:val="20"/>
                <w:szCs w:val="20"/>
              </w:rPr>
            </w:pPr>
            <w:r w:rsidRPr="0011797D">
              <w:rPr>
                <w:rFonts w:asciiTheme="minorHAnsi" w:hAnsiTheme="minorHAnsi"/>
                <w:b/>
                <w:color w:val="000000"/>
                <w:sz w:val="20"/>
                <w:szCs w:val="20"/>
              </w:rPr>
              <w:t>Náklady</w:t>
            </w:r>
          </w:p>
        </w:tc>
      </w:tr>
      <w:tr w:rsidR="00430A29" w:rsidRPr="00682D95" w:rsidTr="00AF18EA">
        <w:trPr>
          <w:trHeight w:val="340"/>
        </w:trPr>
        <w:tc>
          <w:tcPr>
            <w:tcW w:w="8962" w:type="dxa"/>
            <w:tcBorders>
              <w:top w:val="single" w:sz="4" w:space="0" w:color="auto"/>
              <w:bottom w:val="single" w:sz="4" w:space="0" w:color="auto"/>
            </w:tcBorders>
            <w:shd w:val="clear" w:color="auto" w:fill="auto"/>
            <w:vAlign w:val="center"/>
          </w:tcPr>
          <w:p w:rsidR="00430A29" w:rsidRPr="00682D95" w:rsidRDefault="00430A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 xml:space="preserve">Vytvoření </w:t>
            </w:r>
            <w:r w:rsidR="003E2935" w:rsidRPr="00682D95">
              <w:rPr>
                <w:rFonts w:asciiTheme="minorHAnsi" w:hAnsiTheme="minorHAnsi"/>
                <w:sz w:val="20"/>
                <w:szCs w:val="20"/>
              </w:rPr>
              <w:t>dozorové generální stavební inspekce</w:t>
            </w:r>
            <w:r w:rsidR="003E2935" w:rsidRPr="00682D95" w:rsidDel="003E2935">
              <w:rPr>
                <w:rFonts w:asciiTheme="minorHAnsi" w:hAnsiTheme="minorHAnsi"/>
                <w:sz w:val="20"/>
                <w:szCs w:val="20"/>
              </w:rPr>
              <w:t xml:space="preserve"> </w:t>
            </w:r>
            <w:r w:rsidR="00682D95" w:rsidRPr="00682D95">
              <w:rPr>
                <w:rFonts w:asciiTheme="minorHAnsi" w:hAnsiTheme="minorHAnsi"/>
                <w:sz w:val="20"/>
                <w:szCs w:val="20"/>
              </w:rPr>
              <w:t xml:space="preserve">či </w:t>
            </w:r>
            <w:r w:rsidR="006C41FA">
              <w:rPr>
                <w:rFonts w:asciiTheme="minorHAnsi" w:hAnsiTheme="minorHAnsi"/>
                <w:sz w:val="20"/>
                <w:szCs w:val="20"/>
              </w:rPr>
              <w:t>NSÚ</w:t>
            </w:r>
            <w:r w:rsidR="00682D95" w:rsidRPr="00682D95">
              <w:rPr>
                <w:rFonts w:asciiTheme="minorHAnsi" w:hAnsiTheme="minorHAnsi"/>
                <w:sz w:val="20"/>
                <w:szCs w:val="20"/>
              </w:rPr>
              <w:t xml:space="preserve"> dle hodnocené varianty</w:t>
            </w:r>
          </w:p>
          <w:p w:rsidR="00E32629" w:rsidRPr="00682D95" w:rsidRDefault="00430A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Mzdové a režijní náklady</w:t>
            </w:r>
          </w:p>
          <w:p w:rsidR="00682D95" w:rsidRPr="00391E39" w:rsidRDefault="00682D95" w:rsidP="00391E39">
            <w:pPr>
              <w:widowControl w:val="0"/>
              <w:spacing w:before="0" w:after="0"/>
              <w:rPr>
                <w:rFonts w:asciiTheme="minorHAnsi" w:hAnsiTheme="minorHAnsi"/>
                <w:i/>
                <w:sz w:val="20"/>
                <w:szCs w:val="20"/>
              </w:rPr>
            </w:pPr>
            <w:r w:rsidRPr="00391E39">
              <w:rPr>
                <w:rFonts w:asciiTheme="minorHAnsi" w:hAnsiTheme="minorHAnsi"/>
                <w:i/>
                <w:sz w:val="20"/>
                <w:szCs w:val="20"/>
              </w:rPr>
              <w:t>V případě varianty 2 pak:</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Pronájem nových kancelářských prostor v případě vystěhování úřadů nebo pronájem prostor a</w:t>
            </w:r>
            <w:r w:rsidR="0084658A">
              <w:rPr>
                <w:rFonts w:asciiTheme="minorHAnsi" w:hAnsiTheme="minorHAnsi"/>
                <w:sz w:val="20"/>
                <w:szCs w:val="20"/>
              </w:rPr>
              <w:t> </w:t>
            </w:r>
            <w:r w:rsidRPr="00682D95">
              <w:rPr>
                <w:rFonts w:asciiTheme="minorHAnsi" w:hAnsiTheme="minorHAnsi"/>
                <w:sz w:val="20"/>
                <w:szCs w:val="20"/>
              </w:rPr>
              <w:t xml:space="preserve">vybavení </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Pronájem prostor pro ukládání spisů</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Nárůst administrativních nákladů na komunikaci mezi nově vzniklými úřady a samosprávami</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Transformační náklady na vznik nových pracovních míst - pořízení počítače, softwaru, vozového parku, kancelářského vybavení apod.</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IS – centrální evidence apod.</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 xml:space="preserve">Náklady </w:t>
            </w:r>
            <w:r w:rsidR="006C41FA">
              <w:rPr>
                <w:rFonts w:asciiTheme="minorHAnsi" w:hAnsiTheme="minorHAnsi"/>
                <w:sz w:val="20"/>
                <w:szCs w:val="20"/>
              </w:rPr>
              <w:t>územně samosprávných celků</w:t>
            </w:r>
          </w:p>
          <w:p w:rsidR="00371833" w:rsidRPr="00682D95" w:rsidRDefault="00E32629" w:rsidP="00E05DA4">
            <w:pPr>
              <w:pStyle w:val="Odstavecseseznamem"/>
              <w:widowControl w:val="0"/>
              <w:numPr>
                <w:ilvl w:val="0"/>
                <w:numId w:val="28"/>
              </w:numPr>
              <w:spacing w:before="0" w:after="0"/>
              <w:rPr>
                <w:rFonts w:asciiTheme="minorHAnsi" w:hAnsiTheme="minorHAnsi"/>
                <w:color w:val="000000"/>
                <w:sz w:val="20"/>
                <w:szCs w:val="20"/>
              </w:rPr>
            </w:pPr>
            <w:r w:rsidRPr="00682D95">
              <w:rPr>
                <w:rFonts w:asciiTheme="minorHAnsi" w:hAnsiTheme="minorHAnsi"/>
                <w:sz w:val="20"/>
                <w:szCs w:val="20"/>
              </w:rPr>
              <w:t xml:space="preserve">Náklady klientů </w:t>
            </w:r>
            <w:r w:rsidR="006C41FA">
              <w:rPr>
                <w:rFonts w:asciiTheme="minorHAnsi" w:hAnsiTheme="minorHAnsi"/>
                <w:sz w:val="20"/>
                <w:szCs w:val="20"/>
              </w:rPr>
              <w:t>veřejné správy</w:t>
            </w:r>
            <w:r w:rsidR="006C41FA" w:rsidRPr="00682D95">
              <w:rPr>
                <w:rFonts w:asciiTheme="minorHAnsi" w:hAnsiTheme="minorHAnsi"/>
                <w:sz w:val="20"/>
                <w:szCs w:val="20"/>
              </w:rPr>
              <w:t xml:space="preserve"> </w:t>
            </w:r>
            <w:r w:rsidRPr="00682D95">
              <w:rPr>
                <w:rFonts w:asciiTheme="minorHAnsi" w:hAnsiTheme="minorHAnsi"/>
                <w:sz w:val="20"/>
                <w:szCs w:val="20"/>
              </w:rPr>
              <w:t>dle lokace nových pracovišť vykonávajících PP apod.</w:t>
            </w:r>
            <w:r w:rsidR="00430A29" w:rsidRPr="00682D95">
              <w:rPr>
                <w:rFonts w:asciiTheme="minorHAnsi" w:hAnsiTheme="minorHAnsi"/>
                <w:sz w:val="20"/>
                <w:szCs w:val="20"/>
              </w:rPr>
              <w:t xml:space="preserve"> </w:t>
            </w:r>
          </w:p>
        </w:tc>
      </w:tr>
      <w:tr w:rsidR="00430A29" w:rsidRPr="0011797D" w:rsidTr="00AF18EA">
        <w:trPr>
          <w:trHeight w:val="340"/>
        </w:trPr>
        <w:tc>
          <w:tcPr>
            <w:tcW w:w="8962" w:type="dxa"/>
            <w:tcBorders>
              <w:top w:val="single" w:sz="4" w:space="0" w:color="auto"/>
              <w:bottom w:val="single" w:sz="4" w:space="0" w:color="auto"/>
            </w:tcBorders>
            <w:shd w:val="clear" w:color="auto" w:fill="D9D9D9" w:themeFill="background1" w:themeFillShade="D9"/>
            <w:vAlign w:val="center"/>
          </w:tcPr>
          <w:p w:rsidR="00430A29" w:rsidRPr="0011797D" w:rsidRDefault="00430A29" w:rsidP="003E4A5D">
            <w:pPr>
              <w:widowControl w:val="0"/>
              <w:spacing w:before="0" w:after="0"/>
              <w:rPr>
                <w:rFonts w:asciiTheme="minorHAnsi" w:hAnsiTheme="minorHAnsi"/>
                <w:b/>
                <w:color w:val="000000"/>
                <w:sz w:val="20"/>
                <w:szCs w:val="20"/>
              </w:rPr>
            </w:pPr>
            <w:r w:rsidRPr="0011797D">
              <w:rPr>
                <w:rFonts w:asciiTheme="minorHAnsi" w:hAnsiTheme="minorHAnsi"/>
                <w:b/>
                <w:color w:val="000000"/>
                <w:sz w:val="20"/>
                <w:szCs w:val="20"/>
              </w:rPr>
              <w:t>Přínosy</w:t>
            </w:r>
          </w:p>
        </w:tc>
      </w:tr>
      <w:tr w:rsidR="00430A29" w:rsidRPr="0011797D" w:rsidTr="00AF18EA">
        <w:trPr>
          <w:trHeight w:val="340"/>
        </w:trPr>
        <w:tc>
          <w:tcPr>
            <w:tcW w:w="8962" w:type="dxa"/>
            <w:tcBorders>
              <w:top w:val="single" w:sz="4" w:space="0" w:color="auto"/>
              <w:bottom w:val="single" w:sz="4" w:space="0" w:color="auto"/>
            </w:tcBorders>
            <w:shd w:val="clear" w:color="auto" w:fill="FFFFFF" w:themeFill="background1"/>
            <w:vAlign w:val="center"/>
          </w:tcPr>
          <w:p w:rsidR="00DB3F81" w:rsidRPr="0011797D" w:rsidRDefault="00DB3F81" w:rsidP="003E4A5D">
            <w:pPr>
              <w:widowControl w:val="0"/>
              <w:spacing w:before="0" w:after="0"/>
              <w:rPr>
                <w:rFonts w:asciiTheme="minorHAnsi" w:hAnsiTheme="minorHAnsi"/>
                <w:sz w:val="20"/>
                <w:szCs w:val="20"/>
              </w:rPr>
            </w:pPr>
            <w:r w:rsidRPr="0011797D">
              <w:rPr>
                <w:rFonts w:asciiTheme="minorHAnsi" w:hAnsiTheme="minorHAnsi"/>
                <w:sz w:val="20"/>
                <w:szCs w:val="20"/>
              </w:rPr>
              <w:t>Přínosy z</w:t>
            </w:r>
            <w:r w:rsidR="00682D95">
              <w:rPr>
                <w:rFonts w:asciiTheme="minorHAnsi" w:hAnsiTheme="minorHAnsi"/>
                <w:sz w:val="20"/>
                <w:szCs w:val="20"/>
              </w:rPr>
              <w:t> </w:t>
            </w:r>
            <w:r w:rsidRPr="0011797D">
              <w:rPr>
                <w:rFonts w:asciiTheme="minorHAnsi" w:hAnsiTheme="minorHAnsi"/>
                <w:sz w:val="20"/>
                <w:szCs w:val="20"/>
              </w:rPr>
              <w:t>variant</w:t>
            </w:r>
            <w:r w:rsidR="00682D95">
              <w:rPr>
                <w:rFonts w:asciiTheme="minorHAnsi" w:hAnsiTheme="minorHAnsi"/>
                <w:sz w:val="20"/>
                <w:szCs w:val="20"/>
              </w:rPr>
              <w:t>, a to především z varianty</w:t>
            </w:r>
            <w:r w:rsidRPr="0011797D">
              <w:rPr>
                <w:rFonts w:asciiTheme="minorHAnsi" w:hAnsiTheme="minorHAnsi"/>
                <w:sz w:val="20"/>
                <w:szCs w:val="20"/>
              </w:rPr>
              <w:t xml:space="preserve"> </w:t>
            </w:r>
            <w:r w:rsidR="00682D95">
              <w:rPr>
                <w:rFonts w:asciiTheme="minorHAnsi" w:hAnsiTheme="minorHAnsi"/>
                <w:sz w:val="20"/>
                <w:szCs w:val="20"/>
              </w:rPr>
              <w:t>2,</w:t>
            </w:r>
            <w:r w:rsidRPr="0011797D">
              <w:rPr>
                <w:rFonts w:asciiTheme="minorHAnsi" w:hAnsiTheme="minorHAnsi"/>
                <w:sz w:val="20"/>
                <w:szCs w:val="20"/>
              </w:rPr>
              <w:t xml:space="preserve"> je obtížnější kvantifikovat, neboť se jedná především o</w:t>
            </w:r>
            <w:r w:rsidR="0084658A">
              <w:rPr>
                <w:rFonts w:asciiTheme="minorHAnsi" w:hAnsiTheme="minorHAnsi"/>
                <w:sz w:val="20"/>
                <w:szCs w:val="20"/>
              </w:rPr>
              <w:t> </w:t>
            </w:r>
            <w:r w:rsidRPr="0011797D">
              <w:rPr>
                <w:rFonts w:asciiTheme="minorHAnsi" w:hAnsiTheme="minorHAnsi"/>
                <w:sz w:val="20"/>
                <w:szCs w:val="20"/>
              </w:rPr>
              <w:t>kvalitativní změny:</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Zlepšení koordinace a komunikace mezi úředníky zastupujícími další veřejné zájmy navzájem a se stavebními úřady</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Vyšší transparentnost systému pro žadatele a časové úspory při mapování, jak řešit životní situaci </w:t>
            </w:r>
          </w:p>
          <w:p w:rsidR="009C081E"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Jednotné řízení a metodické vedení úřadů = zvýšení právní jistoty u všech dotčených stran</w:t>
            </w:r>
          </w:p>
          <w:p w:rsidR="009C081E"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Vyšší kvalifikace úředníků = možné snížení počtu formálních/věcných pochybení </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Přínosy v podobě eliminace možné podjatosti </w:t>
            </w:r>
          </w:p>
          <w:p w:rsidR="00371833"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Odstranění možného konfliktu zájmů</w:t>
            </w:r>
          </w:p>
          <w:p w:rsidR="00430A29" w:rsidRPr="0011797D" w:rsidRDefault="00371833" w:rsidP="003E4A5D">
            <w:pPr>
              <w:pStyle w:val="Odstavecseseznamem"/>
              <w:widowControl w:val="0"/>
              <w:numPr>
                <w:ilvl w:val="0"/>
                <w:numId w:val="28"/>
              </w:numPr>
              <w:spacing w:before="0" w:after="0"/>
              <w:rPr>
                <w:rFonts w:asciiTheme="minorHAnsi" w:hAnsiTheme="minorHAnsi"/>
                <w:color w:val="000000"/>
                <w:sz w:val="20"/>
                <w:szCs w:val="20"/>
              </w:rPr>
            </w:pPr>
            <w:r w:rsidRPr="0011797D">
              <w:rPr>
                <w:rFonts w:asciiTheme="minorHAnsi" w:hAnsiTheme="minorHAnsi"/>
                <w:sz w:val="20"/>
                <w:szCs w:val="20"/>
              </w:rPr>
              <w:t>Úspory z</w:t>
            </w:r>
            <w:r w:rsidR="00570CC1">
              <w:rPr>
                <w:rFonts w:asciiTheme="minorHAnsi" w:hAnsiTheme="minorHAnsi"/>
                <w:sz w:val="20"/>
                <w:szCs w:val="20"/>
              </w:rPr>
              <w:t> </w:t>
            </w:r>
            <w:r w:rsidRPr="0011797D">
              <w:rPr>
                <w:rFonts w:asciiTheme="minorHAnsi" w:hAnsiTheme="minorHAnsi"/>
                <w:sz w:val="20"/>
                <w:szCs w:val="20"/>
              </w:rPr>
              <w:t>rozsahu</w:t>
            </w:r>
          </w:p>
        </w:tc>
      </w:tr>
    </w:tbl>
    <w:p w:rsidR="00430A29" w:rsidRDefault="00430A29" w:rsidP="003E4A5D">
      <w:pPr>
        <w:pStyle w:val="Text-Normaln"/>
        <w:widowControl w:val="0"/>
        <w:rPr>
          <w:b/>
        </w:rPr>
      </w:pPr>
      <w:r w:rsidRPr="00CF6F45">
        <w:rPr>
          <w:b/>
        </w:rPr>
        <w:t>Kvantifikace nákladů:</w:t>
      </w:r>
    </w:p>
    <w:p w:rsidR="006539D7" w:rsidRDefault="00C65FBD" w:rsidP="003E4A5D">
      <w:pPr>
        <w:pStyle w:val="Text-Normaln"/>
        <w:widowControl w:val="0"/>
      </w:pPr>
      <w:r w:rsidRPr="00C65FBD">
        <w:t>P</w:t>
      </w:r>
      <w:r>
        <w:t xml:space="preserve">ředem veškerých úvah uveďme celková čísla za počet pracovníků a počet úvazků, které sleduje </w:t>
      </w:r>
      <w:r w:rsidR="005C185C" w:rsidRPr="005C185C">
        <w:t xml:space="preserve">Ústav územního rozvoje </w:t>
      </w:r>
      <w:r w:rsidR="005C185C">
        <w:t>(</w:t>
      </w:r>
      <w:r>
        <w:t>ÚÚR</w:t>
      </w:r>
      <w:r w:rsidR="005C185C">
        <w:t>)</w:t>
      </w:r>
      <w:r w:rsidR="00570CC1">
        <w:t>,</w:t>
      </w:r>
      <w:r>
        <w:t xml:space="preserve"> a ze kterých budeme při hodnocení variant vycházet. </w:t>
      </w:r>
    </w:p>
    <w:p w:rsidR="006539D7" w:rsidRDefault="006539D7">
      <w:pPr>
        <w:spacing w:before="0" w:after="0"/>
        <w:jc w:val="left"/>
      </w:pPr>
      <w:r>
        <w:br w:type="page"/>
      </w:r>
    </w:p>
    <w:p w:rsidR="00C65FBD" w:rsidRDefault="00C65FBD" w:rsidP="000E635F">
      <w:pPr>
        <w:pStyle w:val="Text-Normaln"/>
        <w:widowControl w:val="0"/>
      </w:pPr>
      <w:r>
        <w:lastRenderedPageBreak/>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16</w:t>
      </w:r>
      <w:r w:rsidR="00AB65E9">
        <w:rPr>
          <w:noProof/>
        </w:rPr>
        <w:fldChar w:fldCharType="end"/>
      </w:r>
      <w:r>
        <w:t>: Počty pracovníků a úvazků na klíčových úřadech vykonávajících úkoly stanovené stavebním zákonem, které mapuje ÚÚR</w:t>
      </w:r>
      <w:r w:rsidR="00022484">
        <w:t xml:space="preserve"> </w:t>
      </w:r>
    </w:p>
    <w:tbl>
      <w:tblPr>
        <w:tblStyle w:val="Svtlstnovn1"/>
        <w:tblW w:w="0" w:type="auto"/>
        <w:tblInd w:w="108" w:type="dxa"/>
        <w:tblLook w:val="04A0" w:firstRow="1" w:lastRow="0" w:firstColumn="1" w:lastColumn="0" w:noHBand="0" w:noVBand="1"/>
      </w:tblPr>
      <w:tblGrid>
        <w:gridCol w:w="3275"/>
        <w:gridCol w:w="3017"/>
        <w:gridCol w:w="2780"/>
      </w:tblGrid>
      <w:tr w:rsidR="00C65FBD" w:rsidRPr="00016999" w:rsidTr="00CA4A8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p>
        </w:tc>
        <w:tc>
          <w:tcPr>
            <w:tcW w:w="3017" w:type="dxa"/>
            <w:vAlign w:val="center"/>
          </w:tcPr>
          <w:p w:rsidR="00C65FBD" w:rsidRPr="00016999" w:rsidRDefault="00C65FB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6999">
              <w:rPr>
                <w:sz w:val="20"/>
                <w:szCs w:val="20"/>
              </w:rPr>
              <w:t>Počet pracovníků</w:t>
            </w:r>
          </w:p>
        </w:tc>
        <w:tc>
          <w:tcPr>
            <w:tcW w:w="2780" w:type="dxa"/>
            <w:vAlign w:val="center"/>
          </w:tcPr>
          <w:p w:rsidR="00C65FBD" w:rsidRPr="00016999" w:rsidRDefault="00C65FB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6999">
              <w:rPr>
                <w:sz w:val="20"/>
                <w:szCs w:val="20"/>
              </w:rPr>
              <w:t>Počet úvazků</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ÚÚP - prvoinstanční</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803</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691</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ÚÚP - druhoinstanční</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158</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156</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OSÚ - prvoinstanční</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3 507</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3 350</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OSÚ - druhoinstanční</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235</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217</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SSÚ – D</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900</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687</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Druhoinstanční SSÚ - D</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81</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52</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SSÚ – V – první instance</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672</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595</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SSÚ – V – druhá instance</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114</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101</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C65FBD" w:rsidRDefault="00C65FBD" w:rsidP="003E4A5D">
            <w:pPr>
              <w:pStyle w:val="Text-Normaln"/>
              <w:widowControl w:val="0"/>
              <w:spacing w:before="0" w:after="0"/>
              <w:rPr>
                <w:sz w:val="20"/>
                <w:szCs w:val="20"/>
              </w:rPr>
            </w:pPr>
          </w:p>
        </w:tc>
        <w:tc>
          <w:tcPr>
            <w:tcW w:w="3017" w:type="dxa"/>
            <w:vAlign w:val="center"/>
          </w:tcPr>
          <w:p w:rsidR="00C65FBD" w:rsidRPr="00C65FBD"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b/>
                <w:sz w:val="20"/>
                <w:szCs w:val="20"/>
              </w:rPr>
            </w:pPr>
            <w:r w:rsidRPr="00C65FBD">
              <w:rPr>
                <w:b/>
                <w:sz w:val="20"/>
                <w:szCs w:val="20"/>
              </w:rPr>
              <w:t>6 470</w:t>
            </w:r>
          </w:p>
        </w:tc>
        <w:tc>
          <w:tcPr>
            <w:tcW w:w="2780" w:type="dxa"/>
            <w:vAlign w:val="center"/>
          </w:tcPr>
          <w:p w:rsidR="00C65FBD" w:rsidRPr="00C65FBD"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b/>
                <w:sz w:val="20"/>
                <w:szCs w:val="20"/>
              </w:rPr>
            </w:pPr>
            <w:r w:rsidRPr="00C65FBD">
              <w:rPr>
                <w:b/>
                <w:sz w:val="20"/>
                <w:szCs w:val="20"/>
              </w:rPr>
              <w:t>5 849</w:t>
            </w:r>
          </w:p>
        </w:tc>
      </w:tr>
    </w:tbl>
    <w:p w:rsidR="00F75BB5" w:rsidRPr="0089559F" w:rsidRDefault="00C65FBD" w:rsidP="0089559F">
      <w:pPr>
        <w:pStyle w:val="Citt"/>
      </w:pPr>
      <w:r>
        <w:t>Zdroj: ÚÚR</w:t>
      </w:r>
    </w:p>
    <w:p w:rsidR="00430A29" w:rsidRPr="009910DF" w:rsidRDefault="009910DF" w:rsidP="003E4A5D">
      <w:pPr>
        <w:widowControl w:val="0"/>
        <w:rPr>
          <w:u w:val="single"/>
        </w:rPr>
      </w:pPr>
      <w:r w:rsidRPr="009910DF">
        <w:rPr>
          <w:u w:val="single"/>
        </w:rPr>
        <w:t>Varianta 1</w:t>
      </w:r>
    </w:p>
    <w:p w:rsidR="00C65FBD" w:rsidRDefault="00C65FBD" w:rsidP="003E4A5D">
      <w:pPr>
        <w:widowControl w:val="0"/>
      </w:pPr>
      <w:r w:rsidRPr="00C65FBD">
        <w:t>Ne</w:t>
      </w:r>
      <w:r>
        <w:t>j</w:t>
      </w:r>
      <w:r w:rsidRPr="00C65FBD">
        <w:t>významn</w:t>
      </w:r>
      <w:r>
        <w:t xml:space="preserve">ějším nákladem Varianty 1 bude zřízení inspekce, která bude dle výše uvedené definice kontrolovat výkon ÚÚP, OSÚ a SSÚ. Pro přiblížení její náplně činnosti využijeme Výroční zprávy Ministerstva kultury </w:t>
      </w:r>
      <w:r w:rsidR="00A63E61">
        <w:t xml:space="preserve">(MK) </w:t>
      </w:r>
      <w:r>
        <w:t>2017, v</w:t>
      </w:r>
      <w:r w:rsidR="00A63E61">
        <w:t xml:space="preserve"> jehož </w:t>
      </w:r>
      <w:r>
        <w:t>rámci funguje obdobně Památková inspekce.</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962"/>
      </w:tblGrid>
      <w:tr w:rsidR="00A63E61" w:rsidRPr="00A63E61" w:rsidTr="00E00D9F">
        <w:tc>
          <w:tcPr>
            <w:tcW w:w="8962" w:type="dxa"/>
            <w:shd w:val="clear" w:color="auto" w:fill="D9D9D9" w:themeFill="background1" w:themeFillShade="D9"/>
          </w:tcPr>
          <w:p w:rsidR="001836FC" w:rsidRDefault="001836FC" w:rsidP="003E4A5D">
            <w:pPr>
              <w:pStyle w:val="Titulek"/>
            </w:pPr>
            <w:r>
              <w:t xml:space="preserve">Box </w:t>
            </w:r>
            <w:r w:rsidR="00570CC1">
              <w:rPr>
                <w:noProof/>
              </w:rPr>
              <w:t>5</w:t>
            </w:r>
          </w:p>
          <w:p w:rsidR="001836FC" w:rsidRPr="001836FC" w:rsidRDefault="001836FC" w:rsidP="003E4A5D">
            <w:pPr>
              <w:widowControl w:val="0"/>
              <w:rPr>
                <w:b/>
                <w:i/>
                <w:sz w:val="20"/>
                <w:szCs w:val="20"/>
              </w:rPr>
            </w:pPr>
            <w:r w:rsidRPr="001836FC">
              <w:rPr>
                <w:b/>
                <w:sz w:val="20"/>
                <w:szCs w:val="20"/>
              </w:rPr>
              <w:t>Činnost Památkové inspekce (PI) v roce 2017</w:t>
            </w:r>
          </w:p>
          <w:p w:rsidR="00A63E61" w:rsidRPr="00A63E61" w:rsidRDefault="00A63E61" w:rsidP="003E4A5D">
            <w:pPr>
              <w:widowControl w:val="0"/>
              <w:rPr>
                <w:i/>
                <w:sz w:val="20"/>
                <w:szCs w:val="20"/>
              </w:rPr>
            </w:pPr>
            <w:r w:rsidRPr="00A63E61">
              <w:rPr>
                <w:i/>
                <w:sz w:val="20"/>
                <w:szCs w:val="20"/>
              </w:rPr>
              <w:t xml:space="preserve">„PI v roce 2017 prováděla systematickou kontrolu krajských úřadů v souladu s usnesením vlády ČR č. 689 ze dne 11. září 2013 na základě harmonogramu Ministerstva vnitra. Podle ustanovení </w:t>
            </w:r>
            <w:r>
              <w:rPr>
                <w:i/>
                <w:sz w:val="20"/>
                <w:szCs w:val="20"/>
              </w:rPr>
              <w:t>…</w:t>
            </w:r>
            <w:r w:rsidRPr="00A63E61">
              <w:rPr>
                <w:i/>
                <w:sz w:val="20"/>
                <w:szCs w:val="20"/>
              </w:rPr>
              <w:t xml:space="preserve"> zákona o státní památkové péči byl předmětem kontrol výkon státní správy na úseku státní památkové péče prováděný krajskými úřady. Kontrolovány byly krajské úřady krajů Jihomoravského, Olomouckého, Plzeňského, Středočeského a Ústeckého.</w:t>
            </w:r>
          </w:p>
          <w:p w:rsidR="00A63E61" w:rsidRPr="00A63E61" w:rsidRDefault="00A63E61" w:rsidP="003E4A5D">
            <w:pPr>
              <w:widowControl w:val="0"/>
              <w:rPr>
                <w:i/>
                <w:sz w:val="20"/>
                <w:szCs w:val="20"/>
              </w:rPr>
            </w:pPr>
            <w:r w:rsidRPr="00A63E61">
              <w:rPr>
                <w:i/>
                <w:sz w:val="20"/>
                <w:szCs w:val="20"/>
              </w:rPr>
              <w:t>Kontrolována byla agenda za rok 2016 formou výběrového vzorku spisového materiálu. Jeho výběr byl koncipován standardním způsobem jako kombinovaný – jednak náhodný, s ohledem na to, aby pokud možno pokrýval celé spektrum výkonu státní památkové péče kontrolovaným subjektem, jednak cílený v případech, kdy byla sledována činnost kontrolovaného úřadu ve věci, která se týkala předchozích návrhů opatření PI nebo která se stala předmětem podnětů a stížností různých osob.</w:t>
            </w:r>
          </w:p>
          <w:p w:rsidR="00A63E61" w:rsidRPr="00A63E61" w:rsidRDefault="00A63E61" w:rsidP="003E4A5D">
            <w:pPr>
              <w:widowControl w:val="0"/>
              <w:rPr>
                <w:i/>
                <w:sz w:val="20"/>
                <w:szCs w:val="20"/>
              </w:rPr>
            </w:pPr>
            <w:r w:rsidRPr="00A63E61">
              <w:rPr>
                <w:i/>
                <w:sz w:val="20"/>
                <w:szCs w:val="20"/>
              </w:rPr>
              <w:t xml:space="preserve">V kontrolovaných spisových materiálech po věcné stránce převažovala rozhodnutí a závazná stanoviska vydaná v návrhovém řízení v 1. stupni </w:t>
            </w:r>
            <w:r>
              <w:rPr>
                <w:i/>
                <w:sz w:val="20"/>
                <w:szCs w:val="20"/>
              </w:rPr>
              <w:t>…</w:t>
            </w:r>
            <w:r w:rsidRPr="00A63E61">
              <w:rPr>
                <w:i/>
                <w:sz w:val="20"/>
                <w:szCs w:val="20"/>
              </w:rPr>
              <w:t>, tj. závazná stanoviska k obnově národních kulturních památek a kulturních památek. Spisový materiál byl konfrontován s fyzickým stavem předmětu řízení. Zásadním a opakujícím se kontrolním zjištěním bylo porušení § 14 odst. 3 zákona o státní památkové péči; základní podmínky, za nichž bylo možno obnovu národní kulturní památky připravovat a provést, nebyly stanoveny dostatečně určitě a mnohdy nevycházely z poznání kulturně-historických hodnot, které bylo nutno při umožnění realizace zamýšlených prací zachovat. Z kontrolního vzorku současně vyplynulo, že v praxi se dosud nevžila nová povinnost uvádět míru zavinění ve výroku rozhodnutí o přestupku.</w:t>
            </w:r>
          </w:p>
          <w:p w:rsidR="00A63E61" w:rsidRPr="00A63E61" w:rsidRDefault="00A63E61" w:rsidP="003E4A5D">
            <w:pPr>
              <w:widowControl w:val="0"/>
              <w:rPr>
                <w:i/>
                <w:sz w:val="20"/>
                <w:szCs w:val="20"/>
              </w:rPr>
            </w:pPr>
            <w:r w:rsidRPr="00A63E61">
              <w:rPr>
                <w:i/>
                <w:sz w:val="20"/>
                <w:szCs w:val="20"/>
              </w:rPr>
              <w:t>Na krajských úřadech dále byla kontrolována agenda 2. stupně, tj. rozhodování o řádných a mimořádných opravných prostředcích podaných do rozhodnutí úřadů obcí s rozšířenou působností. Zde byl zjištěn, podobně jako v předchozích letech, menší počet nedostatků. V rámci odvolacích a přezkumných řízení nezjistila PI systémové opakující se pochybení, přičemž je třeba konstatovat, že v kontrolovaném období se dílčí pochybení vyskytovala v této souvislosti nejčastěji v sankčních řízeních.</w:t>
            </w:r>
          </w:p>
          <w:p w:rsidR="00A63E61" w:rsidRPr="00A63E61" w:rsidRDefault="00A63E61" w:rsidP="003E4A5D">
            <w:pPr>
              <w:widowControl w:val="0"/>
              <w:rPr>
                <w:sz w:val="20"/>
                <w:szCs w:val="20"/>
              </w:rPr>
            </w:pPr>
            <w:r w:rsidRPr="00A63E61">
              <w:rPr>
                <w:i/>
                <w:sz w:val="20"/>
                <w:szCs w:val="20"/>
              </w:rPr>
              <w:t xml:space="preserve">PI dále sledovala, jak krajské úřady provádějí kontroly výkonu státní správy na úseku státní památkové péče na obecních úřadech obcí s rozšířenou působností </w:t>
            </w:r>
            <w:r>
              <w:rPr>
                <w:i/>
                <w:sz w:val="20"/>
                <w:szCs w:val="20"/>
              </w:rPr>
              <w:t>…</w:t>
            </w:r>
            <w:r w:rsidRPr="00A63E61">
              <w:rPr>
                <w:i/>
                <w:sz w:val="20"/>
                <w:szCs w:val="20"/>
              </w:rPr>
              <w:t xml:space="preserve"> a jak metodicky řídí výkon státní památkové péče v kraji </w:t>
            </w:r>
            <w:r>
              <w:rPr>
                <w:i/>
                <w:sz w:val="20"/>
                <w:szCs w:val="20"/>
              </w:rPr>
              <w:t>..</w:t>
            </w:r>
            <w:r w:rsidRPr="00A63E61">
              <w:rPr>
                <w:i/>
                <w:sz w:val="20"/>
                <w:szCs w:val="20"/>
              </w:rPr>
              <w:t>.“ (Výroční zpráva Ministerstva kultury za rok 2017</w:t>
            </w:r>
            <w:r w:rsidR="002A1C03">
              <w:rPr>
                <w:i/>
                <w:sz w:val="20"/>
                <w:szCs w:val="20"/>
              </w:rPr>
              <w:t xml:space="preserve"> (VZ MK 2017)</w:t>
            </w:r>
            <w:r w:rsidRPr="00A63E61">
              <w:rPr>
                <w:i/>
                <w:sz w:val="20"/>
                <w:szCs w:val="20"/>
              </w:rPr>
              <w:t>)</w:t>
            </w:r>
          </w:p>
        </w:tc>
      </w:tr>
    </w:tbl>
    <w:p w:rsidR="002A1C03" w:rsidRDefault="00A63E61" w:rsidP="003E4A5D">
      <w:pPr>
        <w:pStyle w:val="Text-Normaln"/>
        <w:widowControl w:val="0"/>
      </w:pPr>
      <w:r w:rsidRPr="00A63E61">
        <w:t xml:space="preserve">Pokud budeme uvažovat, že </w:t>
      </w:r>
      <w:r>
        <w:t xml:space="preserve">odbor PI při MK spotřeboval </w:t>
      </w:r>
      <w:r w:rsidR="002A1C03">
        <w:t xml:space="preserve">v roce 2017 </w:t>
      </w:r>
      <w:r>
        <w:t xml:space="preserve">na svou činnost </w:t>
      </w:r>
      <w:r w:rsidR="002A1C03">
        <w:t>75</w:t>
      </w:r>
      <w:r w:rsidR="00CB4895">
        <w:t xml:space="preserve"> 200</w:t>
      </w:r>
      <w:r w:rsidR="00F259A8">
        <w:t> </w:t>
      </w:r>
      <w:r w:rsidR="002A1C03">
        <w:t xml:space="preserve">Kč a při počtu </w:t>
      </w:r>
      <w:r w:rsidR="00CB4895">
        <w:t>7</w:t>
      </w:r>
      <w:r w:rsidR="002A1C03">
        <w:t xml:space="preserve"> zaměstnanců a průměrném platu na </w:t>
      </w:r>
      <w:r w:rsidR="00CB4895">
        <w:t>PI</w:t>
      </w:r>
      <w:r w:rsidR="002A1C03">
        <w:t xml:space="preserve"> dle </w:t>
      </w:r>
      <w:r w:rsidR="00CB4895">
        <w:t>informací PI</w:t>
      </w:r>
      <w:r w:rsidR="002A1C03">
        <w:t xml:space="preserve"> ve výši </w:t>
      </w:r>
      <w:r w:rsidR="00CB4895" w:rsidRPr="00CB4895">
        <w:t>41</w:t>
      </w:r>
      <w:r w:rsidR="00CB4895">
        <w:t xml:space="preserve"> </w:t>
      </w:r>
      <w:r w:rsidR="00CB4895" w:rsidRPr="00CB4895">
        <w:t>870</w:t>
      </w:r>
      <w:r w:rsidR="002A1C03">
        <w:t xml:space="preserve"> Kč se mohou </w:t>
      </w:r>
      <w:r w:rsidR="00CB4895">
        <w:t xml:space="preserve">v případě zřízení nové inspekce po vzoru PI </w:t>
      </w:r>
      <w:r w:rsidR="002A1C03">
        <w:t>roční náklady pohybovat řádově okolo 0,</w:t>
      </w:r>
      <w:r w:rsidR="00CB4895">
        <w:t>1</w:t>
      </w:r>
      <w:r w:rsidR="002A1C03">
        <w:t xml:space="preserve"> mil. Kč</w:t>
      </w:r>
      <w:r w:rsidR="00585D0F">
        <w:t xml:space="preserve"> na jednoho zaměstnance</w:t>
      </w:r>
      <w:r w:rsidR="002A1C03">
        <w:t xml:space="preserve">. Pokud na základě údajů ve zveřejněných výročních </w:t>
      </w:r>
      <w:r w:rsidR="00FD278E">
        <w:t xml:space="preserve">zprávách obcí a krajů odhadneme počet úředníků na prvoinstančních i druhoinstančních úřadech památkové péče na 400, dojdeme při poměrném navýšení částky zohledňujícím počet zaměstnanců na ÚÚP, OSÚ a SSÚ k přibližnému rozpočtu </w:t>
      </w:r>
      <w:r w:rsidR="006078CC">
        <w:t>1,6</w:t>
      </w:r>
      <w:r w:rsidR="00FD278E">
        <w:t xml:space="preserve"> mil. Kč.</w:t>
      </w:r>
      <w:r w:rsidR="00FB46CF">
        <w:t xml:space="preserve"> </w:t>
      </w:r>
    </w:p>
    <w:p w:rsidR="007E62EE" w:rsidRPr="00FD278E" w:rsidRDefault="007E62EE" w:rsidP="003E4A5D">
      <w:pPr>
        <w:pStyle w:val="Text-Normaln"/>
        <w:widowControl w:val="0"/>
        <w:rPr>
          <w:u w:val="single"/>
        </w:rPr>
      </w:pPr>
      <w:r w:rsidRPr="00FD278E">
        <w:rPr>
          <w:u w:val="single"/>
        </w:rPr>
        <w:lastRenderedPageBreak/>
        <w:t>Varianta 2</w:t>
      </w:r>
    </w:p>
    <w:p w:rsidR="003D6CD3" w:rsidRDefault="00E747E5" w:rsidP="003E4A5D">
      <w:pPr>
        <w:widowControl w:val="0"/>
        <w:spacing w:after="0"/>
      </w:pPr>
      <w:r w:rsidRPr="008712FB">
        <w:t xml:space="preserve">V resortu </w:t>
      </w:r>
      <w:r w:rsidR="006539D7" w:rsidRPr="008712FB">
        <w:t xml:space="preserve">ČÚZK </w:t>
      </w:r>
      <w:r w:rsidR="003D6CD3" w:rsidRPr="008712FB">
        <w:t xml:space="preserve">bylo </w:t>
      </w:r>
      <w:r w:rsidRPr="008712FB">
        <w:t xml:space="preserve">k 31. 12. 2017 </w:t>
      </w:r>
      <w:r w:rsidR="003D6CD3" w:rsidRPr="008712FB">
        <w:t xml:space="preserve">zaměstnáno celkem 5 041 osob, z toho 4 658 zaměstnanců na služebních místech a 383 zaměstnanců na místech pracovních. </w:t>
      </w:r>
      <w:r w:rsidRPr="008712FB">
        <w:t>V nové soustavě stavební správy se předpokládá podobný počet osob. Níže uvedené údaje mohou</w:t>
      </w:r>
      <w:r>
        <w:t xml:space="preserve"> </w:t>
      </w:r>
      <w:r w:rsidR="00A1018F">
        <w:t>napovědět, jaké</w:t>
      </w:r>
      <w:r>
        <w:t xml:space="preserve"> náklady budou spojené s </w:t>
      </w:r>
      <w:r w:rsidR="00A1018F">
        <w:t>novou</w:t>
      </w:r>
      <w:r>
        <w:t xml:space="preserve"> stavební správ</w:t>
      </w:r>
      <w:r w:rsidR="00A1018F">
        <w:t>ou</w:t>
      </w:r>
      <w:r>
        <w:t>.</w:t>
      </w:r>
    </w:p>
    <w:p w:rsidR="003D6CD3" w:rsidRDefault="003D6CD3" w:rsidP="003E4A5D">
      <w:pPr>
        <w:widowControl w:val="0"/>
        <w:spacing w:after="0"/>
      </w:pPr>
      <w:r>
        <w:t xml:space="preserve">Celkové výdaje v roce 2017 dosáhly 3 108,3 mil. Kč. Největší část tvořily prostředky na platy zaměstnanců včetně pojistného a FKSP, tvořící 74,6 % celkových výdajů. Průměrný měsíční příjem u státních zaměstnanců dosáhl v roce 2017 výše 28 972 Kč a u zaměstnanců v pracovním poměru dosáhl výše 23 935 Kč. </w:t>
      </w:r>
    </w:p>
    <w:p w:rsidR="003D6CD3" w:rsidRDefault="003D6CD3" w:rsidP="003E4A5D">
      <w:pPr>
        <w:widowControl w:val="0"/>
        <w:spacing w:after="0"/>
      </w:pPr>
      <w:r>
        <w:t>Druhou největší částí výdajů kapitoly 346 ČÚZK byly ostatní věcné výdaje (OVV) v objemu 586,5 mil. Kč. Služby pošt byly čerpány ve výši 138,1 mil. Kč. Kromě poštovného byly v roce 2017 čerpány výdaje především na nákup služeb zejména na zpraco</w:t>
      </w:r>
      <w:r w:rsidR="0084658A">
        <w:t>vání dat a služby související s </w:t>
      </w:r>
      <w:r>
        <w:t>informačními a komunikačními technologiemi (124,3 mil. Kč), na nákup materiálu a drobného hmotného majetku (53,4 mil. Kč), na datové a hlasové telekomunikační služby (21,4 mil. Kč), dále na pronájmy budov a výpočetní techniky (29,6 mil. Kč) a na stravování zaměstnanců (24,5 mil. Kč). OVV zahrnují dále výdaje na nákup elektrické energie, paliv a vody (62,1 mil. Kč), výdaje na opravy a udržování majetku (31,8 mil. Kč), cestovní výdaje (12,2 mil. Kč) a náhrady mezd v době nemoci (8,1 mil. Kč).</w:t>
      </w:r>
      <w:r w:rsidRPr="00EC68D4">
        <w:t xml:space="preserve"> </w:t>
      </w:r>
      <w:r>
        <w:t>Významnou částí výdajů (202,3 mil. Kč) byly výdaje na financování programů vedených v informačním systému programového financování EDS/SMVS, tj. na pořízení a obnovu hmotného a nehmotného majetku resortu. Podstatnou část programových výdajů představovaly výdaje na ICT, celkem se jednalo o 126,5 mil. Kč, a to především na programové vybavení (69,6 mil. Kč), na pořízení HW (16,3 mil. Kč) a na nákup služeb pro DMS, RÚIAN a ISKN (39,0 mil. Kč). Dalšími výdaji v rámci programových výdajů byly především výdaje na rekonstrukce budov (58,8 mil. Kč) a výdaje na obnovu dopravní (7,9 mil. Kč) a měřické techniky (8,9 mil. Kč).</w:t>
      </w:r>
    </w:p>
    <w:p w:rsidR="003D6CD3" w:rsidRDefault="003D6CD3" w:rsidP="003E4A5D">
      <w:pPr>
        <w:pStyle w:val="Titulek"/>
        <w:rPr>
          <w:highlight w:val="yellow"/>
        </w:rPr>
      </w:pPr>
      <w:r>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17</w:t>
      </w:r>
      <w:r w:rsidR="00AB65E9">
        <w:rPr>
          <w:noProof/>
        </w:rPr>
        <w:fldChar w:fldCharType="end"/>
      </w:r>
      <w:r>
        <w:t>:</w:t>
      </w:r>
      <w:r w:rsidRPr="00EC68D4">
        <w:t xml:space="preserve"> Příjmy a výdaje státního rozpočtu – kapitola 346 ČÚZK</w:t>
      </w:r>
      <w:r w:rsidR="00DA40DD">
        <w:t xml:space="preserve"> (tis. Kč)</w:t>
      </w:r>
      <w:r w:rsidR="00022484">
        <w:t xml:space="preserve"> </w:t>
      </w:r>
    </w:p>
    <w:tbl>
      <w:tblPr>
        <w:tblStyle w:val="Svtlstnovn1"/>
        <w:tblW w:w="8984" w:type="dxa"/>
        <w:tblLayout w:type="fixed"/>
        <w:tblLook w:val="04A0" w:firstRow="1" w:lastRow="0" w:firstColumn="1" w:lastColumn="0" w:noHBand="0" w:noVBand="1"/>
      </w:tblPr>
      <w:tblGrid>
        <w:gridCol w:w="4111"/>
        <w:gridCol w:w="975"/>
        <w:gridCol w:w="975"/>
        <w:gridCol w:w="974"/>
        <w:gridCol w:w="975"/>
        <w:gridCol w:w="974"/>
      </w:tblGrid>
      <w:tr w:rsidR="00790BCF" w:rsidRPr="00CF383C" w:rsidTr="00790BC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Ukazatel/Rok</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2013</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2014</w:t>
            </w:r>
          </w:p>
        </w:tc>
        <w:tc>
          <w:tcPr>
            <w:tcW w:w="974"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2015</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2016</w:t>
            </w:r>
          </w:p>
        </w:tc>
        <w:tc>
          <w:tcPr>
            <w:tcW w:w="974"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2017</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Příjmy kapitoly</w:t>
            </w:r>
          </w:p>
        </w:tc>
        <w:tc>
          <w:tcPr>
            <w:tcW w:w="975" w:type="dxa"/>
            <w:noWrap/>
            <w:vAlign w:val="center"/>
          </w:tcPr>
          <w:p w:rsidR="00790BCF" w:rsidRPr="00CF383C" w:rsidRDefault="00790BCF"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721 424</w:t>
            </w:r>
          </w:p>
        </w:tc>
        <w:tc>
          <w:tcPr>
            <w:tcW w:w="975" w:type="dxa"/>
            <w:noWrap/>
            <w:vAlign w:val="center"/>
          </w:tcPr>
          <w:p w:rsidR="00790BCF" w:rsidRPr="00CF383C" w:rsidRDefault="00790BCF"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1 160 637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950 029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929 130</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889 519</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CF383C" w:rsidP="003E4A5D">
            <w:pPr>
              <w:widowControl w:val="0"/>
              <w:spacing w:before="0" w:after="0"/>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z</w:t>
            </w:r>
            <w:r w:rsidR="00790BCF" w:rsidRPr="00CF383C">
              <w:rPr>
                <w:rFonts w:ascii="Calibri" w:eastAsia="Times New Roman" w:hAnsi="Calibri" w:cs="Calibri"/>
                <w:b w:val="0"/>
                <w:sz w:val="18"/>
                <w:szCs w:val="18"/>
                <w:lang w:eastAsia="cs-CZ"/>
              </w:rPr>
              <w:t xml:space="preserve"> toho: daňové příjmy za správní poplatky v hotovosti</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503 369</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542 068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632 582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657 597</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651 805</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Příjmy z rozpočtu Evropské unie</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723</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420 624</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82 287</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38 730</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194</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Výdaje kapitoly celkem</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2 787 362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2 826 373</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2 882 336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2 981 920</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3 108 288</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 toho: na projekty spolufinancované z rozpočtu EU</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97 518</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87 717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55 621</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912</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0</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Běžné výdaje bez NIV</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2 477 766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2 558 418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2 624 142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2 624 142</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2 905 947</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v tom: mzdové prostředky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1 426 590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1 462 339</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1 532 404</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1 613 019</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1 705 674</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ind w:firstLine="459"/>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pojistné a FKSP</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498 743</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511 031</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535 852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572 228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613 732</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CF383C" w:rsidP="003E4A5D">
            <w:pPr>
              <w:widowControl w:val="0"/>
              <w:spacing w:before="0" w:after="0"/>
              <w:ind w:firstLine="459"/>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o</w:t>
            </w:r>
            <w:r w:rsidR="00790BCF" w:rsidRPr="00CF383C">
              <w:rPr>
                <w:rFonts w:ascii="Calibri" w:eastAsia="Times New Roman" w:hAnsi="Calibri" w:cs="Calibri"/>
                <w:b w:val="0"/>
                <w:sz w:val="18"/>
                <w:szCs w:val="18"/>
                <w:lang w:eastAsia="cs-CZ"/>
              </w:rPr>
              <w:t>statní věcné výdaje</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552 434</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587 207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555 886</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584 881</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586 541</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Programové výdaje</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314 192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267 955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258 233</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211 793</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202 341</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BFBFBF" w:themeFill="background1" w:themeFillShade="BF"/>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V tom: neinvestiční (NIV)</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56 455</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49 280</w:t>
            </w:r>
          </w:p>
        </w:tc>
        <w:tc>
          <w:tcPr>
            <w:tcW w:w="974"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57 167</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40 079</w:t>
            </w:r>
          </w:p>
        </w:tc>
        <w:tc>
          <w:tcPr>
            <w:tcW w:w="974"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40 297</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CF383C" w:rsidP="003E4A5D">
            <w:pPr>
              <w:widowControl w:val="0"/>
              <w:spacing w:before="0" w:after="0"/>
              <w:ind w:firstLine="459"/>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i</w:t>
            </w:r>
            <w:r w:rsidR="00790BCF" w:rsidRPr="00CF383C">
              <w:rPr>
                <w:rFonts w:ascii="Calibri" w:eastAsia="Times New Roman" w:hAnsi="Calibri" w:cs="Calibri"/>
                <w:b w:val="0"/>
                <w:sz w:val="18"/>
                <w:szCs w:val="18"/>
                <w:lang w:eastAsia="cs-CZ"/>
              </w:rPr>
              <w:t>nvestiční (IV)</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257 737</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218 675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201 066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171 714</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162 044</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Počet zaměstnanců v resortu</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5 070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5 096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5 062</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4 995</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4 963</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ČÚZK</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147</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146</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138</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137</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136</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Katastrální úřady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4 450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4 486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4 459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4 398</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4 371</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Zeměměřický úřad</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384</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380</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372</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Zeměměřické a katastrální inspektoráty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85</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85</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84</w:t>
            </w:r>
          </w:p>
        </w:tc>
      </w:tr>
    </w:tbl>
    <w:p w:rsidR="003D6CD3" w:rsidRDefault="003D6CD3" w:rsidP="003E4A5D">
      <w:pPr>
        <w:pStyle w:val="Citt"/>
      </w:pPr>
      <w:r>
        <w:t xml:space="preserve">Zdroj: Výroční zpráva ČÚZK 2017, dostupná z </w:t>
      </w:r>
      <w:r w:rsidRPr="00EC68D4">
        <w:t>https://www.cuzk.cz/Aktuality-resort/2018/Vyrocni-zprava-2017/vyrocni-zrava-final.aspx</w:t>
      </w:r>
    </w:p>
    <w:p w:rsidR="003D6CD3" w:rsidRDefault="00A1018F" w:rsidP="003E4A5D">
      <w:pPr>
        <w:pStyle w:val="Text-Normaln"/>
        <w:widowControl w:val="0"/>
      </w:pPr>
      <w:r>
        <w:t>Lze předpokládat</w:t>
      </w:r>
      <w:r w:rsidR="003677D3">
        <w:t>, že v nákladové struktuře</w:t>
      </w:r>
      <w:r w:rsidR="0084658A">
        <w:t xml:space="preserve"> NSÚ a jemu podřízených úřadu a </w:t>
      </w:r>
      <w:r w:rsidR="000D021D">
        <w:t>územních</w:t>
      </w:r>
      <w:r w:rsidR="003677D3">
        <w:t xml:space="preserve"> </w:t>
      </w:r>
      <w:r w:rsidR="003677D3">
        <w:lastRenderedPageBreak/>
        <w:t>pracovišť by hlavní podíl tvořily náklady na lidské zdroje a dále pak věcné výdaje zahrnující potřebné ICT a vybavení. Vzhledem k obdobnému počtu zaměstnanců rezortu ČÚZK a počtu úředníků na stavebních úřadech tak lze konstatovat, že pokud by nedocházelo k </w:t>
      </w:r>
      <w:r w:rsidR="005564B4">
        <w:t>jakýmkoli</w:t>
      </w:r>
      <w:r w:rsidR="003677D3">
        <w:t xml:space="preserve"> přesunům a nová struktura by byla vytvořena zcela na zelené louce</w:t>
      </w:r>
      <w:r w:rsidR="005564B4">
        <w:t xml:space="preserve">, mohly by se pravidelné roční náklady pohybovat kolem 3 </w:t>
      </w:r>
      <w:r w:rsidR="00F4519C">
        <w:t xml:space="preserve">– 4 </w:t>
      </w:r>
      <w:r w:rsidR="005564B4">
        <w:t xml:space="preserve">mld. Kč. Jednorázové náklady </w:t>
      </w:r>
      <w:r w:rsidR="008F3E5F" w:rsidRPr="008F3E5F">
        <w:t xml:space="preserve">odhadujeme </w:t>
      </w:r>
      <w:r w:rsidR="008F3E5F">
        <w:t>při</w:t>
      </w:r>
      <w:r w:rsidR="008F3E5F" w:rsidRPr="008F3E5F">
        <w:t xml:space="preserve"> náklad</w:t>
      </w:r>
      <w:r w:rsidR="008F3E5F">
        <w:t>ech</w:t>
      </w:r>
      <w:r w:rsidR="008F3E5F" w:rsidRPr="008F3E5F">
        <w:t xml:space="preserve"> na nové pracovní místo</w:t>
      </w:r>
      <w:r w:rsidR="007B78B4">
        <w:t xml:space="preserve"> </w:t>
      </w:r>
      <w:r w:rsidR="008F3E5F" w:rsidRPr="008F3E5F">
        <w:t xml:space="preserve">přibližně 100 000 Kč </w:t>
      </w:r>
      <w:r w:rsidR="007B78B4">
        <w:t>a</w:t>
      </w:r>
      <w:r w:rsidR="008F3E5F" w:rsidRPr="008F3E5F">
        <w:t xml:space="preserve"> při přesunu </w:t>
      </w:r>
      <w:r w:rsidR="008F3E5F">
        <w:t>cca</w:t>
      </w:r>
      <w:r w:rsidR="008F3E5F" w:rsidRPr="008F3E5F">
        <w:t xml:space="preserve"> </w:t>
      </w:r>
      <w:r w:rsidR="008F3E5F">
        <w:t>6</w:t>
      </w:r>
      <w:r w:rsidR="008F3E5F" w:rsidRPr="008F3E5F">
        <w:t xml:space="preserve"> </w:t>
      </w:r>
      <w:r w:rsidR="008F3E5F">
        <w:t>500</w:t>
      </w:r>
      <w:r w:rsidR="008F3E5F" w:rsidRPr="008F3E5F">
        <w:t xml:space="preserve"> zaměstnanců na </w:t>
      </w:r>
      <w:r w:rsidR="008F3E5F">
        <w:t>65</w:t>
      </w:r>
      <w:r w:rsidR="00040F55">
        <w:t>0</w:t>
      </w:r>
      <w:r w:rsidR="008F3E5F" w:rsidRPr="008F3E5F">
        <w:t xml:space="preserve"> m</w:t>
      </w:r>
      <w:r w:rsidR="00040F55">
        <w:t>i</w:t>
      </w:r>
      <w:r w:rsidR="008F3E5F" w:rsidRPr="008F3E5F">
        <w:t>l. Kč.</w:t>
      </w:r>
    </w:p>
    <w:p w:rsidR="003D6CD3" w:rsidRDefault="007B78B4" w:rsidP="003E4A5D">
      <w:pPr>
        <w:pStyle w:val="Text-Normaln"/>
        <w:widowControl w:val="0"/>
      </w:pPr>
      <w:r>
        <w:t xml:space="preserve">Tato varianta je však variantou extrémní a maximalistickou, neboť přijetím zákona nedojde k vytvoření zcela nové struktury, nýbrž </w:t>
      </w:r>
      <w:r w:rsidR="0035381B">
        <w:t xml:space="preserve">jen </w:t>
      </w:r>
      <w:r>
        <w:t xml:space="preserve">k vyčlenění stávajících stavebních úřadů pod nový subjekt. Nepředpokládáme, že případnou realizací varianty 2 by si obce ponechaly 6 500 úředníků vykonávajících převážně úkoly v přenesené působnosti </w:t>
      </w:r>
      <w:r w:rsidR="0084658A">
        <w:t>ve svém zaměstnaneckém poměru a </w:t>
      </w:r>
      <w:r>
        <w:t>hledaly jim nové uplatnění</w:t>
      </w:r>
      <w:r w:rsidR="00453567">
        <w:t xml:space="preserve"> v rámci samosprávy.</w:t>
      </w:r>
      <w:r>
        <w:t xml:space="preserve"> </w:t>
      </w:r>
    </w:p>
    <w:p w:rsidR="003D6CD3" w:rsidRDefault="003D6CD3" w:rsidP="003E4A5D">
      <w:pPr>
        <w:pStyle w:val="Text-Normaln"/>
        <w:widowControl w:val="0"/>
      </w:pPr>
      <w:r>
        <w:t>Následná</w:t>
      </w:r>
      <w:r w:rsidR="0035381B">
        <w:t xml:space="preserve"> </w:t>
      </w:r>
      <w:r>
        <w:t>kvantifikace</w:t>
      </w:r>
      <w:r w:rsidRPr="002F7D16">
        <w:t xml:space="preserve"> </w:t>
      </w:r>
      <w:r w:rsidR="00C14ED1">
        <w:t xml:space="preserve">pravděpodobnějších </w:t>
      </w:r>
      <w:r w:rsidRPr="002F7D16">
        <w:t xml:space="preserve">dopadů </w:t>
      </w:r>
      <w:r>
        <w:t>bude pracovat</w:t>
      </w:r>
      <w:r w:rsidRPr="002F7D16">
        <w:t xml:space="preserve"> pouze </w:t>
      </w:r>
      <w:r w:rsidR="00F53BF4">
        <w:t>s daty za ÚÚP, OSÚ a </w:t>
      </w:r>
      <w:r>
        <w:t>SSÚ</w:t>
      </w:r>
      <w:r w:rsidRPr="002F7D16">
        <w:t xml:space="preserve">, </w:t>
      </w:r>
      <w:r>
        <w:t>neboť</w:t>
      </w:r>
      <w:r w:rsidRPr="002F7D16">
        <w:t xml:space="preserve"> </w:t>
      </w:r>
      <w:r>
        <w:t>za</w:t>
      </w:r>
      <w:r w:rsidRPr="002F7D16">
        <w:t xml:space="preserve"> </w:t>
      </w:r>
      <w:r>
        <w:t>ostatní</w:t>
      </w:r>
      <w:r w:rsidRPr="002F7D16">
        <w:t xml:space="preserve"> </w:t>
      </w:r>
      <w:r>
        <w:t xml:space="preserve">stavební </w:t>
      </w:r>
      <w:r w:rsidRPr="002F7D16">
        <w:t xml:space="preserve">úřady chybí potřebná data. Kvalitativně však lze předpokládat, že u </w:t>
      </w:r>
      <w:r>
        <w:t>zbývajících</w:t>
      </w:r>
      <w:r w:rsidRPr="002F7D16">
        <w:t xml:space="preserve"> stavebních úřadů dojde k podobnému efektu, jako u transformace speciálních stavebních úřadů. </w:t>
      </w:r>
      <w:r>
        <w:t>Navíc tyto úřady netvoří z pohledu počtu úvazků významný podíl, tj. při míře detailu, s jakou RIA pracuje, nebude jejich zanedbání znamenat výrazné zhoršení spolehlivosti odhadů</w:t>
      </w:r>
      <w:r w:rsidRPr="002F7D16">
        <w:t>.</w:t>
      </w:r>
    </w:p>
    <w:p w:rsidR="0066084D" w:rsidRDefault="007076C8" w:rsidP="003E4A5D">
      <w:pPr>
        <w:pStyle w:val="Text-Normaln"/>
        <w:widowControl w:val="0"/>
      </w:pPr>
      <w:r>
        <w:t xml:space="preserve">Aby bylo zřejmé, k jaké konstrukci RIA počítá náklady, uvedeme nejdříve stručný popis </w:t>
      </w:r>
      <w:r w:rsidR="0066084D">
        <w:t>nové struktury tak, jak by dle provedených konzultací měla jednak co nejlépe zapadnout do českého institucionálního rámce</w:t>
      </w:r>
      <w:r w:rsidR="008249B8">
        <w:t xml:space="preserve"> a</w:t>
      </w:r>
      <w:r w:rsidR="0066084D">
        <w:t xml:space="preserve"> jednak co nejvíce zjednodušit a zefektivnit řešené procesy.</w:t>
      </w:r>
    </w:p>
    <w:p w:rsidR="007076C8" w:rsidRDefault="0066084D" w:rsidP="003E4A5D">
      <w:pPr>
        <w:pStyle w:val="Text-Normaln"/>
        <w:widowControl w:val="0"/>
      </w:pPr>
      <w:r>
        <w:t>Nová soustava by měla být</w:t>
      </w:r>
      <w:r w:rsidR="007076C8" w:rsidRPr="00A94743">
        <w:t xml:space="preserve"> </w:t>
      </w:r>
      <w:r w:rsidR="007076C8" w:rsidRPr="004853E2">
        <w:t>dvoučlánkov</w:t>
      </w:r>
      <w:r>
        <w:t>á</w:t>
      </w:r>
      <w:r w:rsidR="007076C8" w:rsidRPr="004853E2">
        <w:t xml:space="preserve"> </w:t>
      </w:r>
      <w:r>
        <w:t>a měla by být tvořena</w:t>
      </w:r>
      <w:r w:rsidR="007076C8" w:rsidRPr="00A94743">
        <w:t xml:space="preserve"> </w:t>
      </w:r>
      <w:r w:rsidR="002E25FF">
        <w:t>NSÚ</w:t>
      </w:r>
      <w:r w:rsidR="00F53BF4">
        <w:t xml:space="preserve"> </w:t>
      </w:r>
      <w:r w:rsidR="007076C8" w:rsidRPr="004853E2">
        <w:t>a</w:t>
      </w:r>
      <w:r w:rsidR="007076C8">
        <w:t> </w:t>
      </w:r>
      <w:r w:rsidR="007076C8" w:rsidRPr="004853E2">
        <w:t>krajský</w:t>
      </w:r>
      <w:r>
        <w:t>mi</w:t>
      </w:r>
      <w:r w:rsidR="007076C8" w:rsidRPr="004853E2">
        <w:t xml:space="preserve"> stavební</w:t>
      </w:r>
      <w:r>
        <w:t>mi</w:t>
      </w:r>
      <w:r w:rsidR="007076C8" w:rsidRPr="004853E2">
        <w:t xml:space="preserve"> úřad</w:t>
      </w:r>
      <w:r>
        <w:t>y</w:t>
      </w:r>
      <w:r w:rsidR="007076C8" w:rsidRPr="004853E2">
        <w:t xml:space="preserve"> se sídlem v jednotlivých krajích</w:t>
      </w:r>
      <w:r>
        <w:t xml:space="preserve">. Aby státní správa zůstala blízko občanům, krajské stavební úřady by měly mít svá </w:t>
      </w:r>
      <w:r w:rsidR="000D021D">
        <w:t>územní</w:t>
      </w:r>
      <w:r w:rsidR="007076C8" w:rsidRPr="004853E2">
        <w:t xml:space="preserve"> pracovišt</w:t>
      </w:r>
      <w:r>
        <w:t>ě</w:t>
      </w:r>
      <w:r w:rsidR="007076C8" w:rsidRPr="00A94743">
        <w:t xml:space="preserve"> v</w:t>
      </w:r>
      <w:r w:rsidR="007076C8">
        <w:t xml:space="preserve"> obcích </w:t>
      </w:r>
      <w:r w:rsidR="007076C8" w:rsidRPr="00A94743">
        <w:t>s rozšířenou působností (na</w:t>
      </w:r>
      <w:r w:rsidR="007076C8">
        <w:t> </w:t>
      </w:r>
      <w:r w:rsidR="007076C8" w:rsidRPr="00A94743">
        <w:t xml:space="preserve">základní úrovni). </w:t>
      </w:r>
    </w:p>
    <w:p w:rsidR="007076C8" w:rsidRDefault="0066084D" w:rsidP="003E4A5D">
      <w:pPr>
        <w:pStyle w:val="Text-Normaln"/>
        <w:widowControl w:val="0"/>
      </w:pPr>
      <w:r>
        <w:t>Ř</w:t>
      </w:r>
      <w:r w:rsidR="007076C8" w:rsidRPr="0030739B">
        <w:t>ízení v</w:t>
      </w:r>
      <w:r>
        <w:rPr>
          <w:color w:val="000000"/>
          <w:szCs w:val="24"/>
        </w:rPr>
        <w:t xml:space="preserve"> </w:t>
      </w:r>
      <w:r w:rsidR="007076C8" w:rsidRPr="0030739B">
        <w:t xml:space="preserve">prvním stupni </w:t>
      </w:r>
      <w:r>
        <w:t xml:space="preserve">by </w:t>
      </w:r>
      <w:r w:rsidR="007076C8" w:rsidRPr="0030739B">
        <w:t>zajišťova</w:t>
      </w:r>
      <w:r>
        <w:t>lo</w:t>
      </w:r>
      <w:r w:rsidR="007076C8" w:rsidRPr="0030739B">
        <w:t xml:space="preserve"> příslušné </w:t>
      </w:r>
      <w:r w:rsidR="000D021D">
        <w:t>územní</w:t>
      </w:r>
      <w:r w:rsidR="007076C8" w:rsidRPr="0030739B">
        <w:t xml:space="preserve"> pracoviště krajského stavebního úřadu. O</w:t>
      </w:r>
      <w:r w:rsidR="00F53BF4">
        <w:rPr>
          <w:color w:val="000000"/>
          <w:szCs w:val="24"/>
        </w:rPr>
        <w:t> </w:t>
      </w:r>
      <w:r w:rsidR="007076C8" w:rsidRPr="0030739B">
        <w:t>opravných prostředcích ve druhém stupni b</w:t>
      </w:r>
      <w:r>
        <w:t>y pak</w:t>
      </w:r>
      <w:r w:rsidR="007076C8" w:rsidRPr="0030739B">
        <w:t xml:space="preserve"> rozhodova</w:t>
      </w:r>
      <w:r>
        <w:t>l</w:t>
      </w:r>
      <w:r w:rsidR="007076C8" w:rsidRPr="0030739B">
        <w:t xml:space="preserve"> tentýž krajský stavební úřad z</w:t>
      </w:r>
      <w:r w:rsidR="00F53BF4">
        <w:rPr>
          <w:color w:val="000000"/>
          <w:szCs w:val="24"/>
        </w:rPr>
        <w:t> </w:t>
      </w:r>
      <w:r w:rsidR="007076C8" w:rsidRPr="0030739B">
        <w:t xml:space="preserve">krajského ústředí. </w:t>
      </w:r>
      <w:r w:rsidR="007076C8">
        <w:t xml:space="preserve">Kromě tohoto aspektu </w:t>
      </w:r>
      <w:r>
        <w:t>by nemělo dojít k</w:t>
      </w:r>
      <w:r w:rsidR="007076C8">
        <w:t xml:space="preserve"> modifik</w:t>
      </w:r>
      <w:r>
        <w:t>aci</w:t>
      </w:r>
      <w:r w:rsidR="007076C8">
        <w:t xml:space="preserve"> právní úprav</w:t>
      </w:r>
      <w:r w:rsidR="007D4E2C">
        <w:t>y</w:t>
      </w:r>
      <w:r w:rsidR="007076C8">
        <w:t xml:space="preserve"> vzájemných vztahů jednotlivých stupňů nové soustavy a s tím spojen</w:t>
      </w:r>
      <w:r>
        <w:t>ých</w:t>
      </w:r>
      <w:r w:rsidR="007076C8">
        <w:t xml:space="preserve"> procesní pravid</w:t>
      </w:r>
      <w:r>
        <w:t>e</w:t>
      </w:r>
      <w:r w:rsidR="007076C8">
        <w:t xml:space="preserve">l správního řízení při rozhodování </w:t>
      </w:r>
      <w:r w:rsidR="007076C8" w:rsidRPr="00261D49">
        <w:t>o</w:t>
      </w:r>
      <w:r w:rsidR="007076C8">
        <w:t> </w:t>
      </w:r>
      <w:r w:rsidR="007076C8" w:rsidRPr="00261D49">
        <w:t>opravných a</w:t>
      </w:r>
      <w:r w:rsidR="007076C8">
        <w:t> </w:t>
      </w:r>
      <w:r w:rsidR="007076C8" w:rsidRPr="00261D49">
        <w:t>dozorčích prostředcích</w:t>
      </w:r>
      <w:r w:rsidR="007076C8">
        <w:t xml:space="preserve"> tak, jak jsou stanovena správním řádem</w:t>
      </w:r>
      <w:r w:rsidR="007076C8" w:rsidRPr="00261D49">
        <w:t>.</w:t>
      </w:r>
      <w:r w:rsidR="007076C8">
        <w:t xml:space="preserve"> </w:t>
      </w:r>
      <w:r w:rsidR="002E25FF">
        <w:t>NSÚ</w:t>
      </w:r>
      <w:r w:rsidR="007076C8">
        <w:t xml:space="preserve"> </w:t>
      </w:r>
      <w:r>
        <w:t>by pak měl být</w:t>
      </w:r>
      <w:r w:rsidR="007076C8">
        <w:t xml:space="preserve"> </w:t>
      </w:r>
      <w:r w:rsidR="007076C8" w:rsidRPr="00261D49">
        <w:t>nadřízeným správním orgánem vůči krajsk</w:t>
      </w:r>
      <w:r w:rsidR="007076C8">
        <w:t xml:space="preserve">ému </w:t>
      </w:r>
      <w:r w:rsidR="007076C8" w:rsidRPr="00261D49">
        <w:t>stavební</w:t>
      </w:r>
      <w:r w:rsidR="007076C8">
        <w:t>mu</w:t>
      </w:r>
      <w:r w:rsidR="007076C8" w:rsidRPr="00261D49">
        <w:t xml:space="preserve"> úřad</w:t>
      </w:r>
      <w:r w:rsidR="007076C8">
        <w:t xml:space="preserve">u </w:t>
      </w:r>
      <w:r>
        <w:t>při jeho rozhodovací kompetenci</w:t>
      </w:r>
      <w:r w:rsidR="007076C8">
        <w:t xml:space="preserve"> z ústředí, </w:t>
      </w:r>
      <w:r>
        <w:t>a krajský úřad by</w:t>
      </w:r>
      <w:r w:rsidR="007076C8">
        <w:t xml:space="preserve"> </w:t>
      </w:r>
      <w:r>
        <w:t xml:space="preserve">měl </w:t>
      </w:r>
      <w:r w:rsidR="007076C8">
        <w:t xml:space="preserve">tutéž roli zastávat vůči vlastním </w:t>
      </w:r>
      <w:r w:rsidR="000D021D">
        <w:t>územním</w:t>
      </w:r>
      <w:r w:rsidR="007076C8">
        <w:t xml:space="preserve"> pracovištím. </w:t>
      </w:r>
      <w:r>
        <w:t>Tímto způsobem bude zajištěno, že p</w:t>
      </w:r>
      <w:r w:rsidR="007076C8" w:rsidRPr="004D211A">
        <w:t xml:space="preserve">roti rozhodnutí </w:t>
      </w:r>
      <w:r w:rsidR="000D021D">
        <w:t>územního</w:t>
      </w:r>
      <w:r w:rsidR="007076C8" w:rsidRPr="004D211A">
        <w:t xml:space="preserve"> pracoviště </w:t>
      </w:r>
      <w:r>
        <w:t>se</w:t>
      </w:r>
      <w:r w:rsidR="007076C8" w:rsidRPr="004D211A">
        <w:t xml:space="preserve"> bude </w:t>
      </w:r>
      <w:r>
        <w:t>možné odvolat.</w:t>
      </w:r>
      <w:r w:rsidR="007076C8" w:rsidRPr="004D211A">
        <w:t xml:space="preserve"> </w:t>
      </w:r>
      <w:r>
        <w:t>O</w:t>
      </w:r>
      <w:r w:rsidR="007076C8" w:rsidRPr="004D211A">
        <w:t> </w:t>
      </w:r>
      <w:r>
        <w:t>odvolání</w:t>
      </w:r>
      <w:r w:rsidR="007076C8" w:rsidRPr="004D211A">
        <w:t xml:space="preserve"> bude rozhodovat příslušný krajský stavební úřad. Bude-li rozhodovat v prvním stupni ve stanovených případech krajský stavební úřad ze svého ústředí, bude o</w:t>
      </w:r>
      <w:r w:rsidR="007076C8">
        <w:t> </w:t>
      </w:r>
      <w:r w:rsidR="007076C8" w:rsidRPr="004D211A">
        <w:t xml:space="preserve">odvolání proti jeho rozhodnutí rozhodovat </w:t>
      </w:r>
      <w:r w:rsidR="002E25FF">
        <w:t>NSÚ</w:t>
      </w:r>
      <w:r w:rsidR="007076C8" w:rsidRPr="004D211A">
        <w:t>.</w:t>
      </w:r>
    </w:p>
    <w:p w:rsidR="008E4374" w:rsidRDefault="007076C8" w:rsidP="003E4A5D">
      <w:pPr>
        <w:pStyle w:val="Text-Normaln"/>
        <w:widowControl w:val="0"/>
      </w:pPr>
      <w:r w:rsidRPr="00A94743">
        <w:t>Bude-li výše popsaný procesní model pravidlem, nevylučuje to samozřejmě zvláštní úpravu rozhodování u</w:t>
      </w:r>
      <w:r w:rsidR="008E4374">
        <w:rPr>
          <w:color w:val="000000"/>
          <w:szCs w:val="24"/>
        </w:rPr>
        <w:t xml:space="preserve"> </w:t>
      </w:r>
      <w:r w:rsidRPr="00A94743">
        <w:t>vybraných typů staveb</w:t>
      </w:r>
      <w:r>
        <w:t xml:space="preserve">. V jejich případě může zákon </w:t>
      </w:r>
      <w:r w:rsidR="00686D84">
        <w:t>například</w:t>
      </w:r>
      <w:r>
        <w:t xml:space="preserve"> stanovit</w:t>
      </w:r>
      <w:r w:rsidRPr="00A94743">
        <w:t>, že</w:t>
      </w:r>
      <w:r>
        <w:t> </w:t>
      </w:r>
      <w:r w:rsidRPr="00A94743">
        <w:t>v prvním stupni rozhoduje krajský stavební úřad z ústředí a</w:t>
      </w:r>
      <w:r>
        <w:t> </w:t>
      </w:r>
      <w:r w:rsidRPr="00A94743">
        <w:t xml:space="preserve">odvolacím orgánem je </w:t>
      </w:r>
      <w:r w:rsidR="002E25FF">
        <w:t>NSÚ</w:t>
      </w:r>
      <w:r w:rsidRPr="00A94743">
        <w:t xml:space="preserve">. Kromě toho </w:t>
      </w:r>
      <w:r w:rsidR="007D4E2C">
        <w:t>je</w:t>
      </w:r>
      <w:r w:rsidRPr="00A94743">
        <w:t xml:space="preserve"> v případě specifických typů staveb (</w:t>
      </w:r>
      <w:r w:rsidR="00686D84">
        <w:t>například</w:t>
      </w:r>
      <w:r w:rsidRPr="00A94743">
        <w:t xml:space="preserve"> dálnice) </w:t>
      </w:r>
      <w:r w:rsidR="008E4374">
        <w:t xml:space="preserve">možné zavést </w:t>
      </w:r>
      <w:r w:rsidRPr="00A94743">
        <w:t>speciální působnost a</w:t>
      </w:r>
      <w:r w:rsidR="008E4374">
        <w:rPr>
          <w:color w:val="000000"/>
          <w:szCs w:val="24"/>
        </w:rPr>
        <w:t xml:space="preserve"> </w:t>
      </w:r>
      <w:r w:rsidRPr="00A94743">
        <w:t>příslušnost jednoho konkrétního stavebního úřadu</w:t>
      </w:r>
      <w:r>
        <w:t xml:space="preserve">. </w:t>
      </w:r>
    </w:p>
    <w:p w:rsidR="00AA4200" w:rsidRDefault="00E62213" w:rsidP="003E4A5D">
      <w:pPr>
        <w:pStyle w:val="Text-Normaln"/>
        <w:widowControl w:val="0"/>
      </w:pPr>
      <w:r w:rsidRPr="00E62213">
        <w:tab/>
        <w:t xml:space="preserve">NSÚ bude správním úřadem s celostátní působností podřízený MMR (obdoba struktury Finanční správy </w:t>
      </w:r>
      <w:r>
        <w:t>ČR</w:t>
      </w:r>
      <w:r w:rsidRPr="00E62213">
        <w:t xml:space="preserve">), čímž bude zajištěno efektivnější prosazování vládní politiky prostřednictvím veřejné správy. Varianta ústředního správního úřadu (po vzoru ERÚ nebo NÚKIB) se nejeví jako vhodná. Vyčlenění stavební správy ze struktury MMR </w:t>
      </w:r>
      <w:r>
        <w:t>by znamenalo</w:t>
      </w:r>
      <w:r w:rsidRPr="00E62213">
        <w:t xml:space="preserve"> nesystémové řešení v rámci koordinace politik bydlení, veřejného investování a regionálního a územního rozvoje.</w:t>
      </w:r>
      <w:r w:rsidR="00AA4200">
        <w:t xml:space="preserve"> </w:t>
      </w:r>
    </w:p>
    <w:p w:rsidR="007076C8" w:rsidRPr="00331991" w:rsidRDefault="002E25FF" w:rsidP="003E4A5D">
      <w:pPr>
        <w:pStyle w:val="Text-Normaln"/>
        <w:widowControl w:val="0"/>
      </w:pPr>
      <w:r>
        <w:t>NSÚ</w:t>
      </w:r>
      <w:r w:rsidR="007076C8" w:rsidRPr="00A94743">
        <w:t xml:space="preserve"> </w:t>
      </w:r>
      <w:r w:rsidR="008E4374">
        <w:t>by měl</w:t>
      </w:r>
      <w:r w:rsidR="007076C8" w:rsidRPr="00A94743">
        <w:t xml:space="preserve"> </w:t>
      </w:r>
      <w:r w:rsidR="008E4374">
        <w:t>převzít</w:t>
      </w:r>
      <w:r w:rsidR="007076C8" w:rsidRPr="00A94743">
        <w:t xml:space="preserve"> </w:t>
      </w:r>
      <w:r w:rsidR="00891D72">
        <w:t>část kompetencí</w:t>
      </w:r>
      <w:r w:rsidR="007076C8" w:rsidRPr="00A94743">
        <w:t xml:space="preserve"> stávajících ministerstev a dalších ústředních orgánů státní správy v oblasti stavebního práva v širším smyslu (včetně EIA a</w:t>
      </w:r>
      <w:r w:rsidR="007076C8">
        <w:t> </w:t>
      </w:r>
      <w:r w:rsidR="007076C8" w:rsidRPr="00A94743">
        <w:t>územního plánování)</w:t>
      </w:r>
      <w:r w:rsidR="007076C8">
        <w:t xml:space="preserve"> Z této pozice </w:t>
      </w:r>
      <w:r w:rsidR="008E4374">
        <w:t xml:space="preserve">by </w:t>
      </w:r>
      <w:r w:rsidR="007076C8">
        <w:t xml:space="preserve">pak </w:t>
      </w:r>
      <w:r w:rsidR="008E4374">
        <w:t>měl</w:t>
      </w:r>
      <w:r w:rsidR="007076C8">
        <w:t xml:space="preserve"> </w:t>
      </w:r>
      <w:r w:rsidR="007076C8" w:rsidRPr="00250CF2">
        <w:t>vykonávat působnost nejen ve správním řízení v</w:t>
      </w:r>
      <w:r w:rsidR="007076C8">
        <w:t> </w:t>
      </w:r>
      <w:r w:rsidR="007076C8" w:rsidRPr="00250CF2">
        <w:t>jednotlivých věcech, ale</w:t>
      </w:r>
      <w:r w:rsidR="007076C8">
        <w:t> </w:t>
      </w:r>
      <w:r w:rsidR="007076C8" w:rsidRPr="00250CF2">
        <w:t>též v</w:t>
      </w:r>
      <w:r w:rsidR="007076C8">
        <w:t> </w:t>
      </w:r>
      <w:r w:rsidR="007076C8" w:rsidRPr="00250CF2">
        <w:t>oblasti výkonu vrchního státního dozoru</w:t>
      </w:r>
      <w:r w:rsidR="007076C8">
        <w:t xml:space="preserve">, </w:t>
      </w:r>
      <w:r w:rsidR="00AA4200">
        <w:t>m</w:t>
      </w:r>
      <w:r w:rsidR="00AA4200" w:rsidRPr="00AA4200">
        <w:t>etodick</w:t>
      </w:r>
      <w:r w:rsidR="00AA4200">
        <w:t>é</w:t>
      </w:r>
      <w:r w:rsidR="00AA4200" w:rsidRPr="00AA4200">
        <w:t xml:space="preserve"> činnost</w:t>
      </w:r>
      <w:r w:rsidR="00AA4200">
        <w:t>i</w:t>
      </w:r>
      <w:r w:rsidR="00AA4200" w:rsidRPr="00AA4200">
        <w:t xml:space="preserve"> vůči stavební správě, zajišťování </w:t>
      </w:r>
      <w:r w:rsidR="00AA4200" w:rsidRPr="00AA4200">
        <w:lastRenderedPageBreak/>
        <w:t>elektronizace stavební agendy, zajišťování personálního, majetkového a</w:t>
      </w:r>
      <w:r w:rsidR="00AA4200">
        <w:t> </w:t>
      </w:r>
      <w:r w:rsidR="00AA4200" w:rsidRPr="00AA4200">
        <w:t xml:space="preserve">ekonomického provozu stavební správy, </w:t>
      </w:r>
      <w:r w:rsidR="00AA4200">
        <w:t xml:space="preserve">činnost </w:t>
      </w:r>
      <w:r w:rsidR="00AA4200" w:rsidRPr="00AA4200">
        <w:t>odvolací</w:t>
      </w:r>
      <w:r w:rsidR="00AA4200">
        <w:t>ho</w:t>
      </w:r>
      <w:r w:rsidR="00AA4200" w:rsidRPr="00AA4200">
        <w:t xml:space="preserve"> orgán</w:t>
      </w:r>
      <w:r w:rsidR="00AA4200">
        <w:t xml:space="preserve">u vůči rozhodnutím </w:t>
      </w:r>
      <w:r w:rsidR="00AA4200" w:rsidRPr="00AA4200">
        <w:t>krajského stavebního úřadu.</w:t>
      </w:r>
      <w:r w:rsidR="00AA4200">
        <w:t xml:space="preserve"> </w:t>
      </w:r>
      <w:r w:rsidR="007076C8">
        <w:t>V oblasti územního plánování b</w:t>
      </w:r>
      <w:r w:rsidR="008E4374">
        <w:t>y měl být</w:t>
      </w:r>
      <w:r w:rsidR="007076C8">
        <w:t xml:space="preserve"> </w:t>
      </w:r>
      <w:r>
        <w:t xml:space="preserve">NSÚ </w:t>
      </w:r>
      <w:r w:rsidR="007076C8">
        <w:t>p</w:t>
      </w:r>
      <w:r w:rsidR="007076C8" w:rsidRPr="003C3B98">
        <w:t>ořizovatelem celostátní dokumentace</w:t>
      </w:r>
      <w:r w:rsidR="007076C8">
        <w:t>.</w:t>
      </w:r>
      <w:r w:rsidR="007076C8" w:rsidRPr="00F62067">
        <w:t xml:space="preserve"> </w:t>
      </w:r>
    </w:p>
    <w:p w:rsidR="007076C8" w:rsidRDefault="00891D72" w:rsidP="003E4A5D">
      <w:pPr>
        <w:pStyle w:val="Text-Normaln"/>
        <w:widowControl w:val="0"/>
      </w:pPr>
      <w:r w:rsidRPr="00891D72">
        <w:t>V čele NSÚ bude ředitel podléhající zákonu č. 234/2014 Sb., o stá</w:t>
      </w:r>
      <w:r>
        <w:t>tní službě, avšak v souladu s</w:t>
      </w:r>
      <w:r w:rsidR="00CA5F60">
        <w:t> </w:t>
      </w:r>
      <w:r>
        <w:t>§ </w:t>
      </w:r>
      <w:r w:rsidRPr="00891D72">
        <w:t>54 tohoto zákona bude ředitele NSÚ jmenovat vláda na návrh výběrové komise, kterou rovněž jmenuje vláda. Tato varianta byla zvolena proto, aby se i ostatní resorty mohly podílet na výběru ředitele NSÚ za situace, kdy nová stavební správa bude zahrnovat i některé kompetence přenesené na ní z ostatních resortů.</w:t>
      </w:r>
      <w:r>
        <w:t xml:space="preserve"> </w:t>
      </w:r>
      <w:r w:rsidR="007076C8" w:rsidRPr="00CD1C53">
        <w:rPr>
          <w:bCs/>
          <w:iCs/>
          <w:color w:val="000000"/>
        </w:rPr>
        <w:t xml:space="preserve">Kromě </w:t>
      </w:r>
      <w:r>
        <w:rPr>
          <w:bCs/>
          <w:iCs/>
          <w:color w:val="000000"/>
        </w:rPr>
        <w:t>ředitele</w:t>
      </w:r>
      <w:r w:rsidRPr="00CD1C53">
        <w:rPr>
          <w:bCs/>
          <w:iCs/>
          <w:color w:val="000000"/>
        </w:rPr>
        <w:t xml:space="preserve"> </w:t>
      </w:r>
      <w:r w:rsidR="00B93902">
        <w:rPr>
          <w:bCs/>
          <w:iCs/>
          <w:color w:val="000000"/>
        </w:rPr>
        <w:t>by měli</w:t>
      </w:r>
      <w:r w:rsidR="007076C8" w:rsidRPr="00CD1C53">
        <w:rPr>
          <w:bCs/>
          <w:iCs/>
          <w:color w:val="000000"/>
        </w:rPr>
        <w:t xml:space="preserve"> vedení </w:t>
      </w:r>
      <w:r>
        <w:rPr>
          <w:bCs/>
          <w:iCs/>
          <w:color w:val="000000"/>
        </w:rPr>
        <w:t>NSÚ</w:t>
      </w:r>
      <w:r w:rsidR="007076C8" w:rsidRPr="00CD1C53">
        <w:rPr>
          <w:bCs/>
          <w:iCs/>
          <w:color w:val="000000"/>
        </w:rPr>
        <w:t xml:space="preserve"> tvořit jeho </w:t>
      </w:r>
      <w:r>
        <w:rPr>
          <w:bCs/>
          <w:iCs/>
          <w:color w:val="000000"/>
        </w:rPr>
        <w:t>zástupci</w:t>
      </w:r>
      <w:r w:rsidR="007076C8" w:rsidRPr="00CD1C53">
        <w:rPr>
          <w:bCs/>
          <w:iCs/>
          <w:color w:val="000000"/>
        </w:rPr>
        <w:t>.</w:t>
      </w:r>
      <w:r w:rsidR="007076C8" w:rsidRPr="00CD1C53">
        <w:t xml:space="preserve"> </w:t>
      </w:r>
      <w:r w:rsidR="00B93902">
        <w:t>V souvislosti s tím by mělo dojít k nastavení odpovídajících</w:t>
      </w:r>
      <w:r w:rsidR="007076C8" w:rsidRPr="00A94743">
        <w:t xml:space="preserve"> kvalifikačních požadavků na </w:t>
      </w:r>
      <w:r w:rsidR="00B93902" w:rsidRPr="00A94743">
        <w:t>vzdělání, prax</w:t>
      </w:r>
      <w:r w:rsidR="007D4E2C">
        <w:t>i</w:t>
      </w:r>
      <w:r w:rsidR="00B93902" w:rsidRPr="00A94743">
        <w:t xml:space="preserve"> apod.</w:t>
      </w:r>
      <w:r w:rsidR="00B93902">
        <w:t xml:space="preserve"> pro </w:t>
      </w:r>
      <w:r>
        <w:t>vedení</w:t>
      </w:r>
      <w:r w:rsidR="007076C8" w:rsidRPr="00A94743">
        <w:t xml:space="preserve"> </w:t>
      </w:r>
      <w:r w:rsidR="002E25FF">
        <w:t>NSÚ</w:t>
      </w:r>
      <w:r w:rsidR="007076C8" w:rsidRPr="00A94743">
        <w:t xml:space="preserve">. </w:t>
      </w:r>
      <w:r w:rsidR="005B689A">
        <w:t xml:space="preserve">Nová právní úprava </w:t>
      </w:r>
      <w:r w:rsidR="007D4E2C">
        <w:t xml:space="preserve">by </w:t>
      </w:r>
      <w:r w:rsidR="005B689A">
        <w:t xml:space="preserve">pak </w:t>
      </w:r>
      <w:r w:rsidR="007D4E2C">
        <w:t xml:space="preserve">měla </w:t>
      </w:r>
      <w:r w:rsidR="005B689A">
        <w:t>stanov</w:t>
      </w:r>
      <w:r w:rsidR="007D4E2C">
        <w:t>it</w:t>
      </w:r>
      <w:r w:rsidR="005B689A">
        <w:t xml:space="preserve"> požadavky i</w:t>
      </w:r>
      <w:r>
        <w:t> </w:t>
      </w:r>
      <w:r w:rsidR="005B689A">
        <w:t>na odbornou kvalifikaci ředitelů krajských stavebních úřadů a samotných pracovníků stavebních úřadů.</w:t>
      </w:r>
    </w:p>
    <w:p w:rsidR="007076C8" w:rsidRDefault="00E05DA4" w:rsidP="003E4A5D">
      <w:pPr>
        <w:pStyle w:val="Text-Normaln"/>
        <w:widowControl w:val="0"/>
      </w:pPr>
      <w:r w:rsidRPr="00E05DA4">
        <w:t>Státní stavební správa bude podřízena MMR, rozpočtově tedy bude spadat do kapitoly MMR, které tak bude odpovědné za zajištění rozpočtových prostřed</w:t>
      </w:r>
      <w:r>
        <w:t xml:space="preserve">ků pro státní stavební správu. </w:t>
      </w:r>
      <w:r w:rsidRPr="00E05DA4">
        <w:t xml:space="preserve">NSÚ bude účetní jednotkou a </w:t>
      </w:r>
      <w:r w:rsidRPr="001D3B77">
        <w:t>organizační složk</w:t>
      </w:r>
      <w:r w:rsidRPr="00696E9E">
        <w:t>ou státu (obdobně jako GFŘ) a bude zajišťovat personální, platové a ekonomické činnosti (hospodaření s majetkem státu) pro celou státní stavební správu.</w:t>
      </w:r>
      <w:r w:rsidR="002E25FF">
        <w:t xml:space="preserve"> </w:t>
      </w:r>
      <w:r w:rsidR="007076C8">
        <w:t xml:space="preserve"> </w:t>
      </w:r>
    </w:p>
    <w:p w:rsidR="007076C8" w:rsidRPr="007349B9" w:rsidRDefault="007076C8" w:rsidP="003E4A5D">
      <w:pPr>
        <w:pStyle w:val="Text-Normaln"/>
        <w:widowControl w:val="0"/>
      </w:pPr>
      <w:r w:rsidRPr="00A94743">
        <w:t xml:space="preserve">Hlavní město Praha </w:t>
      </w:r>
      <w:r w:rsidR="00B93902">
        <w:t xml:space="preserve">by </w:t>
      </w:r>
      <w:r w:rsidRPr="00A94743">
        <w:t xml:space="preserve">se </w:t>
      </w:r>
      <w:r w:rsidR="00B93902">
        <w:t>mělo pojímat</w:t>
      </w:r>
      <w:r w:rsidRPr="00A94743">
        <w:t xml:space="preserve"> jako kraj a</w:t>
      </w:r>
      <w:r w:rsidR="00B93902">
        <w:t xml:space="preserve"> </w:t>
      </w:r>
      <w:r w:rsidRPr="00A94743">
        <w:t>je</w:t>
      </w:r>
      <w:r w:rsidR="00B93902">
        <w:t>ho</w:t>
      </w:r>
      <w:r w:rsidRPr="00A94743">
        <w:t xml:space="preserve"> městské části jako obce. Namísto krajského stavebního úřadu </w:t>
      </w:r>
      <w:r w:rsidR="00B93902">
        <w:t>by tak měl vzniknout</w:t>
      </w:r>
      <w:r w:rsidRPr="00A94743">
        <w:t xml:space="preserve"> Stavební úřad hl. m. Prahy a</w:t>
      </w:r>
      <w:r w:rsidR="00B93902">
        <w:rPr>
          <w:color w:val="000000"/>
          <w:szCs w:val="24"/>
        </w:rPr>
        <w:t xml:space="preserve"> </w:t>
      </w:r>
      <w:r w:rsidRPr="00A94743">
        <w:t>na úrovni jednotlivých městských částí</w:t>
      </w:r>
      <w:r w:rsidR="007D4E2C" w:rsidRPr="007D4E2C">
        <w:t xml:space="preserve"> </w:t>
      </w:r>
      <w:r w:rsidR="007D4E2C" w:rsidRPr="00A94743">
        <w:t xml:space="preserve">jeho </w:t>
      </w:r>
      <w:r w:rsidR="000D021D">
        <w:t>územní</w:t>
      </w:r>
      <w:r w:rsidR="007D4E2C" w:rsidRPr="00A94743">
        <w:t xml:space="preserve"> pracoviště</w:t>
      </w:r>
      <w:r w:rsidRPr="00A94743">
        <w:t xml:space="preserve">. </w:t>
      </w:r>
    </w:p>
    <w:p w:rsidR="00FE7764" w:rsidRPr="00F17D93" w:rsidRDefault="00FE7764" w:rsidP="003E4A5D">
      <w:pPr>
        <w:widowControl w:val="0"/>
      </w:pPr>
      <w:r>
        <w:t>Pro pochopení prováděných výpočtů je ještě třeba zmínit, že z důvodu menší potřeby ne vždy dostupných dat toto h</w:t>
      </w:r>
      <w:r w:rsidRPr="00F17D93">
        <w:t xml:space="preserve">odnocení dopadů nevyčísluje absolutní výši aktuálních a budoucích nákladů a přínosů, ale kvantifikuje jejich změnu (tj. nárůst či pokles) </w:t>
      </w:r>
      <w:r>
        <w:t xml:space="preserve">oproti současnému stavu </w:t>
      </w:r>
      <w:r w:rsidRPr="00F17D93">
        <w:t>po zavedení vybraných variant. RIA kalkuluje s nejvýznamnějšími dopady na veškeré dotčené strany, marginální náklady a přínosy jsou hodnoceny jako zanedbatelné a nejsou pro jejich nepodstatnost detailně rozebírány.</w:t>
      </w:r>
    </w:p>
    <w:p w:rsidR="007E62EE" w:rsidRPr="00647D6D" w:rsidRDefault="007E62EE" w:rsidP="003E4A5D">
      <w:pPr>
        <w:pStyle w:val="Text-Normaln"/>
        <w:widowControl w:val="0"/>
        <w:rPr>
          <w:i/>
          <w:u w:val="single"/>
        </w:rPr>
      </w:pPr>
      <w:r w:rsidRPr="00647D6D">
        <w:rPr>
          <w:i/>
          <w:u w:val="single"/>
        </w:rPr>
        <w:t xml:space="preserve">Vytvoření Nejvyššího </w:t>
      </w:r>
      <w:r w:rsidR="007D4E2C">
        <w:rPr>
          <w:i/>
          <w:u w:val="single"/>
        </w:rPr>
        <w:t xml:space="preserve">stavebního </w:t>
      </w:r>
      <w:r w:rsidRPr="00647D6D">
        <w:rPr>
          <w:i/>
          <w:u w:val="single"/>
        </w:rPr>
        <w:t>úřadu</w:t>
      </w:r>
    </w:p>
    <w:p w:rsidR="007E62EE" w:rsidRPr="007E62EE" w:rsidRDefault="007E62EE" w:rsidP="003E4A5D">
      <w:pPr>
        <w:pStyle w:val="Text-Normaln"/>
        <w:widowControl w:val="0"/>
      </w:pPr>
      <w:r w:rsidRPr="007E62EE">
        <w:t xml:space="preserve">Důležitým aspektem a podmínkou realizace přínosů Varianty </w:t>
      </w:r>
      <w:r w:rsidR="00FE7764">
        <w:t>2</w:t>
      </w:r>
      <w:r w:rsidRPr="007E62EE">
        <w:t xml:space="preserve"> je:</w:t>
      </w:r>
    </w:p>
    <w:p w:rsidR="007E62EE" w:rsidRDefault="008031D5" w:rsidP="009D4B5F">
      <w:pPr>
        <w:pStyle w:val="Odstavecseseznamem"/>
        <w:widowControl w:val="0"/>
        <w:numPr>
          <w:ilvl w:val="0"/>
          <w:numId w:val="36"/>
        </w:numPr>
        <w:spacing w:before="0" w:after="0"/>
        <w:rPr>
          <w:rFonts w:cs="Segoe UI"/>
          <w:color w:val="000000"/>
        </w:rPr>
      </w:pPr>
      <w:r>
        <w:rPr>
          <w:rFonts w:cs="Segoe UI"/>
          <w:color w:val="000000"/>
        </w:rPr>
        <w:t>nezávislost</w:t>
      </w:r>
      <w:r w:rsidR="001C6CA0">
        <w:rPr>
          <w:rFonts w:cs="Segoe UI"/>
          <w:color w:val="000000"/>
        </w:rPr>
        <w:t>,</w:t>
      </w:r>
      <w:r w:rsidR="007E62EE">
        <w:rPr>
          <w:rFonts w:cs="Segoe UI"/>
          <w:color w:val="000000"/>
        </w:rPr>
        <w:t xml:space="preserve"> stabilita </w:t>
      </w:r>
      <w:r w:rsidR="001C6CA0">
        <w:rPr>
          <w:rFonts w:cs="Segoe UI"/>
          <w:color w:val="000000"/>
        </w:rPr>
        <w:t xml:space="preserve">a profesionalita </w:t>
      </w:r>
      <w:r w:rsidR="007E62EE">
        <w:rPr>
          <w:rFonts w:cs="Segoe UI"/>
          <w:color w:val="000000"/>
        </w:rPr>
        <w:t>úřadu</w:t>
      </w:r>
      <w:r w:rsidR="005C185C">
        <w:rPr>
          <w:rFonts w:cs="Segoe UI"/>
          <w:color w:val="000000"/>
        </w:rPr>
        <w:t>,</w:t>
      </w:r>
    </w:p>
    <w:p w:rsidR="00743157" w:rsidRPr="00743157" w:rsidRDefault="008031D5" w:rsidP="009D4B5F">
      <w:pPr>
        <w:pStyle w:val="Odstavecseseznamem"/>
        <w:widowControl w:val="0"/>
        <w:numPr>
          <w:ilvl w:val="0"/>
          <w:numId w:val="36"/>
        </w:numPr>
        <w:spacing w:before="0" w:after="0"/>
      </w:pPr>
      <w:r>
        <w:rPr>
          <w:rFonts w:cs="Segoe UI"/>
          <w:color w:val="000000"/>
        </w:rPr>
        <w:t xml:space="preserve">sjednocené </w:t>
      </w:r>
      <w:r w:rsidR="007E62EE">
        <w:rPr>
          <w:rFonts w:cs="Segoe UI"/>
          <w:color w:val="000000"/>
        </w:rPr>
        <w:t xml:space="preserve">vnitřní metodické </w:t>
      </w:r>
      <w:r w:rsidR="007076C8">
        <w:rPr>
          <w:rFonts w:cs="Segoe UI"/>
          <w:color w:val="000000"/>
        </w:rPr>
        <w:t xml:space="preserve">a provozní </w:t>
      </w:r>
      <w:r w:rsidR="007E62EE">
        <w:rPr>
          <w:rFonts w:cs="Segoe UI"/>
          <w:color w:val="000000"/>
        </w:rPr>
        <w:t xml:space="preserve">řízení (sjednocené řízení úřadů, </w:t>
      </w:r>
      <w:r w:rsidR="007076C8">
        <w:rPr>
          <w:rFonts w:cs="Segoe UI"/>
          <w:color w:val="000000"/>
        </w:rPr>
        <w:t xml:space="preserve">provozně </w:t>
      </w:r>
      <w:r w:rsidR="007E62EE">
        <w:rPr>
          <w:rFonts w:cs="Segoe UI"/>
          <w:color w:val="000000"/>
        </w:rPr>
        <w:t>včetně jednotného I</w:t>
      </w:r>
      <w:r>
        <w:rPr>
          <w:rFonts w:cs="Segoe UI"/>
          <w:color w:val="000000"/>
        </w:rPr>
        <w:t>C</w:t>
      </w:r>
      <w:r w:rsidR="007E62EE">
        <w:rPr>
          <w:rFonts w:cs="Segoe UI"/>
          <w:color w:val="000000"/>
        </w:rPr>
        <w:t>T</w:t>
      </w:r>
      <w:r>
        <w:rPr>
          <w:rFonts w:cs="Segoe UI"/>
          <w:color w:val="000000"/>
        </w:rPr>
        <w:t xml:space="preserve"> vybavení</w:t>
      </w:r>
      <w:r w:rsidR="007076C8">
        <w:rPr>
          <w:rFonts w:cs="Segoe UI"/>
          <w:color w:val="000000"/>
        </w:rPr>
        <w:t xml:space="preserve">, metodicky </w:t>
      </w:r>
      <w:r w:rsidR="00686D84">
        <w:rPr>
          <w:rFonts w:cs="Segoe UI"/>
          <w:color w:val="000000"/>
        </w:rPr>
        <w:t>například</w:t>
      </w:r>
      <w:r w:rsidR="00743157">
        <w:rPr>
          <w:rFonts w:cs="Segoe UI"/>
          <w:color w:val="000000"/>
        </w:rPr>
        <w:t xml:space="preserve"> </w:t>
      </w:r>
      <w:r w:rsidR="007076C8">
        <w:rPr>
          <w:rFonts w:cs="Segoe UI"/>
          <w:color w:val="000000"/>
        </w:rPr>
        <w:t xml:space="preserve">u </w:t>
      </w:r>
      <w:r w:rsidR="007E62EE">
        <w:rPr>
          <w:rFonts w:cs="Segoe UI"/>
          <w:color w:val="000000"/>
        </w:rPr>
        <w:t>kontrolního systému v rámci soustavy úřadů)</w:t>
      </w:r>
      <w:r w:rsidR="005C185C">
        <w:rPr>
          <w:rFonts w:cs="Segoe UI"/>
          <w:color w:val="000000"/>
        </w:rPr>
        <w:t>.</w:t>
      </w:r>
    </w:p>
    <w:p w:rsidR="00B71616" w:rsidRDefault="001C6CA0" w:rsidP="003E4A5D">
      <w:pPr>
        <w:widowControl w:val="0"/>
        <w:spacing w:after="0"/>
      </w:pPr>
      <w:r w:rsidRPr="001C6CA0">
        <w:t xml:space="preserve">Při výpočtu nákladů na vytvoření </w:t>
      </w:r>
      <w:r w:rsidR="005C185C">
        <w:t>NSÚ</w:t>
      </w:r>
      <w:r w:rsidRPr="001C6CA0">
        <w:t xml:space="preserve"> </w:t>
      </w:r>
      <w:r w:rsidR="005C185C">
        <w:t>se vycházelo</w:t>
      </w:r>
      <w:r w:rsidR="005C185C" w:rsidRPr="001C6CA0">
        <w:t xml:space="preserve"> </w:t>
      </w:r>
      <w:r w:rsidRPr="001C6CA0">
        <w:t>z předpokladu, že by nebylo nutné rozšiřovat současné kapacity</w:t>
      </w:r>
      <w:r w:rsidR="00FA140B">
        <w:t>,</w:t>
      </w:r>
      <w:r w:rsidRPr="001C6CA0">
        <w:t xml:space="preserve"> a že by byla pouze přesunuta část odborníků vykonávající </w:t>
      </w:r>
      <w:r w:rsidR="0050529E">
        <w:t>ob</w:t>
      </w:r>
      <w:r w:rsidRPr="001C6CA0">
        <w:t>dobnou agendu v rámci MMR a ÚÚR</w:t>
      </w:r>
      <w:r>
        <w:t xml:space="preserve">, </w:t>
      </w:r>
      <w:r w:rsidRPr="001C6CA0">
        <w:t>Ministerstva dopravy (MD)</w:t>
      </w:r>
      <w:r>
        <w:t>,</w:t>
      </w:r>
      <w:r w:rsidRPr="001C6CA0">
        <w:t xml:space="preserve"> Ministerstva průmyslu </w:t>
      </w:r>
      <w:r w:rsidR="0017590F" w:rsidRPr="001C6CA0">
        <w:t>a</w:t>
      </w:r>
      <w:r w:rsidR="0017590F">
        <w:t> </w:t>
      </w:r>
      <w:r w:rsidRPr="001C6CA0">
        <w:t>obchodu (MPO), Ministerstva zemědělství (MZ</w:t>
      </w:r>
      <w:r>
        <w:t>e</w:t>
      </w:r>
      <w:r w:rsidRPr="001C6CA0">
        <w:t>)</w:t>
      </w:r>
      <w:r>
        <w:t>,</w:t>
      </w:r>
      <w:r w:rsidRPr="001C6CA0">
        <w:t xml:space="preserve"> Ministerstva vnitra (MV), Ministerstva spravedlnosti (MS)</w:t>
      </w:r>
      <w:r>
        <w:t xml:space="preserve"> </w:t>
      </w:r>
      <w:r w:rsidR="0050529E">
        <w:t>aj.</w:t>
      </w:r>
      <w:r w:rsidRPr="001C6CA0">
        <w:t xml:space="preserve"> na NSÚ. Jelikož se jedná pouze o přesun odborníků, </w:t>
      </w:r>
      <w:r w:rsidR="0017590F">
        <w:t>nelze předpokládat</w:t>
      </w:r>
      <w:r w:rsidR="0017590F" w:rsidRPr="001C6CA0">
        <w:t xml:space="preserve"> </w:t>
      </w:r>
      <w:r w:rsidRPr="001C6CA0">
        <w:t>zásadní změnu ve mzdových a režijních nákladech</w:t>
      </w:r>
      <w:r w:rsidR="007E62EE">
        <w:t xml:space="preserve">. </w:t>
      </w:r>
      <w:r w:rsidR="0017590F">
        <w:t>Lze předpokládat</w:t>
      </w:r>
      <w:r w:rsidR="007E62EE">
        <w:t xml:space="preserve"> pouze navýšení mzdových nákladů ve výši odpovídající platu ředitele </w:t>
      </w:r>
      <w:r w:rsidR="0050529E">
        <w:t>NSÚ</w:t>
      </w:r>
      <w:r w:rsidR="007E62EE">
        <w:t>, u kterého se předpokládají mzdové a režijní náklady ve výši do 115 000 Kč měsíčně</w:t>
      </w:r>
      <w:r w:rsidR="007E62EE">
        <w:rPr>
          <w:rStyle w:val="Znakapoznpodarou"/>
        </w:rPr>
        <w:footnoteReference w:id="9"/>
      </w:r>
      <w:r w:rsidR="007E62EE">
        <w:t xml:space="preserve">, </w:t>
      </w:r>
      <w:r w:rsidR="00B71616">
        <w:t>tj. 1,4 mil. Kč r</w:t>
      </w:r>
      <w:r w:rsidR="007E62EE">
        <w:t>očn</w:t>
      </w:r>
      <w:r w:rsidR="00B71616">
        <w:t>ě.</w:t>
      </w:r>
      <w:r w:rsidR="00FE7764">
        <w:t xml:space="preserve"> Pokud bychom navíc počítali s dalšími 5 </w:t>
      </w:r>
      <w:r w:rsidR="0017590F">
        <w:t>zástupci</w:t>
      </w:r>
      <w:r w:rsidR="00FE7764">
        <w:t xml:space="preserve">, kteří nebudou přesunuti, ale najati nad rámec stávajícího aparátu, </w:t>
      </w:r>
      <w:r w:rsidR="0017590F">
        <w:t xml:space="preserve">zvýšila by se tato částka </w:t>
      </w:r>
      <w:r w:rsidR="00FE7764">
        <w:t>přibližně na šestinásobek.</w:t>
      </w:r>
    </w:p>
    <w:p w:rsidR="0017590F" w:rsidRDefault="0017590F" w:rsidP="003E4A5D">
      <w:pPr>
        <w:widowControl w:val="0"/>
        <w:spacing w:after="0"/>
      </w:pPr>
    </w:p>
    <w:p w:rsidR="007E62EE" w:rsidRPr="00C14ED1" w:rsidRDefault="007E62EE" w:rsidP="003E4A5D">
      <w:pPr>
        <w:widowControl w:val="0"/>
        <w:rPr>
          <w:i/>
          <w:u w:val="single"/>
        </w:rPr>
      </w:pPr>
      <w:r w:rsidRPr="00C14ED1">
        <w:rPr>
          <w:i/>
          <w:u w:val="single"/>
        </w:rPr>
        <w:lastRenderedPageBreak/>
        <w:t xml:space="preserve">Pořízení IS pro </w:t>
      </w:r>
      <w:r w:rsidR="00C14ED1">
        <w:rPr>
          <w:i/>
          <w:u w:val="single"/>
        </w:rPr>
        <w:t>ústřední monitoring</w:t>
      </w:r>
    </w:p>
    <w:p w:rsidR="007E62EE" w:rsidRDefault="007E62EE" w:rsidP="003E4A5D">
      <w:pPr>
        <w:widowControl w:val="0"/>
      </w:pPr>
      <w:r>
        <w:t xml:space="preserve">V případě přesunu </w:t>
      </w:r>
      <w:r w:rsidR="00C14ED1">
        <w:t>ÚÚP, OSÚ a SSÚ</w:t>
      </w:r>
      <w:r>
        <w:t xml:space="preserve"> pod jeden nadřízený subjekt </w:t>
      </w:r>
      <w:r w:rsidR="0050529E">
        <w:t>je žádoucí implementovat</w:t>
      </w:r>
      <w:r>
        <w:t xml:space="preserve"> </w:t>
      </w:r>
      <w:r w:rsidR="00BA0861">
        <w:t>informační systém (</w:t>
      </w:r>
      <w:r>
        <w:t>IS</w:t>
      </w:r>
      <w:r w:rsidR="00BA0861">
        <w:t>)</w:t>
      </w:r>
      <w:r>
        <w:t xml:space="preserve">, jehož klíčovou součástí by mohl být softwarový produkt nebo set provázaných aplikací, sledujících </w:t>
      </w:r>
      <w:r w:rsidR="00C14ED1">
        <w:t xml:space="preserve">časový sled a </w:t>
      </w:r>
      <w:r>
        <w:t>časovou náročnost jednotlivých procesů - workflow IS, personální systém - za účelem jednotné evidence zaměstnanců a logické funkce pro vzorovou kalkulaci mezd, evidenci úkonů atd.</w:t>
      </w:r>
      <w:r w:rsidR="0050529E">
        <w:t xml:space="preserve"> </w:t>
      </w:r>
      <w:r>
        <w:t xml:space="preserve">Dle konzultací s experty v dané oblasti </w:t>
      </w:r>
      <w:r w:rsidR="00D67B13">
        <w:t>lze předpokládat</w:t>
      </w:r>
      <w:r w:rsidR="00F53BF4">
        <w:t>, že </w:t>
      </w:r>
      <w:r>
        <w:t xml:space="preserve">administrativní náročnost tohoto systému by neměla být </w:t>
      </w:r>
      <w:r w:rsidR="00C14ED1">
        <w:t xml:space="preserve">příliš </w:t>
      </w:r>
      <w:r w:rsidR="00F53BF4">
        <w:t>vysoká, jelikož jde již o </w:t>
      </w:r>
      <w:r>
        <w:t xml:space="preserve">standardní řešení využívané v soukromé sféře a v některých případech i interně v rámci </w:t>
      </w:r>
      <w:r w:rsidR="0050529E">
        <w:t>stavebních úřadů</w:t>
      </w:r>
      <w:r>
        <w:t xml:space="preserve"> a lze ho zkombinovat s již </w:t>
      </w:r>
      <w:r w:rsidR="0050529E">
        <w:t>pořízenými</w:t>
      </w:r>
      <w:r>
        <w:t xml:space="preserve"> aplikacemi. Náklady v případě jednoduššího řešení </w:t>
      </w:r>
      <w:r w:rsidR="00D67B13">
        <w:t xml:space="preserve">se odhadují </w:t>
      </w:r>
      <w:r>
        <w:t xml:space="preserve">v řádech </w:t>
      </w:r>
      <w:r w:rsidR="008041C9">
        <w:t xml:space="preserve">desítek </w:t>
      </w:r>
      <w:r>
        <w:t xml:space="preserve">mil. Kč. Skutečná výše nákladů se však bude odvíjet od počtu požadovaných funkcionalit v rámci konkrétního řešení. </w:t>
      </w:r>
    </w:p>
    <w:p w:rsidR="007E62EE" w:rsidRPr="00C14ED1" w:rsidRDefault="007E62EE" w:rsidP="003E4A5D">
      <w:pPr>
        <w:widowControl w:val="0"/>
        <w:rPr>
          <w:i/>
          <w:u w:val="single"/>
        </w:rPr>
      </w:pPr>
      <w:r w:rsidRPr="00C14ED1">
        <w:rPr>
          <w:i/>
          <w:u w:val="single"/>
        </w:rPr>
        <w:t>Mzdové a režijní náklady</w:t>
      </w:r>
    </w:p>
    <w:p w:rsidR="007E62EE" w:rsidRDefault="007E62EE" w:rsidP="003E4A5D">
      <w:pPr>
        <w:pStyle w:val="Textkomente"/>
        <w:widowControl w:val="0"/>
      </w:pPr>
      <w:r w:rsidRPr="001B642D">
        <w:rPr>
          <w:sz w:val="24"/>
          <w:szCs w:val="22"/>
        </w:rPr>
        <w:t xml:space="preserve">Dojde-li k transformaci úřadů pod </w:t>
      </w:r>
      <w:r w:rsidR="002E1975">
        <w:rPr>
          <w:sz w:val="24"/>
          <w:szCs w:val="22"/>
        </w:rPr>
        <w:t>NSÚ</w:t>
      </w:r>
      <w:r w:rsidRPr="001B642D">
        <w:rPr>
          <w:sz w:val="24"/>
          <w:szCs w:val="22"/>
        </w:rPr>
        <w:t xml:space="preserve"> spolu s přesunem agend vykonávaných v PP, budou zaměstnanci těchto úřadů odměňováni na základě ta</w:t>
      </w:r>
      <w:r w:rsidR="00F53BF4">
        <w:rPr>
          <w:sz w:val="24"/>
          <w:szCs w:val="22"/>
        </w:rPr>
        <w:t>bulkových platů státní správy a </w:t>
      </w:r>
      <w:r w:rsidRPr="001B642D">
        <w:rPr>
          <w:sz w:val="24"/>
          <w:szCs w:val="22"/>
        </w:rPr>
        <w:t>nikoliv tabulkových platů pro územní samosprávy.</w:t>
      </w:r>
      <w:r w:rsidR="001B642D">
        <w:t xml:space="preserve"> </w:t>
      </w:r>
      <w:r>
        <w:t xml:space="preserve"> </w:t>
      </w:r>
    </w:p>
    <w:p w:rsidR="00096627" w:rsidRDefault="00096627"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18</w:t>
      </w:r>
      <w:r w:rsidR="00AB65E9">
        <w:rPr>
          <w:noProof/>
        </w:rPr>
        <w:fldChar w:fldCharType="end"/>
      </w:r>
      <w:r>
        <w:t xml:space="preserve">: Počty zaměstnanců </w:t>
      </w:r>
      <w:r w:rsidR="002E1975">
        <w:t>ÚÚP</w:t>
      </w:r>
      <w:r>
        <w:t xml:space="preserve"> a stavebních úřadů dle platových tříd</w:t>
      </w:r>
    </w:p>
    <w:tbl>
      <w:tblPr>
        <w:tblStyle w:val="Svtlstnovn1"/>
        <w:tblW w:w="9072" w:type="dxa"/>
        <w:tblInd w:w="108" w:type="dxa"/>
        <w:tblLayout w:type="fixed"/>
        <w:tblLook w:val="04A0" w:firstRow="1" w:lastRow="0" w:firstColumn="1" w:lastColumn="0" w:noHBand="0" w:noVBand="1"/>
      </w:tblPr>
      <w:tblGrid>
        <w:gridCol w:w="1276"/>
        <w:gridCol w:w="725"/>
        <w:gridCol w:w="975"/>
        <w:gridCol w:w="974"/>
        <w:gridCol w:w="975"/>
        <w:gridCol w:w="974"/>
        <w:gridCol w:w="975"/>
        <w:gridCol w:w="974"/>
        <w:gridCol w:w="1224"/>
      </w:tblGrid>
      <w:tr w:rsidR="00C4121A" w:rsidRPr="00C4121A" w:rsidTr="00215D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DA3293" w:rsidP="003E4A5D">
            <w:pPr>
              <w:widowControl w:val="0"/>
              <w:spacing w:before="0" w:after="0"/>
              <w:jc w:val="left"/>
              <w:rPr>
                <w:rFonts w:ascii="Calibri" w:eastAsia="Times New Roman" w:hAnsi="Calibri" w:cs="Calibri"/>
                <w:sz w:val="16"/>
                <w:szCs w:val="16"/>
                <w:lang w:eastAsia="cs-CZ"/>
              </w:rPr>
            </w:pPr>
            <w:r>
              <w:rPr>
                <w:rFonts w:ascii="Calibri" w:eastAsia="Times New Roman" w:hAnsi="Calibri" w:cs="Calibri"/>
                <w:sz w:val="16"/>
                <w:szCs w:val="16"/>
                <w:lang w:eastAsia="cs-CZ"/>
              </w:rPr>
              <w:t>Počty zaměstnanců dle platových tříd</w:t>
            </w:r>
          </w:p>
        </w:tc>
        <w:tc>
          <w:tcPr>
            <w:tcW w:w="725" w:type="dxa"/>
            <w:noWrap/>
            <w:vAlign w:val="center"/>
            <w:hideMark/>
          </w:tcPr>
          <w:p w:rsidR="00C4121A" w:rsidRPr="00C4121A" w:rsidRDefault="00645A7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Pr>
                <w:rFonts w:ascii="Calibri" w:eastAsia="Times New Roman" w:hAnsi="Calibri" w:cs="Calibri"/>
                <w:sz w:val="16"/>
                <w:szCs w:val="16"/>
                <w:lang w:eastAsia="cs-CZ"/>
              </w:rPr>
              <w:t>n</w:t>
            </w:r>
            <w:r w:rsidR="00C4121A" w:rsidRPr="00C4121A">
              <w:rPr>
                <w:rFonts w:ascii="Calibri" w:eastAsia="Times New Roman" w:hAnsi="Calibri" w:cs="Calibri"/>
                <w:sz w:val="16"/>
                <w:szCs w:val="16"/>
                <w:lang w:eastAsia="cs-CZ"/>
              </w:rPr>
              <w:t>ižší než 8. platová třída</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8.</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9.</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10.</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11.</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12.</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vyšší než třída 12.</w:t>
            </w:r>
          </w:p>
        </w:tc>
        <w:tc>
          <w:tcPr>
            <w:tcW w:w="1224" w:type="dxa"/>
            <w:noWrap/>
            <w:vAlign w:val="center"/>
            <w:hideMark/>
          </w:tcPr>
          <w:p w:rsidR="00C4121A" w:rsidRPr="00C4121A" w:rsidRDefault="00645A7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Pr>
                <w:rFonts w:ascii="Calibri" w:eastAsia="Times New Roman" w:hAnsi="Calibri" w:cs="Calibri"/>
                <w:sz w:val="16"/>
                <w:szCs w:val="16"/>
                <w:lang w:eastAsia="cs-CZ"/>
              </w:rPr>
              <w:t>Celkem</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OSÚ I –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36</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557</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1 919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539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OSÚ II 2017</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17</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167</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UUP I</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10</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43</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386</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292</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UUP II</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116</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33</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V I –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468</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162</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V II – ČR</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63</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D I–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89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419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D II – ČR</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8</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11</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49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879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3 224</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1 575</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212</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38</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r w:rsidRPr="00C4121A">
              <w:rPr>
                <w:rFonts w:ascii="Calibri" w:eastAsia="Times New Roman" w:hAnsi="Calibri" w:cs="Calibri"/>
                <w:b/>
                <w:bCs/>
                <w:sz w:val="16"/>
                <w:szCs w:val="16"/>
                <w:lang w:eastAsia="cs-CZ"/>
              </w:rPr>
              <w:t>5 988</w:t>
            </w:r>
          </w:p>
        </w:tc>
      </w:tr>
      <w:tr w:rsidR="00E00D9F"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9072" w:type="dxa"/>
            <w:gridSpan w:val="9"/>
            <w:noWrap/>
            <w:vAlign w:val="center"/>
          </w:tcPr>
          <w:p w:rsidR="00E00D9F" w:rsidRPr="00C4121A" w:rsidRDefault="00E00D9F" w:rsidP="003E4A5D">
            <w:pPr>
              <w:widowControl w:val="0"/>
              <w:spacing w:before="0" w:after="0"/>
              <w:jc w:val="left"/>
              <w:rPr>
                <w:rFonts w:ascii="Calibri" w:eastAsia="Times New Roman" w:hAnsi="Calibri" w:cs="Calibri"/>
                <w:b w:val="0"/>
                <w:bCs w:val="0"/>
                <w:sz w:val="16"/>
                <w:szCs w:val="16"/>
                <w:lang w:eastAsia="cs-CZ"/>
              </w:rPr>
            </w:pPr>
            <w:r>
              <w:rPr>
                <w:rFonts w:ascii="Calibri" w:eastAsia="Times New Roman" w:hAnsi="Calibri" w:cs="Calibri"/>
                <w:sz w:val="16"/>
                <w:szCs w:val="16"/>
                <w:lang w:eastAsia="cs-CZ"/>
              </w:rPr>
              <w:t>Dle tabulek od 1.1.2019</w:t>
            </w:r>
            <w:r w:rsidR="00162CB7">
              <w:rPr>
                <w:rFonts w:ascii="Calibri" w:eastAsia="Times New Roman" w:hAnsi="Calibri" w:cs="Calibri"/>
                <w:sz w:val="16"/>
                <w:szCs w:val="16"/>
                <w:lang w:eastAsia="cs-CZ"/>
              </w:rPr>
              <w:t>:</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4E4D7" w:themeFill="accent6" w:themeFillTint="33"/>
            <w:noWrap/>
            <w:vAlign w:val="center"/>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Parametry</w:t>
            </w:r>
          </w:p>
        </w:tc>
        <w:tc>
          <w:tcPr>
            <w:tcW w:w="72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0,20</w:t>
            </w: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0,34</w:t>
            </w: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0,43</w:t>
            </w: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122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p>
        </w:tc>
      </w:tr>
      <w:tr w:rsidR="003C4FF0"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EFCBE" w:themeFill="accent1" w:themeFillTint="33"/>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stupeň</w:t>
            </w:r>
            <w:r>
              <w:rPr>
                <w:rFonts w:ascii="Calibri" w:eastAsia="Times New Roman" w:hAnsi="Calibri" w:cs="Calibri"/>
                <w:sz w:val="16"/>
                <w:szCs w:val="16"/>
                <w:lang w:eastAsia="cs-CZ"/>
              </w:rPr>
              <w:t xml:space="preserve"> SP</w:t>
            </w:r>
            <w:r w:rsidR="00162CB7">
              <w:rPr>
                <w:rFonts w:ascii="Calibri" w:eastAsia="Times New Roman" w:hAnsi="Calibri" w:cs="Calibri"/>
                <w:sz w:val="16"/>
                <w:szCs w:val="16"/>
                <w:lang w:eastAsia="cs-CZ"/>
              </w:rPr>
              <w:t xml:space="preserve"> </w:t>
            </w:r>
          </w:p>
        </w:tc>
        <w:tc>
          <w:tcPr>
            <w:tcW w:w="72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18 650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20 270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21 930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23 790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25 860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28 450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31 860</w:t>
            </w:r>
          </w:p>
        </w:tc>
        <w:tc>
          <w:tcPr>
            <w:tcW w:w="122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szCs w:val="16"/>
                <w:lang w:eastAsia="cs-CZ"/>
              </w:rPr>
            </w:pPr>
            <w:r w:rsidRPr="00C4121A">
              <w:rPr>
                <w:rFonts w:ascii="Calibri" w:eastAsia="Times New Roman" w:hAnsi="Calibri" w:cs="Calibri"/>
                <w:b/>
                <w:bCs/>
                <w:sz w:val="16"/>
                <w:szCs w:val="16"/>
                <w:lang w:eastAsia="cs-CZ"/>
              </w:rPr>
              <w:t> </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xml:space="preserve">Celkem </w:t>
            </w:r>
            <w:r w:rsidR="00162CB7">
              <w:rPr>
                <w:rFonts w:ascii="Calibri" w:eastAsia="Times New Roman" w:hAnsi="Calibri" w:cs="Calibri"/>
                <w:sz w:val="16"/>
                <w:szCs w:val="16"/>
                <w:lang w:eastAsia="cs-CZ"/>
              </w:rPr>
              <w:t>SP</w:t>
            </w:r>
            <w:r>
              <w:rPr>
                <w:rFonts w:ascii="Calibri" w:eastAsia="Times New Roman" w:hAnsi="Calibri" w:cs="Calibri"/>
                <w:sz w:val="16"/>
                <w:szCs w:val="16"/>
                <w:lang w:eastAsia="cs-CZ"/>
              </w:rPr>
              <w:t xml:space="preserve"> Kč</w:t>
            </w:r>
          </w:p>
        </w:tc>
        <w:tc>
          <w:tcPr>
            <w:tcW w:w="72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205 150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993 230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19 276 470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76 698 960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40 729 500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6 031 400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1 210 680</w:t>
            </w:r>
          </w:p>
        </w:tc>
        <w:tc>
          <w:tcPr>
            <w:tcW w:w="1224" w:type="dxa"/>
            <w:noWrap/>
            <w:vAlign w:val="center"/>
            <w:hideMark/>
          </w:tcPr>
          <w:p w:rsidR="003C4FF0" w:rsidRPr="00C4121A" w:rsidRDefault="0071533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r w:rsidRPr="0071533A">
              <w:rPr>
                <w:rFonts w:ascii="Calibri" w:eastAsia="Times New Roman" w:hAnsi="Calibri" w:cs="Calibri"/>
                <w:b/>
                <w:sz w:val="16"/>
                <w:szCs w:val="16"/>
                <w:lang w:eastAsia="cs-CZ"/>
              </w:rPr>
              <w:t xml:space="preserve">207 557 908 </w:t>
            </w:r>
            <w:r w:rsidR="003C4FF0">
              <w:rPr>
                <w:rFonts w:ascii="Calibri" w:eastAsia="Times New Roman" w:hAnsi="Calibri" w:cs="Calibri"/>
                <w:b/>
                <w:bCs/>
                <w:sz w:val="16"/>
                <w:szCs w:val="16"/>
                <w:lang w:eastAsia="cs-CZ"/>
              </w:rPr>
              <w:t>/ měsíc</w:t>
            </w:r>
          </w:p>
        </w:tc>
      </w:tr>
      <w:tr w:rsidR="003C4FF0"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EFCBE" w:themeFill="accent1" w:themeFillTint="33"/>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stupeň</w:t>
            </w:r>
            <w:r>
              <w:rPr>
                <w:rFonts w:ascii="Calibri" w:eastAsia="Times New Roman" w:hAnsi="Calibri" w:cs="Calibri"/>
                <w:sz w:val="16"/>
                <w:szCs w:val="16"/>
                <w:lang w:eastAsia="cs-CZ"/>
              </w:rPr>
              <w:t xml:space="preserve"> PP</w:t>
            </w:r>
          </w:p>
        </w:tc>
        <w:tc>
          <w:tcPr>
            <w:tcW w:w="72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18 650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20 270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21 930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23 790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25 860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28 000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30 360</w:t>
            </w:r>
          </w:p>
        </w:tc>
        <w:tc>
          <w:tcPr>
            <w:tcW w:w="122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 </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xml:space="preserve">Celkem </w:t>
            </w:r>
            <w:r w:rsidR="00162CB7">
              <w:rPr>
                <w:rFonts w:ascii="Calibri" w:eastAsia="Times New Roman" w:hAnsi="Calibri" w:cs="Calibri"/>
                <w:sz w:val="16"/>
                <w:szCs w:val="16"/>
                <w:lang w:eastAsia="cs-CZ"/>
              </w:rPr>
              <w:t>PP</w:t>
            </w:r>
            <w:r>
              <w:rPr>
                <w:rFonts w:ascii="Calibri" w:eastAsia="Times New Roman" w:hAnsi="Calibri" w:cs="Calibri"/>
                <w:sz w:val="16"/>
                <w:szCs w:val="16"/>
                <w:lang w:eastAsia="cs-CZ"/>
              </w:rPr>
              <w:t xml:space="preserve"> Kč</w:t>
            </w:r>
          </w:p>
        </w:tc>
        <w:tc>
          <w:tcPr>
            <w:tcW w:w="72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205 150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993 230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19 276 470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76 698 960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40 729 500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5 936 000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1 153 680</w:t>
            </w:r>
          </w:p>
        </w:tc>
        <w:tc>
          <w:tcPr>
            <w:tcW w:w="1224" w:type="dxa"/>
            <w:noWrap/>
            <w:vAlign w:val="center"/>
            <w:hideMark/>
          </w:tcPr>
          <w:p w:rsidR="003C4FF0" w:rsidRPr="00C4121A" w:rsidRDefault="0071533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71533A">
              <w:rPr>
                <w:rFonts w:ascii="Calibri" w:eastAsia="Times New Roman" w:hAnsi="Calibri" w:cs="Calibri"/>
                <w:b/>
                <w:sz w:val="16"/>
                <w:szCs w:val="16"/>
                <w:lang w:eastAsia="cs-CZ"/>
              </w:rPr>
              <w:t xml:space="preserve">207 339 976 </w:t>
            </w:r>
            <w:r w:rsidR="003C4FF0">
              <w:rPr>
                <w:rFonts w:ascii="Calibri" w:eastAsia="Times New Roman" w:hAnsi="Calibri" w:cs="Calibri"/>
                <w:b/>
                <w:bCs/>
                <w:sz w:val="16"/>
                <w:szCs w:val="16"/>
                <w:lang w:eastAsia="cs-CZ"/>
              </w:rPr>
              <w:t>/ měsíc</w:t>
            </w:r>
          </w:p>
        </w:tc>
      </w:tr>
    </w:tbl>
    <w:p w:rsidR="00157A60" w:rsidRDefault="00645A7D" w:rsidP="003E4A5D">
      <w:pPr>
        <w:widowControl w:val="0"/>
      </w:pPr>
      <w:r>
        <w:t xml:space="preserve">Jak je vidět na porovnání potenciálního účtu výdajů, rozdíl před a po </w:t>
      </w:r>
      <w:r w:rsidR="00A86D52">
        <w:t xml:space="preserve">potenciálním </w:t>
      </w:r>
      <w:r>
        <w:t xml:space="preserve">převodu zaměstnanců je zanedbatelný. </w:t>
      </w:r>
      <w:r w:rsidR="00670247">
        <w:t xml:space="preserve">Z tohoto titulu </w:t>
      </w:r>
      <w:r w:rsidR="00D67B13">
        <w:t xml:space="preserve">nelze očekávat </w:t>
      </w:r>
      <w:r w:rsidR="00670247">
        <w:t>výraznější nárůst nákladů na pracovní sílu</w:t>
      </w:r>
      <w:r w:rsidR="00D67B13">
        <w:t>.</w:t>
      </w:r>
      <w:r w:rsidR="00670247">
        <w:t xml:space="preserve"> </w:t>
      </w:r>
      <w:r w:rsidR="00157A60">
        <w:t>Je otázka, jak to reálně vypadá s netarifními sl</w:t>
      </w:r>
      <w:r w:rsidR="00F53BF4">
        <w:t>ožkami platu při porovnání SP a </w:t>
      </w:r>
      <w:r w:rsidR="00157A60">
        <w:t xml:space="preserve">PP. </w:t>
      </w:r>
      <w:r w:rsidR="00D67B13">
        <w:t>V případě</w:t>
      </w:r>
      <w:r w:rsidR="00157A60">
        <w:t>, že výrazné rozdíly nejsou, bude možné postupovat standardně dle metodik pro zpracování RIA a pracovat s 20% navýšením platu v obou případech.</w:t>
      </w:r>
    </w:p>
    <w:p w:rsidR="00C4121A" w:rsidRDefault="00670247" w:rsidP="003E4A5D">
      <w:pPr>
        <w:widowControl w:val="0"/>
      </w:pPr>
      <w:r>
        <w:t xml:space="preserve">Důvodem, proč bude třeba vynaložit další finanční prostředky, bude především potřeba </w:t>
      </w:r>
      <w:r w:rsidR="00A86D52">
        <w:t xml:space="preserve">zajistit </w:t>
      </w:r>
      <w:r>
        <w:t>vyšší specializac</w:t>
      </w:r>
      <w:r w:rsidR="00A86D52">
        <w:t>i</w:t>
      </w:r>
      <w:r>
        <w:t xml:space="preserve"> a profesionalizac</w:t>
      </w:r>
      <w:r w:rsidR="00A86D52">
        <w:t>i</w:t>
      </w:r>
      <w:r>
        <w:t xml:space="preserve"> zaměstnanců stavebních úřadů, a </w:t>
      </w:r>
      <w:r w:rsidR="00A86D52">
        <w:t xml:space="preserve">to </w:t>
      </w:r>
      <w:r>
        <w:t>jak prostřednictv</w:t>
      </w:r>
      <w:r w:rsidR="00A86D52">
        <w:t>ím vzdělávacích aktivit, tak náborovými požadavky podloženými odpovídajícím platovým ohodnocením.</w:t>
      </w:r>
    </w:p>
    <w:p w:rsidR="00D36754" w:rsidRDefault="00D67B13" w:rsidP="003E4A5D">
      <w:pPr>
        <w:widowControl w:val="0"/>
      </w:pPr>
      <w:r>
        <w:t>S</w:t>
      </w:r>
      <w:r w:rsidR="00D36754">
        <w:t xml:space="preserve">polu s přesunem </w:t>
      </w:r>
      <w:r w:rsidR="00DA3293">
        <w:t xml:space="preserve">větší </w:t>
      </w:r>
      <w:r w:rsidR="00D36754">
        <w:t>části</w:t>
      </w:r>
      <w:r w:rsidR="00DA3293">
        <w:t xml:space="preserve"> </w:t>
      </w:r>
      <w:r w:rsidR="00D36754">
        <w:t xml:space="preserve">pravomocí a povinností </w:t>
      </w:r>
      <w:r w:rsidR="00DA3293">
        <w:t>ukládaných stavebním zákonem</w:t>
      </w:r>
      <w:r w:rsidR="00D36754">
        <w:t xml:space="preserve"> </w:t>
      </w:r>
      <w:r w:rsidR="00DA3293">
        <w:t>na</w:t>
      </w:r>
      <w:r w:rsidR="00D36754">
        <w:t xml:space="preserve"> nově vzniklé stavební úřady dojde k přesunu velké části zaměstnanců. Na druhou stranu rozhodovací pravomoc o územním rozvoji samospráv zůst</w:t>
      </w:r>
      <w:r w:rsidR="00DA3293">
        <w:t>ane</w:t>
      </w:r>
      <w:r w:rsidR="00D36754">
        <w:t xml:space="preserve"> obcím a krajům</w:t>
      </w:r>
      <w:r w:rsidR="00B54309">
        <w:t xml:space="preserve">, které mohou potřebovat </w:t>
      </w:r>
      <w:r>
        <w:lastRenderedPageBreak/>
        <w:t>i </w:t>
      </w:r>
      <w:r w:rsidR="00B54309">
        <w:t>některé stavební odborníky pro výkon SP</w:t>
      </w:r>
      <w:r w:rsidR="00DA3293">
        <w:t xml:space="preserve">. </w:t>
      </w:r>
      <w:r w:rsidR="00D36754" w:rsidRPr="00B532D7">
        <w:t xml:space="preserve">Konkrétně </w:t>
      </w:r>
      <w:r w:rsidR="00B54309">
        <w:t xml:space="preserve">tak </w:t>
      </w:r>
      <w:r w:rsidR="00D36754" w:rsidRPr="00B532D7">
        <w:t xml:space="preserve">pro další výpočty </w:t>
      </w:r>
      <w:r w:rsidR="002E1975" w:rsidRPr="00B532D7">
        <w:t>vycház</w:t>
      </w:r>
      <w:r w:rsidR="002E1975">
        <w:t>ejí</w:t>
      </w:r>
      <w:r w:rsidR="002E1975" w:rsidRPr="00B532D7">
        <w:t xml:space="preserve"> </w:t>
      </w:r>
      <w:r w:rsidR="00D36754" w:rsidRPr="00B532D7">
        <w:t>z předpoklad</w:t>
      </w:r>
      <w:r w:rsidR="00DA3293">
        <w:t>u</w:t>
      </w:r>
      <w:r w:rsidR="00D36754" w:rsidRPr="00B532D7">
        <w:t xml:space="preserve">, že v případě varianty </w:t>
      </w:r>
      <w:r w:rsidR="00DA3293">
        <w:t>2</w:t>
      </w:r>
      <w:r w:rsidR="00D36754" w:rsidRPr="00B532D7">
        <w:t xml:space="preserve"> dojde </w:t>
      </w:r>
      <w:r w:rsidR="00FA140B">
        <w:t xml:space="preserve">v průměru </w:t>
      </w:r>
      <w:r w:rsidR="00D36754" w:rsidRPr="00B532D7">
        <w:t>k přesunu 80 % zaměstnanců</w:t>
      </w:r>
      <w:r w:rsidR="00DA3293">
        <w:t xml:space="preserve">, tj. </w:t>
      </w:r>
      <w:r w:rsidR="00FC1277">
        <w:t xml:space="preserve">v průměru </w:t>
      </w:r>
      <w:r w:rsidR="00DA3293">
        <w:t xml:space="preserve">20 % úředníků bude muset být zaměstnáno nově. To odpovídá </w:t>
      </w:r>
      <w:r w:rsidR="003C4FF0">
        <w:t xml:space="preserve">cca </w:t>
      </w:r>
      <w:r w:rsidR="001A5BA1">
        <w:t>0,5</w:t>
      </w:r>
      <w:r w:rsidR="003C4FF0">
        <w:t xml:space="preserve"> </w:t>
      </w:r>
      <w:r w:rsidR="00EE16B9">
        <w:t xml:space="preserve">– 0,9 </w:t>
      </w:r>
      <w:r w:rsidR="003C4FF0">
        <w:t>m</w:t>
      </w:r>
      <w:r w:rsidR="00E71371">
        <w:t>l</w:t>
      </w:r>
      <w:r w:rsidR="001A5BA1">
        <w:t>d</w:t>
      </w:r>
      <w:r w:rsidR="003C4FF0">
        <w:t>.</w:t>
      </w:r>
      <w:r w:rsidR="00FC1277">
        <w:t xml:space="preserve"> Kč</w:t>
      </w:r>
      <w:r w:rsidR="003C4FF0">
        <w:t xml:space="preserve"> za rok</w:t>
      </w:r>
      <w:r w:rsidR="00E71371">
        <w:t xml:space="preserve"> (20 % ze </w:t>
      </w:r>
      <w:r w:rsidR="001A5BA1">
        <w:t>3</w:t>
      </w:r>
      <w:r w:rsidR="00E71371">
        <w:t xml:space="preserve"> m</w:t>
      </w:r>
      <w:r w:rsidR="001A5BA1">
        <w:t>ld</w:t>
      </w:r>
      <w:r w:rsidR="00E71371">
        <w:t>. Kč).</w:t>
      </w:r>
    </w:p>
    <w:p w:rsidR="00D36754" w:rsidRDefault="00F4519C" w:rsidP="003E4A5D">
      <w:pPr>
        <w:pStyle w:val="Textkomente"/>
        <w:widowControl w:val="0"/>
      </w:pPr>
      <w:r w:rsidRPr="001B642D">
        <w:rPr>
          <w:sz w:val="24"/>
          <w:szCs w:val="22"/>
        </w:rPr>
        <w:t>(</w:t>
      </w:r>
      <w:r w:rsidR="001D32C5" w:rsidRPr="001B642D">
        <w:rPr>
          <w:sz w:val="24"/>
          <w:szCs w:val="22"/>
        </w:rPr>
        <w:t xml:space="preserve">Pro srovnání ještě uveďme, že v roce 2017 poskytlo MV obcím příspěvek na stavební působnost ve výši </w:t>
      </w:r>
      <w:r w:rsidR="004E3AFB" w:rsidRPr="001B642D">
        <w:rPr>
          <w:sz w:val="24"/>
          <w:szCs w:val="22"/>
        </w:rPr>
        <w:t>1 028 446</w:t>
      </w:r>
      <w:r w:rsidR="0071533A" w:rsidRPr="001B642D">
        <w:rPr>
          <w:sz w:val="24"/>
          <w:szCs w:val="22"/>
        </w:rPr>
        <w:t> </w:t>
      </w:r>
      <w:r w:rsidR="004E3AFB" w:rsidRPr="001B642D">
        <w:rPr>
          <w:sz w:val="24"/>
          <w:szCs w:val="22"/>
        </w:rPr>
        <w:t>898</w:t>
      </w:r>
      <w:r w:rsidR="0071533A" w:rsidRPr="001B642D">
        <w:rPr>
          <w:sz w:val="24"/>
          <w:szCs w:val="22"/>
        </w:rPr>
        <w:t xml:space="preserve"> </w:t>
      </w:r>
      <w:r w:rsidR="001D32C5" w:rsidRPr="001B642D">
        <w:rPr>
          <w:sz w:val="24"/>
          <w:szCs w:val="22"/>
        </w:rPr>
        <w:t>Kč</w:t>
      </w:r>
      <w:r w:rsidR="001D32C5" w:rsidRPr="00C13F6A">
        <w:rPr>
          <w:sz w:val="24"/>
          <w:szCs w:val="22"/>
        </w:rPr>
        <w:t>.</w:t>
      </w:r>
      <w:r w:rsidR="00162CB7">
        <w:t>)</w:t>
      </w:r>
    </w:p>
    <w:p w:rsidR="00536FE6" w:rsidRDefault="00536FE6"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19</w:t>
      </w:r>
      <w:r w:rsidR="00AB65E9">
        <w:rPr>
          <w:noProof/>
        </w:rPr>
        <w:fldChar w:fldCharType="end"/>
      </w:r>
      <w:r>
        <w:t>: Odhad příjmů ze správních poplatků</w:t>
      </w:r>
      <w:r w:rsidRPr="00536FE6">
        <w:rPr>
          <w:vertAlign w:val="superscript"/>
        </w:rPr>
        <w:t>*</w:t>
      </w:r>
    </w:p>
    <w:tbl>
      <w:tblPr>
        <w:tblStyle w:val="Svtlstnovn1"/>
        <w:tblW w:w="9073" w:type="dxa"/>
        <w:tblInd w:w="108" w:type="dxa"/>
        <w:tblLayout w:type="fixed"/>
        <w:tblLook w:val="04A0" w:firstRow="1" w:lastRow="0" w:firstColumn="1" w:lastColumn="0" w:noHBand="0" w:noVBand="1"/>
      </w:tblPr>
      <w:tblGrid>
        <w:gridCol w:w="5245"/>
        <w:gridCol w:w="1227"/>
        <w:gridCol w:w="2601"/>
      </w:tblGrid>
      <w:tr w:rsidR="005909E2" w:rsidRPr="005909E2" w:rsidTr="00215D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tcPr>
          <w:p w:rsidR="005909E2" w:rsidRPr="006462BF" w:rsidRDefault="005909E2" w:rsidP="003E4A5D">
            <w:pPr>
              <w:widowControl w:val="0"/>
              <w:spacing w:before="0" w:after="0"/>
              <w:jc w:val="left"/>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Úkon</w:t>
            </w:r>
          </w:p>
        </w:tc>
        <w:tc>
          <w:tcPr>
            <w:tcW w:w="1227" w:type="dxa"/>
            <w:noWrap/>
            <w:vAlign w:val="center"/>
          </w:tcPr>
          <w:p w:rsidR="005909E2" w:rsidRPr="006462BF" w:rsidRDefault="006462B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Počet</w:t>
            </w:r>
          </w:p>
        </w:tc>
        <w:tc>
          <w:tcPr>
            <w:tcW w:w="2601" w:type="dxa"/>
            <w:noWrap/>
            <w:vAlign w:val="center"/>
          </w:tcPr>
          <w:p w:rsidR="005909E2" w:rsidRPr="006462BF" w:rsidRDefault="006462B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Odhad příjmu ze správních poplatků</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územních souhlasů</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49 280</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88 704 000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 xml:space="preserve">počet vydaných územních rozhodnutí </w:t>
            </w:r>
          </w:p>
        </w:tc>
        <w:tc>
          <w:tcPr>
            <w:tcW w:w="1227"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28 563</w:t>
            </w: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51 413 400</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ind w:right="-1241"/>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územních rozhodnutí ve zjednodušeném řízení</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869</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869 000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souhlasů s</w:t>
            </w:r>
            <w:r w:rsidR="00FA140B">
              <w:rPr>
                <w:rFonts w:ascii="Calibri" w:eastAsia="Times New Roman" w:hAnsi="Calibri" w:cs="Calibri"/>
                <w:b w:val="0"/>
                <w:sz w:val="20"/>
                <w:szCs w:val="20"/>
                <w:lang w:eastAsia="cs-CZ"/>
              </w:rPr>
              <w:t> </w:t>
            </w:r>
            <w:r w:rsidRPr="005909E2">
              <w:rPr>
                <w:rFonts w:ascii="Calibri" w:eastAsia="Times New Roman" w:hAnsi="Calibri" w:cs="Calibri"/>
                <w:b w:val="0"/>
                <w:sz w:val="20"/>
                <w:szCs w:val="20"/>
                <w:lang w:eastAsia="cs-CZ"/>
              </w:rPr>
              <w:t>ohlášením</w:t>
            </w:r>
          </w:p>
        </w:tc>
        <w:tc>
          <w:tcPr>
            <w:tcW w:w="1227"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17 158</w:t>
            </w: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124 266 000</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 xml:space="preserve">počet vydaných stavebních povolení </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20 711</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48 042 400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right"/>
              <w:rPr>
                <w:rFonts w:ascii="Calibri" w:eastAsia="Times New Roman" w:hAnsi="Calibri" w:cs="Calibri"/>
                <w:b w:val="0"/>
                <w:sz w:val="20"/>
                <w:szCs w:val="20"/>
                <w:lang w:eastAsia="cs-CZ"/>
              </w:rPr>
            </w:pPr>
          </w:p>
        </w:tc>
        <w:tc>
          <w:tcPr>
            <w:tcW w:w="1227" w:type="dxa"/>
            <w:noWrap/>
            <w:vAlign w:val="center"/>
            <w:hideMark/>
          </w:tcPr>
          <w:p w:rsidR="005909E2" w:rsidRPr="005909E2" w:rsidRDefault="005909E2"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0"/>
                <w:szCs w:val="20"/>
                <w:lang w:eastAsia="cs-CZ"/>
              </w:rPr>
            </w:pPr>
            <w:r w:rsidRPr="005909E2">
              <w:rPr>
                <w:rFonts w:ascii="Calibri" w:eastAsia="Times New Roman" w:hAnsi="Calibri" w:cs="Calibri"/>
                <w:b/>
                <w:sz w:val="20"/>
                <w:szCs w:val="20"/>
                <w:lang w:eastAsia="cs-CZ"/>
              </w:rPr>
              <w:t>313 294 800</w:t>
            </w:r>
          </w:p>
        </w:tc>
      </w:tr>
    </w:tbl>
    <w:p w:rsidR="006462BF" w:rsidRDefault="006462BF" w:rsidP="003E4A5D">
      <w:pPr>
        <w:pStyle w:val="Citt"/>
      </w:pPr>
      <w:r>
        <w:t>Zdroj: ÚÚR, zákon o správních poplatcích, ČSÚ, výpočet autorů</w:t>
      </w:r>
    </w:p>
    <w:p w:rsidR="005909E2" w:rsidRDefault="006462BF" w:rsidP="003E4A5D">
      <w:pPr>
        <w:pStyle w:val="Citt"/>
      </w:pPr>
      <w:r w:rsidRPr="00697E2F">
        <w:rPr>
          <w:vertAlign w:val="superscript"/>
        </w:rPr>
        <w:t>*</w:t>
      </w:r>
      <w:r>
        <w:t>Předpoklady: podíl BD vůči RD cca 1/5 (dle počtu dokončených staveb dle ČSÚ)</w:t>
      </w:r>
      <w:r w:rsidR="00536FE6">
        <w:t>; tento předpoklad byl</w:t>
      </w:r>
      <w:r w:rsidR="00697E2F">
        <w:t xml:space="preserve"> učiněn, protože výše správního poplatku se u žádostí k BD a RD liší</w:t>
      </w:r>
    </w:p>
    <w:p w:rsidR="005909E2" w:rsidRPr="001D32C5" w:rsidRDefault="006462BF" w:rsidP="003E4A5D">
      <w:pPr>
        <w:widowControl w:val="0"/>
      </w:pPr>
      <w:r>
        <w:t xml:space="preserve">Předcházející tabulka zachycuje odhadované příjmy ze správních poplatků v agendě OSÚ. Protože jsou sečteny </w:t>
      </w:r>
      <w:r w:rsidRPr="00F33442">
        <w:t xml:space="preserve">ne všechny položky ze seznamu zákona o správních poplatcích, nicméně jsou započítány nejčetnější úkony agendy, </w:t>
      </w:r>
      <w:r w:rsidR="002E1975">
        <w:t>je možné</w:t>
      </w:r>
      <w:r w:rsidR="002E1975" w:rsidRPr="00F33442">
        <w:t xml:space="preserve"> </w:t>
      </w:r>
      <w:r w:rsidRPr="00F33442">
        <w:t xml:space="preserve">tuto hodnotu považovat za </w:t>
      </w:r>
      <w:r w:rsidR="00D86D76" w:rsidRPr="00F33442">
        <w:t xml:space="preserve">relativně vypovídající spodní hranici, tj. konzervativní odhad příjmů OSÚ ze správních poplatků. Pokud </w:t>
      </w:r>
      <w:r w:rsidR="002E1975">
        <w:t>bychom přijali</w:t>
      </w:r>
      <w:r w:rsidR="002E1975" w:rsidRPr="00F33442">
        <w:t xml:space="preserve"> </w:t>
      </w:r>
      <w:r w:rsidR="00D86D76" w:rsidRPr="00F33442">
        <w:t>hypotézu</w:t>
      </w:r>
      <w:r w:rsidR="00E52C10" w:rsidRPr="00F33442">
        <w:t xml:space="preserve">, že </w:t>
      </w:r>
      <w:r w:rsidR="00F33442" w:rsidRPr="00F33442">
        <w:t xml:space="preserve">míra krytí nákladů </w:t>
      </w:r>
      <w:r w:rsidR="00F33442">
        <w:t xml:space="preserve">na výkon agendy </w:t>
      </w:r>
      <w:r w:rsidR="00F33442" w:rsidRPr="00F33442">
        <w:t xml:space="preserve">příspěvkem na PP dosahuje </w:t>
      </w:r>
      <w:r w:rsidR="002E1975" w:rsidRPr="00F33442">
        <w:t>u</w:t>
      </w:r>
      <w:r w:rsidR="002E1975">
        <w:t> </w:t>
      </w:r>
      <w:r w:rsidR="00F33442" w:rsidRPr="00F33442">
        <w:t>ORP téměř 100 % (viz závěry</w:t>
      </w:r>
      <w:r w:rsidR="00F33442">
        <w:t xml:space="preserve"> </w:t>
      </w:r>
      <w:r w:rsidR="00D86D76" w:rsidRPr="00F33442">
        <w:t>Analýz</w:t>
      </w:r>
      <w:r w:rsidR="00F33442" w:rsidRPr="00F33442">
        <w:t>y</w:t>
      </w:r>
      <w:r w:rsidR="00D86D76" w:rsidRPr="00F33442">
        <w:t xml:space="preserve"> financování výkonu státní správy a samosprávy</w:t>
      </w:r>
      <w:r w:rsidR="00F33442" w:rsidRPr="00F33442">
        <w:rPr>
          <w:rStyle w:val="Znakapoznpodarou"/>
        </w:rPr>
        <w:footnoteReference w:id="10"/>
      </w:r>
      <w:r w:rsidR="00F33442" w:rsidRPr="00F33442">
        <w:t xml:space="preserve"> )</w:t>
      </w:r>
      <w:r w:rsidR="00F33442">
        <w:t xml:space="preserve">, mohou příjmy ze správních poplatků </w:t>
      </w:r>
      <w:r w:rsidR="00B54309">
        <w:t xml:space="preserve">krýt </w:t>
      </w:r>
      <w:r w:rsidR="00F33442">
        <w:t>cca 30 – 40 % nákladů NSÚ.</w:t>
      </w:r>
      <w:r w:rsidR="00F4519C">
        <w:t xml:space="preserve"> Tato informace může být zajímavá pro návrh způsobu financování nové struktury. Částka se však neobjeví v závěrečném souhrnu, neboť se nejedná o změnovou hodnotu.)</w:t>
      </w:r>
    </w:p>
    <w:p w:rsidR="007E62EE" w:rsidRPr="00A86D52" w:rsidRDefault="00162CB7" w:rsidP="003E4A5D">
      <w:pPr>
        <w:widowControl w:val="0"/>
        <w:rPr>
          <w:i/>
          <w:u w:val="single"/>
        </w:rPr>
      </w:pPr>
      <w:r>
        <w:rPr>
          <w:i/>
          <w:u w:val="single"/>
        </w:rPr>
        <w:t>A</w:t>
      </w:r>
      <w:r w:rsidR="007E62EE" w:rsidRPr="00A86D52">
        <w:rPr>
          <w:i/>
          <w:u w:val="single"/>
        </w:rPr>
        <w:t>dministrativní náklad</w:t>
      </w:r>
      <w:r w:rsidR="007D4E2C">
        <w:rPr>
          <w:i/>
          <w:u w:val="single"/>
        </w:rPr>
        <w:t>y</w:t>
      </w:r>
      <w:r w:rsidR="00C13F6A">
        <w:rPr>
          <w:i/>
          <w:u w:val="single"/>
        </w:rPr>
        <w:t xml:space="preserve"> </w:t>
      </w:r>
    </w:p>
    <w:p w:rsidR="007E62EE" w:rsidRDefault="007E62EE" w:rsidP="003E4A5D">
      <w:pPr>
        <w:widowControl w:val="0"/>
      </w:pPr>
      <w:r>
        <w:t>Pokud budou úřady vykonávající PP vyčleněny mimo obecní a krajské úřad</w:t>
      </w:r>
      <w:r w:rsidR="00FC1277">
        <w:t>y</w:t>
      </w:r>
      <w:r>
        <w:t xml:space="preserve"> vykonávající SP, vzroste administrativa daná potřebou komunikace mezi úřady. Jedná se jednak o posílání materiálů a žádostí přes datové schránky, v listinné podobě, třídění pošty, rozdělení úkolů pro vzájemnou komunikaci atp. Konkrétně lze toto nejlépe ilustrovat </w:t>
      </w:r>
      <w:r w:rsidR="00686D84">
        <w:t>například</w:t>
      </w:r>
      <w:r>
        <w:t xml:space="preserve"> na agendě </w:t>
      </w:r>
      <w:r w:rsidR="002E1975">
        <w:t>ÚÚP</w:t>
      </w:r>
      <w:r>
        <w:t xml:space="preserve"> a OSÚ, kdy kvůli složitější komunikaci může dojít k prodloužení procesu schvalování </w:t>
      </w:r>
      <w:r w:rsidR="00614984">
        <w:t>a vydávání ÚP</w:t>
      </w:r>
      <w:r>
        <w:t>. Zmínit lze i agendy, kde v některých případech dochází dokonce ke sporům, zda daný úkon patří do výkonu SP či PP.</w:t>
      </w:r>
    </w:p>
    <w:p w:rsidR="007E62EE" w:rsidRDefault="007E62EE" w:rsidP="003E4A5D">
      <w:pPr>
        <w:widowControl w:val="0"/>
      </w:pPr>
      <w:r>
        <w:t xml:space="preserve">Na základě konzultací </w:t>
      </w:r>
      <w:r w:rsidR="00105A5C">
        <w:t>se odhaduje</w:t>
      </w:r>
      <w:r>
        <w:t>, že nárůst těchto administrativních nákladů může představovat přibližně 1 % nákladů současné agendy úřadů</w:t>
      </w:r>
      <w:r w:rsidR="004A174A">
        <w:t xml:space="preserve">. </w:t>
      </w:r>
      <w:r>
        <w:t xml:space="preserve">Toto 1 % odpovídá cca </w:t>
      </w:r>
      <w:r w:rsidR="00A701CD">
        <w:t>96</w:t>
      </w:r>
      <w:r>
        <w:t xml:space="preserve"> mil. Kč za rok</w:t>
      </w:r>
      <w:r>
        <w:rPr>
          <w:rStyle w:val="Znakapoznpodarou"/>
        </w:rPr>
        <w:footnoteReference w:id="11"/>
      </w:r>
      <w:r w:rsidR="004A174A">
        <w:t xml:space="preserve">, pokud </w:t>
      </w:r>
      <w:r w:rsidR="00105A5C">
        <w:t>se </w:t>
      </w:r>
      <w:r w:rsidR="004A174A">
        <w:t xml:space="preserve">bude předpokládat, že komunikací se samosprávou nad rámec současného stavu stráví úředník </w:t>
      </w:r>
      <w:r w:rsidR="00105A5C">
        <w:t>i </w:t>
      </w:r>
      <w:r w:rsidR="004A174A">
        <w:t>jeho protistrana 5 min. denně</w:t>
      </w:r>
      <w:r>
        <w:t xml:space="preserve">. </w:t>
      </w:r>
    </w:p>
    <w:p w:rsidR="007E62EE" w:rsidRPr="00BD074B" w:rsidRDefault="007E62EE" w:rsidP="003E4A5D">
      <w:pPr>
        <w:pStyle w:val="Textkomente"/>
        <w:widowControl w:val="0"/>
        <w:rPr>
          <w:sz w:val="24"/>
          <w:szCs w:val="22"/>
        </w:rPr>
      </w:pPr>
      <w:r w:rsidRPr="00BD074B">
        <w:rPr>
          <w:sz w:val="24"/>
          <w:szCs w:val="22"/>
        </w:rPr>
        <w:t xml:space="preserve">Další administrativní náklady vzniknou na straně úřadů, protože jako dva samostatné úřady budou oba potřebovat vést účetnictví a vykonávat další činnosti obdobného charakteru. Jednou </w:t>
      </w:r>
      <w:r w:rsidRPr="00BD074B">
        <w:rPr>
          <w:sz w:val="24"/>
          <w:szCs w:val="22"/>
        </w:rPr>
        <w:lastRenderedPageBreak/>
        <w:t xml:space="preserve">z variant je možnost, </w:t>
      </w:r>
      <w:r w:rsidR="004A174A" w:rsidRPr="00BD074B">
        <w:rPr>
          <w:sz w:val="24"/>
          <w:szCs w:val="22"/>
        </w:rPr>
        <w:t xml:space="preserve">že by tyto činnosti byly vedeny na úrovni krajských stavebních úřadů, které by činnost vykonávaly za všechny kraji podřízené místní stavební úřady. Tím by bylo dosaženo úspor, protože by každý stavební úřad nemusel mít </w:t>
      </w:r>
      <w:r w:rsidR="00686D84">
        <w:rPr>
          <w:sz w:val="24"/>
          <w:szCs w:val="22"/>
        </w:rPr>
        <w:t>například</w:t>
      </w:r>
      <w:r w:rsidR="004A174A" w:rsidRPr="00BD074B">
        <w:rPr>
          <w:sz w:val="24"/>
          <w:szCs w:val="22"/>
        </w:rPr>
        <w:t xml:space="preserve"> svého vlastního účetního (byť jen na částečný úvazek).</w:t>
      </w:r>
    </w:p>
    <w:p w:rsidR="007E62EE" w:rsidRDefault="007E62EE" w:rsidP="003E4A5D">
      <w:pPr>
        <w:widowControl w:val="0"/>
      </w:pPr>
      <w:r>
        <w:t xml:space="preserve">Na vzorku 28 náhodně vybraných ORP bylo zjištěno, že jejich odbory finanční a ekonomické zaměstnávaly 7 – 14 pracovníků, v mediánu pak 9 pracovníků. </w:t>
      </w:r>
      <w:r w:rsidR="009C0AC0">
        <w:t xml:space="preserve">Celkový mediánový počet pracovníků </w:t>
      </w:r>
      <w:r w:rsidR="009C0AC0" w:rsidRPr="00C63EA8">
        <w:t xml:space="preserve">úřadu činil 138; tj. na každého pracovníka úřadu připadalo 0,07 pracovníka finančního a ekonomického odboru. </w:t>
      </w:r>
      <w:r w:rsidRPr="00C63EA8">
        <w:t xml:space="preserve">Pokud </w:t>
      </w:r>
      <w:r w:rsidR="00105A5C">
        <w:t xml:space="preserve">se </w:t>
      </w:r>
      <w:r w:rsidR="009C0AC0" w:rsidRPr="00C63EA8">
        <w:t xml:space="preserve">bude pracovat s počtem zaměstnanců stavebních úřadů </w:t>
      </w:r>
      <w:r w:rsidR="00FD4D33" w:rsidRPr="00C63EA8">
        <w:t>dle ÚÚR 6 470 (2017),</w:t>
      </w:r>
      <w:r w:rsidRPr="00C63EA8">
        <w:t xml:space="preserve"> </w:t>
      </w:r>
      <w:r w:rsidR="00105A5C">
        <w:t>bude třeba</w:t>
      </w:r>
      <w:r w:rsidR="00105A5C" w:rsidRPr="00C63EA8">
        <w:t xml:space="preserve"> </w:t>
      </w:r>
      <w:r w:rsidR="00FD4D33" w:rsidRPr="00C63EA8">
        <w:t xml:space="preserve">440 potřebných </w:t>
      </w:r>
      <w:r w:rsidR="00F4519C" w:rsidRPr="00C63EA8">
        <w:t xml:space="preserve">nových </w:t>
      </w:r>
      <w:r w:rsidR="00F53BF4">
        <w:t>pracovních sil na účetní a </w:t>
      </w:r>
      <w:r w:rsidR="00372C9E" w:rsidRPr="00C63EA8">
        <w:t>e</w:t>
      </w:r>
      <w:r w:rsidR="00FD4D33" w:rsidRPr="00C63EA8">
        <w:t>konomické odbor</w:t>
      </w:r>
      <w:r w:rsidR="00372C9E" w:rsidRPr="00C63EA8">
        <w:t>y</w:t>
      </w:r>
      <w:r w:rsidR="00FD4D33" w:rsidRPr="00C63EA8">
        <w:t xml:space="preserve"> na straně nového NSÚ</w:t>
      </w:r>
      <w:r w:rsidR="00F4519C" w:rsidRPr="00C63EA8">
        <w:t xml:space="preserve"> při potřebě tyto pozice zdvojnásobit</w:t>
      </w:r>
      <w:r w:rsidR="00372C9E" w:rsidRPr="00C63EA8">
        <w:t xml:space="preserve"> a </w:t>
      </w:r>
      <w:r w:rsidRPr="00C63EA8">
        <w:t xml:space="preserve">hrubou částku </w:t>
      </w:r>
      <w:r w:rsidR="00372C9E" w:rsidRPr="00C63EA8">
        <w:t>max. cca 314 mil. Kč</w:t>
      </w:r>
      <w:r w:rsidRPr="00C63EA8">
        <w:t>.</w:t>
      </w:r>
      <w:r w:rsidR="00BD074B" w:rsidRPr="00C63EA8">
        <w:t xml:space="preserve"> </w:t>
      </w:r>
      <w:r w:rsidR="00C63EA8" w:rsidRPr="00C63EA8">
        <w:t xml:space="preserve">Toto je maximální, </w:t>
      </w:r>
      <w:r w:rsidR="00FC1277">
        <w:t>nikoliv</w:t>
      </w:r>
      <w:r w:rsidR="00C63EA8" w:rsidRPr="00C63EA8">
        <w:t xml:space="preserve"> konzervativní odhad. S velkou pravděpodobností o celkové zdvojnásobení nepůjde.</w:t>
      </w:r>
    </w:p>
    <w:p w:rsidR="007E62EE" w:rsidRPr="0015275C" w:rsidRDefault="007E62EE" w:rsidP="003E4A5D">
      <w:pPr>
        <w:widowControl w:val="0"/>
        <w:rPr>
          <w:i/>
          <w:u w:val="single"/>
        </w:rPr>
      </w:pPr>
      <w:r w:rsidRPr="0015275C">
        <w:rPr>
          <w:i/>
          <w:u w:val="single"/>
        </w:rPr>
        <w:t>Pronájem nových kancelářských prostor a prostor pro ukládání spisové dokumentace</w:t>
      </w:r>
    </w:p>
    <w:p w:rsidR="007E62EE" w:rsidRDefault="008207F6" w:rsidP="003E4A5D">
      <w:pPr>
        <w:widowControl w:val="0"/>
      </w:pPr>
      <w:r>
        <w:t>Jak již bylo uvedeno výše, k</w:t>
      </w:r>
      <w:r w:rsidR="007E62EE">
        <w:t xml:space="preserve"> odhadu jednorázových nákladů na vytvoření jednoho úředního pracovního místa lze použít buď </w:t>
      </w:r>
      <w:r w:rsidR="0015275C">
        <w:t xml:space="preserve">fixní hodnotu, </w:t>
      </w:r>
      <w:r w:rsidR="00AB6B90">
        <w:t>která se odhaduje na</w:t>
      </w:r>
      <w:r w:rsidR="0015275C">
        <w:t xml:space="preserve"> cca 100 000 Kč (</w:t>
      </w:r>
      <w:r w:rsidR="007E62EE">
        <w:t>tyto náklady vycházejí z výše nájmu, z poplatků za služby a počtu metrů čtverečních kancelářských prostor připadajících na jednoho zaměstnance</w:t>
      </w:r>
      <w:r w:rsidR="0015275C">
        <w:t xml:space="preserve"> aj.</w:t>
      </w:r>
      <w:r w:rsidR="007E62EE">
        <w:t>)</w:t>
      </w:r>
      <w:r w:rsidR="00AB6B90">
        <w:t>,</w:t>
      </w:r>
      <w:r w:rsidR="007E62EE">
        <w:t xml:space="preserve"> či vlastního výpočtu při dostatečném množství dostupných dat</w:t>
      </w:r>
      <w:r w:rsidR="00717A75">
        <w:t xml:space="preserve"> (tj. již při konkrétní znalosti ohledně budoucí</w:t>
      </w:r>
      <w:r w:rsidR="00F53BF4">
        <w:t>ho sídla NSÚ, podřízených ÚÚP a </w:t>
      </w:r>
      <w:r w:rsidR="00717A75">
        <w:t xml:space="preserve">stavebních úřadů a </w:t>
      </w:r>
      <w:r w:rsidR="000D021D">
        <w:t>územní</w:t>
      </w:r>
      <w:r w:rsidR="00717A75">
        <w:t>ch pracovišť)</w:t>
      </w:r>
      <w:r w:rsidR="007E62EE">
        <w:t xml:space="preserve">. </w:t>
      </w:r>
      <w:r w:rsidR="00717A75">
        <w:t>Odhad dle postupu uvedeného v první větě byl již proveden výše.</w:t>
      </w:r>
      <w:r w:rsidR="00804432">
        <w:t xml:space="preserve"> Částka určená na vybavení pracovního místa počítá s pořizováním moderních zařízení odpovídajících potřebám úředníků a požadavkům stanoveným v rámci procesu digitalizace agend. </w:t>
      </w:r>
    </w:p>
    <w:p w:rsidR="007E62EE" w:rsidRDefault="007E62EE" w:rsidP="003E4A5D">
      <w:pPr>
        <w:widowControl w:val="0"/>
      </w:pPr>
      <w:r>
        <w:t xml:space="preserve">Vlastní výpočet by probíhal následovně. Pro výpočet nákladů na pronájem kanceláří a prostor pro ukládání dokumentace </w:t>
      </w:r>
      <w:r w:rsidR="00AB6B90">
        <w:t>počítáme s tím</w:t>
      </w:r>
      <w:r>
        <w:t>, že by měla být dokumentace dostupná pro úředníky</w:t>
      </w:r>
      <w:r w:rsidR="00FC1277">
        <w:t>,</w:t>
      </w:r>
      <w:r>
        <w:t xml:space="preserve"> a že může být ukládána v některé/některých z místností kancelářských prostor. Výsledná požadovaná plocha by pak byla součtem požadavku na prostor pro ukládání dokumentace a požadavku na velikost kanceláře. Odhad potřebných nákladů by měl být činěn na základě tržní nabídky kancelářských prostor na trhu. </w:t>
      </w:r>
    </w:p>
    <w:p w:rsidR="007E62EE" w:rsidRDefault="007E62EE" w:rsidP="003E4A5D">
      <w:pPr>
        <w:widowControl w:val="0"/>
      </w:pPr>
      <w:r>
        <w:t>Požadavek na prostor kanceláře může být reprezentován přibližně následujícím vzorcem:</w:t>
      </w:r>
    </w:p>
    <w:p w:rsidR="007E62EE" w:rsidRDefault="007750E9" w:rsidP="003E4A5D">
      <w:pPr>
        <w:widowControl w:val="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=X+5∙z</m:t>
          </m:r>
        </m:oMath>
      </m:oMathPara>
    </w:p>
    <w:p w:rsidR="00E37CD4" w:rsidRDefault="007E62EE" w:rsidP="003E4A5D">
      <w:pPr>
        <w:widowControl w:val="0"/>
      </w:pPr>
      <w:r>
        <w:t>kde:</w:t>
      </w:r>
    </w:p>
    <w:p w:rsidR="007E62EE" w:rsidRDefault="007E62EE" w:rsidP="003E4A5D">
      <w:pPr>
        <w:widowControl w:val="0"/>
      </w:pPr>
      <w:r>
        <w:tab/>
        <w:t>Y</w:t>
      </w:r>
      <w:r>
        <w:rPr>
          <w:vertAlign w:val="subscript"/>
        </w:rPr>
        <w:t>1</w:t>
      </w:r>
      <w:r>
        <w:t>………….. je požadovaná plocha v metrech čtverečních</w:t>
      </w:r>
    </w:p>
    <w:p w:rsidR="007E62EE" w:rsidRDefault="007E62EE" w:rsidP="003E4A5D">
      <w:pPr>
        <w:widowControl w:val="0"/>
      </w:pPr>
      <w:r>
        <w:tab/>
        <w:t>X…………… je 10 - 50 m</w:t>
      </w:r>
      <w:r>
        <w:rPr>
          <w:vertAlign w:val="superscript"/>
        </w:rPr>
        <w:t>2</w:t>
      </w:r>
      <w:r>
        <w:tab/>
      </w:r>
    </w:p>
    <w:p w:rsidR="007E62EE" w:rsidRDefault="007E62EE" w:rsidP="003E4A5D">
      <w:pPr>
        <w:widowControl w:val="0"/>
      </w:pPr>
      <w:r>
        <w:tab/>
        <w:t>z……………. je počet zaměstnanců úřadu</w:t>
      </w:r>
    </w:p>
    <w:p w:rsidR="007E62EE" w:rsidRDefault="007E62EE" w:rsidP="003E4A5D">
      <w:pPr>
        <w:widowControl w:val="0"/>
      </w:pPr>
      <w:r>
        <w:t>Následující vzorec může vyjadřovat požadovaný prostor pro ukládání dokumentace:</w:t>
      </w:r>
    </w:p>
    <w:p w:rsidR="007E62EE" w:rsidRDefault="007750E9" w:rsidP="003E4A5D">
      <w:pPr>
        <w:widowControl w:val="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10</m:t>
              </m:r>
            </m:sub>
          </m:sSub>
          <m:r>
            <w:rPr>
              <w:rFonts w:ascii="Cambria Math" w:hAnsi="Cambria Math"/>
            </w:rPr>
            <m:t>∙0,005</m:t>
          </m:r>
        </m:oMath>
      </m:oMathPara>
    </w:p>
    <w:p w:rsidR="00E37CD4" w:rsidRDefault="007E62EE" w:rsidP="003E4A5D">
      <w:pPr>
        <w:widowControl w:val="0"/>
      </w:pPr>
      <w:r>
        <w:t>kde:</w:t>
      </w:r>
    </w:p>
    <w:p w:rsidR="007E62EE" w:rsidRDefault="007E62EE" w:rsidP="003E4A5D">
      <w:pPr>
        <w:widowControl w:val="0"/>
        <w:rPr>
          <w:vertAlign w:val="superscript"/>
        </w:rPr>
      </w:pPr>
      <w:r>
        <w:tab/>
        <w:t>Y</w:t>
      </w:r>
      <w:r>
        <w:rPr>
          <w:vertAlign w:val="subscript"/>
        </w:rPr>
        <w:t>2</w:t>
      </w:r>
      <w:r>
        <w:t>…………</w:t>
      </w:r>
      <w:r>
        <w:tab/>
        <w:t>je požadovaná plocha pro spisovnu v m</w:t>
      </w:r>
      <w:r>
        <w:rPr>
          <w:vertAlign w:val="superscript"/>
        </w:rPr>
        <w:t>2</w:t>
      </w:r>
    </w:p>
    <w:p w:rsidR="007E62EE" w:rsidRDefault="007E62EE" w:rsidP="003E4A5D">
      <w:pPr>
        <w:widowControl w:val="0"/>
      </w:pPr>
      <w:r>
        <w:tab/>
        <w:t>U</w:t>
      </w:r>
      <w:r>
        <w:rPr>
          <w:vertAlign w:val="subscript"/>
        </w:rPr>
        <w:t>10</w:t>
      </w:r>
      <w:r>
        <w:t>…………</w:t>
      </w:r>
      <w:r>
        <w:tab/>
        <w:t>je odhadovaný počet úkonů úřadu za posledních 10 let</w:t>
      </w:r>
    </w:p>
    <w:p w:rsidR="007E62EE" w:rsidRDefault="007E62EE" w:rsidP="003E4A5D">
      <w:pPr>
        <w:widowControl w:val="0"/>
      </w:pPr>
      <w:r>
        <w:t xml:space="preserve">Požadovaný prostor pro ukládání dokumentace a prostor kanceláře je sečten a tomuto prostoru je přiřazena cena na základě velikosti úřadu a realitních charakteristik obce. </w:t>
      </w:r>
    </w:p>
    <w:p w:rsidR="007E62EE" w:rsidRDefault="007E62EE" w:rsidP="003E4A5D">
      <w:pPr>
        <w:widowControl w:val="0"/>
      </w:pPr>
      <w:r>
        <w:t xml:space="preserve">Možností je i, dle preferencí </w:t>
      </w:r>
      <w:r w:rsidR="00717A75">
        <w:t>samosprávy</w:t>
      </w:r>
      <w:r>
        <w:t xml:space="preserve">, pronájem současných prostor obecních a krajských úřadů. Otázkou je, jaký nájem by si </w:t>
      </w:r>
      <w:r w:rsidR="00717A75">
        <w:t>samosprávy</w:t>
      </w:r>
      <w:r>
        <w:t xml:space="preserve"> účtoval</w:t>
      </w:r>
      <w:r w:rsidR="00717A75">
        <w:t>y</w:t>
      </w:r>
      <w:r>
        <w:t xml:space="preserve"> za využití prostor. </w:t>
      </w:r>
      <w:r w:rsidR="00B50F2B">
        <w:t>Z</w:t>
      </w:r>
      <w:r>
        <w:t xml:space="preserve">de </w:t>
      </w:r>
      <w:r w:rsidR="00B50F2B">
        <w:t xml:space="preserve">je třeba vycházet </w:t>
      </w:r>
      <w:r>
        <w:t xml:space="preserve">z předpokladu efektivního trhu, kdy </w:t>
      </w:r>
      <w:r w:rsidR="00717A75">
        <w:t>stavební úřad</w:t>
      </w:r>
      <w:r>
        <w:t xml:space="preserve"> bude hledat co možná nejlevnější a dostatečně </w:t>
      </w:r>
      <w:r>
        <w:lastRenderedPageBreak/>
        <w:t xml:space="preserve">reprezentativní prostory pro kanceláře a spisovnu a zároveň </w:t>
      </w:r>
      <w:r w:rsidR="00717A75">
        <w:t>samosprávy</w:t>
      </w:r>
      <w:r>
        <w:t xml:space="preserve"> se budou snažit pronajmout své prostory za </w:t>
      </w:r>
      <w:r w:rsidR="00717A75">
        <w:t>tržní cenu</w:t>
      </w:r>
      <w:r>
        <w:t xml:space="preserve">. </w:t>
      </w:r>
      <w:r w:rsidR="00701B77">
        <w:t>Je třeba předpokládat</w:t>
      </w:r>
      <w:r>
        <w:t xml:space="preserve">, že i v případě, že </w:t>
      </w:r>
      <w:r w:rsidR="00717A75">
        <w:t xml:space="preserve">stavební </w:t>
      </w:r>
      <w:r>
        <w:t xml:space="preserve">úřady zůstanou v dnešních prostorách, budou za </w:t>
      </w:r>
      <w:r w:rsidR="00717A75">
        <w:t>ně</w:t>
      </w:r>
      <w:r>
        <w:t xml:space="preserve"> platit tržní nájem. To, zda bude využit stávající prostor nebo komerční prostor, bude mít pouze dopad na příjmy územních samospráv a výdaje nových úřadů. V celkovém součtu lze tyto dopady započíst proti sobě. Projeví se </w:t>
      </w:r>
      <w:r w:rsidR="00717A75">
        <w:t>pouze</w:t>
      </w:r>
      <w:r w:rsidR="00F53BF4">
        <w:t xml:space="preserve"> u </w:t>
      </w:r>
      <w:r w:rsidR="00717A75">
        <w:t>různých</w:t>
      </w:r>
      <w:r>
        <w:t xml:space="preserve"> dotčených stran.</w:t>
      </w:r>
    </w:p>
    <w:p w:rsidR="007E62EE" w:rsidRDefault="007E62EE" w:rsidP="003E4A5D">
      <w:pPr>
        <w:widowControl w:val="0"/>
      </w:pPr>
      <w:r>
        <w:t>V případě, že bude navíc nutné zajistit novým úředníkům odpovídající vozový park, lze při výpočtu jednorázových nákladů vycházet z následujících předpokladů:</w:t>
      </w:r>
    </w:p>
    <w:p w:rsidR="007E62EE" w:rsidRDefault="007E62EE" w:rsidP="009D4B5F">
      <w:pPr>
        <w:pStyle w:val="Odstavecseseznamem"/>
        <w:widowControl w:val="0"/>
        <w:numPr>
          <w:ilvl w:val="0"/>
          <w:numId w:val="37"/>
        </w:numPr>
        <w:ind w:left="360"/>
      </w:pPr>
      <w:r>
        <w:t>přibližně 1 automobil na 3 pracovní úvazky</w:t>
      </w:r>
    </w:p>
    <w:p w:rsidR="007E62EE" w:rsidRDefault="007E62EE" w:rsidP="009D4B5F">
      <w:pPr>
        <w:pStyle w:val="Odstavecseseznamem"/>
        <w:widowControl w:val="0"/>
        <w:numPr>
          <w:ilvl w:val="0"/>
          <w:numId w:val="37"/>
        </w:numPr>
        <w:ind w:left="360"/>
      </w:pPr>
      <w:r>
        <w:t>průměrná hodnota 1 automobilu dle aktuálních tržních cen.</w:t>
      </w:r>
    </w:p>
    <w:p w:rsidR="007E62EE" w:rsidRDefault="00AD2AE3" w:rsidP="003E4A5D">
      <w:pPr>
        <w:widowControl w:val="0"/>
      </w:pPr>
      <w:r>
        <w:t xml:space="preserve">Při nákupu automobilů dle celkového počtu zaměstnanců stavebních úřadů </w:t>
      </w:r>
      <w:r w:rsidR="00B914FA">
        <w:t xml:space="preserve">a při ceně automobilu </w:t>
      </w:r>
      <w:r w:rsidR="00CB2DB4">
        <w:t xml:space="preserve">do </w:t>
      </w:r>
      <w:r w:rsidR="00B914FA">
        <w:t xml:space="preserve">400 000,- Kč (tj. za předpokladu, že by si celý vozový park ponechaly samosprávy) by náklady činily 780 mil. Kč. Opět </w:t>
      </w:r>
      <w:r w:rsidR="00E37CD4">
        <w:t>ne</w:t>
      </w:r>
      <w:r w:rsidR="00B914FA">
        <w:t>jde o konzervativní</w:t>
      </w:r>
      <w:r w:rsidR="00E37CD4">
        <w:t>, ale o</w:t>
      </w:r>
      <w:r w:rsidR="00B914FA">
        <w:t xml:space="preserve"> maximalistickou hodnotu. </w:t>
      </w:r>
    </w:p>
    <w:p w:rsidR="00FB380D" w:rsidRDefault="00FB380D" w:rsidP="003E4A5D">
      <w:pPr>
        <w:pStyle w:val="Text-Normaln"/>
        <w:widowControl w:val="0"/>
        <w:rPr>
          <w:i/>
          <w:u w:val="single"/>
        </w:rPr>
      </w:pPr>
      <w:r>
        <w:rPr>
          <w:i/>
          <w:u w:val="single"/>
        </w:rPr>
        <w:t>Ilustrace n</w:t>
      </w:r>
      <w:r w:rsidRPr="00FB380D">
        <w:rPr>
          <w:i/>
          <w:u w:val="single"/>
        </w:rPr>
        <w:t>áklad</w:t>
      </w:r>
      <w:r>
        <w:rPr>
          <w:i/>
          <w:u w:val="single"/>
        </w:rPr>
        <w:t>ů</w:t>
      </w:r>
      <w:r w:rsidRPr="00FB380D">
        <w:rPr>
          <w:i/>
          <w:u w:val="single"/>
        </w:rPr>
        <w:t xml:space="preserve"> občanů</w:t>
      </w:r>
      <w:r>
        <w:rPr>
          <w:i/>
          <w:u w:val="single"/>
        </w:rPr>
        <w:t xml:space="preserve"> na dojezd po změně modelu</w:t>
      </w:r>
    </w:p>
    <w:p w:rsidR="00A15323" w:rsidRPr="00FB380D" w:rsidRDefault="00A15323" w:rsidP="003E4A5D">
      <w:pPr>
        <w:pStyle w:val="Text-Normaln"/>
        <w:widowControl w:val="0"/>
      </w:pPr>
      <w:r>
        <w:t xml:space="preserve">Následující obrázek zachycuje hustotu úřadů v ČR. Jak je vidět, stavební úřady jsou po pobočkách CzechPoint a matričních úřadech na třetím místě. Lze si klást otázku, zda vzhledem k potřebě nejen místní znalosti, ale i profesní znalosti v oblasti výstavby a stavebního práva je tento stav vyhovující a zda přínosy z posunu úřadů na úroveň ORP by nepřevážily náklady občanů na dojezd. Pro posouzení tohoto aspektu </w:t>
      </w:r>
      <w:r w:rsidR="00701B77">
        <w:t>jsou uvedeny další obrázky níže</w:t>
      </w:r>
      <w:r>
        <w:t>.</w:t>
      </w:r>
    </w:p>
    <w:p w:rsidR="00B47025" w:rsidRDefault="00B47025" w:rsidP="00B47025">
      <w:pPr>
        <w:pStyle w:val="Titulek"/>
        <w:keepNext/>
      </w:pPr>
      <w:r>
        <w:t xml:space="preserve">Obrázek </w:t>
      </w:r>
      <w:r w:rsidR="00AB65E9">
        <w:rPr>
          <w:noProof/>
        </w:rPr>
        <w:fldChar w:fldCharType="begin"/>
      </w:r>
      <w:r w:rsidR="00A53DB2">
        <w:rPr>
          <w:noProof/>
        </w:rPr>
        <w:instrText xml:space="preserve"> SEQ Obrázek \* ARABIC </w:instrText>
      </w:r>
      <w:r w:rsidR="00AB65E9">
        <w:rPr>
          <w:noProof/>
        </w:rPr>
        <w:fldChar w:fldCharType="separate"/>
      </w:r>
      <w:r w:rsidR="00263A1B">
        <w:rPr>
          <w:noProof/>
        </w:rPr>
        <w:t>16</w:t>
      </w:r>
      <w:r w:rsidR="00AB65E9">
        <w:rPr>
          <w:noProof/>
        </w:rPr>
        <w:fldChar w:fldCharType="end"/>
      </w:r>
      <w:r>
        <w:t>: Hustota úřadů v ČR na 1 000 km</w:t>
      </w:r>
      <w:r>
        <w:rPr>
          <w:vertAlign w:val="superscript"/>
        </w:rPr>
        <w:t>2</w:t>
      </w:r>
    </w:p>
    <w:p w:rsidR="002B13B0" w:rsidRDefault="00A15323" w:rsidP="003E4A5D">
      <w:pPr>
        <w:widowControl w:val="0"/>
      </w:pPr>
      <w:r>
        <w:rPr>
          <w:noProof/>
          <w:lang w:eastAsia="cs-CZ"/>
        </w:rPr>
        <w:drawing>
          <wp:inline distT="0" distB="0" distL="0" distR="0" wp14:anchorId="23EDB593" wp14:editId="715B7B6E">
            <wp:extent cx="5724939" cy="18884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35000"/>
                              </a14:imgEffect>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1888298"/>
                    </a:xfrm>
                    <a:prstGeom prst="rect">
                      <a:avLst/>
                    </a:prstGeom>
                    <a:noFill/>
                  </pic:spPr>
                </pic:pic>
              </a:graphicData>
            </a:graphic>
          </wp:inline>
        </w:drawing>
      </w:r>
    </w:p>
    <w:p w:rsidR="002B13B0" w:rsidRDefault="002B13B0" w:rsidP="003E4A5D">
      <w:pPr>
        <w:pStyle w:val="Citt"/>
      </w:pPr>
      <w:r>
        <w:t xml:space="preserve">Zdroj: </w:t>
      </w:r>
      <w:r w:rsidR="00A15323">
        <w:t>Analýza (2018)</w:t>
      </w:r>
    </w:p>
    <w:p w:rsidR="00A15323" w:rsidRDefault="00A15323" w:rsidP="003E4A5D">
      <w:pPr>
        <w:pStyle w:val="Text-Normaln"/>
        <w:widowControl w:val="0"/>
      </w:pPr>
      <w:r w:rsidRPr="00FB380D">
        <w:t xml:space="preserve">Následující text je převzat z </w:t>
      </w:r>
      <w:r w:rsidRPr="00FB380D">
        <w:rPr>
          <w:i/>
        </w:rPr>
        <w:t>Analýzy vybraných prostorových aspektů veřejné správy a zlepšení dostupnosti jejích služeb</w:t>
      </w:r>
      <w:r>
        <w:rPr>
          <w:i/>
        </w:rPr>
        <w:t xml:space="preserve"> </w:t>
      </w:r>
      <w:r>
        <w:rPr>
          <w:rStyle w:val="Znakapoznpodarou"/>
        </w:rPr>
        <w:footnoteReference w:id="12"/>
      </w:r>
      <w:r>
        <w:rPr>
          <w:i/>
        </w:rPr>
        <w:t>(dále také Analýza (2018))</w:t>
      </w:r>
      <w:r>
        <w:t xml:space="preserve">, která mimo jiné zkoumala dostupnost státní správy pro občany. </w:t>
      </w:r>
    </w:p>
    <w:p w:rsidR="005F5CD4" w:rsidRDefault="005F5CD4" w:rsidP="003E4A5D">
      <w:pPr>
        <w:widowControl w:val="0"/>
      </w:pPr>
      <w:r>
        <w:t>S rostoucí velikostí správního obvodu roste vzdálenost dojezdu do správního centra, průměrná vzdálenost je od 9 km do POÚ až po 43 km do krajského města. Nutno podotknout, že 50 % všech úřadů (tj. medián) je dostupných u POÚ do 8,6 min</w:t>
      </w:r>
      <w:r w:rsidR="00E37CD4">
        <w:t>.</w:t>
      </w:r>
      <w:r>
        <w:t>, u ORP do 11 min, bývalá okresní města do 18 minut a krajská města do 39,5 min. U POÚ má pouze 25 % obcí (tj. horní kvartil) dobu dostupnosti delší než 12,4 min, u ORP je to 16,1 min, u bývalých okresních měst je to nad 25,5 min</w:t>
      </w:r>
      <w:r w:rsidR="00E37CD4">
        <w:t>.</w:t>
      </w:r>
      <w:r>
        <w:t xml:space="preserve"> a u krajských měst nad 53,5 min. </w:t>
      </w:r>
    </w:p>
    <w:p w:rsidR="00701B77" w:rsidRDefault="00701B77" w:rsidP="003E4A5D">
      <w:pPr>
        <w:widowControl w:val="0"/>
      </w:pPr>
    </w:p>
    <w:p w:rsidR="00701B77" w:rsidRDefault="00701B77" w:rsidP="003E4A5D">
      <w:pPr>
        <w:widowControl w:val="0"/>
      </w:pPr>
    </w:p>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20</w:t>
      </w:r>
      <w:r w:rsidR="00AB65E9">
        <w:rPr>
          <w:noProof/>
        </w:rPr>
        <w:fldChar w:fldCharType="end"/>
      </w:r>
      <w:r>
        <w:t>: Základní statistické charakteristiky</w:t>
      </w:r>
    </w:p>
    <w:tbl>
      <w:tblPr>
        <w:tblStyle w:val="Barevntabulkaseznamu6zvraznn51"/>
        <w:tblW w:w="4885" w:type="pct"/>
        <w:tblInd w:w="108" w:type="dxa"/>
        <w:tblLayout w:type="fixed"/>
        <w:tblLook w:val="04A0" w:firstRow="1" w:lastRow="0" w:firstColumn="1" w:lastColumn="0" w:noHBand="0" w:noVBand="1"/>
      </w:tblPr>
      <w:tblGrid>
        <w:gridCol w:w="2744"/>
        <w:gridCol w:w="762"/>
        <w:gridCol w:w="762"/>
        <w:gridCol w:w="800"/>
        <w:gridCol w:w="896"/>
        <w:gridCol w:w="762"/>
        <w:gridCol w:w="762"/>
        <w:gridCol w:w="800"/>
        <w:gridCol w:w="784"/>
      </w:tblGrid>
      <w:tr w:rsidR="005F5CD4" w:rsidRPr="006359D9" w:rsidTr="00215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noWrap/>
            <w:vAlign w:val="center"/>
            <w:hideMark/>
          </w:tcPr>
          <w:p w:rsidR="005F5CD4" w:rsidRPr="006359D9" w:rsidRDefault="005F5CD4" w:rsidP="003E4A5D">
            <w:pPr>
              <w:widowControl w:val="0"/>
              <w:spacing w:before="0" w:after="0"/>
              <w:jc w:val="center"/>
              <w:rPr>
                <w:rFonts w:asciiTheme="minorHAnsi" w:eastAsia="Times New Roman" w:hAnsiTheme="minorHAnsi" w:cs="Arial"/>
                <w:color w:val="000000"/>
                <w:sz w:val="20"/>
                <w:szCs w:val="20"/>
                <w:lang w:eastAsia="cs-CZ"/>
              </w:rPr>
            </w:pPr>
            <w:r w:rsidRPr="006359D9">
              <w:rPr>
                <w:rFonts w:asciiTheme="minorHAnsi" w:eastAsia="Times New Roman" w:hAnsiTheme="minorHAnsi" w:cs="Arial"/>
                <w:sz w:val="20"/>
                <w:szCs w:val="20"/>
                <w:lang w:eastAsia="cs-CZ"/>
              </w:rPr>
              <w:t>Statistické charakteristiky</w:t>
            </w:r>
          </w:p>
        </w:tc>
        <w:tc>
          <w:tcPr>
            <w:tcW w:w="1775" w:type="pct"/>
            <w:gridSpan w:val="4"/>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cs-CZ"/>
              </w:rPr>
            </w:pPr>
            <w:r w:rsidRPr="006359D9">
              <w:rPr>
                <w:rFonts w:asciiTheme="minorHAnsi" w:eastAsia="Times New Roman" w:hAnsiTheme="minorHAnsi" w:cs="Arial"/>
                <w:sz w:val="20"/>
                <w:szCs w:val="20"/>
                <w:lang w:eastAsia="cs-CZ"/>
              </w:rPr>
              <w:t>Vzdálenost (v km)</w:t>
            </w:r>
          </w:p>
        </w:tc>
        <w:tc>
          <w:tcPr>
            <w:tcW w:w="1713" w:type="pct"/>
            <w:gridSpan w:val="4"/>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cs-CZ"/>
              </w:rPr>
            </w:pPr>
            <w:r w:rsidRPr="006359D9">
              <w:rPr>
                <w:rFonts w:asciiTheme="minorHAnsi" w:eastAsia="Times New Roman" w:hAnsiTheme="minorHAnsi" w:cs="Arial"/>
                <w:sz w:val="20"/>
                <w:szCs w:val="20"/>
                <w:lang w:eastAsia="cs-CZ"/>
              </w:rPr>
              <w:t xml:space="preserve">Doba dojezdu IAD (min) </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POÚ</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ORP</w:t>
            </w:r>
          </w:p>
        </w:tc>
        <w:tc>
          <w:tcPr>
            <w:tcW w:w="441"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Okres</w:t>
            </w:r>
          </w:p>
        </w:tc>
        <w:tc>
          <w:tcPr>
            <w:tcW w:w="494"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Kraj</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POÚ</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ORP</w:t>
            </w:r>
          </w:p>
        </w:tc>
        <w:tc>
          <w:tcPr>
            <w:tcW w:w="441"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Okres</w:t>
            </w:r>
          </w:p>
        </w:tc>
        <w:tc>
          <w:tcPr>
            <w:tcW w:w="432"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Kraj</w:t>
            </w:r>
          </w:p>
        </w:tc>
      </w:tr>
      <w:tr w:rsidR="005F5CD4" w:rsidRPr="006359D9" w:rsidTr="00215D45">
        <w:trPr>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Průměr</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9,06</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11,93</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19,42</w:t>
            </w:r>
          </w:p>
        </w:tc>
        <w:tc>
          <w:tcPr>
            <w:tcW w:w="494"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43,03</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9,34</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12,18</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19,32</w:t>
            </w:r>
          </w:p>
        </w:tc>
        <w:tc>
          <w:tcPr>
            <w:tcW w:w="432"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41,05</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Medián</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8,34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10,76</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18,27</w:t>
            </w:r>
          </w:p>
        </w:tc>
        <w:tc>
          <w:tcPr>
            <w:tcW w:w="494"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40,87</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8,62</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10,97</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18,13</w:t>
            </w:r>
          </w:p>
        </w:tc>
        <w:tc>
          <w:tcPr>
            <w:tcW w:w="432"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39,47</w:t>
            </w:r>
          </w:p>
        </w:tc>
      </w:tr>
      <w:tr w:rsidR="005F5CD4" w:rsidRPr="006359D9" w:rsidTr="00215D45">
        <w:trPr>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Dolní kvartil</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5,39</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7,08</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11,83</w:t>
            </w:r>
          </w:p>
        </w:tc>
        <w:tc>
          <w:tcPr>
            <w:tcW w:w="494"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27,55</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5,58</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7,19</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11,77</w:t>
            </w:r>
          </w:p>
        </w:tc>
        <w:tc>
          <w:tcPr>
            <w:tcW w:w="432"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26,41</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Horní kvartil</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12,04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15,65</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25,84</w:t>
            </w:r>
          </w:p>
        </w:tc>
        <w:tc>
          <w:tcPr>
            <w:tcW w:w="494"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56,64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12,43</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16,11</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25,57</w:t>
            </w:r>
          </w:p>
        </w:tc>
        <w:tc>
          <w:tcPr>
            <w:tcW w:w="432"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53,52</w:t>
            </w:r>
          </w:p>
        </w:tc>
      </w:tr>
    </w:tbl>
    <w:p w:rsidR="006359D9" w:rsidRDefault="006359D9" w:rsidP="003E4A5D">
      <w:pPr>
        <w:pStyle w:val="Citt"/>
      </w:pPr>
      <w:r>
        <w:t>Zdroj: Analýza (2018)</w:t>
      </w:r>
    </w:p>
    <w:p w:rsidR="005F5CD4" w:rsidRDefault="005F5CD4" w:rsidP="003E4A5D">
      <w:pPr>
        <w:widowControl w:val="0"/>
      </w:pPr>
      <w:r>
        <w:t>Rozložení časové dostupnosti v obcích na území ČR dle jednotlivých prostorových úrovní je zřetelné na níže zobrazeném box plotu. Je zde viditelný nárůst doby dojezdu se zvyšující se prostorovou úrovní. Rozdíly mezi dostupností obcí do správních center POÚ a ORP nejsou tak výrazné jako u vyšších prostorových úrovní okresů a krajů.</w:t>
      </w:r>
    </w:p>
    <w:p w:rsidR="006359D9" w:rsidRDefault="006359D9" w:rsidP="003E4A5D">
      <w:pPr>
        <w:pStyle w:val="Titulek"/>
      </w:pPr>
      <w:r>
        <w:t xml:space="preserve">Obrázek </w:t>
      </w:r>
      <w:r w:rsidR="00AB65E9">
        <w:rPr>
          <w:noProof/>
        </w:rPr>
        <w:fldChar w:fldCharType="begin"/>
      </w:r>
      <w:r w:rsidR="00D24CDE">
        <w:rPr>
          <w:noProof/>
        </w:rPr>
        <w:instrText xml:space="preserve"> SEQ Obrázek \* ARABIC </w:instrText>
      </w:r>
      <w:r w:rsidR="00AB65E9">
        <w:rPr>
          <w:noProof/>
        </w:rPr>
        <w:fldChar w:fldCharType="separate"/>
      </w:r>
      <w:r w:rsidR="00263A1B">
        <w:rPr>
          <w:noProof/>
        </w:rPr>
        <w:t>17</w:t>
      </w:r>
      <w:r w:rsidR="00AB65E9">
        <w:rPr>
          <w:noProof/>
        </w:rPr>
        <w:fldChar w:fldCharType="end"/>
      </w:r>
      <w:r>
        <w:t xml:space="preserve">: </w:t>
      </w:r>
      <w:r w:rsidRPr="006359D9">
        <w:t>Box – plot distribuce doby dojezdu z obcí do správních center/ okresů (v min)</w:t>
      </w:r>
      <w:r w:rsidR="008752B8">
        <w:t xml:space="preserve"> </w:t>
      </w:r>
    </w:p>
    <w:p w:rsidR="005F5CD4" w:rsidRDefault="005F5CD4" w:rsidP="003E4A5D">
      <w:pPr>
        <w:widowControl w:val="0"/>
        <w:autoSpaceDE w:val="0"/>
        <w:autoSpaceDN w:val="0"/>
        <w:adjustRightInd w:val="0"/>
        <w:spacing w:after="0"/>
        <w:jc w:val="left"/>
        <w:rPr>
          <w:rFonts w:ascii="Times New Roman" w:eastAsiaTheme="minorHAnsi" w:hAnsi="Times New Roman"/>
          <w:szCs w:val="24"/>
        </w:rPr>
      </w:pPr>
      <w:r>
        <w:rPr>
          <w:rFonts w:ascii="Times New Roman" w:eastAsiaTheme="minorHAnsi" w:hAnsi="Times New Roman"/>
          <w:noProof/>
          <w:szCs w:val="24"/>
          <w:lang w:eastAsia="cs-CZ"/>
        </w:rPr>
        <w:drawing>
          <wp:inline distT="0" distB="0" distL="0" distR="0" wp14:anchorId="5D9B1030" wp14:editId="20C8EA90">
            <wp:extent cx="5746750" cy="3302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2396" cy="3305244"/>
                    </a:xfrm>
                    <a:prstGeom prst="rect">
                      <a:avLst/>
                    </a:prstGeom>
                    <a:noFill/>
                    <a:ln>
                      <a:noFill/>
                    </a:ln>
                  </pic:spPr>
                </pic:pic>
              </a:graphicData>
            </a:graphic>
          </wp:inline>
        </w:drawing>
      </w:r>
    </w:p>
    <w:p w:rsidR="006359D9" w:rsidRPr="006359D9" w:rsidRDefault="006359D9"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Pr="006359D9" w:rsidRDefault="005F5CD4" w:rsidP="003E4A5D">
      <w:pPr>
        <w:pStyle w:val="Zdroj"/>
        <w:widowControl w:val="0"/>
        <w:rPr>
          <w:rFonts w:ascii="Garamond" w:hAnsi="Garamond"/>
          <w:i/>
          <w:iCs/>
          <w:color w:val="000000"/>
          <w:sz w:val="22"/>
          <w:szCs w:val="20"/>
        </w:rPr>
      </w:pPr>
      <w:r w:rsidRPr="006359D9">
        <w:rPr>
          <w:rFonts w:ascii="Garamond" w:hAnsi="Garamond"/>
          <w:i/>
          <w:iCs/>
          <w:color w:val="000000"/>
          <w:sz w:val="22"/>
          <w:szCs w:val="20"/>
        </w:rPr>
        <w:t>Pozn.: Přerušované čáry ukazují vymezení doby dojezdu po 60 minutách.</w:t>
      </w:r>
    </w:p>
    <w:p w:rsidR="006359D9" w:rsidRDefault="005F5CD4" w:rsidP="003E4A5D">
      <w:pPr>
        <w:pStyle w:val="Text-Normaln"/>
        <w:widowControl w:val="0"/>
      </w:pPr>
      <w:r>
        <w:t xml:space="preserve">Při posuzování rozmístění veřejné správy v území je potřebné posoudit také dostupnost úřadů veřejnou hromadnou dopravou, a to z důvodu, aby nedocházelo k znevýhodňování obyvatel, kteří nevlastní osobní automobil. </w:t>
      </w:r>
    </w:p>
    <w:p w:rsidR="005F5CD4" w:rsidRDefault="005F5CD4" w:rsidP="003E4A5D">
      <w:pPr>
        <w:pStyle w:val="Text-Normaln"/>
        <w:widowControl w:val="0"/>
        <w:rPr>
          <w:lang w:eastAsia="cs-CZ"/>
        </w:rPr>
      </w:pPr>
      <w:r>
        <w:rPr>
          <w:lang w:eastAsia="cs-CZ"/>
        </w:rPr>
        <w:t>Na základě analýzy výše uvedených ukazatelů na 4 prostorových</w:t>
      </w:r>
      <w:r w:rsidR="00F53BF4">
        <w:rPr>
          <w:lang w:eastAsia="cs-CZ"/>
        </w:rPr>
        <w:t xml:space="preserve"> úrovních vyplývá, že do obce s </w:t>
      </w:r>
      <w:r>
        <w:rPr>
          <w:lang w:eastAsia="cs-CZ"/>
        </w:rPr>
        <w:t>POÚ trvá dojezd průměrně 19,43 min</w:t>
      </w:r>
      <w:r w:rsidR="00E37CD4">
        <w:rPr>
          <w:lang w:eastAsia="cs-CZ"/>
        </w:rPr>
        <w:t>.</w:t>
      </w:r>
      <w:r>
        <w:rPr>
          <w:lang w:eastAsia="cs-CZ"/>
        </w:rPr>
        <w:t xml:space="preserve"> (při průměrné vzdálenosti</w:t>
      </w:r>
      <w:r w:rsidR="00F53BF4">
        <w:rPr>
          <w:lang w:eastAsia="cs-CZ"/>
        </w:rPr>
        <w:t>, kterou spoj urazí 9,2 km), do </w:t>
      </w:r>
      <w:r>
        <w:rPr>
          <w:lang w:eastAsia="cs-CZ"/>
        </w:rPr>
        <w:t>ORP 25,61 min</w:t>
      </w:r>
      <w:r w:rsidR="00E37CD4">
        <w:rPr>
          <w:lang w:eastAsia="cs-CZ"/>
        </w:rPr>
        <w:t>.</w:t>
      </w:r>
      <w:r>
        <w:rPr>
          <w:lang w:eastAsia="cs-CZ"/>
        </w:rPr>
        <w:t xml:space="preserve"> (12,44 km), do okresního města 39,19 min</w:t>
      </w:r>
      <w:r w:rsidR="00E37CD4">
        <w:rPr>
          <w:lang w:eastAsia="cs-CZ"/>
        </w:rPr>
        <w:t>.</w:t>
      </w:r>
      <w:r>
        <w:rPr>
          <w:lang w:eastAsia="cs-CZ"/>
        </w:rPr>
        <w:t xml:space="preserve"> (20,22 km) a do krajského města 71,03 min</w:t>
      </w:r>
      <w:r w:rsidR="00E37CD4">
        <w:rPr>
          <w:lang w:eastAsia="cs-CZ"/>
        </w:rPr>
        <w:t>.</w:t>
      </w:r>
      <w:r>
        <w:rPr>
          <w:lang w:eastAsia="cs-CZ"/>
        </w:rPr>
        <w:t xml:space="preserve"> (44,22 km). Průměrný počet spojení do správních center/okresů se pohybuje v rozmezí 6,9 až 8,41 spojů, přičemž roste s významností centra. Stejně tak jako počet přestupů, kdy je do obcí s POÚ podíl spojů bez přestupů 91,67 %, do ORP 85,37 %, do okresního města 66,57 % a do krajského města 34,14 %. </w:t>
      </w:r>
      <w:r w:rsidR="006359D9">
        <w:rPr>
          <w:lang w:eastAsia="cs-CZ"/>
        </w:rPr>
        <w:t>(pozn. autora – metodologie výpočtu je detailně popsána v Analýze (2018))</w:t>
      </w:r>
      <w:r>
        <w:rPr>
          <w:lang w:eastAsia="cs-CZ"/>
        </w:rPr>
        <w:t>.</w:t>
      </w:r>
    </w:p>
    <w:p w:rsidR="00701B77" w:rsidRDefault="00701B77" w:rsidP="003E4A5D">
      <w:pPr>
        <w:pStyle w:val="Titulek"/>
      </w:pPr>
    </w:p>
    <w:p w:rsidR="004A716B" w:rsidRDefault="004A716B" w:rsidP="003E4A5D">
      <w:pPr>
        <w:pStyle w:val="Titulek"/>
      </w:pPr>
      <w:r>
        <w:lastRenderedPageBreak/>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21</w:t>
      </w:r>
      <w:r w:rsidR="00AB65E9">
        <w:rPr>
          <w:noProof/>
        </w:rPr>
        <w:fldChar w:fldCharType="end"/>
      </w:r>
      <w:r>
        <w:t>: Základní charakteristiky spojení do center/okresů veřejnou hromadnou dopravou</w:t>
      </w:r>
    </w:p>
    <w:tbl>
      <w:tblPr>
        <w:tblStyle w:val="Tabulkaseznamu21"/>
        <w:tblW w:w="4885" w:type="pct"/>
        <w:tblInd w:w="108" w:type="dxa"/>
        <w:tblLook w:val="04A0" w:firstRow="1" w:lastRow="0" w:firstColumn="1" w:lastColumn="0" w:noHBand="0" w:noVBand="1"/>
      </w:tblPr>
      <w:tblGrid>
        <w:gridCol w:w="2688"/>
        <w:gridCol w:w="2564"/>
        <w:gridCol w:w="955"/>
        <w:gridCol w:w="955"/>
        <w:gridCol w:w="955"/>
        <w:gridCol w:w="955"/>
      </w:tblGrid>
      <w:tr w:rsidR="005F5CD4" w:rsidTr="00533FC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5F5CD4" w:rsidRPr="006359D9" w:rsidRDefault="005F5CD4" w:rsidP="003E4A5D">
            <w:pPr>
              <w:widowControl w:val="0"/>
              <w:spacing w:before="0" w:after="0"/>
              <w:jc w:val="left"/>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Ukazatel</w:t>
            </w:r>
          </w:p>
        </w:tc>
        <w:tc>
          <w:tcPr>
            <w:tcW w:w="2435" w:type="dxa"/>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Statistická charakteristika</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POÚ</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ORP</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Okres</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Kraj</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Doba dojezdu na 8 hod. (v min)</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19,43</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25,61</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39,19</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71,03</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16,00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22,00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68,00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Dolní kvartil</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21,00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44,00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Horní kvartil</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27,00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53,00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94,00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Délka spojení (km)</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9,20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12,44</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20,22</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44,22</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11,00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42,00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Dolní kvartil</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11,00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27,00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Horní kvartil</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13,00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17,00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60,00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Počet spojení na 8 až 15 hod.</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6,90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7,42</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7,98</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8,41</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Dolní kvartil</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Horní kvartil</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10,00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10,00</w:t>
            </w:r>
          </w:p>
        </w:tc>
      </w:tr>
    </w:tbl>
    <w:p w:rsidR="006359D9" w:rsidRPr="006359D9" w:rsidRDefault="006359D9" w:rsidP="003E4A5D">
      <w:pPr>
        <w:pStyle w:val="Zdroj"/>
        <w:widowControl w:val="0"/>
        <w:spacing w:after="0" w:line="240" w:lineRule="auto"/>
        <w:rPr>
          <w:rFonts w:ascii="Garamond" w:hAnsi="Garamond"/>
          <w:i/>
          <w:iCs/>
          <w:color w:val="000000"/>
          <w:sz w:val="22"/>
          <w:szCs w:val="20"/>
        </w:rPr>
      </w:pPr>
      <w:bookmarkStart w:id="52" w:name="_Toc532367183"/>
      <w:r w:rsidRPr="006359D9">
        <w:rPr>
          <w:rFonts w:ascii="Garamond" w:hAnsi="Garamond"/>
          <w:i/>
          <w:iCs/>
          <w:color w:val="000000"/>
          <w:sz w:val="22"/>
          <w:szCs w:val="20"/>
        </w:rPr>
        <w:t>Zdroj: Analýza (2018)</w:t>
      </w:r>
    </w:p>
    <w:bookmarkEnd w:id="52"/>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22</w:t>
      </w:r>
      <w:r w:rsidR="00AB65E9">
        <w:rPr>
          <w:noProof/>
        </w:rPr>
        <w:fldChar w:fldCharType="end"/>
      </w:r>
      <w:r>
        <w:t xml:space="preserve">: Podíl spojů podle počtu přestupů </w:t>
      </w:r>
    </w:p>
    <w:tbl>
      <w:tblPr>
        <w:tblStyle w:val="Tabulkaseznamu21"/>
        <w:tblW w:w="9072" w:type="dxa"/>
        <w:tblInd w:w="108" w:type="dxa"/>
        <w:tblLayout w:type="fixed"/>
        <w:tblLook w:val="04A0" w:firstRow="1" w:lastRow="0" w:firstColumn="1" w:lastColumn="0" w:noHBand="0" w:noVBand="1"/>
      </w:tblPr>
      <w:tblGrid>
        <w:gridCol w:w="4145"/>
        <w:gridCol w:w="1205"/>
        <w:gridCol w:w="1205"/>
        <w:gridCol w:w="1205"/>
        <w:gridCol w:w="1312"/>
      </w:tblGrid>
      <w:tr w:rsidR="005F5CD4" w:rsidTr="00215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vAlign w:val="center"/>
            <w:hideMark/>
          </w:tcPr>
          <w:p w:rsidR="005F5CD4" w:rsidRDefault="005F5CD4" w:rsidP="003E4A5D">
            <w:pPr>
              <w:widowControl w:val="0"/>
              <w:spacing w:before="0" w:after="0"/>
              <w:jc w:val="center"/>
              <w:rPr>
                <w:rFonts w:ascii="Calibri" w:eastAsia="Times New Roman" w:hAnsi="Calibri"/>
                <w:b w:val="0"/>
                <w:bCs w:val="0"/>
                <w:color w:val="FFFFFF" w:themeColor="background1"/>
                <w:sz w:val="18"/>
                <w:szCs w:val="18"/>
                <w:lang w:eastAsia="cs-CZ"/>
              </w:rPr>
            </w:pPr>
            <w:r>
              <w:rPr>
                <w:rFonts w:ascii="Calibri" w:eastAsia="Times New Roman" w:hAnsi="Calibri"/>
                <w:b w:val="0"/>
                <w:bCs w:val="0"/>
                <w:color w:val="FFFFFF" w:themeColor="background1"/>
                <w:sz w:val="18"/>
                <w:szCs w:val="18"/>
                <w:lang w:eastAsia="cs-CZ"/>
              </w:rPr>
              <w:t>Počet přestupů při spojení na 8:00</w:t>
            </w:r>
          </w:p>
        </w:tc>
        <w:tc>
          <w:tcPr>
            <w:tcW w:w="4927" w:type="dxa"/>
            <w:gridSpan w:val="4"/>
            <w:noWrap/>
            <w:vAlign w:val="center"/>
            <w:hideMark/>
          </w:tcPr>
          <w:p w:rsidR="005F5CD4"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FFFFFF" w:themeColor="background1"/>
                <w:sz w:val="18"/>
                <w:szCs w:val="18"/>
                <w:lang w:eastAsia="cs-CZ"/>
              </w:rPr>
            </w:pPr>
            <w:r>
              <w:rPr>
                <w:rFonts w:ascii="Calibri" w:eastAsia="Times New Roman" w:hAnsi="Calibri"/>
                <w:b w:val="0"/>
                <w:bCs w:val="0"/>
                <w:color w:val="FFFFFF" w:themeColor="background1"/>
                <w:sz w:val="18"/>
                <w:szCs w:val="18"/>
                <w:lang w:eastAsia="cs-CZ"/>
              </w:rPr>
              <w:t>Podíl spojů na 8 hod.</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shd w:val="clear" w:color="auto" w:fill="D9D9D9" w:themeFill="background1" w:themeFillShade="D9"/>
            <w:vAlign w:val="center"/>
            <w:hideMark/>
          </w:tcPr>
          <w:p w:rsidR="005F5CD4" w:rsidRPr="000E31E3" w:rsidRDefault="005F5CD4" w:rsidP="003E4A5D">
            <w:pPr>
              <w:widowControl w:val="0"/>
              <w:spacing w:before="0" w:after="0"/>
              <w:jc w:val="left"/>
              <w:rPr>
                <w:rFonts w:ascii="Calibri" w:eastAsia="Times New Roman" w:hAnsi="Calibri"/>
                <w:b w:val="0"/>
                <w:bCs w:val="0"/>
                <w:sz w:val="18"/>
                <w:szCs w:val="18"/>
                <w:lang w:eastAsia="cs-CZ"/>
              </w:rPr>
            </w:pP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POÚ</w:t>
            </w: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ORP</w:t>
            </w: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Okres</w:t>
            </w:r>
          </w:p>
        </w:tc>
        <w:tc>
          <w:tcPr>
            <w:tcW w:w="1312"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Kraj</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eastAsia="Times New Roman" w:hAnsi="Calibri"/>
                <w:sz w:val="18"/>
                <w:szCs w:val="18"/>
                <w:lang w:eastAsia="cs-CZ"/>
              </w:rPr>
              <w:t>Bez přestupu</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91,67</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85,37</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66,57</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34,14</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1 přestup</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7,59</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12,95</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54,55</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2 přestupy</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0,71</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1,50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3,03</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10,27</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3 přestupy</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0,03</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0,18</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0,41</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0,90</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4 přestupy</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0,15</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eastAsia="Times New Roman" w:hAnsi="Calibri"/>
                <w:sz w:val="18"/>
                <w:szCs w:val="18"/>
                <w:lang w:eastAsia="cs-CZ"/>
              </w:rPr>
              <w:t>Celkem</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r>
    </w:tbl>
    <w:p w:rsidR="000E31E3" w:rsidRPr="006359D9" w:rsidRDefault="000E31E3"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Default="005F5CD4" w:rsidP="003E4A5D">
      <w:pPr>
        <w:widowControl w:val="0"/>
      </w:pPr>
      <w:r>
        <w:t>Rozložení časové dostupnosti VHD v obcích na území ČR dle jednotlivých prostorových úrovní je znázorněno na níže zobrazeném box plotu. Je zřetelný růst dostupnosti se zvyšující se prostorovou úrovní. Do obcí s POÚ má více než čtvrtina obcí dojezd kratší než 30 min</w:t>
      </w:r>
      <w:r w:rsidR="00C656C1">
        <w:t>.</w:t>
      </w:r>
      <w:r>
        <w:t>, u ORP 35 min</w:t>
      </w:r>
      <w:r w:rsidR="00C656C1">
        <w:t>.</w:t>
      </w:r>
      <w:r>
        <w:t>, v rámci okresních měst 54 min</w:t>
      </w:r>
      <w:r w:rsidR="00C656C1">
        <w:t>.</w:t>
      </w:r>
      <w:r>
        <w:t xml:space="preserve"> a u krajských měst 95 min</w:t>
      </w:r>
      <w:r w:rsidR="00C656C1">
        <w:t>.</w:t>
      </w:r>
      <w:r w:rsidR="000E31E3">
        <w:t>. (</w:t>
      </w:r>
      <w:r w:rsidR="000E31E3" w:rsidRPr="000E31E3">
        <w:rPr>
          <w:i/>
        </w:rPr>
        <w:t>Zdroj: Analýza (2018)</w:t>
      </w:r>
      <w:r w:rsidR="000E31E3">
        <w:t>)</w:t>
      </w:r>
    </w:p>
    <w:p w:rsidR="00D862A5" w:rsidRDefault="00D862A5" w:rsidP="003E4A5D">
      <w:pPr>
        <w:widowControl w:val="0"/>
        <w:spacing w:before="0" w:after="0"/>
        <w:jc w:val="left"/>
        <w:rPr>
          <w:rFonts w:eastAsia="Times New Roman"/>
          <w:b/>
          <w:bCs/>
          <w:color w:val="000000"/>
          <w:sz w:val="22"/>
          <w:szCs w:val="20"/>
          <w:lang w:eastAsia="cs-CZ"/>
        </w:rPr>
      </w:pPr>
      <w:bookmarkStart w:id="53" w:name="_Toc532367457"/>
      <w:r>
        <w:br w:type="page"/>
      </w:r>
    </w:p>
    <w:bookmarkEnd w:id="53"/>
    <w:p w:rsidR="004A716B" w:rsidRDefault="004A716B" w:rsidP="003E4A5D">
      <w:pPr>
        <w:pStyle w:val="Titulek"/>
      </w:pPr>
      <w:r>
        <w:lastRenderedPageBreak/>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18</w:t>
      </w:r>
      <w:r w:rsidR="00AB65E9">
        <w:rPr>
          <w:noProof/>
        </w:rPr>
        <w:fldChar w:fldCharType="end"/>
      </w:r>
      <w:r>
        <w:t>:</w:t>
      </w:r>
      <w:r w:rsidRPr="004A716B">
        <w:t xml:space="preserve"> </w:t>
      </w:r>
      <w:r w:rsidRPr="000E31E3">
        <w:t>Box – plot distribuce doby dojezdu VHD z obcí do správních center/ okresů (v min)</w:t>
      </w:r>
    </w:p>
    <w:p w:rsidR="005F5CD4" w:rsidRDefault="005F5CD4" w:rsidP="003E4A5D">
      <w:pPr>
        <w:widowControl w:val="0"/>
        <w:autoSpaceDE w:val="0"/>
        <w:autoSpaceDN w:val="0"/>
        <w:adjustRightInd w:val="0"/>
        <w:spacing w:after="0"/>
        <w:jc w:val="left"/>
        <w:rPr>
          <w:rFonts w:ascii="Times New Roman" w:eastAsiaTheme="minorHAnsi" w:hAnsi="Times New Roman"/>
          <w:szCs w:val="24"/>
        </w:rPr>
      </w:pPr>
      <w:r>
        <w:rPr>
          <w:rFonts w:ascii="Times New Roman" w:eastAsiaTheme="minorHAnsi" w:hAnsi="Times New Roman"/>
          <w:noProof/>
          <w:szCs w:val="24"/>
          <w:lang w:eastAsia="cs-CZ"/>
        </w:rPr>
        <w:drawing>
          <wp:inline distT="0" distB="0" distL="0" distR="0" wp14:anchorId="56DB6A15" wp14:editId="3A818451">
            <wp:extent cx="5755954" cy="415793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t="2" b="2548"/>
                    <a:stretch>
                      <a:fillRect/>
                    </a:stretch>
                  </pic:blipFill>
                  <pic:spPr bwMode="auto">
                    <a:xfrm>
                      <a:off x="0" y="0"/>
                      <a:ext cx="5760720" cy="4161375"/>
                    </a:xfrm>
                    <a:prstGeom prst="rect">
                      <a:avLst/>
                    </a:prstGeom>
                    <a:noFill/>
                    <a:ln>
                      <a:noFill/>
                    </a:ln>
                  </pic:spPr>
                </pic:pic>
              </a:graphicData>
            </a:graphic>
          </wp:inline>
        </w:drawing>
      </w:r>
    </w:p>
    <w:p w:rsidR="000E31E3" w:rsidRPr="006359D9" w:rsidRDefault="000E31E3"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Pr="000E31E3" w:rsidRDefault="005F5CD4" w:rsidP="003E4A5D">
      <w:pPr>
        <w:pStyle w:val="Zdroj"/>
        <w:widowControl w:val="0"/>
        <w:rPr>
          <w:rFonts w:ascii="Garamond" w:hAnsi="Garamond"/>
          <w:i/>
          <w:iCs/>
          <w:color w:val="000000"/>
          <w:sz w:val="22"/>
          <w:szCs w:val="20"/>
        </w:rPr>
      </w:pPr>
      <w:r w:rsidRPr="000E31E3">
        <w:rPr>
          <w:rFonts w:ascii="Garamond" w:hAnsi="Garamond"/>
          <w:i/>
          <w:iCs/>
          <w:color w:val="000000"/>
          <w:sz w:val="22"/>
          <w:szCs w:val="20"/>
        </w:rPr>
        <w:t>Pozn.: Přerušované čáry ukazuji vymezení doby dojezdu po 60 minutách.</w:t>
      </w:r>
    </w:p>
    <w:p w:rsidR="005F5CD4" w:rsidRDefault="000E31E3" w:rsidP="003E4A5D">
      <w:pPr>
        <w:pStyle w:val="Text-Normaln"/>
        <w:widowControl w:val="0"/>
      </w:pPr>
      <w:r w:rsidRPr="000E31E3">
        <w:t>Pokud</w:t>
      </w:r>
      <w:r>
        <w:t xml:space="preserve"> se podíváme na rozdíly </w:t>
      </w:r>
      <w:r w:rsidR="00852610">
        <w:t>dojezdu do obcí</w:t>
      </w:r>
      <w:r>
        <w:t xml:space="preserve"> s POÚ a ORP, není </w:t>
      </w:r>
      <w:r w:rsidR="00852610">
        <w:t xml:space="preserve">tento </w:t>
      </w:r>
      <w:r>
        <w:t xml:space="preserve">rozdíl dojezdu tak výrazný, aby </w:t>
      </w:r>
      <w:r w:rsidR="00852610">
        <w:t xml:space="preserve">náklady na něj </w:t>
      </w:r>
      <w:r>
        <w:t>mohl</w:t>
      </w:r>
      <w:r w:rsidR="00852610">
        <w:t>y</w:t>
      </w:r>
      <w:r>
        <w:t xml:space="preserve"> vykompenzovat </w:t>
      </w:r>
      <w:r w:rsidR="00852610">
        <w:t>přínosy ze změny</w:t>
      </w:r>
      <w:r>
        <w:t xml:space="preserve"> současné roztříštěné struktury stavebních úřadů. </w:t>
      </w:r>
    </w:p>
    <w:p w:rsidR="00AB589D" w:rsidRDefault="00D81FC7" w:rsidP="003E4A5D">
      <w:pPr>
        <w:pStyle w:val="Text-Normaln"/>
        <w:widowControl w:val="0"/>
      </w:pPr>
      <w:r>
        <w:t xml:space="preserve">Analýza (2018) uvádí, že v případě posunu stavebních úřadů </w:t>
      </w:r>
      <w:r w:rsidR="004A1B52">
        <w:t>z obcí se ZP na obce s POÚ (jejichž počet by se navýšil na 649) by se n</w:t>
      </w:r>
      <w:r w:rsidR="00AB589D">
        <w:t xml:space="preserve">áklady občanů na dojezd na úřad </w:t>
      </w:r>
      <w:r w:rsidR="004A1B52">
        <w:t xml:space="preserve">pohybovaly </w:t>
      </w:r>
      <w:r w:rsidR="00AB589D">
        <w:t xml:space="preserve">ve výši přibližně 44 mil. Kč, a to z toho titulu, že obce se ZP a POÚ provádí v porovnání s ORP velké množství úkonů. </w:t>
      </w:r>
      <w:r w:rsidR="004A1B52">
        <w:t>Ve variantě posunu z obcí se ZP a POÚ na ORP tak lze uvažovat o nákladech v řádu desítek miliónů Kč, neboť občané často spojují cestu na úřad s cestou s jiným účelem (do zaměstnání apod.).</w:t>
      </w:r>
    </w:p>
    <w:p w:rsidR="00595C46" w:rsidRDefault="00595C46" w:rsidP="003E4A5D">
      <w:pPr>
        <w:pStyle w:val="Text-Normaln"/>
        <w:widowControl w:val="0"/>
      </w:pPr>
      <w:r>
        <w:t>Na druhou stranu se n</w:t>
      </w:r>
      <w:r w:rsidRPr="00595C46">
        <w:t xml:space="preserve">áklady občanů na dopravu na </w:t>
      </w:r>
      <w:r w:rsidR="00F76ADF" w:rsidRPr="00595C46">
        <w:t>úřad sníží</w:t>
      </w:r>
      <w:r w:rsidRPr="00595C46">
        <w:t xml:space="preserve">, protože občan již nebude nucen před zahájením řízení samostatně zajišťovat veškerá vyjádření </w:t>
      </w:r>
      <w:r w:rsidR="004B298F">
        <w:t>DO</w:t>
      </w:r>
      <w:r w:rsidRPr="00595C46">
        <w:t xml:space="preserve"> a stát tak převezme odpovědnost za výkon státní správy, kterou svou činností dosud zajišťoval občan, resp. investor</w:t>
      </w:r>
      <w:r>
        <w:t>.</w:t>
      </w:r>
    </w:p>
    <w:p w:rsidR="00D862A5" w:rsidRDefault="00595C46" w:rsidP="003E4A5D">
      <w:pPr>
        <w:pStyle w:val="Text-Normaln"/>
        <w:widowControl w:val="0"/>
        <w:rPr>
          <w:b/>
        </w:rPr>
      </w:pPr>
      <w:r w:rsidRPr="00595C46">
        <w:t>V konečném důsledku tak očekáváme pozitivní dopad.</w:t>
      </w:r>
      <w:r w:rsidR="00D862A5">
        <w:rPr>
          <w:b/>
        </w:rPr>
        <w:br w:type="page"/>
      </w:r>
    </w:p>
    <w:p w:rsidR="005C1074" w:rsidRPr="008752B8" w:rsidRDefault="005C1074" w:rsidP="003E4A5D">
      <w:pPr>
        <w:pStyle w:val="Text-Normaln"/>
        <w:widowControl w:val="0"/>
      </w:pPr>
      <w:r>
        <w:lastRenderedPageBreak/>
        <w:t xml:space="preserve">Na tomto místě prozatím shrneme pouze náklady. </w:t>
      </w:r>
    </w:p>
    <w:p w:rsidR="004A716B" w:rsidRPr="004A716B" w:rsidRDefault="004A716B" w:rsidP="003E4A5D">
      <w:pPr>
        <w:pStyle w:val="Titulek"/>
      </w:pPr>
      <w:r w:rsidRPr="004A716B">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23</w:t>
      </w:r>
      <w:r w:rsidR="00AB65E9">
        <w:rPr>
          <w:noProof/>
        </w:rPr>
        <w:fldChar w:fldCharType="end"/>
      </w:r>
      <w:r w:rsidRPr="004A716B">
        <w:t>: Souhrn nákladů</w:t>
      </w:r>
    </w:p>
    <w:tbl>
      <w:tblPr>
        <w:tblStyle w:val="Svtlstnovn1"/>
        <w:tblW w:w="9072" w:type="dxa"/>
        <w:tblInd w:w="108" w:type="dxa"/>
        <w:tblLook w:val="04A0" w:firstRow="1" w:lastRow="0" w:firstColumn="1" w:lastColumn="0" w:noHBand="0" w:noVBand="1"/>
      </w:tblPr>
      <w:tblGrid>
        <w:gridCol w:w="9072"/>
      </w:tblGrid>
      <w:tr w:rsidR="0075491C" w:rsidRPr="0075491C" w:rsidTr="0021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sz w:val="20"/>
                <w:szCs w:val="20"/>
              </w:rPr>
              <w:t>Kategorie nákladů</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mallCaps/>
                <w:sz w:val="20"/>
                <w:szCs w:val="20"/>
              </w:rPr>
            </w:pPr>
            <w:r w:rsidRPr="0075491C">
              <w:rPr>
                <w:rFonts w:asciiTheme="minorHAnsi" w:hAnsiTheme="minorHAnsi" w:cstheme="minorHAnsi"/>
                <w:smallCaps/>
                <w:sz w:val="20"/>
                <w:szCs w:val="20"/>
              </w:rPr>
              <w:t>Varianta 1</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Činnost generální inspekce – 7 mil. Kč ročně</w:t>
            </w:r>
            <w:r w:rsidR="008752B8">
              <w:rPr>
                <w:rFonts w:asciiTheme="minorHAnsi" w:hAnsiTheme="minorHAnsi" w:cstheme="minorHAnsi"/>
                <w:b w:val="0"/>
                <w:sz w:val="20"/>
                <w:szCs w:val="20"/>
              </w:rPr>
              <w:t xml:space="preserve">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mallCaps/>
                <w:sz w:val="20"/>
                <w:szCs w:val="20"/>
              </w:rPr>
            </w:pPr>
            <w:r w:rsidRPr="0075491C">
              <w:rPr>
                <w:rFonts w:asciiTheme="minorHAnsi" w:hAnsiTheme="minorHAnsi" w:cstheme="minorHAnsi"/>
                <w:smallCaps/>
                <w:sz w:val="20"/>
                <w:szCs w:val="20"/>
              </w:rPr>
              <w:t>Varianta 2</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1D3B77">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 xml:space="preserve">Vytvoření </w:t>
            </w:r>
            <w:r w:rsidR="000E45AE">
              <w:rPr>
                <w:rFonts w:asciiTheme="minorHAnsi" w:hAnsiTheme="minorHAnsi" w:cstheme="minorHAnsi"/>
                <w:b w:val="0"/>
                <w:sz w:val="20"/>
                <w:szCs w:val="20"/>
              </w:rPr>
              <w:t>NSÚ</w:t>
            </w:r>
            <w:r w:rsidRPr="0075491C">
              <w:rPr>
                <w:rFonts w:asciiTheme="minorHAnsi" w:hAnsiTheme="minorHAnsi" w:cstheme="minorHAnsi"/>
                <w:b w:val="0"/>
                <w:sz w:val="20"/>
                <w:szCs w:val="20"/>
              </w:rPr>
              <w:t xml:space="preserve"> – 1,4 mil. Kč </w:t>
            </w:r>
            <w:r w:rsidR="00B47025">
              <w:rPr>
                <w:rFonts w:asciiTheme="minorHAnsi" w:hAnsiTheme="minorHAnsi" w:cstheme="minorHAnsi"/>
                <w:b w:val="0"/>
                <w:sz w:val="20"/>
                <w:szCs w:val="20"/>
              </w:rPr>
              <w:t xml:space="preserve">ročně </w:t>
            </w:r>
            <w:r w:rsidRPr="0075491C">
              <w:rPr>
                <w:rFonts w:asciiTheme="minorHAnsi" w:hAnsiTheme="minorHAnsi" w:cstheme="minorHAnsi"/>
                <w:b w:val="0"/>
                <w:sz w:val="20"/>
                <w:szCs w:val="20"/>
              </w:rPr>
              <w:t>(odměna vedoucího pracovníka); u ostatních zaměstnanců se předpokládá přesun</w:t>
            </w:r>
            <w:r w:rsidR="00EE16B9">
              <w:rPr>
                <w:rFonts w:asciiTheme="minorHAnsi" w:hAnsiTheme="minorHAnsi" w:cstheme="minorHAnsi"/>
                <w:b w:val="0"/>
                <w:sz w:val="20"/>
                <w:szCs w:val="20"/>
              </w:rPr>
              <w:t>; p</w:t>
            </w:r>
            <w:r w:rsidR="00EE16B9" w:rsidRPr="00EE16B9">
              <w:rPr>
                <w:rFonts w:asciiTheme="minorHAnsi" w:hAnsiTheme="minorHAnsi" w:cstheme="minorHAnsi"/>
                <w:b w:val="0"/>
                <w:sz w:val="20"/>
                <w:szCs w:val="20"/>
              </w:rPr>
              <w:t xml:space="preserve">okud bychom navíc počítali s dalšími 5 </w:t>
            </w:r>
            <w:r w:rsidR="000E45AE">
              <w:rPr>
                <w:rFonts w:asciiTheme="minorHAnsi" w:hAnsiTheme="minorHAnsi" w:cstheme="minorHAnsi"/>
                <w:b w:val="0"/>
                <w:sz w:val="20"/>
                <w:szCs w:val="20"/>
              </w:rPr>
              <w:t>zástupci</w:t>
            </w:r>
            <w:r w:rsidR="00EE16B9" w:rsidRPr="00EE16B9">
              <w:rPr>
                <w:rFonts w:asciiTheme="minorHAnsi" w:hAnsiTheme="minorHAnsi" w:cstheme="minorHAnsi"/>
                <w:b w:val="0"/>
                <w:sz w:val="20"/>
                <w:szCs w:val="20"/>
              </w:rPr>
              <w:t xml:space="preserve">, kteří nebudou přesunuti, ale najati nad rámec stávajícího aparátu, museli bychom tuto částku zvýšit </w:t>
            </w:r>
            <w:r w:rsidR="00EE16B9">
              <w:rPr>
                <w:rFonts w:asciiTheme="minorHAnsi" w:hAnsiTheme="minorHAnsi" w:cstheme="minorHAnsi"/>
                <w:b w:val="0"/>
                <w:sz w:val="20"/>
                <w:szCs w:val="20"/>
              </w:rPr>
              <w:t>o dalších 7 mil. Kč</w:t>
            </w:r>
            <w:r w:rsidR="00B47025">
              <w:rPr>
                <w:rFonts w:asciiTheme="minorHAnsi" w:hAnsiTheme="minorHAnsi" w:cstheme="minorHAnsi"/>
                <w:b w:val="0"/>
                <w:sz w:val="20"/>
                <w:szCs w:val="20"/>
              </w:rPr>
              <w:t xml:space="preserve"> ročně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Pořízení IS pro ústřední monitoring - v řádech desítek mil. Kč</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bCs w:val="0"/>
                <w:sz w:val="20"/>
                <w:szCs w:val="20"/>
              </w:rPr>
            </w:pPr>
            <w:r w:rsidRPr="0075491C">
              <w:rPr>
                <w:rFonts w:asciiTheme="minorHAnsi" w:hAnsiTheme="minorHAnsi" w:cstheme="minorHAnsi"/>
                <w:b w:val="0"/>
                <w:sz w:val="20"/>
                <w:szCs w:val="20"/>
              </w:rPr>
              <w:t xml:space="preserve">Mzdové a režijní náklady </w:t>
            </w:r>
          </w:p>
          <w:p w:rsidR="0075491C" w:rsidRPr="0075491C" w:rsidRDefault="0075491C" w:rsidP="009D4B5F">
            <w:pPr>
              <w:pStyle w:val="Odstavecseseznamem"/>
              <w:widowControl w:val="0"/>
              <w:numPr>
                <w:ilvl w:val="0"/>
                <w:numId w:val="38"/>
              </w:numPr>
              <w:rPr>
                <w:rFonts w:asciiTheme="minorHAnsi" w:hAnsiTheme="minorHAnsi" w:cstheme="minorHAnsi"/>
                <w:b w:val="0"/>
                <w:sz w:val="20"/>
                <w:szCs w:val="20"/>
              </w:rPr>
            </w:pPr>
            <w:r w:rsidRPr="0075491C">
              <w:rPr>
                <w:rFonts w:asciiTheme="minorHAnsi" w:hAnsiTheme="minorHAnsi" w:cstheme="minorHAnsi"/>
                <w:b w:val="0"/>
                <w:sz w:val="20"/>
                <w:szCs w:val="20"/>
              </w:rPr>
              <w:t xml:space="preserve">vytvoření úřadu „na zelené louce“ – </w:t>
            </w:r>
            <w:r w:rsidR="00EE16B9">
              <w:rPr>
                <w:rFonts w:asciiTheme="minorHAnsi" w:hAnsiTheme="minorHAnsi" w:cstheme="minorHAnsi"/>
                <w:b w:val="0"/>
                <w:sz w:val="20"/>
                <w:szCs w:val="20"/>
              </w:rPr>
              <w:t>3</w:t>
            </w:r>
            <w:r w:rsidRPr="0075491C">
              <w:rPr>
                <w:rFonts w:asciiTheme="minorHAnsi" w:hAnsiTheme="minorHAnsi" w:cstheme="minorHAnsi"/>
                <w:b w:val="0"/>
                <w:sz w:val="20"/>
                <w:szCs w:val="20"/>
              </w:rPr>
              <w:t xml:space="preserve"> - </w:t>
            </w:r>
            <w:r w:rsidR="00EE16B9">
              <w:rPr>
                <w:rFonts w:asciiTheme="minorHAnsi" w:hAnsiTheme="minorHAnsi" w:cstheme="minorHAnsi"/>
                <w:b w:val="0"/>
                <w:sz w:val="20"/>
                <w:szCs w:val="20"/>
              </w:rPr>
              <w:t>4</w:t>
            </w:r>
            <w:r w:rsidRPr="0075491C">
              <w:rPr>
                <w:rFonts w:asciiTheme="minorHAnsi" w:hAnsiTheme="minorHAnsi" w:cstheme="minorHAnsi"/>
                <w:b w:val="0"/>
                <w:sz w:val="20"/>
                <w:szCs w:val="20"/>
              </w:rPr>
              <w:t xml:space="preserve"> mld. Kč ročně na provoz; 650 mil. Kč jednorázové náklady na zřízení pracovních míst, nebo</w:t>
            </w:r>
          </w:p>
          <w:p w:rsidR="0075491C" w:rsidRPr="0075491C" w:rsidRDefault="0075491C" w:rsidP="009D4B5F">
            <w:pPr>
              <w:pStyle w:val="Odstavecseseznamem"/>
              <w:widowControl w:val="0"/>
              <w:numPr>
                <w:ilvl w:val="0"/>
                <w:numId w:val="38"/>
              </w:numPr>
              <w:rPr>
                <w:rFonts w:asciiTheme="minorHAnsi" w:hAnsiTheme="minorHAnsi" w:cstheme="minorHAnsi"/>
                <w:b w:val="0"/>
                <w:sz w:val="20"/>
                <w:szCs w:val="20"/>
              </w:rPr>
            </w:pPr>
            <w:r w:rsidRPr="0075491C">
              <w:rPr>
                <w:rFonts w:asciiTheme="minorHAnsi" w:hAnsiTheme="minorHAnsi" w:cstheme="minorHAnsi"/>
                <w:b w:val="0"/>
                <w:sz w:val="20"/>
                <w:szCs w:val="20"/>
              </w:rPr>
              <w:t>přesun</w:t>
            </w:r>
            <w:r w:rsidR="00C656C1">
              <w:rPr>
                <w:rFonts w:asciiTheme="minorHAnsi" w:hAnsiTheme="minorHAnsi" w:cstheme="minorHAnsi"/>
                <w:b w:val="0"/>
                <w:sz w:val="20"/>
                <w:szCs w:val="20"/>
              </w:rPr>
              <w:t xml:space="preserve"> v průměru</w:t>
            </w:r>
            <w:r w:rsidRPr="0075491C">
              <w:rPr>
                <w:rFonts w:asciiTheme="minorHAnsi" w:hAnsiTheme="minorHAnsi" w:cstheme="minorHAnsi"/>
                <w:b w:val="0"/>
                <w:sz w:val="20"/>
                <w:szCs w:val="20"/>
              </w:rPr>
              <w:t xml:space="preserve"> 80 % zaměstnanců, tj. </w:t>
            </w:r>
            <w:r w:rsidR="00C656C1">
              <w:rPr>
                <w:rFonts w:asciiTheme="minorHAnsi" w:hAnsiTheme="minorHAnsi" w:cstheme="minorHAnsi"/>
                <w:b w:val="0"/>
                <w:sz w:val="20"/>
                <w:szCs w:val="20"/>
              </w:rPr>
              <w:t xml:space="preserve">v průměru </w:t>
            </w:r>
            <w:r w:rsidRPr="0075491C">
              <w:rPr>
                <w:rFonts w:asciiTheme="minorHAnsi" w:hAnsiTheme="minorHAnsi" w:cstheme="minorHAnsi"/>
                <w:b w:val="0"/>
                <w:sz w:val="20"/>
                <w:szCs w:val="20"/>
              </w:rPr>
              <w:t xml:space="preserve">20 % úředníků bude muset být zaměstnáno nově – </w:t>
            </w:r>
            <w:r w:rsidR="00EE16B9">
              <w:rPr>
                <w:rFonts w:asciiTheme="minorHAnsi" w:hAnsiTheme="minorHAnsi" w:cstheme="minorHAnsi"/>
                <w:b w:val="0"/>
                <w:sz w:val="20"/>
                <w:szCs w:val="20"/>
              </w:rPr>
              <w:t xml:space="preserve">0,5 - </w:t>
            </w:r>
            <w:r w:rsidRPr="0075491C">
              <w:rPr>
                <w:rFonts w:asciiTheme="minorHAnsi" w:hAnsiTheme="minorHAnsi" w:cstheme="minorHAnsi"/>
                <w:b w:val="0"/>
                <w:sz w:val="20"/>
                <w:szCs w:val="20"/>
              </w:rPr>
              <w:t>0,</w:t>
            </w:r>
            <w:r w:rsidR="00EE16B9">
              <w:rPr>
                <w:rFonts w:asciiTheme="minorHAnsi" w:hAnsiTheme="minorHAnsi" w:cstheme="minorHAnsi"/>
                <w:b w:val="0"/>
                <w:sz w:val="20"/>
                <w:szCs w:val="20"/>
              </w:rPr>
              <w:t>9</w:t>
            </w:r>
            <w:r w:rsidRPr="0075491C">
              <w:rPr>
                <w:rFonts w:asciiTheme="minorHAnsi" w:hAnsiTheme="minorHAnsi" w:cstheme="minorHAnsi"/>
                <w:b w:val="0"/>
                <w:sz w:val="20"/>
                <w:szCs w:val="20"/>
              </w:rPr>
              <w:t xml:space="preserve"> mld.</w:t>
            </w:r>
            <w:r w:rsidRPr="0075491C">
              <w:rPr>
                <w:rFonts w:asciiTheme="minorHAnsi" w:hAnsiTheme="minorHAnsi" w:cstheme="minorHAnsi"/>
                <w:b w:val="0"/>
                <w:bCs w:val="0"/>
                <w:sz w:val="20"/>
                <w:szCs w:val="20"/>
              </w:rPr>
              <w:t xml:space="preserve"> Kč ročně</w:t>
            </w:r>
            <w:r w:rsidRPr="0075491C">
              <w:rPr>
                <w:rFonts w:asciiTheme="minorHAnsi" w:hAnsiTheme="minorHAnsi" w:cstheme="minorHAnsi"/>
                <w:b w:val="0"/>
                <w:sz w:val="20"/>
                <w:szCs w:val="20"/>
              </w:rPr>
              <w:t>, 130 mil. Kč jednorázové náklady na zřízení pracovních míst</w:t>
            </w:r>
            <w:r w:rsidR="008752B8">
              <w:rPr>
                <w:rFonts w:asciiTheme="minorHAnsi" w:hAnsiTheme="minorHAnsi" w:cstheme="minorHAnsi"/>
                <w:b w:val="0"/>
                <w:sz w:val="20"/>
                <w:szCs w:val="20"/>
              </w:rPr>
              <w:t xml:space="preserve">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b w:val="0"/>
                <w:sz w:val="20"/>
                <w:szCs w:val="20"/>
              </w:rPr>
              <w:t>Náklady na specializaci a zvyšování odbornosti úředníků</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b w:val="0"/>
                <w:bCs w:val="0"/>
                <w:sz w:val="20"/>
                <w:szCs w:val="20"/>
              </w:rPr>
              <w:t xml:space="preserve">Nárůst administrativních nákladů – </w:t>
            </w:r>
            <w:r w:rsidR="00EE16B9">
              <w:rPr>
                <w:rFonts w:asciiTheme="minorHAnsi" w:hAnsiTheme="minorHAnsi" w:cstheme="minorHAnsi"/>
                <w:b w:val="0"/>
                <w:bCs w:val="0"/>
                <w:sz w:val="20"/>
                <w:szCs w:val="20"/>
              </w:rPr>
              <w:t>96</w:t>
            </w:r>
            <w:r w:rsidRPr="0075491C">
              <w:rPr>
                <w:rFonts w:asciiTheme="minorHAnsi" w:hAnsiTheme="minorHAnsi" w:cstheme="minorHAnsi"/>
                <w:b w:val="0"/>
                <w:bCs w:val="0"/>
                <w:sz w:val="20"/>
                <w:szCs w:val="20"/>
              </w:rPr>
              <w:t xml:space="preserve"> mil. Kč ročně</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Obslužné činnosti pro novou strukturu – 314 mil. Kč ročně</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Pronájem nových kancelářských prostor a prostor pro ukládání spisové dokumentace –</w:t>
            </w:r>
            <w:r w:rsidR="004B298F">
              <w:rPr>
                <w:rFonts w:asciiTheme="minorHAnsi" w:hAnsiTheme="minorHAnsi" w:cstheme="minorHAnsi"/>
                <w:b w:val="0"/>
                <w:bCs w:val="0"/>
                <w:sz w:val="20"/>
                <w:szCs w:val="20"/>
              </w:rPr>
              <w:t xml:space="preserve"> </w:t>
            </w:r>
            <w:r w:rsidRPr="0075491C">
              <w:rPr>
                <w:rFonts w:asciiTheme="minorHAnsi" w:hAnsiTheme="minorHAnsi" w:cstheme="minorHAnsi"/>
                <w:b w:val="0"/>
                <w:bCs w:val="0"/>
                <w:sz w:val="20"/>
                <w:szCs w:val="20"/>
              </w:rPr>
              <w:t>by roční náklady na pronájem měly být již zahrnuty v multiplikátoru režijních nákladů; započítat tak lze pouze jednorázové náklady, pokud budou spojeny s nákupem či pronájmem nemovitostí</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Nákup automobilů – jednorázový náklad max. 780 mil. Kč</w:t>
            </w:r>
            <w:r w:rsidR="003D350C">
              <w:rPr>
                <w:rFonts w:asciiTheme="minorHAnsi" w:hAnsiTheme="minorHAnsi" w:cstheme="minorHAnsi"/>
                <w:b w:val="0"/>
                <w:bCs w:val="0"/>
                <w:sz w:val="20"/>
                <w:szCs w:val="20"/>
              </w:rPr>
              <w:t>; jedná se o maximální</w:t>
            </w:r>
            <w:r w:rsidR="00C656C1">
              <w:rPr>
                <w:rFonts w:asciiTheme="minorHAnsi" w:hAnsiTheme="minorHAnsi" w:cstheme="minorHAnsi"/>
                <w:b w:val="0"/>
                <w:bCs w:val="0"/>
                <w:sz w:val="20"/>
                <w:szCs w:val="20"/>
              </w:rPr>
              <w:t>, nikoliv</w:t>
            </w:r>
            <w:r w:rsidR="003D350C">
              <w:rPr>
                <w:rFonts w:asciiTheme="minorHAnsi" w:hAnsiTheme="minorHAnsi" w:cstheme="minorHAnsi"/>
                <w:b w:val="0"/>
                <w:bCs w:val="0"/>
                <w:sz w:val="20"/>
                <w:szCs w:val="20"/>
              </w:rPr>
              <w:t xml:space="preserve"> konzervativní odhad – automobily nemusí nutně zůstat ve vlastnictví samospráv, ale mohou být převedeny do vlastnictví státní správy spolu s přesunem úředníků</w:t>
            </w:r>
            <w:r w:rsidR="008752B8">
              <w:rPr>
                <w:rFonts w:asciiTheme="minorHAnsi" w:hAnsiTheme="minorHAnsi" w:cstheme="minorHAnsi"/>
                <w:b w:val="0"/>
                <w:bCs w:val="0"/>
                <w:sz w:val="20"/>
                <w:szCs w:val="20"/>
              </w:rPr>
              <w:t xml:space="preserve"> </w:t>
            </w:r>
          </w:p>
        </w:tc>
      </w:tr>
    </w:tbl>
    <w:p w:rsidR="0075491C" w:rsidRDefault="00B914FA" w:rsidP="003E4A5D">
      <w:pPr>
        <w:pStyle w:val="Text-Normaln"/>
        <w:widowControl w:val="0"/>
      </w:pPr>
      <w:r w:rsidRPr="00B914FA">
        <w:t>P</w:t>
      </w:r>
      <w:r>
        <w:t xml:space="preserve">řínosy budou celkově oceněny v závěru hodnotící kapitoly, neboť je </w:t>
      </w:r>
      <w:r w:rsidR="00FC39C3">
        <w:t>ne</w:t>
      </w:r>
      <w:r>
        <w:t xml:space="preserve">lze rozalokovat k jednotlivým systémovým změnám. </w:t>
      </w:r>
      <w:r w:rsidR="0075491C">
        <w:t>Kvalitativně je lze shrnout jako:</w:t>
      </w:r>
    </w:p>
    <w:p w:rsidR="0075491C" w:rsidRDefault="0075491C" w:rsidP="009D4B5F">
      <w:pPr>
        <w:pStyle w:val="Text-Normaln"/>
        <w:widowControl w:val="0"/>
        <w:numPr>
          <w:ilvl w:val="0"/>
          <w:numId w:val="57"/>
        </w:numPr>
        <w:ind w:left="426" w:hanging="426"/>
      </w:pPr>
      <w:r>
        <w:t>Zlepšení koordinace a komunikace mezi úředníky zastupujícími další veřejné zájmy navzájem a se stavebními úřady</w:t>
      </w:r>
      <w:r w:rsidR="004B298F">
        <w:t>.</w:t>
      </w:r>
    </w:p>
    <w:p w:rsidR="0075491C" w:rsidRDefault="0075491C" w:rsidP="009D4B5F">
      <w:pPr>
        <w:pStyle w:val="Text-Normaln"/>
        <w:widowControl w:val="0"/>
        <w:numPr>
          <w:ilvl w:val="0"/>
          <w:numId w:val="57"/>
        </w:numPr>
        <w:ind w:left="426" w:hanging="426"/>
      </w:pPr>
      <w:r>
        <w:t>Vyšší transparentnost systému pro žadatele a časové úspory při mapování, jak řešit životní situaci</w:t>
      </w:r>
      <w:r w:rsidR="004B298F">
        <w:t>.</w:t>
      </w:r>
    </w:p>
    <w:p w:rsidR="0075491C" w:rsidRDefault="0075491C" w:rsidP="009D4B5F">
      <w:pPr>
        <w:pStyle w:val="Text-Normaln"/>
        <w:widowControl w:val="0"/>
        <w:numPr>
          <w:ilvl w:val="0"/>
          <w:numId w:val="57"/>
        </w:numPr>
        <w:ind w:left="426" w:hanging="426"/>
      </w:pPr>
      <w:r>
        <w:t>Jednotné řízení a metodické vedení úřadů = zvýšení právní jistoty u všech dotčených stran</w:t>
      </w:r>
      <w:r w:rsidR="00A51334">
        <w:t>.</w:t>
      </w:r>
    </w:p>
    <w:p w:rsidR="0075491C" w:rsidRDefault="0075491C" w:rsidP="009D4B5F">
      <w:pPr>
        <w:pStyle w:val="Text-Normaln"/>
        <w:widowControl w:val="0"/>
        <w:numPr>
          <w:ilvl w:val="0"/>
          <w:numId w:val="57"/>
        </w:numPr>
        <w:ind w:left="426" w:hanging="426"/>
      </w:pPr>
      <w:r>
        <w:t>Vyšší kvalifikace úředníků = možné snížení počtu formálních/věcných pochybení</w:t>
      </w:r>
      <w:r w:rsidR="00A51334">
        <w:t>.</w:t>
      </w:r>
      <w:r>
        <w:t xml:space="preserve"> </w:t>
      </w:r>
    </w:p>
    <w:p w:rsidR="0075491C" w:rsidRDefault="0075491C" w:rsidP="009D4B5F">
      <w:pPr>
        <w:pStyle w:val="Text-Normaln"/>
        <w:widowControl w:val="0"/>
        <w:numPr>
          <w:ilvl w:val="0"/>
          <w:numId w:val="57"/>
        </w:numPr>
        <w:ind w:left="426" w:hanging="426"/>
      </w:pPr>
      <w:r>
        <w:t>Přínosy v podobě eliminace možné podjatosti</w:t>
      </w:r>
      <w:r w:rsidR="00A51334">
        <w:t>.</w:t>
      </w:r>
      <w:r>
        <w:t xml:space="preserve"> </w:t>
      </w:r>
    </w:p>
    <w:p w:rsidR="0075491C" w:rsidRDefault="0075491C" w:rsidP="009D4B5F">
      <w:pPr>
        <w:pStyle w:val="Text-Normaln"/>
        <w:widowControl w:val="0"/>
        <w:numPr>
          <w:ilvl w:val="0"/>
          <w:numId w:val="57"/>
        </w:numPr>
        <w:ind w:left="426" w:hanging="426"/>
      </w:pPr>
      <w:r>
        <w:t>Odstranění možného konfliktu zájmů</w:t>
      </w:r>
      <w:r w:rsidR="00A51334">
        <w:t>.</w:t>
      </w:r>
    </w:p>
    <w:p w:rsidR="00B914FA" w:rsidRDefault="0075491C" w:rsidP="009D4B5F">
      <w:pPr>
        <w:pStyle w:val="Text-Normaln"/>
        <w:widowControl w:val="0"/>
        <w:numPr>
          <w:ilvl w:val="0"/>
          <w:numId w:val="57"/>
        </w:numPr>
        <w:ind w:left="426" w:hanging="426"/>
      </w:pPr>
      <w:r>
        <w:t>Úspory z</w:t>
      </w:r>
      <w:r w:rsidR="00A51334">
        <w:t> </w:t>
      </w:r>
      <w:r>
        <w:t>rozsahu</w:t>
      </w:r>
      <w:r w:rsidR="00A51334">
        <w:t>.</w:t>
      </w:r>
      <w:r w:rsidR="008752B8">
        <w:t xml:space="preserve"> </w:t>
      </w:r>
    </w:p>
    <w:p w:rsidR="00F13C4C" w:rsidRDefault="00F13C4C" w:rsidP="00533FC0">
      <w:pPr>
        <w:pStyle w:val="Text-Normaln"/>
        <w:widowControl w:val="0"/>
        <w:ind w:left="426"/>
      </w:pPr>
    </w:p>
    <w:p w:rsidR="004F7359" w:rsidRPr="00F8483B" w:rsidRDefault="009F3ED9" w:rsidP="00F75BB5">
      <w:pPr>
        <w:pStyle w:val="Nadpis3a"/>
        <w:widowControl w:val="0"/>
        <w:ind w:left="567" w:hanging="567"/>
      </w:pPr>
      <w:bookmarkStart w:id="54" w:name="_Toc536553918"/>
      <w:r>
        <w:lastRenderedPageBreak/>
        <w:t>Dotčené orgány (</w:t>
      </w:r>
      <w:r w:rsidR="0078162F">
        <w:t>DO</w:t>
      </w:r>
      <w:r>
        <w:t>)</w:t>
      </w:r>
      <w:bookmarkEnd w:id="54"/>
    </w:p>
    <w:p w:rsidR="00913DA2" w:rsidRDefault="00F75BB5" w:rsidP="00F75BB5">
      <w:pPr>
        <w:pStyle w:val="Nadpis3a"/>
        <w:numPr>
          <w:ilvl w:val="0"/>
          <w:numId w:val="0"/>
        </w:numPr>
      </w:pPr>
      <w:bookmarkStart w:id="55" w:name="_Toc536553919"/>
      <w:r>
        <w:t xml:space="preserve">A.2.1. </w:t>
      </w:r>
      <w:r w:rsidR="00913DA2">
        <w:t>Popis současného stavu:</w:t>
      </w:r>
      <w:bookmarkEnd w:id="55"/>
    </w:p>
    <w:p w:rsidR="002769E7" w:rsidRDefault="002769E7" w:rsidP="003E4A5D">
      <w:pPr>
        <w:pStyle w:val="Text-Normaln"/>
        <w:widowControl w:val="0"/>
      </w:pPr>
      <w:r>
        <w:t>S</w:t>
      </w:r>
      <w:r w:rsidRPr="004478CC">
        <w:t xml:space="preserve">tavební úřady postupují ve vzájemné součinnosti s </w:t>
      </w:r>
      <w:r w:rsidR="00A51334">
        <w:t xml:space="preserve">DO </w:t>
      </w:r>
      <w:r w:rsidRPr="004478CC">
        <w:t xml:space="preserve">chránícími veřejné zájmy podle zvláštních právních předpisů. Problematika </w:t>
      </w:r>
      <w:r w:rsidR="00A51334">
        <w:t>DO</w:t>
      </w:r>
      <w:r w:rsidRPr="004478CC">
        <w:t xml:space="preserve"> představuje závažný letitý problém. </w:t>
      </w:r>
      <w:r w:rsidR="007B7978">
        <w:t>Na obrázcích</w:t>
      </w:r>
      <w:r w:rsidRPr="004478CC">
        <w:t xml:space="preserve"> </w:t>
      </w:r>
      <w:r w:rsidR="007B7978">
        <w:t xml:space="preserve">níže </w:t>
      </w:r>
      <w:r w:rsidRPr="004478CC">
        <w:t xml:space="preserve">jsou </w:t>
      </w:r>
      <w:r w:rsidR="00A51334">
        <w:t xml:space="preserve">demonstrativní </w:t>
      </w:r>
      <w:r w:rsidRPr="004478CC">
        <w:t xml:space="preserve">ukázky počtu zákonů a rezortů, v jejichž gesci tyto právní předpisy jsou, a ve kterých je založena působnost správního orgánu jako </w:t>
      </w:r>
      <w:r w:rsidR="00A51334">
        <w:t>DO</w:t>
      </w:r>
      <w:r w:rsidRPr="004478CC">
        <w:t xml:space="preserve"> pro postupy a řízení před stavebním úřadem a v oblasti územního plánování.</w:t>
      </w:r>
      <w:r w:rsidR="007B7978">
        <w:t xml:space="preserve"> </w:t>
      </w:r>
    </w:p>
    <w:p w:rsidR="004A716B" w:rsidRDefault="004A716B" w:rsidP="003E4A5D">
      <w:pPr>
        <w:pStyle w:val="Titulek"/>
      </w:pPr>
      <w:r>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19</w:t>
      </w:r>
      <w:r w:rsidR="00AB65E9">
        <w:rPr>
          <w:noProof/>
        </w:rPr>
        <w:fldChar w:fldCharType="end"/>
      </w:r>
      <w:r>
        <w:t xml:space="preserve">: </w:t>
      </w:r>
      <w:r w:rsidR="00A51334" w:rsidRPr="00533FC0">
        <w:t xml:space="preserve">Demonstrativní výčet DO, které vstupují do procesu </w:t>
      </w:r>
      <w:r w:rsidRPr="00533FC0">
        <w:t>územního plánování</w:t>
      </w:r>
    </w:p>
    <w:p w:rsidR="00913DA2" w:rsidRDefault="005215A7" w:rsidP="003E4A5D">
      <w:pPr>
        <w:widowControl w:val="0"/>
        <w:rPr>
          <w:noProof/>
          <w:lang w:eastAsia="cs-CZ"/>
        </w:rPr>
      </w:pPr>
      <w:r>
        <w:rPr>
          <w:noProof/>
          <w:lang w:eastAsia="cs-CZ"/>
        </w:rPr>
        <w:drawing>
          <wp:inline distT="0" distB="0" distL="0" distR="0" wp14:anchorId="15BDE55B" wp14:editId="311483F0">
            <wp:extent cx="5715000" cy="5606244"/>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397" cy="5616443"/>
                    </a:xfrm>
                    <a:prstGeom prst="rect">
                      <a:avLst/>
                    </a:prstGeom>
                    <a:noFill/>
                    <a:ln>
                      <a:noFill/>
                    </a:ln>
                  </pic:spPr>
                </pic:pic>
              </a:graphicData>
            </a:graphic>
          </wp:inline>
        </w:drawing>
      </w:r>
    </w:p>
    <w:p w:rsidR="004A716B" w:rsidRPr="004A716B" w:rsidRDefault="004A716B" w:rsidP="003E4A5D">
      <w:pPr>
        <w:widowControl w:val="0"/>
        <w:rPr>
          <w:rFonts w:eastAsia="Times New Roman"/>
          <w:i/>
          <w:iCs/>
          <w:color w:val="000000"/>
          <w:sz w:val="22"/>
          <w:szCs w:val="20"/>
          <w:lang w:eastAsia="cs-CZ"/>
        </w:rPr>
      </w:pPr>
      <w:r w:rsidRPr="004A716B">
        <w:rPr>
          <w:rFonts w:eastAsia="Times New Roman"/>
          <w:i/>
          <w:iCs/>
          <w:color w:val="000000"/>
          <w:sz w:val="22"/>
          <w:szCs w:val="20"/>
          <w:lang w:eastAsia="cs-CZ"/>
        </w:rPr>
        <w:t>Zdroj: MMR</w:t>
      </w:r>
    </w:p>
    <w:p w:rsidR="008C2D12" w:rsidRDefault="008C2D12" w:rsidP="003E4A5D">
      <w:pPr>
        <w:widowControl w:val="0"/>
      </w:pPr>
    </w:p>
    <w:p w:rsidR="008C2D12" w:rsidRDefault="008C2D12" w:rsidP="003E4A5D">
      <w:pPr>
        <w:widowControl w:val="0"/>
      </w:pPr>
    </w:p>
    <w:p w:rsidR="00B50F2B" w:rsidRDefault="00B50F2B">
      <w:pPr>
        <w:spacing w:before="0" w:after="0"/>
        <w:jc w:val="left"/>
      </w:pPr>
      <w:r>
        <w:br w:type="page"/>
      </w:r>
    </w:p>
    <w:p w:rsidR="004A716B" w:rsidRDefault="004A716B" w:rsidP="00215D45">
      <w:pPr>
        <w:pStyle w:val="Titulek"/>
        <w:ind w:left="1304" w:hanging="1304"/>
      </w:pPr>
      <w:r>
        <w:lastRenderedPageBreak/>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20</w:t>
      </w:r>
      <w:r w:rsidR="00AB65E9">
        <w:rPr>
          <w:noProof/>
        </w:rPr>
        <w:fldChar w:fldCharType="end"/>
      </w:r>
      <w:r>
        <w:t xml:space="preserve">: </w:t>
      </w:r>
      <w:r w:rsidR="00A51334" w:rsidRPr="00A51334">
        <w:t xml:space="preserve">Demonstrativní výčet DO, které vstupují do procesu </w:t>
      </w:r>
      <w:r>
        <w:t xml:space="preserve">územního rozhodování </w:t>
      </w:r>
      <w:r w:rsidR="00386F70">
        <w:t>a </w:t>
      </w:r>
      <w:r>
        <w:t>stavebního řádu</w:t>
      </w:r>
    </w:p>
    <w:p w:rsidR="00913DA2" w:rsidRDefault="00913DA2" w:rsidP="003E4A5D">
      <w:pPr>
        <w:pStyle w:val="Text-Normaln"/>
        <w:widowControl w:val="0"/>
        <w:rPr>
          <w:b/>
        </w:rPr>
      </w:pPr>
      <w:r>
        <w:rPr>
          <w:noProof/>
          <w:lang w:eastAsia="cs-CZ"/>
        </w:rPr>
        <w:drawing>
          <wp:inline distT="0" distB="0" distL="0" distR="0" wp14:anchorId="7B166AA5" wp14:editId="260641B1">
            <wp:extent cx="5735782" cy="5651552"/>
            <wp:effectExtent l="0" t="0" r="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739" cy="5669246"/>
                    </a:xfrm>
                    <a:prstGeom prst="rect">
                      <a:avLst/>
                    </a:prstGeom>
                    <a:noFill/>
                    <a:ln>
                      <a:noFill/>
                    </a:ln>
                  </pic:spPr>
                </pic:pic>
              </a:graphicData>
            </a:graphic>
          </wp:inline>
        </w:drawing>
      </w:r>
    </w:p>
    <w:p w:rsidR="004A716B" w:rsidRPr="004A716B" w:rsidRDefault="004A716B" w:rsidP="003E4A5D">
      <w:pPr>
        <w:widowControl w:val="0"/>
        <w:rPr>
          <w:rFonts w:eastAsia="Times New Roman"/>
          <w:i/>
          <w:iCs/>
          <w:color w:val="000000"/>
          <w:sz w:val="22"/>
          <w:szCs w:val="20"/>
          <w:lang w:eastAsia="cs-CZ"/>
        </w:rPr>
      </w:pPr>
      <w:r w:rsidRPr="004A716B">
        <w:rPr>
          <w:rFonts w:eastAsia="Times New Roman"/>
          <w:i/>
          <w:iCs/>
          <w:color w:val="000000"/>
          <w:sz w:val="22"/>
          <w:szCs w:val="20"/>
          <w:lang w:eastAsia="cs-CZ"/>
        </w:rPr>
        <w:t>Zdroj: MMR</w:t>
      </w:r>
    </w:p>
    <w:p w:rsidR="00F75BB5" w:rsidRDefault="007B7978" w:rsidP="003E4A5D">
      <w:pPr>
        <w:pStyle w:val="Text-Normaln"/>
        <w:widowControl w:val="0"/>
      </w:pPr>
      <w:r w:rsidRPr="007B7978">
        <w:t xml:space="preserve">Většina </w:t>
      </w:r>
      <w:r w:rsidR="0078162F">
        <w:t>DO</w:t>
      </w:r>
      <w:r w:rsidRPr="007B7978">
        <w:t xml:space="preserve"> je </w:t>
      </w:r>
      <w:r w:rsidRPr="001D3B77">
        <w:t xml:space="preserve">soustředěna na </w:t>
      </w:r>
      <w:r w:rsidR="001D3B77" w:rsidRPr="00696E9E">
        <w:t>O</w:t>
      </w:r>
      <w:r w:rsidR="001D3B77" w:rsidRPr="00533FC0">
        <w:t>Ú</w:t>
      </w:r>
      <w:r w:rsidRPr="00533FC0">
        <w:t xml:space="preserve"> </w:t>
      </w:r>
      <w:r w:rsidR="00386F70" w:rsidRPr="000E635F">
        <w:t>ORP</w:t>
      </w:r>
      <w:r w:rsidRPr="000E635F">
        <w:t xml:space="preserve"> a krajských</w:t>
      </w:r>
      <w:r w:rsidRPr="007B7978">
        <w:t xml:space="preserve"> úřadech, tedy </w:t>
      </w:r>
      <w:r w:rsidR="00386F70">
        <w:t xml:space="preserve">na </w:t>
      </w:r>
      <w:r w:rsidR="00386F70" w:rsidRPr="007B7978">
        <w:t>orgá</w:t>
      </w:r>
      <w:r w:rsidR="00386F70">
        <w:t>nech</w:t>
      </w:r>
      <w:r w:rsidR="00386F70" w:rsidRPr="007B7978">
        <w:t xml:space="preserve"> </w:t>
      </w:r>
      <w:r w:rsidRPr="007B7978">
        <w:t>územní</w:t>
      </w:r>
      <w:r w:rsidR="00386F70">
        <w:t>ch samosprávných celků</w:t>
      </w:r>
      <w:r w:rsidRPr="007B7978">
        <w:t>.</w:t>
      </w:r>
    </w:p>
    <w:p w:rsidR="00913DA2" w:rsidRDefault="00F75BB5" w:rsidP="00F75BB5">
      <w:pPr>
        <w:pStyle w:val="Nadpis3a"/>
        <w:numPr>
          <w:ilvl w:val="0"/>
          <w:numId w:val="0"/>
        </w:numPr>
        <w:ind w:left="720" w:hanging="720"/>
      </w:pPr>
      <w:bookmarkStart w:id="56" w:name="_Toc536553920"/>
      <w:r>
        <w:t xml:space="preserve">A.2.2 </w:t>
      </w:r>
      <w:r w:rsidR="006059A5" w:rsidRPr="00F17D93">
        <w:t>Definice problému</w:t>
      </w:r>
      <w:bookmarkEnd w:id="56"/>
    </w:p>
    <w:p w:rsidR="00454029" w:rsidRDefault="00454029" w:rsidP="003E4A5D">
      <w:pPr>
        <w:pStyle w:val="Text-Normaln"/>
        <w:widowControl w:val="0"/>
      </w:pPr>
      <w:r>
        <w:t xml:space="preserve">Nejzávažnější problémy související s postavením </w:t>
      </w:r>
      <w:r w:rsidR="00386F70">
        <w:t>DO</w:t>
      </w:r>
      <w:r>
        <w:t xml:space="preserve"> a jejich vyjadřováním</w:t>
      </w:r>
      <w:r w:rsidR="001D3B77">
        <w:t>,</w:t>
      </w:r>
      <w:r>
        <w:t xml:space="preserve"> nejčastěji formou závazného stanoviska</w:t>
      </w:r>
      <w:r w:rsidR="001D3B77">
        <w:t>,</w:t>
      </w:r>
      <w:r>
        <w:t xml:space="preserve"> jsou následující: </w:t>
      </w:r>
    </w:p>
    <w:p w:rsidR="00454029" w:rsidRDefault="00454029" w:rsidP="009D4B5F">
      <w:pPr>
        <w:pStyle w:val="Text-Normaln"/>
        <w:widowControl w:val="0"/>
        <w:numPr>
          <w:ilvl w:val="0"/>
          <w:numId w:val="39"/>
        </w:numPr>
      </w:pPr>
      <w:r>
        <w:t xml:space="preserve">Počet </w:t>
      </w:r>
      <w:r w:rsidR="00386F70">
        <w:t>DO</w:t>
      </w:r>
    </w:p>
    <w:p w:rsidR="00454029" w:rsidRDefault="00386F70" w:rsidP="003E4A5D">
      <w:pPr>
        <w:pStyle w:val="Text-Normaln"/>
        <w:widowControl w:val="0"/>
        <w:ind w:left="360"/>
      </w:pPr>
      <w:r>
        <w:t>DO</w:t>
      </w:r>
      <w:r w:rsidR="00454029">
        <w:t xml:space="preserve"> je velké množství, postavení </w:t>
      </w:r>
      <w:r>
        <w:t>DO</w:t>
      </w:r>
      <w:r w:rsidR="00454029">
        <w:t xml:space="preserve"> plyne řádově ze 40 zákonů. Jednotlivé zákony často obsahují celou řadu vazeb na stavební zákon, vymezují řadu </w:t>
      </w:r>
      <w:r>
        <w:t>DO</w:t>
      </w:r>
      <w:r w:rsidR="00454029">
        <w:t>, řadu závazných stanovisek</w:t>
      </w:r>
      <w:r w:rsidR="001574B2">
        <w:t>,</w:t>
      </w:r>
      <w:r w:rsidR="00454029">
        <w:t xml:space="preserve"> popř. vyjádření, často ke všem etapám povolování stavebního záměru (umisťování, provádění, užívání). </w:t>
      </w:r>
      <w:r>
        <w:t xml:space="preserve"> </w:t>
      </w:r>
    </w:p>
    <w:p w:rsidR="00454029" w:rsidRDefault="00454029" w:rsidP="009D4B5F">
      <w:pPr>
        <w:pStyle w:val="Text-Normaln"/>
        <w:widowControl w:val="0"/>
        <w:numPr>
          <w:ilvl w:val="0"/>
          <w:numId w:val="39"/>
        </w:numPr>
      </w:pPr>
      <w:r>
        <w:t xml:space="preserve">Vymezení </w:t>
      </w:r>
      <w:r w:rsidR="00386F70">
        <w:t>DO</w:t>
      </w:r>
      <w:r>
        <w:t xml:space="preserve">, jeho působnost a formy vyjadřování </w:t>
      </w:r>
      <w:r w:rsidR="00386F70">
        <w:t xml:space="preserve"> </w:t>
      </w:r>
    </w:p>
    <w:p w:rsidR="00454029" w:rsidRDefault="00454029" w:rsidP="003E4A5D">
      <w:pPr>
        <w:pStyle w:val="Text-Normaln"/>
        <w:widowControl w:val="0"/>
        <w:ind w:left="360"/>
      </w:pPr>
      <w:r>
        <w:t xml:space="preserve">Zákony velmi často nejednoznačně vymezují postavení </w:t>
      </w:r>
      <w:r w:rsidR="00386F70">
        <w:t>DO</w:t>
      </w:r>
      <w:r w:rsidR="00B90B56">
        <w:t>, jeho působnost a </w:t>
      </w:r>
      <w:r>
        <w:t xml:space="preserve">formu pro </w:t>
      </w:r>
      <w:r>
        <w:lastRenderedPageBreak/>
        <w:t>jeho vyjadřování.</w:t>
      </w:r>
      <w:r w:rsidR="003F4ADE">
        <w:t xml:space="preserve"> V jednotlivých zákonech tato forma není často jednoznačně zakotvena</w:t>
      </w:r>
      <w:r w:rsidR="003F4ADE" w:rsidRPr="003F4ADE">
        <w:t xml:space="preserve"> </w:t>
      </w:r>
      <w:r w:rsidR="003F4ADE">
        <w:t>(zda vyjádření nebo závazné stanovisko).</w:t>
      </w:r>
    </w:p>
    <w:p w:rsidR="00454029" w:rsidRDefault="00454029" w:rsidP="009D4B5F">
      <w:pPr>
        <w:pStyle w:val="Text-Normaln"/>
        <w:widowControl w:val="0"/>
        <w:numPr>
          <w:ilvl w:val="0"/>
          <w:numId w:val="39"/>
        </w:numPr>
      </w:pPr>
      <w:r>
        <w:t>Definice veřejného zájmu</w:t>
      </w:r>
    </w:p>
    <w:p w:rsidR="00913DA2" w:rsidRDefault="00454029" w:rsidP="003E4A5D">
      <w:pPr>
        <w:pStyle w:val="Text-Normaln"/>
        <w:widowControl w:val="0"/>
        <w:ind w:left="360"/>
      </w:pPr>
      <w:r>
        <w:t>Jednotlivé zákony často nemají jednoznačně vymezený veřejný zájem, který je dotčen řízeními a postupy podle stavebního zákona. V zákonech není jasně vymezeno</w:t>
      </w:r>
      <w:r w:rsidR="004D056E">
        <w:t>,</w:t>
      </w:r>
      <w:r>
        <w:t xml:space="preserve"> z jakého hlediska (důvodu) se má </w:t>
      </w:r>
      <w:r w:rsidR="00386F70">
        <w:t xml:space="preserve">DO </w:t>
      </w:r>
      <w:r>
        <w:t>k řízení nebo postupu podle stavebního zákona vyjadřovat, nejsou definovány meze jeho správního uvážení.</w:t>
      </w:r>
    </w:p>
    <w:p w:rsidR="00F75BB5" w:rsidRDefault="004D056E" w:rsidP="003E4A5D">
      <w:pPr>
        <w:pStyle w:val="Text-Normaln"/>
        <w:widowControl w:val="0"/>
        <w:numPr>
          <w:ilvl w:val="0"/>
          <w:numId w:val="39"/>
        </w:numPr>
      </w:pPr>
      <w:r>
        <w:t>Problém podjatosti</w:t>
      </w:r>
    </w:p>
    <w:p w:rsidR="007D31C3" w:rsidRPr="0089559F" w:rsidRDefault="007D31C3" w:rsidP="007D31C3">
      <w:pPr>
        <w:pStyle w:val="Text-Normaln"/>
        <w:widowControl w:val="0"/>
      </w:pPr>
    </w:p>
    <w:p w:rsidR="00F75BB5" w:rsidRDefault="007529B5" w:rsidP="007529B5">
      <w:pPr>
        <w:pStyle w:val="Nadpis3a"/>
        <w:numPr>
          <w:ilvl w:val="0"/>
          <w:numId w:val="0"/>
        </w:numPr>
        <w:ind w:left="720" w:hanging="720"/>
      </w:pPr>
      <w:bookmarkStart w:id="57" w:name="_Toc536553921"/>
      <w:r>
        <w:t xml:space="preserve">A.2.3 </w:t>
      </w:r>
      <w:r w:rsidRPr="007529B5">
        <w:t>Hodnocení řešeného věcného okruhu</w:t>
      </w:r>
      <w:bookmarkEnd w:id="57"/>
    </w:p>
    <w:p w:rsidR="006059A5" w:rsidRPr="00E414AC" w:rsidRDefault="006059A5" w:rsidP="003E4A5D">
      <w:pPr>
        <w:pStyle w:val="Text-Normaln"/>
        <w:widowControl w:val="0"/>
        <w:rPr>
          <w:b/>
        </w:rPr>
      </w:pPr>
      <w:r w:rsidRPr="00E414AC">
        <w:rPr>
          <w:b/>
        </w:rPr>
        <w:t>Cíl:</w:t>
      </w:r>
      <w:r w:rsidRPr="00E414AC">
        <w:t xml:space="preserve"> </w:t>
      </w:r>
      <w:r w:rsidR="00D11A60" w:rsidRPr="00D11A60">
        <w:t>Zefektivnit a zrychlit povolovací proces</w:t>
      </w:r>
      <w:r w:rsidR="00D11A60">
        <w:t xml:space="preserve"> bez neadekvátní újmy na míře ochrany jiných veřejných zájmů</w:t>
      </w:r>
    </w:p>
    <w:p w:rsidR="006059A5" w:rsidRPr="00ED4BCB" w:rsidRDefault="006059A5" w:rsidP="003E4A5D">
      <w:pPr>
        <w:pStyle w:val="Text-Normaln"/>
        <w:widowControl w:val="0"/>
        <w:rPr>
          <w:b/>
        </w:rPr>
      </w:pPr>
      <w:r w:rsidRPr="00ED4BCB">
        <w:rPr>
          <w:b/>
        </w:rPr>
        <w:t>Návrh variant řešení:</w:t>
      </w:r>
    </w:p>
    <w:p w:rsidR="006059A5" w:rsidRPr="00E34973" w:rsidRDefault="006059A5" w:rsidP="003E4A5D">
      <w:pPr>
        <w:pStyle w:val="Text-Normaln"/>
        <w:widowControl w:val="0"/>
        <w:rPr>
          <w:i/>
        </w:rPr>
      </w:pPr>
      <w:r w:rsidRPr="00E34973">
        <w:rPr>
          <w:b/>
          <w:i/>
        </w:rPr>
        <w:t>Varianta 0:</w:t>
      </w:r>
      <w:r w:rsidRPr="00E34973">
        <w:rPr>
          <w:i/>
        </w:rPr>
        <w:t xml:space="preserve"> </w:t>
      </w:r>
      <w:r w:rsidR="004A5E67" w:rsidRPr="00E34973">
        <w:rPr>
          <w:i/>
        </w:rPr>
        <w:t>Zachování současného stavu</w:t>
      </w:r>
    </w:p>
    <w:p w:rsidR="006059A5" w:rsidRPr="00E34973" w:rsidRDefault="004A5E67" w:rsidP="003E4A5D">
      <w:pPr>
        <w:pStyle w:val="Text-Normaln"/>
        <w:widowControl w:val="0"/>
        <w:rPr>
          <w:i/>
        </w:rPr>
      </w:pPr>
      <w:r w:rsidRPr="00E34973">
        <w:rPr>
          <w:b/>
          <w:i/>
        </w:rPr>
        <w:t>Varianta 1:</w:t>
      </w:r>
      <w:r w:rsidRPr="00E34973">
        <w:rPr>
          <w:i/>
        </w:rPr>
        <w:t xml:space="preserve"> </w:t>
      </w:r>
      <w:r w:rsidR="004D056E" w:rsidRPr="00E34973">
        <w:rPr>
          <w:i/>
        </w:rPr>
        <w:t xml:space="preserve">Zavedení konzultačních mechanismů </w:t>
      </w:r>
    </w:p>
    <w:p w:rsidR="00913DA2" w:rsidRDefault="004A5E67" w:rsidP="003E4A5D">
      <w:pPr>
        <w:pStyle w:val="Text-Normaln"/>
        <w:widowControl w:val="0"/>
        <w:rPr>
          <w:i/>
        </w:rPr>
      </w:pPr>
      <w:r w:rsidRPr="00E34973">
        <w:rPr>
          <w:b/>
          <w:i/>
        </w:rPr>
        <w:t>Varianta 2:</w:t>
      </w:r>
      <w:r w:rsidRPr="00E34973">
        <w:rPr>
          <w:i/>
        </w:rPr>
        <w:t xml:space="preserve"> </w:t>
      </w:r>
      <w:r w:rsidR="004D056E" w:rsidRPr="00E34973">
        <w:rPr>
          <w:i/>
        </w:rPr>
        <w:t>Zavedení/rozšíření fikce souhlasu (nevyjádř</w:t>
      </w:r>
      <w:r w:rsidR="004D056E">
        <w:rPr>
          <w:i/>
        </w:rPr>
        <w:t>ením se</w:t>
      </w:r>
      <w:r w:rsidR="004D056E" w:rsidRPr="00E34973">
        <w:rPr>
          <w:i/>
        </w:rPr>
        <w:t xml:space="preserve"> ve stanovené lhůtě </w:t>
      </w:r>
      <w:r w:rsidR="004D056E">
        <w:rPr>
          <w:i/>
        </w:rPr>
        <w:t xml:space="preserve">vyslovuje </w:t>
      </w:r>
      <w:r w:rsidR="004D056E" w:rsidRPr="00E34973">
        <w:rPr>
          <w:i/>
        </w:rPr>
        <w:t>příslušný orgán souhlas s navrhovaným záměrem</w:t>
      </w:r>
      <w:r w:rsidR="004D056E">
        <w:rPr>
          <w:i/>
        </w:rPr>
        <w:t>)</w:t>
      </w:r>
    </w:p>
    <w:p w:rsidR="004D056E" w:rsidRPr="00E34973" w:rsidRDefault="004D056E" w:rsidP="003E4A5D">
      <w:pPr>
        <w:pStyle w:val="Text-Normaln"/>
        <w:widowControl w:val="0"/>
        <w:rPr>
          <w:b/>
          <w:i/>
        </w:rPr>
      </w:pPr>
      <w:r w:rsidRPr="00E34973">
        <w:rPr>
          <w:b/>
          <w:i/>
        </w:rPr>
        <w:t xml:space="preserve">Varianta 3: </w:t>
      </w:r>
      <w:r w:rsidRPr="004D056E">
        <w:rPr>
          <w:i/>
        </w:rPr>
        <w:t>Změna závazných stanovisek na formu vyjádření</w:t>
      </w:r>
      <w:r>
        <w:rPr>
          <w:i/>
        </w:rPr>
        <w:t xml:space="preserve"> </w:t>
      </w:r>
    </w:p>
    <w:p w:rsidR="004A5E67" w:rsidRPr="00E34973" w:rsidRDefault="004A5E67" w:rsidP="003E4A5D">
      <w:pPr>
        <w:pStyle w:val="Text-Normaln"/>
        <w:widowControl w:val="0"/>
        <w:rPr>
          <w:b/>
          <w:i/>
        </w:rPr>
      </w:pPr>
      <w:r w:rsidRPr="00E34973">
        <w:rPr>
          <w:b/>
          <w:i/>
        </w:rPr>
        <w:t xml:space="preserve">Varianta </w:t>
      </w:r>
      <w:r w:rsidR="004D056E">
        <w:rPr>
          <w:b/>
          <w:i/>
        </w:rPr>
        <w:t>4</w:t>
      </w:r>
      <w:r w:rsidRPr="00E34973">
        <w:rPr>
          <w:b/>
          <w:i/>
        </w:rPr>
        <w:t xml:space="preserve">: </w:t>
      </w:r>
      <w:r w:rsidR="00E34973" w:rsidRPr="00E34973">
        <w:rPr>
          <w:i/>
        </w:rPr>
        <w:t>I</w:t>
      </w:r>
      <w:r w:rsidR="00346E7C" w:rsidRPr="00E34973">
        <w:rPr>
          <w:i/>
        </w:rPr>
        <w:t xml:space="preserve">ntegrace vybraných agend </w:t>
      </w:r>
      <w:r w:rsidR="0078162F">
        <w:rPr>
          <w:i/>
        </w:rPr>
        <w:t>DO</w:t>
      </w:r>
      <w:r w:rsidR="00346E7C" w:rsidRPr="00E34973">
        <w:rPr>
          <w:i/>
        </w:rPr>
        <w:t xml:space="preserve"> do rozhodování stavebního úřadu</w:t>
      </w:r>
    </w:p>
    <w:p w:rsidR="006059A5" w:rsidRPr="00F23969" w:rsidRDefault="006059A5" w:rsidP="003E4A5D">
      <w:pPr>
        <w:pStyle w:val="Text-Normaln"/>
        <w:widowControl w:val="0"/>
        <w:rPr>
          <w:b/>
        </w:rPr>
      </w:pPr>
      <w:r w:rsidRPr="00F23969">
        <w:rPr>
          <w:b/>
        </w:rPr>
        <w:t>Identifikace nákladů a přínosů:</w:t>
      </w:r>
      <w:r w:rsidR="008C2D12">
        <w:rPr>
          <w:b/>
        </w:rPr>
        <w:t xml:space="preserve"> </w:t>
      </w:r>
    </w:p>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24</w:t>
      </w:r>
      <w:r w:rsidR="00AB65E9">
        <w:rPr>
          <w:noProof/>
        </w:rPr>
        <w:fldChar w:fldCharType="end"/>
      </w:r>
      <w:r>
        <w:t xml:space="preserve">: </w:t>
      </w:r>
      <w:r w:rsidRPr="004A716B">
        <w:t>Identifikace nákladů a přínosů</w:t>
      </w:r>
    </w:p>
    <w:tbl>
      <w:tblPr>
        <w:tblW w:w="0" w:type="auto"/>
        <w:tblInd w:w="108" w:type="dxa"/>
        <w:shd w:val="clear" w:color="auto" w:fill="B6B002"/>
        <w:tblLook w:val="00A0" w:firstRow="1" w:lastRow="0" w:firstColumn="1" w:lastColumn="0" w:noHBand="0" w:noVBand="0"/>
      </w:tblPr>
      <w:tblGrid>
        <w:gridCol w:w="8962"/>
      </w:tblGrid>
      <w:tr w:rsidR="006059A5" w:rsidRPr="00D862A5" w:rsidTr="004A716B">
        <w:tc>
          <w:tcPr>
            <w:tcW w:w="8962" w:type="dxa"/>
            <w:tcBorders>
              <w:top w:val="single" w:sz="4" w:space="0" w:color="auto"/>
              <w:bottom w:val="single" w:sz="4" w:space="0" w:color="auto"/>
            </w:tcBorders>
            <w:shd w:val="clear" w:color="auto" w:fill="D9D9D9" w:themeFill="background1" w:themeFillShade="D9"/>
            <w:vAlign w:val="center"/>
          </w:tcPr>
          <w:p w:rsidR="006059A5" w:rsidRPr="00D862A5" w:rsidRDefault="006059A5"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t>Náklady</w:t>
            </w:r>
          </w:p>
        </w:tc>
      </w:tr>
      <w:tr w:rsidR="00F23892" w:rsidRPr="00D862A5" w:rsidTr="004A716B">
        <w:tc>
          <w:tcPr>
            <w:tcW w:w="8962" w:type="dxa"/>
            <w:tcBorders>
              <w:top w:val="single" w:sz="4" w:space="0" w:color="auto"/>
              <w:bottom w:val="single" w:sz="4" w:space="0" w:color="auto"/>
            </w:tcBorders>
            <w:shd w:val="clear" w:color="auto" w:fill="auto"/>
            <w:vAlign w:val="center"/>
          </w:tcPr>
          <w:p w:rsidR="00F23892" w:rsidRPr="00D862A5" w:rsidRDefault="00F23892"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sz w:val="20"/>
                <w:szCs w:val="20"/>
              </w:rPr>
              <w:t xml:space="preserve">V případě zavedení Varianty 1 žádné výrazné náklady </w:t>
            </w:r>
            <w:r w:rsidR="000A499D">
              <w:rPr>
                <w:rFonts w:asciiTheme="minorHAnsi" w:hAnsiTheme="minorHAnsi"/>
                <w:sz w:val="20"/>
                <w:szCs w:val="20"/>
              </w:rPr>
              <w:t>se neočekávají</w:t>
            </w:r>
          </w:p>
          <w:p w:rsidR="00E44F0F" w:rsidRPr="00D862A5" w:rsidRDefault="00F23892" w:rsidP="000A499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sz w:val="20"/>
                <w:szCs w:val="20"/>
              </w:rPr>
              <w:t xml:space="preserve">V případě zavedení Varianty 2 </w:t>
            </w:r>
            <w:r w:rsidR="00F31AD3" w:rsidRPr="00D862A5">
              <w:rPr>
                <w:rFonts w:asciiTheme="minorHAnsi" w:hAnsiTheme="minorHAnsi"/>
                <w:sz w:val="20"/>
                <w:szCs w:val="20"/>
              </w:rPr>
              <w:t xml:space="preserve">může nastat případ, že se </w:t>
            </w:r>
            <w:r w:rsidR="0078162F">
              <w:rPr>
                <w:rFonts w:asciiTheme="minorHAnsi" w:hAnsiTheme="minorHAnsi"/>
                <w:sz w:val="20"/>
                <w:szCs w:val="20"/>
              </w:rPr>
              <w:t>DO</w:t>
            </w:r>
            <w:r w:rsidR="00F31AD3" w:rsidRPr="00D862A5">
              <w:rPr>
                <w:rFonts w:asciiTheme="minorHAnsi" w:hAnsiTheme="minorHAnsi"/>
                <w:sz w:val="20"/>
                <w:szCs w:val="20"/>
              </w:rPr>
              <w:t xml:space="preserve"> nestihne z důvodu velkého zatížení vyjádř</w:t>
            </w:r>
            <w:r w:rsidR="0043230B">
              <w:rPr>
                <w:rFonts w:asciiTheme="minorHAnsi" w:hAnsiTheme="minorHAnsi"/>
                <w:sz w:val="20"/>
                <w:szCs w:val="20"/>
              </w:rPr>
              <w:t>it</w:t>
            </w:r>
            <w:r w:rsidR="00F31AD3" w:rsidRPr="00D862A5">
              <w:rPr>
                <w:rFonts w:asciiTheme="minorHAnsi" w:hAnsiTheme="minorHAnsi"/>
                <w:sz w:val="20"/>
                <w:szCs w:val="20"/>
              </w:rPr>
              <w:t xml:space="preserve"> a tím de facto vysloví souhlas, i když by se jinak vyjádřil negativně. V důsledku fikce souhlasu pak může být realizován záměr, který neadekvátně poškodí určitý veřejný zájem. </w:t>
            </w:r>
            <w:r w:rsidR="000A499D">
              <w:rPr>
                <w:rFonts w:asciiTheme="minorHAnsi" w:hAnsiTheme="minorHAnsi"/>
                <w:sz w:val="20"/>
                <w:szCs w:val="20"/>
              </w:rPr>
              <w:t>Nelze předpokládat</w:t>
            </w:r>
            <w:r w:rsidR="00F31AD3" w:rsidRPr="00D862A5">
              <w:rPr>
                <w:rFonts w:asciiTheme="minorHAnsi" w:hAnsiTheme="minorHAnsi"/>
                <w:sz w:val="20"/>
                <w:szCs w:val="20"/>
              </w:rPr>
              <w:t xml:space="preserve">, že by tato situace byla častá, neboť i) </w:t>
            </w:r>
            <w:r w:rsidR="0078162F">
              <w:rPr>
                <w:rFonts w:asciiTheme="minorHAnsi" w:hAnsiTheme="minorHAnsi"/>
                <w:sz w:val="20"/>
                <w:szCs w:val="20"/>
              </w:rPr>
              <w:t>DO</w:t>
            </w:r>
            <w:r w:rsidR="00F31AD3" w:rsidRPr="00D862A5">
              <w:rPr>
                <w:rFonts w:asciiTheme="minorHAnsi" w:hAnsiTheme="minorHAnsi"/>
                <w:sz w:val="20"/>
                <w:szCs w:val="20"/>
              </w:rPr>
              <w:t xml:space="preserve"> na druhém konci ubyde práce, neboť nebudou muset vydávat souhlasná stanoviska, pokud nechají uplynout stanovenou lhůtu, ii) nástroj bude působit motivačně a zvýší </w:t>
            </w:r>
            <w:r w:rsidR="00686D84">
              <w:rPr>
                <w:rFonts w:asciiTheme="minorHAnsi" w:hAnsiTheme="minorHAnsi"/>
                <w:sz w:val="20"/>
                <w:szCs w:val="20"/>
              </w:rPr>
              <w:t>například</w:t>
            </w:r>
            <w:r w:rsidR="00F31AD3" w:rsidRPr="00D862A5">
              <w:rPr>
                <w:rFonts w:asciiTheme="minorHAnsi" w:hAnsiTheme="minorHAnsi"/>
                <w:sz w:val="20"/>
                <w:szCs w:val="20"/>
              </w:rPr>
              <w:t xml:space="preserve"> kvalitu plánování a procesního řízení na úřadech </w:t>
            </w:r>
            <w:r w:rsidR="0078162F">
              <w:rPr>
                <w:rFonts w:asciiTheme="minorHAnsi" w:hAnsiTheme="minorHAnsi"/>
                <w:sz w:val="20"/>
                <w:szCs w:val="20"/>
              </w:rPr>
              <w:t>DO</w:t>
            </w:r>
            <w:r w:rsidR="00E44F0F" w:rsidRPr="00D862A5">
              <w:rPr>
                <w:rFonts w:asciiTheme="minorHAnsi" w:hAnsiTheme="minorHAnsi"/>
                <w:sz w:val="20"/>
                <w:szCs w:val="20"/>
              </w:rPr>
              <w:t xml:space="preserve">. </w:t>
            </w:r>
            <w:r w:rsidR="000A499D" w:rsidRPr="000A499D">
              <w:rPr>
                <w:rFonts w:asciiTheme="minorHAnsi" w:hAnsiTheme="minorHAnsi"/>
                <w:sz w:val="20"/>
                <w:szCs w:val="20"/>
              </w:rPr>
              <w:t>Nelze předpokládat</w:t>
            </w:r>
            <w:r w:rsidR="00E44F0F" w:rsidRPr="00D862A5">
              <w:rPr>
                <w:rFonts w:asciiTheme="minorHAnsi" w:hAnsiTheme="minorHAnsi"/>
                <w:sz w:val="20"/>
                <w:szCs w:val="20"/>
              </w:rPr>
              <w:t>, že by se z tohoto titulu zvýšil počet negativních vyjádření (tj. úřad raději řekne ne, než by promeškal lhůtu), protože nesouhlas musí být podložen řádnými zákonnými důvody</w:t>
            </w:r>
            <w:r w:rsidR="00E44F0F" w:rsidRPr="00D862A5">
              <w:rPr>
                <w:rFonts w:asciiTheme="minorHAnsi" w:hAnsiTheme="minorHAnsi"/>
                <w:color w:val="000000"/>
                <w:sz w:val="20"/>
                <w:szCs w:val="20"/>
              </w:rPr>
              <w:t>.</w:t>
            </w:r>
            <w:r w:rsidR="000A499D">
              <w:rPr>
                <w:rFonts w:asciiTheme="minorHAnsi" w:hAnsiTheme="minorHAnsi"/>
                <w:color w:val="000000"/>
                <w:sz w:val="20"/>
                <w:szCs w:val="20"/>
              </w:rPr>
              <w:t xml:space="preserve"> </w:t>
            </w:r>
          </w:p>
          <w:p w:rsidR="00F31AD3" w:rsidRPr="00D862A5" w:rsidRDefault="00F31AD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3 – náklad ve formě případných škod, pokud stavební úřad nesprávně vyhodnotí </w:t>
            </w:r>
            <w:r w:rsidR="00686D84">
              <w:rPr>
                <w:rFonts w:asciiTheme="minorHAnsi" w:hAnsiTheme="minorHAnsi"/>
                <w:color w:val="000000"/>
                <w:sz w:val="20"/>
                <w:szCs w:val="20"/>
              </w:rPr>
              <w:t>například</w:t>
            </w:r>
            <w:r w:rsidRPr="00D862A5">
              <w:rPr>
                <w:rFonts w:asciiTheme="minorHAnsi" w:hAnsiTheme="minorHAnsi"/>
                <w:color w:val="000000"/>
                <w:sz w:val="20"/>
                <w:szCs w:val="20"/>
              </w:rPr>
              <w:t xml:space="preserve"> dvě protichůdná stanoviska, nepodaří se mu vyjednáváním najít společné řešení a rozhodne v neprospěch jednoho </w:t>
            </w:r>
            <w:r w:rsidR="0078162F">
              <w:rPr>
                <w:rFonts w:asciiTheme="minorHAnsi" w:hAnsiTheme="minorHAnsi"/>
                <w:color w:val="000000"/>
                <w:sz w:val="20"/>
                <w:szCs w:val="20"/>
              </w:rPr>
              <w:t>DO</w:t>
            </w:r>
            <w:r w:rsidR="00031AA3" w:rsidRPr="00D862A5">
              <w:rPr>
                <w:rFonts w:asciiTheme="minorHAnsi" w:hAnsiTheme="minorHAnsi"/>
                <w:color w:val="000000"/>
                <w:sz w:val="20"/>
                <w:szCs w:val="20"/>
              </w:rPr>
              <w:t>; rozhodující úředník bude cítit větší odpovědnost = bude třeba pozitivní motivace, aby na stavebních úřadech pracovali zkušení</w:t>
            </w:r>
            <w:r w:rsidR="00EC07EF">
              <w:rPr>
                <w:rFonts w:asciiTheme="minorHAnsi" w:hAnsiTheme="minorHAnsi"/>
                <w:color w:val="000000"/>
                <w:sz w:val="20"/>
                <w:szCs w:val="20"/>
              </w:rPr>
              <w:t>, kvalifikovaní</w:t>
            </w:r>
            <w:r w:rsidR="00031AA3" w:rsidRPr="00D862A5">
              <w:rPr>
                <w:rFonts w:asciiTheme="minorHAnsi" w:hAnsiTheme="minorHAnsi"/>
                <w:color w:val="000000"/>
                <w:sz w:val="20"/>
                <w:szCs w:val="20"/>
              </w:rPr>
              <w:t xml:space="preserve"> a věci znalí odborníci, kteří se nebudou bát rozhodnout. </w:t>
            </w:r>
          </w:p>
          <w:p w:rsidR="00F31AD3" w:rsidRPr="00D862A5" w:rsidRDefault="00F31AD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4 – náklady na převedení příslušných zaměstnanců samospráv pod </w:t>
            </w:r>
            <w:r w:rsidR="007A7FB3" w:rsidRPr="00D862A5">
              <w:rPr>
                <w:rFonts w:asciiTheme="minorHAnsi" w:hAnsiTheme="minorHAnsi"/>
                <w:color w:val="000000"/>
                <w:sz w:val="20"/>
                <w:szCs w:val="20"/>
              </w:rPr>
              <w:t>rezort NSÚ</w:t>
            </w:r>
          </w:p>
        </w:tc>
      </w:tr>
      <w:tr w:rsidR="00F23892" w:rsidRPr="00D862A5" w:rsidTr="004A716B">
        <w:tc>
          <w:tcPr>
            <w:tcW w:w="8962" w:type="dxa"/>
            <w:tcBorders>
              <w:top w:val="single" w:sz="4" w:space="0" w:color="auto"/>
              <w:bottom w:val="single" w:sz="4" w:space="0" w:color="auto"/>
            </w:tcBorders>
            <w:shd w:val="clear" w:color="auto" w:fill="D9D9D9" w:themeFill="background1" w:themeFillShade="D9"/>
            <w:vAlign w:val="center"/>
          </w:tcPr>
          <w:p w:rsidR="00F23892" w:rsidRPr="00D862A5" w:rsidRDefault="00F23892"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F23892" w:rsidRPr="00D862A5" w:rsidTr="004A716B">
        <w:tc>
          <w:tcPr>
            <w:tcW w:w="8962" w:type="dxa"/>
            <w:tcBorders>
              <w:top w:val="single" w:sz="4" w:space="0" w:color="auto"/>
              <w:bottom w:val="single" w:sz="4" w:space="0" w:color="auto"/>
            </w:tcBorders>
            <w:shd w:val="clear" w:color="auto" w:fill="FFFFFF" w:themeFill="background1"/>
            <w:vAlign w:val="center"/>
          </w:tcPr>
          <w:p w:rsidR="007A7FB3" w:rsidRPr="00D862A5" w:rsidRDefault="00F23892" w:rsidP="003E4A5D">
            <w:pPr>
              <w:pStyle w:val="Odstavecseseznamem"/>
              <w:widowControl w:val="0"/>
              <w:numPr>
                <w:ilvl w:val="0"/>
                <w:numId w:val="28"/>
              </w:numPr>
              <w:spacing w:before="0" w:after="0"/>
              <w:rPr>
                <w:rFonts w:asciiTheme="minorHAnsi" w:hAnsiTheme="minorHAnsi"/>
                <w:sz w:val="20"/>
                <w:szCs w:val="20"/>
              </w:rPr>
            </w:pPr>
            <w:r w:rsidRPr="00D862A5">
              <w:rPr>
                <w:rFonts w:asciiTheme="minorHAnsi" w:hAnsiTheme="minorHAnsi"/>
                <w:sz w:val="20"/>
                <w:szCs w:val="20"/>
              </w:rPr>
              <w:t xml:space="preserve">Varianta 1 - provedení konzultací nebo jejich povinnost pro vybrané nebo určené záměry by měla zkrátit dobu projednávání a zefektivnit a zkvalitnit přípravu na straně investora s ohledem na </w:t>
            </w:r>
            <w:r w:rsidR="007A7FB3" w:rsidRPr="00D862A5">
              <w:rPr>
                <w:rFonts w:asciiTheme="minorHAnsi" w:hAnsiTheme="minorHAnsi"/>
                <w:sz w:val="20"/>
                <w:szCs w:val="20"/>
              </w:rPr>
              <w:t>poznání</w:t>
            </w:r>
            <w:r w:rsidRPr="00D862A5">
              <w:rPr>
                <w:rFonts w:asciiTheme="minorHAnsi" w:hAnsiTheme="minorHAnsi"/>
                <w:sz w:val="20"/>
                <w:szCs w:val="20"/>
              </w:rPr>
              <w:t xml:space="preserve"> podmínek a požadavků </w:t>
            </w:r>
            <w:r w:rsidR="0078162F">
              <w:rPr>
                <w:rFonts w:asciiTheme="minorHAnsi" w:hAnsiTheme="minorHAnsi"/>
                <w:sz w:val="20"/>
                <w:szCs w:val="20"/>
              </w:rPr>
              <w:t>DO</w:t>
            </w:r>
            <w:r w:rsidRPr="00D862A5">
              <w:rPr>
                <w:rFonts w:asciiTheme="minorHAnsi" w:hAnsiTheme="minorHAnsi"/>
                <w:sz w:val="20"/>
                <w:szCs w:val="20"/>
              </w:rPr>
              <w:t xml:space="preserve"> i příslušného stavebního úřadu. </w:t>
            </w:r>
            <w:r w:rsidR="007A7FB3" w:rsidRPr="00D862A5">
              <w:rPr>
                <w:rFonts w:asciiTheme="minorHAnsi" w:hAnsiTheme="minorHAnsi"/>
                <w:sz w:val="20"/>
                <w:szCs w:val="20"/>
              </w:rPr>
              <w:t xml:space="preserve">Přínosy ze zavedení této varianty jsou však obtížně vyčíslitelné. I v současné době je možné konzultovat. Nedomníváme se proto, že by bylo nutné tuto povinnost výslovně stanovit do textu zákona, protože není zcela zřejmé, jak by tato povinnost mohla být implementována a její splnění posuzováno. </w:t>
            </w:r>
            <w:r w:rsidR="000A499D">
              <w:rPr>
                <w:rFonts w:asciiTheme="minorHAnsi" w:hAnsiTheme="minorHAnsi"/>
                <w:sz w:val="20"/>
                <w:szCs w:val="20"/>
              </w:rPr>
              <w:t>Je vhodné ponecht</w:t>
            </w:r>
            <w:r w:rsidR="007A7FB3" w:rsidRPr="00D862A5">
              <w:rPr>
                <w:rFonts w:asciiTheme="minorHAnsi" w:hAnsiTheme="minorHAnsi"/>
                <w:sz w:val="20"/>
                <w:szCs w:val="20"/>
              </w:rPr>
              <w:t xml:space="preserve"> využití konzultačních mechanismů na dobrovolné bázi s návrhem příkladné podpory této praxe ze strany MMR (školení, zviditelňování úspěšných případů a best practice apod.).</w:t>
            </w:r>
          </w:p>
          <w:p w:rsidR="00F23892" w:rsidRPr="00D862A5" w:rsidRDefault="000E76F8" w:rsidP="00854F38">
            <w:pPr>
              <w:pStyle w:val="Odstavecseseznamem"/>
              <w:widowControl w:val="0"/>
              <w:numPr>
                <w:ilvl w:val="0"/>
                <w:numId w:val="28"/>
              </w:numPr>
              <w:spacing w:before="0" w:after="0"/>
              <w:rPr>
                <w:rFonts w:asciiTheme="minorHAnsi" w:hAnsiTheme="minorHAnsi"/>
                <w:sz w:val="20"/>
                <w:szCs w:val="20"/>
              </w:rPr>
            </w:pPr>
            <w:r>
              <w:rPr>
                <w:rFonts w:asciiTheme="minorHAnsi" w:hAnsiTheme="minorHAnsi"/>
                <w:sz w:val="20"/>
                <w:szCs w:val="20"/>
              </w:rPr>
              <w:t>Varianta 2 - s</w:t>
            </w:r>
            <w:r w:rsidR="00F23892" w:rsidRPr="00D862A5">
              <w:rPr>
                <w:rFonts w:asciiTheme="minorHAnsi" w:hAnsiTheme="minorHAnsi"/>
                <w:sz w:val="20"/>
                <w:szCs w:val="20"/>
              </w:rPr>
              <w:t xml:space="preserve">tanovení fikce souhlasu by napomohlo zkrácení povolovacího procesu. Toto zkrácení </w:t>
            </w:r>
            <w:r w:rsidR="00031AA3" w:rsidRPr="00D862A5">
              <w:rPr>
                <w:rFonts w:asciiTheme="minorHAnsi" w:hAnsiTheme="minorHAnsi"/>
                <w:sz w:val="20"/>
                <w:szCs w:val="20"/>
              </w:rPr>
              <w:t xml:space="preserve">lze </w:t>
            </w:r>
            <w:r w:rsidR="00031AA3" w:rsidRPr="00D862A5">
              <w:rPr>
                <w:rFonts w:asciiTheme="minorHAnsi" w:hAnsiTheme="minorHAnsi"/>
                <w:sz w:val="20"/>
                <w:szCs w:val="20"/>
              </w:rPr>
              <w:lastRenderedPageBreak/>
              <w:t>odhadnout v řádech</w:t>
            </w:r>
            <w:r w:rsidR="00F23892" w:rsidRPr="00D862A5">
              <w:rPr>
                <w:rFonts w:asciiTheme="minorHAnsi" w:hAnsiTheme="minorHAnsi"/>
                <w:sz w:val="20"/>
                <w:szCs w:val="20"/>
              </w:rPr>
              <w:t xml:space="preserve"> měsíců u nejproblematičtějších záměrů. Zároveň by toto opatření snížilo administrativní náročnost procesu vydávání stanovisek. </w:t>
            </w:r>
            <w:r w:rsidR="00EC07EF">
              <w:rPr>
                <w:rFonts w:asciiTheme="minorHAnsi" w:hAnsiTheme="minorHAnsi"/>
                <w:sz w:val="20"/>
                <w:szCs w:val="20"/>
              </w:rPr>
              <w:t>Přínos v podobě p</w:t>
            </w:r>
            <w:r w:rsidR="00F23892" w:rsidRPr="00D862A5">
              <w:rPr>
                <w:rFonts w:asciiTheme="minorHAnsi" w:hAnsiTheme="minorHAnsi"/>
                <w:sz w:val="20"/>
                <w:szCs w:val="20"/>
              </w:rPr>
              <w:t>okles</w:t>
            </w:r>
            <w:r w:rsidR="00EC07EF">
              <w:rPr>
                <w:rFonts w:asciiTheme="minorHAnsi" w:hAnsiTheme="minorHAnsi"/>
                <w:sz w:val="20"/>
                <w:szCs w:val="20"/>
              </w:rPr>
              <w:t>u</w:t>
            </w:r>
            <w:r w:rsidR="00F23892" w:rsidRPr="00D862A5">
              <w:rPr>
                <w:rFonts w:asciiTheme="minorHAnsi" w:hAnsiTheme="minorHAnsi"/>
                <w:sz w:val="20"/>
                <w:szCs w:val="20"/>
              </w:rPr>
              <w:t xml:space="preserve"> těchto nákladů lze odhadnout jako počet vydaných stanovisek násobený administrat</w:t>
            </w:r>
            <w:r w:rsidR="00B90B56">
              <w:rPr>
                <w:rFonts w:asciiTheme="minorHAnsi" w:hAnsiTheme="minorHAnsi"/>
                <w:sz w:val="20"/>
                <w:szCs w:val="20"/>
              </w:rPr>
              <w:t>ivní náročností jejich vydání a </w:t>
            </w:r>
            <w:r w:rsidR="00F23892" w:rsidRPr="00D862A5">
              <w:rPr>
                <w:rFonts w:asciiTheme="minorHAnsi" w:hAnsiTheme="minorHAnsi"/>
                <w:sz w:val="20"/>
                <w:szCs w:val="20"/>
              </w:rPr>
              <w:t xml:space="preserve">procentem případů, ve kterých by </w:t>
            </w:r>
            <w:r w:rsidR="00854F38" w:rsidRPr="00854F38">
              <w:rPr>
                <w:rFonts w:asciiTheme="minorHAnsi" w:hAnsiTheme="minorHAnsi"/>
                <w:sz w:val="20"/>
                <w:szCs w:val="20"/>
              </w:rPr>
              <w:t>DO</w:t>
            </w:r>
            <w:r w:rsidR="00F23892" w:rsidRPr="00D862A5">
              <w:rPr>
                <w:rFonts w:asciiTheme="minorHAnsi" w:hAnsiTheme="minorHAnsi"/>
                <w:sz w:val="20"/>
                <w:szCs w:val="20"/>
              </w:rPr>
              <w:t xml:space="preserve"> souhlasil a stanovisko nemusel fyzicky </w:t>
            </w:r>
            <w:r w:rsidR="00031AA3" w:rsidRPr="00D862A5">
              <w:rPr>
                <w:rFonts w:asciiTheme="minorHAnsi" w:hAnsiTheme="minorHAnsi"/>
                <w:sz w:val="20"/>
                <w:szCs w:val="20"/>
              </w:rPr>
              <w:t>vyda</w:t>
            </w:r>
            <w:r w:rsidR="00F23892" w:rsidRPr="00D862A5">
              <w:rPr>
                <w:rFonts w:asciiTheme="minorHAnsi" w:hAnsiTheme="minorHAnsi"/>
                <w:sz w:val="20"/>
                <w:szCs w:val="20"/>
              </w:rPr>
              <w:t>t.</w:t>
            </w:r>
          </w:p>
          <w:p w:rsidR="00F23892" w:rsidRPr="00D862A5" w:rsidRDefault="00031AA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3 </w:t>
            </w:r>
            <w:r w:rsidR="003F687D" w:rsidRPr="00D862A5">
              <w:rPr>
                <w:rFonts w:asciiTheme="minorHAnsi" w:hAnsiTheme="minorHAnsi"/>
                <w:color w:val="000000"/>
                <w:sz w:val="20"/>
                <w:szCs w:val="20"/>
              </w:rPr>
              <w:t>–</w:t>
            </w:r>
            <w:r w:rsidRPr="00D862A5">
              <w:rPr>
                <w:rFonts w:asciiTheme="minorHAnsi" w:hAnsiTheme="minorHAnsi"/>
                <w:color w:val="000000"/>
                <w:sz w:val="20"/>
                <w:szCs w:val="20"/>
              </w:rPr>
              <w:t xml:space="preserve"> </w:t>
            </w:r>
            <w:r w:rsidR="003F687D" w:rsidRPr="00D862A5">
              <w:rPr>
                <w:rFonts w:asciiTheme="minorHAnsi" w:hAnsiTheme="minorHAnsi"/>
                <w:color w:val="000000"/>
                <w:sz w:val="20"/>
                <w:szCs w:val="20"/>
              </w:rPr>
              <w:t>zefektivnění a zrychlení povolovacího procesu - dojde k odstranění problémů současné praxe, jako jsou dlouhé lhůty, ve kterých jsou závazná stanoviska vydávána, následné přezkumy závazných stanovisek i spory o to, kdo závazné stanovisko vydává a v jaké fázi řízení</w:t>
            </w:r>
            <w:r w:rsidR="0043230B">
              <w:rPr>
                <w:rFonts w:asciiTheme="minorHAnsi" w:hAnsiTheme="minorHAnsi"/>
                <w:color w:val="000000"/>
                <w:sz w:val="20"/>
                <w:szCs w:val="20"/>
              </w:rPr>
              <w:t>.</w:t>
            </w:r>
            <w:r w:rsidR="003F687D" w:rsidRPr="00D862A5">
              <w:rPr>
                <w:rFonts w:asciiTheme="minorHAnsi" w:hAnsiTheme="minorHAnsi"/>
                <w:color w:val="000000"/>
                <w:sz w:val="20"/>
                <w:szCs w:val="20"/>
              </w:rPr>
              <w:t xml:space="preserve"> </w:t>
            </w:r>
          </w:p>
          <w:p w:rsidR="003F687D" w:rsidRPr="00D862A5" w:rsidRDefault="003F687D"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4 – řeší problém podjatosti, zvyšuje možnost koordinace mezi úředními osobami hájícími různé veřejné zájmy, snižuje administrativní náklady na komunikaci mezi </w:t>
            </w:r>
            <w:r w:rsidR="0078162F">
              <w:rPr>
                <w:rFonts w:asciiTheme="minorHAnsi" w:hAnsiTheme="minorHAnsi"/>
                <w:color w:val="000000"/>
                <w:sz w:val="20"/>
                <w:szCs w:val="20"/>
              </w:rPr>
              <w:t>DO</w:t>
            </w:r>
            <w:r w:rsidRPr="00D862A5">
              <w:rPr>
                <w:rFonts w:asciiTheme="minorHAnsi" w:hAnsiTheme="minorHAnsi"/>
                <w:color w:val="000000"/>
                <w:sz w:val="20"/>
                <w:szCs w:val="20"/>
              </w:rPr>
              <w:t xml:space="preserve"> a stavebními úřady</w:t>
            </w:r>
          </w:p>
        </w:tc>
      </w:tr>
    </w:tbl>
    <w:p w:rsidR="006059A5" w:rsidRPr="00CF6F45" w:rsidRDefault="006059A5" w:rsidP="003E4A5D">
      <w:pPr>
        <w:pStyle w:val="Text-Normaln"/>
        <w:widowControl w:val="0"/>
        <w:rPr>
          <w:b/>
        </w:rPr>
      </w:pPr>
      <w:r w:rsidRPr="00CF6F45">
        <w:rPr>
          <w:b/>
        </w:rPr>
        <w:lastRenderedPageBreak/>
        <w:t>Kvantifikace nákladů:</w:t>
      </w:r>
    </w:p>
    <w:p w:rsidR="003F687D" w:rsidRPr="00E34973" w:rsidRDefault="003F687D" w:rsidP="003E4A5D">
      <w:pPr>
        <w:pStyle w:val="Text-Normaln"/>
        <w:widowControl w:val="0"/>
        <w:rPr>
          <w:i/>
        </w:rPr>
      </w:pPr>
      <w:r w:rsidRPr="00E34973">
        <w:rPr>
          <w:b/>
          <w:i/>
        </w:rPr>
        <w:t>Varianta 1</w:t>
      </w:r>
      <w:r w:rsidRPr="00E34973">
        <w:rPr>
          <w:i/>
        </w:rPr>
        <w:t xml:space="preserve"> </w:t>
      </w:r>
    </w:p>
    <w:p w:rsidR="003F687D" w:rsidRPr="003F687D" w:rsidRDefault="003F687D" w:rsidP="003E4A5D">
      <w:pPr>
        <w:pStyle w:val="Text-Normaln"/>
        <w:widowControl w:val="0"/>
      </w:pPr>
      <w:r w:rsidRPr="003F687D">
        <w:t xml:space="preserve">Žádné výrazné náklady </w:t>
      </w:r>
      <w:r w:rsidR="002F34F0">
        <w:t>se nedají očekávat</w:t>
      </w:r>
      <w:r w:rsidRPr="003F687D">
        <w:t>.</w:t>
      </w:r>
    </w:p>
    <w:p w:rsidR="003F687D" w:rsidRDefault="003F687D" w:rsidP="003E4A5D">
      <w:pPr>
        <w:pStyle w:val="Text-Normaln"/>
        <w:widowControl w:val="0"/>
        <w:rPr>
          <w:i/>
        </w:rPr>
      </w:pPr>
      <w:r w:rsidRPr="00E34973">
        <w:rPr>
          <w:b/>
          <w:i/>
        </w:rPr>
        <w:t>Varianta 2</w:t>
      </w:r>
      <w:r w:rsidRPr="00E34973">
        <w:rPr>
          <w:i/>
        </w:rPr>
        <w:t xml:space="preserve"> </w:t>
      </w:r>
    </w:p>
    <w:p w:rsidR="003F687D" w:rsidRPr="003F687D" w:rsidRDefault="003F687D" w:rsidP="003E4A5D">
      <w:pPr>
        <w:pStyle w:val="Text-Normaln"/>
        <w:widowControl w:val="0"/>
      </w:pPr>
      <w:r w:rsidRPr="003F687D">
        <w:t xml:space="preserve">Žádné výrazné náklady </w:t>
      </w:r>
      <w:r w:rsidR="002F34F0" w:rsidRPr="002F34F0">
        <w:t>se nedají očekávat</w:t>
      </w:r>
      <w:r w:rsidRPr="003F687D">
        <w:t>.</w:t>
      </w:r>
    </w:p>
    <w:p w:rsidR="003F687D" w:rsidRDefault="003F687D" w:rsidP="003E4A5D">
      <w:pPr>
        <w:pStyle w:val="Text-Normaln"/>
        <w:widowControl w:val="0"/>
        <w:rPr>
          <w:b/>
          <w:i/>
        </w:rPr>
      </w:pPr>
      <w:r w:rsidRPr="00E34973">
        <w:rPr>
          <w:b/>
          <w:i/>
        </w:rPr>
        <w:t xml:space="preserve">Varianta 3 </w:t>
      </w:r>
    </w:p>
    <w:p w:rsidR="003F687D" w:rsidRPr="003F687D" w:rsidRDefault="003F687D" w:rsidP="003E4A5D">
      <w:pPr>
        <w:pStyle w:val="Text-Normaln"/>
        <w:widowControl w:val="0"/>
      </w:pPr>
      <w:r w:rsidRPr="003F687D">
        <w:t>Protože charakter případných škod může být velmi rozdílný, nelze v tomto bodě náklady při slušné míře spolehlivosti odhadnout.</w:t>
      </w:r>
    </w:p>
    <w:p w:rsidR="003F687D" w:rsidRPr="00E34973" w:rsidRDefault="003F687D" w:rsidP="003E4A5D">
      <w:pPr>
        <w:pStyle w:val="Text-Normaln"/>
        <w:widowControl w:val="0"/>
        <w:rPr>
          <w:b/>
          <w:i/>
        </w:rPr>
      </w:pPr>
      <w:r w:rsidRPr="00E34973">
        <w:rPr>
          <w:b/>
          <w:i/>
        </w:rPr>
        <w:t xml:space="preserve">Varianta </w:t>
      </w:r>
      <w:r>
        <w:rPr>
          <w:b/>
          <w:i/>
        </w:rPr>
        <w:t>4</w:t>
      </w:r>
    </w:p>
    <w:p w:rsidR="00F454AD" w:rsidRPr="00631DEC" w:rsidRDefault="00631DEC" w:rsidP="003E4A5D">
      <w:pPr>
        <w:pStyle w:val="Text-Normaln"/>
        <w:widowControl w:val="0"/>
      </w:pPr>
      <w:r>
        <w:t xml:space="preserve">Pokud by pod NSÚ přešly i další agendy uvedené v tabulce níže (započítány jsou pouze úvazky na výkon PP dle obsahu úkonů agendy), lze konstatovat, že náklady by se oproti nákladům uvedeným v předchozí kapitole přibližně zdvojnásobily. Pod NSÚ by mělo přejít dalších cca 4 800 úředníků, což činí </w:t>
      </w:r>
      <w:r w:rsidR="00E44F0F">
        <w:t>3,4</w:t>
      </w:r>
      <w:r w:rsidR="00110616">
        <w:t xml:space="preserve"> mld. Kč na ročním provozu</w:t>
      </w:r>
      <w:r w:rsidR="00E44F0F">
        <w:t>, pokud by všichni byli najati nově</w:t>
      </w:r>
      <w:r w:rsidR="00711CF5">
        <w:t>. Co se tý</w:t>
      </w:r>
      <w:r w:rsidR="00EC07EF">
        <w:t>ká</w:t>
      </w:r>
      <w:r w:rsidR="00711CF5">
        <w:t xml:space="preserve"> ostatních nákladů, lze zreplikovat odhady uve</w:t>
      </w:r>
      <w:r w:rsidR="00B90B56">
        <w:t>dené v předcházející kapitole a </w:t>
      </w:r>
      <w:r w:rsidR="00711CF5">
        <w:t xml:space="preserve">zvážit je příslušným </w:t>
      </w:r>
      <w:r w:rsidR="00AC4073">
        <w:t xml:space="preserve">průměrným </w:t>
      </w:r>
      <w:r w:rsidR="00711CF5">
        <w:t>poměrem dle předpokládaného převodu zaměstnanců. Celkový součet je uveden v souhrnné tabulce v závěru tohoto dokumentu.</w:t>
      </w:r>
      <w:r>
        <w:t xml:space="preserve">  </w:t>
      </w:r>
      <w:r w:rsidR="00F454AD" w:rsidRPr="00631DEC">
        <w:t xml:space="preserve"> </w:t>
      </w:r>
    </w:p>
    <w:p w:rsidR="00104783" w:rsidRDefault="00104783" w:rsidP="003E4A5D">
      <w:pPr>
        <w:pStyle w:val="Titulek"/>
      </w:pPr>
      <w:r>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25</w:t>
      </w:r>
      <w:r w:rsidR="00AB65E9">
        <w:rPr>
          <w:noProof/>
        </w:rPr>
        <w:fldChar w:fldCharType="end"/>
      </w:r>
      <w:r>
        <w:t>: Podíly agend na výkonu státní správy</w:t>
      </w:r>
      <w:r w:rsidR="008C2D12">
        <w:t xml:space="preserve"> </w:t>
      </w:r>
    </w:p>
    <w:tbl>
      <w:tblPr>
        <w:tblStyle w:val="Svtlstnovn1"/>
        <w:tblW w:w="9072" w:type="dxa"/>
        <w:tblInd w:w="108" w:type="dxa"/>
        <w:tblLook w:val="04A0" w:firstRow="1" w:lastRow="0" w:firstColumn="1" w:lastColumn="0" w:noHBand="0" w:noVBand="1"/>
      </w:tblPr>
      <w:tblGrid>
        <w:gridCol w:w="4361"/>
        <w:gridCol w:w="4711"/>
      </w:tblGrid>
      <w:tr w:rsidR="00995478" w:rsidRPr="00C33737" w:rsidTr="001047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995478" w:rsidRPr="00995478" w:rsidRDefault="00995478" w:rsidP="003E4A5D">
            <w:pPr>
              <w:widowControl w:val="0"/>
              <w:spacing w:before="0" w:after="0"/>
              <w:jc w:val="left"/>
              <w:rPr>
                <w:rFonts w:asciiTheme="minorHAnsi" w:eastAsia="Times New Roman" w:hAnsiTheme="minorHAnsi" w:cstheme="minorHAnsi"/>
                <w:color w:val="000000" w:themeColor="text1"/>
                <w:sz w:val="20"/>
                <w:szCs w:val="20"/>
                <w:lang w:eastAsia="cs-CZ"/>
              </w:rPr>
            </w:pPr>
            <w:r w:rsidRPr="00995478">
              <w:rPr>
                <w:rFonts w:asciiTheme="minorHAnsi" w:eastAsia="Times New Roman" w:hAnsiTheme="minorHAnsi" w:cstheme="minorHAnsi"/>
                <w:color w:val="000000" w:themeColor="text1"/>
                <w:sz w:val="20"/>
                <w:szCs w:val="20"/>
                <w:lang w:eastAsia="cs-CZ"/>
              </w:rPr>
              <w:t xml:space="preserve">ORP </w:t>
            </w:r>
          </w:p>
        </w:tc>
        <w:tc>
          <w:tcPr>
            <w:tcW w:w="4711" w:type="dxa"/>
            <w:vAlign w:val="center"/>
            <w:hideMark/>
          </w:tcPr>
          <w:p w:rsidR="00995478" w:rsidRPr="00995478" w:rsidRDefault="00C33737"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lang w:eastAsia="cs-CZ"/>
              </w:rPr>
            </w:pPr>
            <w:r w:rsidRPr="00104783">
              <w:rPr>
                <w:rFonts w:asciiTheme="minorHAnsi" w:eastAsia="Times New Roman" w:hAnsiTheme="minorHAnsi" w:cstheme="minorHAnsi"/>
                <w:color w:val="000000" w:themeColor="text1"/>
                <w:sz w:val="20"/>
                <w:szCs w:val="20"/>
                <w:lang w:eastAsia="cs-CZ"/>
              </w:rPr>
              <w:t>Přibližný podíl agend na výkonu státní správy</w:t>
            </w:r>
            <w:r w:rsidR="00104783" w:rsidRPr="00104783">
              <w:rPr>
                <w:rFonts w:asciiTheme="minorHAnsi" w:eastAsia="Times New Roman" w:hAnsiTheme="minorHAnsi" w:cstheme="minorHAnsi"/>
                <w:color w:val="000000" w:themeColor="text1"/>
                <w:sz w:val="20"/>
                <w:szCs w:val="20"/>
                <w:lang w:eastAsia="cs-CZ"/>
              </w:rPr>
              <w:t xml:space="preserve"> dle počtu pracovníku na příslušném odboru</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FEFCBE" w:themeFill="accent1" w:themeFillTint="33"/>
            <w:vAlign w:val="center"/>
          </w:tcPr>
          <w:p w:rsidR="002F307B" w:rsidRPr="00104783" w:rsidRDefault="002F307B" w:rsidP="003E4A5D">
            <w:pPr>
              <w:widowControl w:val="0"/>
              <w:spacing w:before="0" w:after="0"/>
              <w:rPr>
                <w:rFonts w:asciiTheme="minorHAnsi" w:hAnsiTheme="minorHAnsi" w:cstheme="minorHAnsi"/>
                <w:bCs w:val="0"/>
                <w:sz w:val="20"/>
                <w:szCs w:val="20"/>
              </w:rPr>
            </w:pPr>
            <w:r w:rsidRPr="00104783">
              <w:rPr>
                <w:rFonts w:asciiTheme="minorHAnsi" w:hAnsiTheme="minorHAnsi" w:cstheme="minorHAnsi"/>
                <w:bCs w:val="0"/>
                <w:sz w:val="20"/>
                <w:szCs w:val="20"/>
              </w:rPr>
              <w:t>Stavební úřady a ÚÚP</w:t>
            </w:r>
          </w:p>
        </w:tc>
        <w:tc>
          <w:tcPr>
            <w:tcW w:w="4711" w:type="dxa"/>
            <w:shd w:val="clear" w:color="auto" w:fill="FEFCBE" w:themeFill="accent1" w:themeFillTint="33"/>
            <w:noWrap/>
            <w:vAlign w:val="center"/>
          </w:tcPr>
          <w:p w:rsidR="002F307B" w:rsidRPr="00104783"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04783">
              <w:rPr>
                <w:rFonts w:asciiTheme="minorHAnsi" w:hAnsiTheme="minorHAnsi" w:cstheme="minorHAnsi"/>
                <w:b/>
                <w:bCs/>
                <w:sz w:val="20"/>
                <w:szCs w:val="20"/>
              </w:rPr>
              <w:t>15</w:t>
            </w:r>
            <w:r w:rsidR="00C33737" w:rsidRPr="00104783">
              <w:rPr>
                <w:rFonts w:asciiTheme="minorHAnsi" w:hAnsiTheme="minorHAnsi" w:cstheme="minorHAnsi"/>
                <w:b/>
                <w:bCs/>
                <w:sz w:val="20"/>
                <w:szCs w:val="20"/>
              </w:rPr>
              <w:t xml:space="preserve"> </w:t>
            </w:r>
            <w:r w:rsidRPr="00104783">
              <w:rPr>
                <w:rFonts w:asciiTheme="minorHAnsi" w:hAnsiTheme="minorHAnsi" w:cstheme="minorHAnsi"/>
                <w:b/>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Památková péče </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Silniční správní úřad a dopravní úřad</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2</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Vodoprávní řízení </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3</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Odpadové hospodářství</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lesa a myslivost</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přírody a krajiny</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Ochrana zemědělského půdního fondu </w:t>
            </w:r>
          </w:p>
        </w:tc>
        <w:tc>
          <w:tcPr>
            <w:tcW w:w="4711" w:type="dxa"/>
            <w:noWrap/>
            <w:vAlign w:val="center"/>
            <w:hideMark/>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ovzduší</w:t>
            </w:r>
          </w:p>
        </w:tc>
        <w:tc>
          <w:tcPr>
            <w:tcW w:w="4711" w:type="dxa"/>
            <w:noWrap/>
            <w:vAlign w:val="center"/>
            <w:hideMark/>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zvířat</w:t>
            </w:r>
          </w:p>
        </w:tc>
        <w:tc>
          <w:tcPr>
            <w:tcW w:w="4711" w:type="dxa"/>
            <w:noWrap/>
            <w:vAlign w:val="center"/>
            <w:hideMark/>
          </w:tcPr>
          <w:p w:rsidR="002F307B" w:rsidRPr="00C33737" w:rsidRDefault="00C33737"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w:t>
            </w:r>
            <w:r w:rsidR="002F307B" w:rsidRPr="00C33737">
              <w:rPr>
                <w:rFonts w:asciiTheme="minorHAnsi" w:hAnsiTheme="minorHAnsi" w:cstheme="minorHAnsi"/>
                <w:bCs/>
                <w:sz w:val="20"/>
                <w:szCs w:val="20"/>
              </w:rPr>
              <w:t>0</w:t>
            </w:r>
            <w:r w:rsidRPr="00C33737">
              <w:rPr>
                <w:rFonts w:asciiTheme="minorHAnsi" w:hAnsiTheme="minorHAnsi" w:cstheme="minorHAnsi"/>
                <w:bCs/>
                <w:sz w:val="20"/>
                <w:szCs w:val="20"/>
              </w:rPr>
              <w:t xml:space="preserve"> </w:t>
            </w:r>
            <w:r w:rsidR="002F307B"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Ostatní</w:t>
            </w:r>
          </w:p>
        </w:tc>
        <w:tc>
          <w:tcPr>
            <w:tcW w:w="4711" w:type="dxa"/>
            <w:noWrap/>
            <w:vAlign w:val="center"/>
            <w:hideMark/>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74</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bl>
    <w:p w:rsidR="00995478" w:rsidRDefault="00104783" w:rsidP="003E4A5D">
      <w:pPr>
        <w:pStyle w:val="Citt"/>
      </w:pPr>
      <w:r>
        <w:t>Zdroj: MF, webové stránky obcí, výpočty zpracovatele</w:t>
      </w:r>
      <w:r w:rsidR="001574B2">
        <w:t>; o</w:t>
      </w:r>
      <w:r>
        <w:t xml:space="preserve">dhad byl proveden na vzorku 28 náhodně vybraných ORP, které měly zveřejněnu organizační strukturu </w:t>
      </w:r>
    </w:p>
    <w:p w:rsidR="006059A5" w:rsidRPr="00E414AC" w:rsidRDefault="00EE6EA5" w:rsidP="003E4A5D">
      <w:pPr>
        <w:pStyle w:val="Text-Normaln"/>
        <w:widowControl w:val="0"/>
        <w:rPr>
          <w:b/>
        </w:rPr>
      </w:pPr>
      <w:r>
        <w:rPr>
          <w:b/>
        </w:rPr>
        <w:t>Souhrn nákladů</w:t>
      </w:r>
      <w:r w:rsidR="006059A5" w:rsidRPr="00E414AC">
        <w:rPr>
          <w:b/>
        </w:rPr>
        <w:t xml:space="preserve">: </w:t>
      </w:r>
    </w:p>
    <w:p w:rsidR="006059A5" w:rsidRDefault="00711CF5" w:rsidP="003E4A5D">
      <w:pPr>
        <w:pStyle w:val="Text-Normaln"/>
        <w:widowControl w:val="0"/>
      </w:pPr>
      <w:r w:rsidRPr="00711CF5">
        <w:t xml:space="preserve">U tohoto věcného okruhu </w:t>
      </w:r>
      <w:r>
        <w:t>se očekává vznik nákla</w:t>
      </w:r>
      <w:r w:rsidR="00BD2494">
        <w:t xml:space="preserve">dů především u varianty 4, a to především ve formě výdajů spojených s přesunem příslušných zaměstnanců úřadů </w:t>
      </w:r>
      <w:r w:rsidR="0078162F">
        <w:t>DO</w:t>
      </w:r>
      <w:r w:rsidR="00BD2494">
        <w:t xml:space="preserve">. Odhady lze provést obdobným způsobem jako v předchozí kapitole. Protože váha agendy stavebních úřadů (všech v součtu) je jen o něco málo vyšší než váha dalších převáděných agend, je možné říci, že </w:t>
      </w:r>
      <w:r w:rsidR="00BD2494">
        <w:lastRenderedPageBreak/>
        <w:t>v maximu by se jednalo o zdvojnásobení agregované částky uvedené v předchozí kapitole.</w:t>
      </w:r>
    </w:p>
    <w:p w:rsidR="006059A5" w:rsidRDefault="00BD2494" w:rsidP="000066CE">
      <w:pPr>
        <w:pStyle w:val="Text-Normaln"/>
        <w:widowControl w:val="0"/>
        <w:spacing w:before="100" w:after="100"/>
      </w:pPr>
      <w:r w:rsidRPr="00BD2494">
        <w:t>Přínosy budou celkově oceněny v závěru hodnotící kapitoly, neboť je lze jen obtížně správně rozalokovat k jednotlivým systémovým změnám.</w:t>
      </w:r>
    </w:p>
    <w:p w:rsidR="008B6F74" w:rsidRDefault="008B6F74" w:rsidP="000066CE">
      <w:pPr>
        <w:pStyle w:val="Text-Normaln"/>
        <w:widowControl w:val="0"/>
        <w:spacing w:before="100" w:after="100"/>
      </w:pPr>
      <w:r w:rsidRPr="00BA3C82">
        <w:t>V rámci implementace bude třeba, individuálně v rámci jednotlivých agend, vyřešit specifické problémy. Příkladmo uveďme:</w:t>
      </w:r>
    </w:p>
    <w:p w:rsidR="008B6F74" w:rsidRPr="00BA3C82" w:rsidRDefault="00BA3C82" w:rsidP="000066CE">
      <w:pPr>
        <w:pStyle w:val="Text-Normaln"/>
        <w:widowControl w:val="0"/>
        <w:spacing w:before="100" w:after="100"/>
        <w:rPr>
          <w:u w:val="single"/>
        </w:rPr>
      </w:pPr>
      <w:r w:rsidRPr="00BA3C82">
        <w:rPr>
          <w:u w:val="single"/>
        </w:rPr>
        <w:t>Agenda památkové péče</w:t>
      </w:r>
    </w:p>
    <w:p w:rsidR="00BA3C82" w:rsidRDefault="00BA3C82" w:rsidP="000066CE">
      <w:pPr>
        <w:pStyle w:val="Text-Normaln"/>
        <w:widowControl w:val="0"/>
        <w:numPr>
          <w:ilvl w:val="0"/>
          <w:numId w:val="74"/>
        </w:numPr>
        <w:spacing w:before="100" w:after="100"/>
        <w:ind w:left="284" w:hanging="284"/>
      </w:pPr>
      <w:r>
        <w:t>Bude ekonomicky racionální rozdělit agendu památkové péče mezi dva orgány památkové péče</w:t>
      </w:r>
      <w:r w:rsidR="002066E3">
        <w:t xml:space="preserve"> a bude to pro stavebníka transparentní</w:t>
      </w:r>
      <w:r>
        <w:t>?</w:t>
      </w:r>
    </w:p>
    <w:p w:rsidR="00BA3C82" w:rsidRDefault="00BA3C82" w:rsidP="000066CE">
      <w:pPr>
        <w:pStyle w:val="Odstavecseseznamem"/>
        <w:numPr>
          <w:ilvl w:val="0"/>
          <w:numId w:val="74"/>
        </w:numPr>
        <w:spacing w:before="100" w:after="100"/>
        <w:contextualSpacing w:val="0"/>
      </w:pPr>
      <w:r>
        <w:t>Nemusí být racionální</w:t>
      </w:r>
      <w:r w:rsidRPr="00BA3C82">
        <w:t xml:space="preserve"> </w:t>
      </w:r>
      <w:r>
        <w:t>agendu</w:t>
      </w:r>
      <w:r w:rsidR="00F64874">
        <w:t xml:space="preserve"> památkové péče</w:t>
      </w:r>
      <w:r>
        <w:t xml:space="preserve"> </w:t>
      </w:r>
      <w:r w:rsidRPr="00BA3C82">
        <w:t>rozdělit</w:t>
      </w:r>
      <w:r>
        <w:t xml:space="preserve"> mezi NSÚ a </w:t>
      </w:r>
      <w:r w:rsidR="002C4662">
        <w:t xml:space="preserve">výkon přenesené působnosti na ORP tak, aby </w:t>
      </w:r>
      <w:r w:rsidRPr="00BA3C82">
        <w:t>rozdělen</w:t>
      </w:r>
      <w:r w:rsidR="002C4662">
        <w:t>í</w:t>
      </w:r>
      <w:r w:rsidRPr="00BA3C82">
        <w:t xml:space="preserve"> nevyvolávalo spory</w:t>
      </w:r>
      <w:r w:rsidR="002C4662">
        <w:t>, bylo přijatelné z hlediska</w:t>
      </w:r>
      <w:r w:rsidRPr="00BA3C82">
        <w:t xml:space="preserve"> kapacitních mo</w:t>
      </w:r>
      <w:r w:rsidR="002C4662">
        <w:t>ž</w:t>
      </w:r>
      <w:r w:rsidRPr="00BA3C82">
        <w:t>nost</w:t>
      </w:r>
      <w:r w:rsidR="002C4662">
        <w:t>í (dle informací PI je na 70 % úřadů pouze jeden pracovník)</w:t>
      </w:r>
      <w:r w:rsidR="00F64874">
        <w:t xml:space="preserve"> i</w:t>
      </w:r>
      <w:r w:rsidR="00B90B56">
        <w:t> z </w:t>
      </w:r>
      <w:r w:rsidRPr="00BA3C82">
        <w:t>hlediska záruky</w:t>
      </w:r>
      <w:r w:rsidR="002C4662">
        <w:t xml:space="preserve"> ochrany veřejného zájmu</w:t>
      </w:r>
      <w:r w:rsidR="008C08C2">
        <w:t>.</w:t>
      </w:r>
      <w:r w:rsidR="002C4662">
        <w:t xml:space="preserve"> </w:t>
      </w:r>
    </w:p>
    <w:p w:rsidR="008B6F74" w:rsidRDefault="002C4662" w:rsidP="000066CE">
      <w:pPr>
        <w:pStyle w:val="Odstavecseseznamem"/>
        <w:numPr>
          <w:ilvl w:val="0"/>
          <w:numId w:val="74"/>
        </w:numPr>
        <w:spacing w:before="100" w:after="100"/>
        <w:contextualSpacing w:val="0"/>
      </w:pPr>
      <w:r>
        <w:t xml:space="preserve">Vedle </w:t>
      </w:r>
      <w:r w:rsidR="008B6F74" w:rsidRPr="00BA3C82">
        <w:t xml:space="preserve">řízení </w:t>
      </w:r>
      <w:r>
        <w:t>na</w:t>
      </w:r>
      <w:r w:rsidR="008B6F74" w:rsidRPr="00BA3C82">
        <w:t xml:space="preserve"> žádost</w:t>
      </w:r>
      <w:r>
        <w:t xml:space="preserve"> vedou orgány památkové péče i </w:t>
      </w:r>
      <w:r w:rsidR="008B6F74" w:rsidRPr="00BA3C82">
        <w:t>řízení z moci úřední</w:t>
      </w:r>
      <w:r>
        <w:t>, d</w:t>
      </w:r>
      <w:r w:rsidR="008B6F74" w:rsidRPr="00BA3C82">
        <w:t xml:space="preserve">alší </w:t>
      </w:r>
      <w:r>
        <w:t>řízení</w:t>
      </w:r>
      <w:r w:rsidR="008B6F74" w:rsidRPr="00BA3C82">
        <w:t>, kter</w:t>
      </w:r>
      <w:r>
        <w:t>á</w:t>
      </w:r>
      <w:r w:rsidR="008B6F74" w:rsidRPr="00BA3C82">
        <w:t xml:space="preserve"> nejsou správními řízeními </w:t>
      </w:r>
      <w:r>
        <w:t>(</w:t>
      </w:r>
      <w:r w:rsidR="008B6F74" w:rsidRPr="00BA3C82">
        <w:t>vydávání nařízení kraje v</w:t>
      </w:r>
      <w:r>
        <w:t> přenesené působnosti</w:t>
      </w:r>
      <w:r w:rsidR="008B6F74" w:rsidRPr="00BA3C82">
        <w:t xml:space="preserve"> ohledně plánu území s archeologickými nálezy, vydávání OOP v podobě plánu ochrany PR nebo PZ, ochranná pásma, jejich vymezování, změna – vymezují se kolem nemovitostí </w:t>
      </w:r>
      <w:r>
        <w:t>PZ)</w:t>
      </w:r>
      <w:r w:rsidR="008B6F74" w:rsidRPr="00BA3C82">
        <w:t xml:space="preserve">, </w:t>
      </w:r>
      <w:r>
        <w:t>vedou vyvlastňovací řízení</w:t>
      </w:r>
      <w:r w:rsidR="008B6F74" w:rsidRPr="00BA3C82">
        <w:t xml:space="preserve"> týkají</w:t>
      </w:r>
      <w:r>
        <w:t>cí se též</w:t>
      </w:r>
      <w:r w:rsidR="008B6F74" w:rsidRPr="00BA3C82">
        <w:t xml:space="preserve"> nemovitostí</w:t>
      </w:r>
      <w:r w:rsidR="00F64874">
        <w:t xml:space="preserve"> – otázkou je, kde stanovit dělicí linii pro rozdělení agendy</w:t>
      </w:r>
      <w:r w:rsidR="008C08C2">
        <w:t>.</w:t>
      </w:r>
    </w:p>
    <w:p w:rsidR="002C4662" w:rsidRDefault="002C4662" w:rsidP="000066CE">
      <w:pPr>
        <w:pStyle w:val="Odstavecseseznamem"/>
        <w:numPr>
          <w:ilvl w:val="0"/>
          <w:numId w:val="74"/>
        </w:numPr>
        <w:spacing w:before="100" w:after="100"/>
        <w:contextualSpacing w:val="0"/>
      </w:pPr>
      <w:r>
        <w:t xml:space="preserve">Dalším příkladem může být situace, kdy </w:t>
      </w:r>
      <w:r w:rsidR="00686D84">
        <w:t>například</w:t>
      </w:r>
      <w:r>
        <w:t xml:space="preserve"> k</w:t>
      </w:r>
      <w:r w:rsidRPr="00BA3C82">
        <w:t>romě přižehl</w:t>
      </w:r>
      <w:r>
        <w:t>ování</w:t>
      </w:r>
      <w:r w:rsidRPr="00BA3C82">
        <w:t xml:space="preserve"> a přilep</w:t>
      </w:r>
      <w:r>
        <w:t>ování</w:t>
      </w:r>
      <w:r w:rsidRPr="00BA3C82">
        <w:t xml:space="preserve"> fresk</w:t>
      </w:r>
      <w:r>
        <w:t>y</w:t>
      </w:r>
      <w:r w:rsidRPr="00BA3C82">
        <w:t xml:space="preserve"> k podkladu </w:t>
      </w:r>
      <w:r>
        <w:t xml:space="preserve">dochází </w:t>
      </w:r>
      <w:r w:rsidRPr="00BA3C82">
        <w:t xml:space="preserve">zároveň </w:t>
      </w:r>
      <w:r>
        <w:t xml:space="preserve">v objektu </w:t>
      </w:r>
      <w:r w:rsidRPr="00BA3C82">
        <w:t>o patro níž</w:t>
      </w:r>
      <w:r>
        <w:t>e</w:t>
      </w:r>
      <w:r w:rsidRPr="00BA3C82">
        <w:t xml:space="preserve"> </w:t>
      </w:r>
      <w:r>
        <w:t xml:space="preserve">k </w:t>
      </w:r>
      <w:r w:rsidRPr="00BA3C82">
        <w:t>bour</w:t>
      </w:r>
      <w:r>
        <w:t>ání</w:t>
      </w:r>
      <w:r w:rsidRPr="00BA3C82">
        <w:t xml:space="preserve"> příč</w:t>
      </w:r>
      <w:r>
        <w:t>e</w:t>
      </w:r>
      <w:r w:rsidRPr="00BA3C82">
        <w:t>k</w:t>
      </w:r>
      <w:r w:rsidR="00B90B56">
        <w:t>, oproti situaci, kdy ke </w:t>
      </w:r>
      <w:r>
        <w:t xml:space="preserve">stavebním zásahům nedochází – není příliš logické, aby o těchto dvou z pohledu památkové péče stejných případech rozhodovaly </w:t>
      </w:r>
      <w:r w:rsidRPr="00BA3C82">
        <w:t xml:space="preserve">dva </w:t>
      </w:r>
      <w:r>
        <w:t>odlišné orgány památkové péče</w:t>
      </w:r>
      <w:r w:rsidR="008C08C2">
        <w:t>.</w:t>
      </w:r>
    </w:p>
    <w:p w:rsidR="002C4662" w:rsidRDefault="002C4662" w:rsidP="000066CE">
      <w:pPr>
        <w:pStyle w:val="Odstavecseseznamem"/>
        <w:numPr>
          <w:ilvl w:val="0"/>
          <w:numId w:val="74"/>
        </w:numPr>
        <w:spacing w:before="100" w:after="100"/>
        <w:contextualSpacing w:val="0"/>
      </w:pPr>
      <w:r>
        <w:t>Zároveň je třeba ošetřit</w:t>
      </w:r>
      <w:r w:rsidR="00F64874">
        <w:t xml:space="preserve"> situace</w:t>
      </w:r>
      <w:r>
        <w:t xml:space="preserve">, </w:t>
      </w:r>
      <w:r w:rsidR="00F64874">
        <w:t xml:space="preserve">kdy </w:t>
      </w:r>
      <w:r>
        <w:t xml:space="preserve">by </w:t>
      </w:r>
      <w:r w:rsidR="00F64874">
        <w:t xml:space="preserve">při </w:t>
      </w:r>
      <w:r>
        <w:t xml:space="preserve">velké stavbě nadbytečně </w:t>
      </w:r>
      <w:r w:rsidR="00686D84">
        <w:t>například</w:t>
      </w:r>
      <w:r w:rsidR="00F64874">
        <w:t xml:space="preserve"> dozorovaly dva orgány památkové péče (jeden pod NSÚ, druhý vykonávající </w:t>
      </w:r>
      <w:r w:rsidR="000E44AB">
        <w:t xml:space="preserve">PP </w:t>
      </w:r>
      <w:r w:rsidR="00F64874">
        <w:t>v rámci ORP)</w:t>
      </w:r>
      <w:r w:rsidR="00DC2496">
        <w:t>.</w:t>
      </w:r>
    </w:p>
    <w:p w:rsidR="002066E3" w:rsidRDefault="002066E3" w:rsidP="000066CE">
      <w:pPr>
        <w:pStyle w:val="Odstavecseseznamem"/>
        <w:numPr>
          <w:ilvl w:val="0"/>
          <w:numId w:val="74"/>
        </w:numPr>
        <w:spacing w:before="100" w:after="100"/>
        <w:contextualSpacing w:val="0"/>
      </w:pPr>
      <w:r>
        <w:t>Řešením může být převod celé agendy památkové péče pod NSÚ, pokud by (a data NIPOS to potvrzují) na ORP zůstala marginální část agendy</w:t>
      </w:r>
      <w:r w:rsidR="00DC2496">
        <w:t>.</w:t>
      </w:r>
    </w:p>
    <w:p w:rsidR="00F64874" w:rsidRDefault="00F64874" w:rsidP="000066CE">
      <w:pPr>
        <w:pStyle w:val="Text-Normaln"/>
        <w:widowControl w:val="0"/>
        <w:numPr>
          <w:ilvl w:val="0"/>
          <w:numId w:val="74"/>
        </w:numPr>
        <w:spacing w:before="100" w:after="100"/>
        <w:ind w:left="284" w:hanging="284"/>
      </w:pPr>
      <w:r>
        <w:t>Míra detailu projektové dokumentace</w:t>
      </w:r>
    </w:p>
    <w:p w:rsidR="008B6F74" w:rsidRDefault="008B6F74" w:rsidP="000066CE">
      <w:pPr>
        <w:pStyle w:val="Odstavecseseznamem"/>
        <w:numPr>
          <w:ilvl w:val="0"/>
          <w:numId w:val="74"/>
        </w:numPr>
        <w:spacing w:before="100" w:after="100"/>
        <w:contextualSpacing w:val="0"/>
      </w:pPr>
      <w:r w:rsidRPr="00BA3C82">
        <w:t xml:space="preserve">Památková péče u </w:t>
      </w:r>
      <w:r w:rsidR="00F64874">
        <w:t>kulturních památek</w:t>
      </w:r>
      <w:r w:rsidRPr="00BA3C82">
        <w:t>, ale mnohdy i u nemovitostí v</w:t>
      </w:r>
      <w:r w:rsidR="00F64874">
        <w:t> </w:t>
      </w:r>
      <w:r w:rsidR="000E44AB">
        <w:t>PZ</w:t>
      </w:r>
      <w:r w:rsidR="00F64874">
        <w:t xml:space="preserve"> nebo </w:t>
      </w:r>
      <w:r w:rsidR="000E44AB">
        <w:t xml:space="preserve">PR </w:t>
      </w:r>
      <w:r w:rsidR="00F64874">
        <w:t>p</w:t>
      </w:r>
      <w:r w:rsidRPr="00BA3C82">
        <w:t xml:space="preserve">otřebuje jít </w:t>
      </w:r>
      <w:r w:rsidR="00F64874">
        <w:t xml:space="preserve">v projektové dokumentaci </w:t>
      </w:r>
      <w:r w:rsidRPr="00BA3C82">
        <w:t xml:space="preserve">do jiného detailu než stavební právo – </w:t>
      </w:r>
      <w:r w:rsidR="00F64874">
        <w:t xml:space="preserve">předpokládaný detail </w:t>
      </w:r>
      <w:r w:rsidRPr="00BA3C82">
        <w:t>na úrovni D</w:t>
      </w:r>
      <w:r w:rsidR="00F64874">
        <w:t>Ú</w:t>
      </w:r>
      <w:r w:rsidRPr="00BA3C82">
        <w:t xml:space="preserve">R </w:t>
      </w:r>
      <w:r w:rsidR="00F64874">
        <w:t>nemůže postihovat skutečnosti typu,</w:t>
      </w:r>
      <w:r w:rsidRPr="00BA3C82">
        <w:t xml:space="preserve"> co se bude dělat se štukovým zrcadlem v místnosti, ja</w:t>
      </w:r>
      <w:r w:rsidR="00B90B56">
        <w:t>k se budou skládat parkety, jak </w:t>
      </w:r>
      <w:r w:rsidRPr="00BA3C82">
        <w:t xml:space="preserve">se bude obnovovat renesanční nebo secesní fasáda </w:t>
      </w:r>
      <w:r w:rsidR="00F64874">
        <w:t>atp.</w:t>
      </w:r>
    </w:p>
    <w:p w:rsidR="00BD66FE" w:rsidRPr="00BA3C82" w:rsidRDefault="00F64874" w:rsidP="000066CE">
      <w:pPr>
        <w:pStyle w:val="Odstavecseseznamem"/>
        <w:numPr>
          <w:ilvl w:val="0"/>
          <w:numId w:val="74"/>
        </w:numPr>
        <w:spacing w:before="100" w:after="100"/>
        <w:contextualSpacing w:val="0"/>
      </w:pPr>
      <w:r>
        <w:t xml:space="preserve">Na druhou stranu v některých případech může být potřebná míra detailu potřebná pro orgány památkové péče </w:t>
      </w:r>
      <w:r w:rsidR="002066E3">
        <w:t xml:space="preserve">nově </w:t>
      </w:r>
      <w:r>
        <w:t xml:space="preserve">pro </w:t>
      </w:r>
      <w:r w:rsidR="002066E3">
        <w:t>jedno</w:t>
      </w:r>
      <w:r>
        <w:t xml:space="preserve"> řízení zbytečně zatěžující – jako příklad lze uvést obnovu k</w:t>
      </w:r>
      <w:r w:rsidRPr="00F64874">
        <w:t>aple sv. Isidora v</w:t>
      </w:r>
      <w:r w:rsidR="00BD66FE">
        <w:t> </w:t>
      </w:r>
      <w:r w:rsidRPr="00F64874">
        <w:t>Křenově</w:t>
      </w:r>
      <w:r w:rsidR="00BD66FE">
        <w:t xml:space="preserve"> spolufinancované z IROP – součástí projektu byla</w:t>
      </w:r>
      <w:r w:rsidR="00BD66FE" w:rsidRPr="00BA3C82">
        <w:t xml:space="preserve"> obnova systému vedení vzduchu pro varhany</w:t>
      </w:r>
      <w:r w:rsidR="00BD66FE">
        <w:t>,</w:t>
      </w:r>
      <w:r w:rsidR="00BD66FE" w:rsidRPr="00BA3C82">
        <w:t xml:space="preserve"> </w:t>
      </w:r>
      <w:r w:rsidR="00BD66FE">
        <w:t xml:space="preserve">kdy bylo rozhodnuto, že </w:t>
      </w:r>
      <w:r w:rsidR="00BD66FE" w:rsidRPr="00BA3C82">
        <w:t xml:space="preserve">v rámci stavebního zásahu se bude </w:t>
      </w:r>
      <w:r w:rsidR="00BD66FE">
        <w:t>řešit</w:t>
      </w:r>
      <w:r w:rsidR="00BD66FE" w:rsidRPr="00BA3C82">
        <w:t xml:space="preserve"> i veden</w:t>
      </w:r>
      <w:r w:rsidR="00BD66FE">
        <w:t>í</w:t>
      </w:r>
      <w:r w:rsidR="00BD66FE" w:rsidRPr="00BA3C82">
        <w:t xml:space="preserve"> vzduchu</w:t>
      </w:r>
      <w:r w:rsidR="00BD66FE">
        <w:t>;</w:t>
      </w:r>
      <w:r w:rsidR="00BD66FE" w:rsidRPr="00BA3C82">
        <w:t xml:space="preserve"> odborník na varhany musel </w:t>
      </w:r>
      <w:r w:rsidR="00BD66FE">
        <w:t>stanovit</w:t>
      </w:r>
      <w:r w:rsidR="00BD66FE" w:rsidRPr="00BA3C82">
        <w:t xml:space="preserve">, jak má být </w:t>
      </w:r>
      <w:r w:rsidR="00BD66FE">
        <w:t xml:space="preserve">vedení </w:t>
      </w:r>
      <w:r w:rsidR="00BD66FE" w:rsidRPr="00BA3C82">
        <w:t xml:space="preserve">dimenzované – řešit tento detail v rámci </w:t>
      </w:r>
      <w:r w:rsidR="00BD66FE">
        <w:t>jednoho</w:t>
      </w:r>
      <w:r w:rsidR="00BD66FE" w:rsidRPr="00BA3C82">
        <w:t xml:space="preserve"> řízení </w:t>
      </w:r>
      <w:r w:rsidR="002066E3">
        <w:t xml:space="preserve">může být </w:t>
      </w:r>
      <w:r w:rsidR="00BD66FE" w:rsidRPr="00BA3C82">
        <w:t xml:space="preserve">zbytečné, </w:t>
      </w:r>
      <w:r w:rsidR="002066E3">
        <w:t>je však třeba stanovit, kdo v jiném případě toto řízení povede</w:t>
      </w:r>
      <w:r w:rsidR="00DC2496">
        <w:t>.</w:t>
      </w:r>
    </w:p>
    <w:p w:rsidR="00F64874" w:rsidRDefault="002066E3" w:rsidP="000066CE">
      <w:pPr>
        <w:pStyle w:val="Text-Normaln"/>
        <w:widowControl w:val="0"/>
        <w:numPr>
          <w:ilvl w:val="0"/>
          <w:numId w:val="74"/>
        </w:numPr>
        <w:spacing w:before="100" w:after="100"/>
      </w:pPr>
      <w:r>
        <w:t xml:space="preserve">Je třeba zajistit, aby </w:t>
      </w:r>
      <w:r w:rsidRPr="00BA3C82">
        <w:t>posouzen</w:t>
      </w:r>
      <w:r>
        <w:t>í z pohledu památkové péče bylo možné</w:t>
      </w:r>
      <w:r w:rsidRPr="00BA3C82">
        <w:t xml:space="preserve"> </w:t>
      </w:r>
      <w:r>
        <w:t xml:space="preserve">provést v rámci </w:t>
      </w:r>
      <w:r w:rsidR="008F0600">
        <w:t xml:space="preserve">nově </w:t>
      </w:r>
      <w:r>
        <w:t xml:space="preserve">stanovených lhůt </w:t>
      </w:r>
      <w:r w:rsidR="008F0600">
        <w:t xml:space="preserve">a reagovat na to v rámci rekodifikace </w:t>
      </w:r>
      <w:r>
        <w:t>–</w:t>
      </w:r>
      <w:r w:rsidR="002934E0">
        <w:t xml:space="preserve"> </w:t>
      </w:r>
      <w:r>
        <w:t xml:space="preserve">je </w:t>
      </w:r>
      <w:r w:rsidRPr="00BA3C82">
        <w:t>třeba zaji</w:t>
      </w:r>
      <w:r>
        <w:t>šťovat</w:t>
      </w:r>
      <w:r w:rsidRPr="00BA3C82">
        <w:t xml:space="preserve"> externí posudky </w:t>
      </w:r>
      <w:r>
        <w:t>apod.</w:t>
      </w:r>
    </w:p>
    <w:p w:rsidR="008B6F74" w:rsidRPr="00BA3C82" w:rsidRDefault="008F0600" w:rsidP="000066CE">
      <w:pPr>
        <w:pStyle w:val="Text-Normaln"/>
        <w:widowControl w:val="0"/>
        <w:numPr>
          <w:ilvl w:val="0"/>
          <w:numId w:val="74"/>
        </w:numPr>
        <w:spacing w:before="100" w:after="100"/>
        <w:ind w:left="284" w:hanging="284"/>
      </w:pPr>
      <w:r>
        <w:t>K</w:t>
      </w:r>
      <w:r w:rsidR="008B6F74" w:rsidRPr="00BA3C82">
        <w:t xml:space="preserve">aždý veřejný zájem </w:t>
      </w:r>
      <w:r w:rsidR="00BA3C82" w:rsidRPr="00BA3C82">
        <w:t>inkorporovaný</w:t>
      </w:r>
      <w:r w:rsidR="008B6F74" w:rsidRPr="00BA3C82">
        <w:t xml:space="preserve"> do NS</w:t>
      </w:r>
      <w:r>
        <w:t>Ú</w:t>
      </w:r>
      <w:r w:rsidR="008B6F74" w:rsidRPr="00BA3C82">
        <w:t xml:space="preserve"> musí proj</w:t>
      </w:r>
      <w:r>
        <w:t>í</w:t>
      </w:r>
      <w:r w:rsidR="008B6F74" w:rsidRPr="00BA3C82">
        <w:t xml:space="preserve">t </w:t>
      </w:r>
      <w:r w:rsidR="00BA3C82" w:rsidRPr="00BA3C82">
        <w:t>posouzením</w:t>
      </w:r>
      <w:r w:rsidR="008B6F74" w:rsidRPr="00BA3C82">
        <w:t xml:space="preserve">, o </w:t>
      </w:r>
      <w:r>
        <w:t>němž musí existovat</w:t>
      </w:r>
      <w:r w:rsidR="008B6F74" w:rsidRPr="00BA3C82">
        <w:t xml:space="preserve"> doklad</w:t>
      </w:r>
      <w:r>
        <w:t xml:space="preserve"> (v jakékoli formě)</w:t>
      </w:r>
      <w:r w:rsidR="008B6F74" w:rsidRPr="00BA3C82">
        <w:t xml:space="preserve">, </w:t>
      </w:r>
      <w:r>
        <w:t xml:space="preserve">ten </w:t>
      </w:r>
      <w:r w:rsidR="008B6F74" w:rsidRPr="00BA3C82">
        <w:t>musí b</w:t>
      </w:r>
      <w:r>
        <w:t>ý</w:t>
      </w:r>
      <w:r w:rsidR="008B6F74" w:rsidRPr="00BA3C82">
        <w:t xml:space="preserve">t </w:t>
      </w:r>
      <w:r w:rsidR="00BA3C82" w:rsidRPr="00BA3C82">
        <w:t>zpětn</w:t>
      </w:r>
      <w:r>
        <w:t>ě</w:t>
      </w:r>
      <w:r w:rsidR="008B6F74" w:rsidRPr="00BA3C82">
        <w:t xml:space="preserve"> </w:t>
      </w:r>
      <w:r w:rsidR="00BA3C82" w:rsidRPr="00BA3C82">
        <w:t>kontrolovatelný</w:t>
      </w:r>
      <w:r w:rsidR="008B6F74" w:rsidRPr="00BA3C82">
        <w:t xml:space="preserve"> (</w:t>
      </w:r>
      <w:r>
        <w:t xml:space="preserve">tj. musí být </w:t>
      </w:r>
      <w:r w:rsidR="00BA3C82" w:rsidRPr="00BA3C82">
        <w:t>součást</w:t>
      </w:r>
      <w:r>
        <w:t>í</w:t>
      </w:r>
      <w:r w:rsidR="008B6F74" w:rsidRPr="00BA3C82">
        <w:t xml:space="preserve"> spisu</w:t>
      </w:r>
      <w:r w:rsidRPr="008F0600">
        <w:t xml:space="preserve"> </w:t>
      </w:r>
      <w:r w:rsidR="00B90B56">
        <w:t>v </w:t>
      </w:r>
      <w:r>
        <w:t>jakékoli formě</w:t>
      </w:r>
      <w:r w:rsidR="008B6F74" w:rsidRPr="00BA3C82">
        <w:t>)</w:t>
      </w:r>
      <w:r>
        <w:t>, výsledek posouzení musí najít</w:t>
      </w:r>
      <w:r w:rsidR="008B6F74" w:rsidRPr="00BA3C82">
        <w:t xml:space="preserve"> svůj odraz v </w:t>
      </w:r>
      <w:r w:rsidR="00BA3C82" w:rsidRPr="00BA3C82">
        <w:t>konečn</w:t>
      </w:r>
      <w:r>
        <w:t>é</w:t>
      </w:r>
      <w:r w:rsidR="00BA3C82" w:rsidRPr="00BA3C82">
        <w:t>m</w:t>
      </w:r>
      <w:r w:rsidR="008B6F74" w:rsidRPr="00BA3C82">
        <w:t xml:space="preserve"> povolen</w:t>
      </w:r>
      <w:r>
        <w:t>í</w:t>
      </w:r>
      <w:r w:rsidR="008B6F74" w:rsidRPr="00BA3C82">
        <w:t xml:space="preserve"> stavby</w:t>
      </w:r>
      <w:r w:rsidR="00DC2496">
        <w:t>.</w:t>
      </w:r>
    </w:p>
    <w:p w:rsidR="008F0600" w:rsidRPr="008F0600" w:rsidRDefault="008F0600" w:rsidP="00BA3C82">
      <w:pPr>
        <w:pStyle w:val="Text-Normaln"/>
        <w:widowControl w:val="0"/>
        <w:rPr>
          <w:u w:val="single"/>
        </w:rPr>
      </w:pPr>
      <w:r w:rsidRPr="008F0600">
        <w:rPr>
          <w:u w:val="single"/>
        </w:rPr>
        <w:lastRenderedPageBreak/>
        <w:t>Agenda vodoprávních úřadů</w:t>
      </w:r>
      <w:r>
        <w:rPr>
          <w:u w:val="single"/>
        </w:rPr>
        <w:t xml:space="preserve"> (VÚ)</w:t>
      </w:r>
    </w:p>
    <w:p w:rsidR="008B6F74" w:rsidRPr="00BA3C82" w:rsidRDefault="008F0600" w:rsidP="00C873B4">
      <w:pPr>
        <w:pStyle w:val="Text-Normaln"/>
        <w:widowControl w:val="0"/>
        <w:numPr>
          <w:ilvl w:val="0"/>
          <w:numId w:val="74"/>
        </w:numPr>
        <w:ind w:left="284" w:hanging="284"/>
      </w:pPr>
      <w:r>
        <w:t>VÚ v rámci n</w:t>
      </w:r>
      <w:r w:rsidR="00BA3C82" w:rsidRPr="00BA3C82">
        <w:t>aklád</w:t>
      </w:r>
      <w:r>
        <w:t>á</w:t>
      </w:r>
      <w:r w:rsidR="00BA3C82" w:rsidRPr="00BA3C82">
        <w:t>ní</w:t>
      </w:r>
      <w:r w:rsidR="008B6F74" w:rsidRPr="00BA3C82">
        <w:t xml:space="preserve"> s vodami </w:t>
      </w:r>
      <w:r w:rsidR="00BA3C82" w:rsidRPr="00BA3C82">
        <w:t>neřeší</w:t>
      </w:r>
      <w:r w:rsidR="008B6F74" w:rsidRPr="00BA3C82">
        <w:t xml:space="preserve"> jen </w:t>
      </w:r>
      <w:r w:rsidR="00BA3C82" w:rsidRPr="00BA3C82">
        <w:t>stavb</w:t>
      </w:r>
      <w:r>
        <w:t>y,</w:t>
      </w:r>
      <w:r w:rsidR="008B6F74" w:rsidRPr="00BA3C82">
        <w:t xml:space="preserve"> ale i </w:t>
      </w:r>
      <w:r w:rsidR="00BA3C82" w:rsidRPr="00BA3C82">
        <w:t>související</w:t>
      </w:r>
      <w:r w:rsidR="008B6F74" w:rsidRPr="00BA3C82">
        <w:t xml:space="preserve"> věci – </w:t>
      </w:r>
      <w:r w:rsidR="00686D84">
        <w:t>například</w:t>
      </w:r>
      <w:r>
        <w:t xml:space="preserve"> při </w:t>
      </w:r>
      <w:r w:rsidR="008B6F74" w:rsidRPr="00BA3C82">
        <w:t>stavb</w:t>
      </w:r>
      <w:r>
        <w:t>ě</w:t>
      </w:r>
      <w:r w:rsidR="008B6F74" w:rsidRPr="00BA3C82">
        <w:t xml:space="preserve"> </w:t>
      </w:r>
      <w:r w:rsidR="00BA3C82" w:rsidRPr="00BA3C82">
        <w:t>rybníka</w:t>
      </w:r>
      <w:r w:rsidR="008B6F74" w:rsidRPr="00BA3C82">
        <w:t xml:space="preserve"> </w:t>
      </w:r>
      <w:r w:rsidR="00BA3C82" w:rsidRPr="00BA3C82">
        <w:t>řeší</w:t>
      </w:r>
      <w:r w:rsidR="008B6F74" w:rsidRPr="00BA3C82">
        <w:t xml:space="preserve"> </w:t>
      </w:r>
      <w:r w:rsidR="00BA3C82" w:rsidRPr="00BA3C82">
        <w:t>nakládání</w:t>
      </w:r>
      <w:r>
        <w:t xml:space="preserve"> </w:t>
      </w:r>
      <w:r w:rsidRPr="00BA3C82">
        <w:t>s vodami</w:t>
      </w:r>
      <w:r w:rsidR="008B6F74" w:rsidRPr="00BA3C82">
        <w:t xml:space="preserve"> v rozsahu </w:t>
      </w:r>
      <w:r w:rsidR="00BA3C82" w:rsidRPr="00BA3C82">
        <w:t>vzdouvání</w:t>
      </w:r>
      <w:r>
        <w:t>,</w:t>
      </w:r>
      <w:r w:rsidR="008B6F74" w:rsidRPr="00BA3C82">
        <w:t xml:space="preserve"> akumulace, v </w:t>
      </w:r>
      <w:r w:rsidR="00BA3C82" w:rsidRPr="00BA3C82">
        <w:t>rámci</w:t>
      </w:r>
      <w:r w:rsidR="008B6F74" w:rsidRPr="00BA3C82">
        <w:t xml:space="preserve"> </w:t>
      </w:r>
      <w:r w:rsidR="00BA3C82" w:rsidRPr="00BA3C82">
        <w:t>manipulace</w:t>
      </w:r>
      <w:r w:rsidR="008B6F74" w:rsidRPr="00BA3C82">
        <w:t xml:space="preserve"> s </w:t>
      </w:r>
      <w:r w:rsidR="00BA3C82" w:rsidRPr="00BA3C82">
        <w:t>vodou</w:t>
      </w:r>
      <w:r w:rsidR="008B6F74" w:rsidRPr="00BA3C82">
        <w:t xml:space="preserve"> na </w:t>
      </w:r>
      <w:r>
        <w:t>řešeném</w:t>
      </w:r>
      <w:r w:rsidR="008B6F74" w:rsidRPr="00BA3C82">
        <w:t xml:space="preserve"> </w:t>
      </w:r>
      <w:r w:rsidR="00BA3C82" w:rsidRPr="00BA3C82">
        <w:t>rybníce</w:t>
      </w:r>
      <w:r w:rsidR="008B6F74" w:rsidRPr="00BA3C82">
        <w:t xml:space="preserve"> – teoreticky by </w:t>
      </w:r>
      <w:r>
        <w:t>tato část agendy též šla</w:t>
      </w:r>
      <w:r w:rsidR="008B6F74" w:rsidRPr="00BA3C82">
        <w:t xml:space="preserve"> </w:t>
      </w:r>
      <w:r w:rsidR="00BA3C82" w:rsidRPr="00BA3C82">
        <w:t>převést</w:t>
      </w:r>
      <w:r w:rsidR="003263EE">
        <w:t>.</w:t>
      </w:r>
    </w:p>
    <w:p w:rsidR="008B6F74" w:rsidRPr="00BA3C82" w:rsidRDefault="008F0600" w:rsidP="00C873B4">
      <w:pPr>
        <w:pStyle w:val="Text-Normaln"/>
        <w:widowControl w:val="0"/>
        <w:numPr>
          <w:ilvl w:val="0"/>
          <w:numId w:val="74"/>
        </w:numPr>
        <w:ind w:left="284" w:hanging="284"/>
      </w:pPr>
      <w:r>
        <w:t>Množství úkonů VÚ však není</w:t>
      </w:r>
      <w:r w:rsidR="008B6F74" w:rsidRPr="00BA3C82">
        <w:t xml:space="preserve"> </w:t>
      </w:r>
      <w:r w:rsidR="00BA3C82" w:rsidRPr="00BA3C82">
        <w:t>svázan</w:t>
      </w:r>
      <w:r>
        <w:t>é</w:t>
      </w:r>
      <w:r w:rsidR="008B6F74" w:rsidRPr="00BA3C82">
        <w:t xml:space="preserve"> se stavbou, povoluj</w:t>
      </w:r>
      <w:r>
        <w:t>í</w:t>
      </w:r>
      <w:r w:rsidR="008B6F74" w:rsidRPr="00BA3C82">
        <w:t xml:space="preserve"> se </w:t>
      </w:r>
      <w:r w:rsidR="00BA3C82" w:rsidRPr="00BA3C82">
        <w:t>nezávisle</w:t>
      </w:r>
      <w:r w:rsidR="008B6F74" w:rsidRPr="00BA3C82">
        <w:t xml:space="preserve"> na </w:t>
      </w:r>
      <w:r w:rsidR="00BA3C82" w:rsidRPr="00BA3C82">
        <w:t>stavbě</w:t>
      </w:r>
      <w:r w:rsidR="008B6F74" w:rsidRPr="00BA3C82">
        <w:t xml:space="preserve">, </w:t>
      </w:r>
      <w:r w:rsidR="00BA3C82" w:rsidRPr="00BA3C82">
        <w:t>žádná</w:t>
      </w:r>
      <w:r w:rsidR="008B6F74" w:rsidRPr="00BA3C82">
        <w:t xml:space="preserve"> stavba </w:t>
      </w:r>
      <w:r>
        <w:t xml:space="preserve">součástí </w:t>
      </w:r>
      <w:r w:rsidR="008B6F74" w:rsidRPr="00BA3C82">
        <w:t xml:space="preserve">není – </w:t>
      </w:r>
      <w:r w:rsidR="00686D84">
        <w:t>například</w:t>
      </w:r>
      <w:r w:rsidR="008B6F74" w:rsidRPr="00BA3C82">
        <w:t xml:space="preserve"> </w:t>
      </w:r>
      <w:r w:rsidR="00BA3C82" w:rsidRPr="00BA3C82">
        <w:t>odběry</w:t>
      </w:r>
      <w:r w:rsidR="008B6F74" w:rsidRPr="00BA3C82">
        <w:t xml:space="preserve"> </w:t>
      </w:r>
      <w:r w:rsidR="00BA3C82" w:rsidRPr="00BA3C82">
        <w:t>povrchových</w:t>
      </w:r>
      <w:r w:rsidR="008B6F74" w:rsidRPr="00BA3C82">
        <w:t xml:space="preserve"> vod </w:t>
      </w:r>
      <w:r w:rsidR="00BA3C82" w:rsidRPr="00BA3C82">
        <w:t>zahrádkář</w:t>
      </w:r>
      <w:r>
        <w:t>i,</w:t>
      </w:r>
      <w:r w:rsidR="008B6F74" w:rsidRPr="00BA3C82">
        <w:t xml:space="preserve"> z</w:t>
      </w:r>
      <w:r>
        <w:t>á</w:t>
      </w:r>
      <w:r w:rsidR="008B6F74" w:rsidRPr="00BA3C82">
        <w:t>vlah</w:t>
      </w:r>
      <w:r>
        <w:t>áři</w:t>
      </w:r>
      <w:r w:rsidR="008B6F74" w:rsidRPr="00BA3C82">
        <w:t xml:space="preserve"> – </w:t>
      </w:r>
      <w:r w:rsidR="00B90B56">
        <w:t>což znamená, že </w:t>
      </w:r>
      <w:r>
        <w:t xml:space="preserve">oproti agendě památkové péče by </w:t>
      </w:r>
      <w:r w:rsidR="00177EA9">
        <w:t xml:space="preserve">významná </w:t>
      </w:r>
      <w:r w:rsidR="008B6F74" w:rsidRPr="00BA3C82">
        <w:t xml:space="preserve">část agendy </w:t>
      </w:r>
      <w:r w:rsidR="00177EA9">
        <w:t>zůstala na ORP</w:t>
      </w:r>
      <w:r w:rsidR="008B6F74" w:rsidRPr="00BA3C82">
        <w:t xml:space="preserve"> – </w:t>
      </w:r>
      <w:r w:rsidR="00177EA9">
        <w:t xml:space="preserve">po stanovení dělicí linie pro rozdělení agendy by pak bylo třeba </w:t>
      </w:r>
      <w:r w:rsidR="008B6F74" w:rsidRPr="00BA3C82">
        <w:t xml:space="preserve">zrevidovat </w:t>
      </w:r>
      <w:r w:rsidR="00177EA9">
        <w:t xml:space="preserve">výše použitý poměr při výpočtu </w:t>
      </w:r>
      <w:r w:rsidR="008B6F74" w:rsidRPr="00BA3C82">
        <w:t>20/80</w:t>
      </w:r>
      <w:r w:rsidR="003263EE">
        <w:t>.</w:t>
      </w:r>
    </w:p>
    <w:p w:rsidR="00177EA9" w:rsidRDefault="00177EA9" w:rsidP="00C873B4">
      <w:pPr>
        <w:pStyle w:val="Text-Normaln"/>
        <w:widowControl w:val="0"/>
        <w:numPr>
          <w:ilvl w:val="0"/>
          <w:numId w:val="74"/>
        </w:numPr>
        <w:ind w:left="284" w:hanging="284"/>
      </w:pPr>
      <w:r>
        <w:t>Specifikum rozhodování o</w:t>
      </w:r>
      <w:r w:rsidR="008B6F74" w:rsidRPr="00BA3C82">
        <w:t xml:space="preserve"> </w:t>
      </w:r>
      <w:r w:rsidR="00BA3C82" w:rsidRPr="00BA3C82">
        <w:t>nakládání</w:t>
      </w:r>
      <w:r w:rsidR="008B6F74" w:rsidRPr="00BA3C82">
        <w:t xml:space="preserve"> s vodami </w:t>
      </w:r>
      <w:r>
        <w:t>–</w:t>
      </w:r>
      <w:r w:rsidR="008B6F74" w:rsidRPr="00BA3C82">
        <w:t xml:space="preserve"> </w:t>
      </w:r>
      <w:r>
        <w:t xml:space="preserve">při povolování staveb je stavba povolena, postavena, </w:t>
      </w:r>
      <w:r w:rsidR="008B6F74" w:rsidRPr="00BA3C82">
        <w:t>zkolaud</w:t>
      </w:r>
      <w:r>
        <w:t xml:space="preserve">ována, pokud to zákon vyžaduje, </w:t>
      </w:r>
      <w:r w:rsidR="008B6F74" w:rsidRPr="00BA3C82">
        <w:t xml:space="preserve">pak </w:t>
      </w:r>
      <w:r>
        <w:t xml:space="preserve">již dále není řešeno; </w:t>
      </w:r>
      <w:r w:rsidR="00BA3C82" w:rsidRPr="00BA3C82">
        <w:t>nakládání</w:t>
      </w:r>
      <w:r w:rsidR="008B6F74" w:rsidRPr="00BA3C82">
        <w:t xml:space="preserve"> </w:t>
      </w:r>
      <w:r>
        <w:t xml:space="preserve">s vodami </w:t>
      </w:r>
      <w:r w:rsidR="008B6F74" w:rsidRPr="00BA3C82">
        <w:t xml:space="preserve">je </w:t>
      </w:r>
      <w:r>
        <w:t xml:space="preserve">oproti tomu </w:t>
      </w:r>
      <w:r w:rsidR="008B6F74" w:rsidRPr="00BA3C82">
        <w:t xml:space="preserve">stále </w:t>
      </w:r>
      <w:r w:rsidR="00BA3C82" w:rsidRPr="00BA3C82">
        <w:t>živé</w:t>
      </w:r>
      <w:r w:rsidR="008B6F74" w:rsidRPr="00BA3C82">
        <w:t xml:space="preserve"> v </w:t>
      </w:r>
      <w:r>
        <w:t>č</w:t>
      </w:r>
      <w:r w:rsidR="008B6F74" w:rsidRPr="00BA3C82">
        <w:t xml:space="preserve">ase, </w:t>
      </w:r>
      <w:r w:rsidR="00BA3C82" w:rsidRPr="00BA3C82">
        <w:t>vydává</w:t>
      </w:r>
      <w:r w:rsidR="008B6F74" w:rsidRPr="00BA3C82">
        <w:t xml:space="preserve"> se na </w:t>
      </w:r>
      <w:r w:rsidR="00BA3C82" w:rsidRPr="00BA3C82">
        <w:t>časov</w:t>
      </w:r>
      <w:r>
        <w:t>ě</w:t>
      </w:r>
      <w:r w:rsidR="008B6F74" w:rsidRPr="00BA3C82">
        <w:t xml:space="preserve"> omezenou dobu, často se </w:t>
      </w:r>
      <w:r w:rsidR="00BA3C82" w:rsidRPr="00BA3C82">
        <w:t>mění</w:t>
      </w:r>
      <w:r w:rsidR="008B6F74" w:rsidRPr="00BA3C82">
        <w:t>,</w:t>
      </w:r>
      <w:r>
        <w:t xml:space="preserve"> (v případě sucha se </w:t>
      </w:r>
      <w:r w:rsidR="00686D84">
        <w:t>například</w:t>
      </w:r>
      <w:r>
        <w:t xml:space="preserve"> </w:t>
      </w:r>
      <w:r w:rsidR="00BA3C82" w:rsidRPr="00BA3C82">
        <w:t>vydan</w:t>
      </w:r>
      <w:r>
        <w:t>á</w:t>
      </w:r>
      <w:r w:rsidR="008B6F74" w:rsidRPr="00BA3C82">
        <w:t xml:space="preserve"> povolen</w:t>
      </w:r>
      <w:r>
        <w:t>í</w:t>
      </w:r>
      <w:r w:rsidR="008B6F74" w:rsidRPr="00BA3C82">
        <w:t xml:space="preserve"> omezuj</w:t>
      </w:r>
      <w:r>
        <w:t>í) – je třeba zvážit, jakým způsobem začlenit výrok o nakládání s vodami tak, aby se při potřebě jeho modi</w:t>
      </w:r>
      <w:r w:rsidR="00B90B56">
        <w:t>fikace nemusel otevírat výrok o </w:t>
      </w:r>
      <w:r>
        <w:t>realizaci stavby.</w:t>
      </w:r>
    </w:p>
    <w:p w:rsidR="008B6F74" w:rsidRPr="00177EA9" w:rsidRDefault="00177EA9" w:rsidP="003E4A5D">
      <w:pPr>
        <w:pStyle w:val="Text-Normaln"/>
        <w:widowControl w:val="0"/>
        <w:rPr>
          <w:u w:val="single"/>
        </w:rPr>
      </w:pPr>
      <w:r w:rsidRPr="00177EA9">
        <w:rPr>
          <w:u w:val="single"/>
        </w:rPr>
        <w:t>Agenda požárních preventistů</w:t>
      </w:r>
    </w:p>
    <w:p w:rsidR="008B6F74" w:rsidRPr="00BA3C82" w:rsidRDefault="008B6F74" w:rsidP="00C873B4">
      <w:pPr>
        <w:pStyle w:val="Text-Normaln"/>
        <w:widowControl w:val="0"/>
        <w:numPr>
          <w:ilvl w:val="0"/>
          <w:numId w:val="74"/>
        </w:numPr>
        <w:ind w:left="284" w:hanging="284"/>
      </w:pPr>
      <w:r w:rsidRPr="00BA3C82">
        <w:t xml:space="preserve">Věcně </w:t>
      </w:r>
      <w:r w:rsidR="00177EA9">
        <w:t xml:space="preserve">se zařazením této agendy pod NSÚ </w:t>
      </w:r>
      <w:r w:rsidRPr="00BA3C82">
        <w:t xml:space="preserve">není </w:t>
      </w:r>
      <w:r w:rsidR="00177EA9">
        <w:t xml:space="preserve">výrazný </w:t>
      </w:r>
      <w:r w:rsidRPr="00BA3C82">
        <w:t xml:space="preserve">problém </w:t>
      </w:r>
      <w:r w:rsidR="00177EA9">
        <w:t xml:space="preserve">(v minulosti již agenda byla na obcích) </w:t>
      </w:r>
      <w:r w:rsidRPr="00BA3C82">
        <w:t xml:space="preserve">– kromě souhlasů </w:t>
      </w:r>
      <w:r w:rsidR="00177EA9">
        <w:t xml:space="preserve">preventisté </w:t>
      </w:r>
      <w:r w:rsidRPr="00BA3C82">
        <w:t xml:space="preserve">vypracovávají </w:t>
      </w:r>
      <w:r w:rsidR="00686D84">
        <w:t>například</w:t>
      </w:r>
      <w:r w:rsidR="00177EA9">
        <w:t xml:space="preserve"> </w:t>
      </w:r>
      <w:r w:rsidRPr="00BA3C82">
        <w:t>posudky</w:t>
      </w:r>
      <w:r w:rsidR="00177EA9">
        <w:t>,</w:t>
      </w:r>
      <w:r w:rsidRPr="00BA3C82">
        <w:t xml:space="preserve"> kde je třeba změnit situaci, aby </w:t>
      </w:r>
      <w:r w:rsidR="00177EA9">
        <w:t>projela hasičská technika</w:t>
      </w:r>
      <w:r w:rsidRPr="00BA3C82">
        <w:t xml:space="preserve"> apod., pravidelně </w:t>
      </w:r>
      <w:r w:rsidR="00177EA9">
        <w:t xml:space="preserve">spolu však výjezdní </w:t>
      </w:r>
      <w:r w:rsidR="00F76ADF">
        <w:t>hasiči a preventisté</w:t>
      </w:r>
      <w:r w:rsidR="00177EA9">
        <w:t xml:space="preserve"> </w:t>
      </w:r>
      <w:r w:rsidRPr="00BA3C82">
        <w:t xml:space="preserve">nekomunikují, tj. lze je bez </w:t>
      </w:r>
      <w:r w:rsidR="00177EA9">
        <w:t xml:space="preserve">výrazných </w:t>
      </w:r>
      <w:r w:rsidRPr="00BA3C82">
        <w:t xml:space="preserve">dopadů z tohoto titulu vydělit, </w:t>
      </w:r>
    </w:p>
    <w:p w:rsidR="008B6F74" w:rsidRPr="00BA3C82" w:rsidRDefault="00177EA9" w:rsidP="00177EA9">
      <w:pPr>
        <w:pStyle w:val="Text-Normaln"/>
        <w:widowControl w:val="0"/>
        <w:ind w:left="284"/>
      </w:pPr>
      <w:r>
        <w:t>avšak</w:t>
      </w:r>
    </w:p>
    <w:p w:rsidR="008B6F74" w:rsidRPr="00BA3C82" w:rsidRDefault="008B6F74" w:rsidP="00C873B4">
      <w:pPr>
        <w:pStyle w:val="Text-Normaln"/>
        <w:widowControl w:val="0"/>
        <w:numPr>
          <w:ilvl w:val="0"/>
          <w:numId w:val="74"/>
        </w:numPr>
        <w:ind w:left="284" w:hanging="284"/>
      </w:pPr>
      <w:r w:rsidRPr="00BA3C82">
        <w:t xml:space="preserve">Preventisté nyní </w:t>
      </w:r>
      <w:r w:rsidR="00177EA9">
        <w:t xml:space="preserve">těží z </w:t>
      </w:r>
      <w:r w:rsidRPr="00BA3C82">
        <w:t>vešker</w:t>
      </w:r>
      <w:r w:rsidR="00177EA9">
        <w:t>ých</w:t>
      </w:r>
      <w:r w:rsidRPr="00BA3C82">
        <w:t xml:space="preserve"> výhod služebního zákona, tj. nejen výsluh, ale i rizikov</w:t>
      </w:r>
      <w:r w:rsidR="00177EA9">
        <w:t>ého</w:t>
      </w:r>
      <w:r w:rsidRPr="00BA3C82">
        <w:t xml:space="preserve"> příplat</w:t>
      </w:r>
      <w:r w:rsidR="00177EA9">
        <w:t>ku</w:t>
      </w:r>
      <w:r w:rsidRPr="00BA3C82">
        <w:t xml:space="preserve"> atp.</w:t>
      </w:r>
      <w:r w:rsidR="00177EA9">
        <w:t xml:space="preserve"> (při </w:t>
      </w:r>
      <w:r w:rsidRPr="00BA3C82">
        <w:t>7.</w:t>
      </w:r>
      <w:r w:rsidR="00177EA9">
        <w:t xml:space="preserve"> </w:t>
      </w:r>
      <w:r w:rsidRPr="00BA3C82">
        <w:t>-</w:t>
      </w:r>
      <w:r w:rsidR="00177EA9">
        <w:t xml:space="preserve"> </w:t>
      </w:r>
      <w:r w:rsidRPr="00BA3C82">
        <w:t xml:space="preserve">8. PT </w:t>
      </w:r>
      <w:r w:rsidR="00177EA9">
        <w:t xml:space="preserve">a </w:t>
      </w:r>
      <w:r w:rsidRPr="00BA3C82">
        <w:t>základ</w:t>
      </w:r>
      <w:r w:rsidR="00177EA9">
        <w:t>u</w:t>
      </w:r>
      <w:r w:rsidRPr="00BA3C82">
        <w:t xml:space="preserve"> 30</w:t>
      </w:r>
      <w:r w:rsidR="00177EA9">
        <w:t> 000 Kč m</w:t>
      </w:r>
      <w:r w:rsidR="00674C26">
        <w:t>ůže být rizikový příplatek 4 000 Kč, osobní ohodnocení pak do 1 000 Kč)</w:t>
      </w:r>
      <w:r w:rsidRPr="00BA3C82">
        <w:t xml:space="preserve"> </w:t>
      </w:r>
      <w:r w:rsidR="00674C26">
        <w:t xml:space="preserve">– dá se předpokládat, že tito zaměstnanci se </w:t>
      </w:r>
      <w:r w:rsidRPr="00BA3C82">
        <w:t xml:space="preserve">i po rekodifikaci </w:t>
      </w:r>
      <w:r w:rsidR="00674C26">
        <w:t xml:space="preserve">budou </w:t>
      </w:r>
      <w:r w:rsidRPr="00BA3C82">
        <w:t xml:space="preserve">snažit zůstat </w:t>
      </w:r>
      <w:r w:rsidR="00674C26">
        <w:t>v režimu</w:t>
      </w:r>
      <w:r w:rsidRPr="00BA3C82">
        <w:t xml:space="preserve"> služební</w:t>
      </w:r>
      <w:r w:rsidR="00674C26">
        <w:t>ho</w:t>
      </w:r>
      <w:r w:rsidRPr="00BA3C82">
        <w:t xml:space="preserve"> zákon</w:t>
      </w:r>
      <w:r w:rsidR="00674C26">
        <w:t>a</w:t>
      </w:r>
      <w:r w:rsidRPr="00BA3C82">
        <w:t xml:space="preserve"> </w:t>
      </w:r>
      <w:r w:rsidR="00674C26">
        <w:t>a hledat si místo i v rámci jiných bezpečnostních složek státu – po provedeném personálním auditu před implementací rekodifikace by bylo třeba ověřit, zda by v tomto případě nebylo třeba najmout v porovnání s jinými agendami proporcionálně vyšší počet pracovníků (celkem jich je nyní v ČR okolo 350)</w:t>
      </w:r>
    </w:p>
    <w:p w:rsidR="008B6F74" w:rsidRDefault="00C67F79" w:rsidP="003E4A5D">
      <w:pPr>
        <w:pStyle w:val="Text-Normaln"/>
        <w:widowControl w:val="0"/>
      </w:pPr>
      <w:r>
        <w:t>Výše uvedené agendy byly vybrány pro ilustraci možných rizik spojených s přesunem DO pod NSÚ pouze příkladmo. Do většího detailů konkrétních agend by mělo jít až paragrafové znění zákona. Nicméně je třeba zohlednit, že každá agenda má svá specifika a ta bude třeba v rámci implementace zohlednit.</w:t>
      </w:r>
    </w:p>
    <w:p w:rsidR="009C1FA6" w:rsidRPr="006059A5" w:rsidRDefault="009C1FA6" w:rsidP="00BD4BAE">
      <w:pPr>
        <w:pStyle w:val="Nadpis3a"/>
        <w:widowControl w:val="0"/>
        <w:ind w:left="567" w:hanging="567"/>
      </w:pPr>
      <w:bookmarkStart w:id="58" w:name="_Toc536431001"/>
      <w:bookmarkStart w:id="59" w:name="_Toc536431002"/>
      <w:bookmarkStart w:id="60" w:name="_Toc536431003"/>
      <w:bookmarkStart w:id="61" w:name="_Toc536553922"/>
      <w:bookmarkEnd w:id="58"/>
      <w:bookmarkEnd w:id="59"/>
      <w:bookmarkEnd w:id="60"/>
      <w:r>
        <w:t>Elektronizace</w:t>
      </w:r>
      <w:r w:rsidR="0042443D">
        <w:t xml:space="preserve"> agendy </w:t>
      </w:r>
      <w:r w:rsidR="004E1668">
        <w:t>stavebních úřadů</w:t>
      </w:r>
      <w:bookmarkEnd w:id="61"/>
    </w:p>
    <w:p w:rsidR="00424780" w:rsidRPr="009A4F71" w:rsidRDefault="00BD4BAE" w:rsidP="00BD4BAE">
      <w:pPr>
        <w:pStyle w:val="Nadpis3a"/>
        <w:numPr>
          <w:ilvl w:val="0"/>
          <w:numId w:val="0"/>
        </w:numPr>
      </w:pPr>
      <w:bookmarkStart w:id="62" w:name="_Toc536553923"/>
      <w:r>
        <w:t xml:space="preserve">A.3.1 </w:t>
      </w:r>
      <w:r w:rsidR="00424780" w:rsidRPr="009A4F71">
        <w:t>Popis současného stavu</w:t>
      </w:r>
      <w:r w:rsidR="00D21F04" w:rsidRPr="009A4F71">
        <w:t xml:space="preserve"> a definice problému</w:t>
      </w:r>
      <w:r w:rsidR="00424780" w:rsidRPr="009A4F71">
        <w:t>:</w:t>
      </w:r>
      <w:bookmarkEnd w:id="62"/>
    </w:p>
    <w:p w:rsidR="00F46E1D" w:rsidRDefault="001574B2" w:rsidP="003E4A5D">
      <w:pPr>
        <w:widowControl w:val="0"/>
      </w:pPr>
      <w:r>
        <w:t xml:space="preserve">Elektronizace agendy stavebních úřadů je součástí řešení aktuálně navrhovaného ICTU v rámci RIA </w:t>
      </w:r>
      <w:r w:rsidR="00F46E1D">
        <w:t>k</w:t>
      </w:r>
      <w:r>
        <w:t xml:space="preserve"> návrhu zákona </w:t>
      </w:r>
      <w:r w:rsidR="00F46E1D" w:rsidRPr="00F46E1D">
        <w:t>o právu na poskytnutí digitální služby</w:t>
      </w:r>
      <w:r w:rsidR="00F46E1D">
        <w:t>. Protože tato RIA již byla zpracována, není třeba tuto oblast řešit znov</w:t>
      </w:r>
      <w:r w:rsidR="00AC4073">
        <w:t>u</w:t>
      </w:r>
      <w:r w:rsidR="00F46E1D">
        <w:t>. Zmiňme zde proto klíčové závěry tohoto dokumentu, které jsou validní pro případ stavebních úřadů.</w:t>
      </w:r>
    </w:p>
    <w:p w:rsidR="00424780" w:rsidRPr="00F46E1D" w:rsidRDefault="00F46E1D" w:rsidP="003E4A5D">
      <w:pPr>
        <w:widowControl w:val="0"/>
        <w:rPr>
          <w:i/>
        </w:rPr>
      </w:pPr>
      <w:r>
        <w:t xml:space="preserve">Dle výše uvedené RIA </w:t>
      </w:r>
      <w:r w:rsidRPr="009A4F71">
        <w:t>disponuje</w:t>
      </w:r>
      <w:r>
        <w:t xml:space="preserve"> </w:t>
      </w:r>
      <w:r w:rsidR="00424780" w:rsidRPr="009A4F71">
        <w:t xml:space="preserve">Česká republika </w:t>
      </w:r>
      <w:r>
        <w:t>v</w:t>
      </w:r>
      <w:r w:rsidRPr="009A4F71">
        <w:t xml:space="preserve"> rámci EU </w:t>
      </w:r>
      <w:r w:rsidRPr="00F46E1D">
        <w:rPr>
          <w:i/>
        </w:rPr>
        <w:t>„</w:t>
      </w:r>
      <w:r w:rsidR="00B90B56">
        <w:rPr>
          <w:i/>
        </w:rPr>
        <w:t>jedním z nejkvalitnějších a </w:t>
      </w:r>
      <w:r w:rsidR="00424780" w:rsidRPr="00F46E1D">
        <w:rPr>
          <w:i/>
        </w:rPr>
        <w:t xml:space="preserve">nejkomplexnějších technologických řešení na úrovni tzv. back office, tedy na straně veřejné správy. V letech 2008 až 2013 se podařilo úspěšně vybudovat a uvést do ostrého provozu ucelený a komplexní systém, jenž vytvořil základ pro Propojený datový fond orgánů veřejné moci obsahující referenční a autoritativní údaje o každém občanovi ve všech jeho možných životních situacích, a to tak, jak jsou mu definována jeho práva a povinnosti dle právního řádu </w:t>
      </w:r>
      <w:r w:rsidR="00C85BD6" w:rsidRPr="00C85BD6">
        <w:rPr>
          <w:i/>
        </w:rPr>
        <w:t>ČR</w:t>
      </w:r>
      <w:r w:rsidR="00424780" w:rsidRPr="00F46E1D">
        <w:rPr>
          <w:i/>
        </w:rPr>
        <w:t xml:space="preserve">. </w:t>
      </w:r>
    </w:p>
    <w:p w:rsidR="00424780" w:rsidRPr="00F46E1D" w:rsidRDefault="00424780" w:rsidP="003E4A5D">
      <w:pPr>
        <w:widowControl w:val="0"/>
        <w:rPr>
          <w:i/>
        </w:rPr>
      </w:pPr>
      <w:r w:rsidRPr="00F46E1D">
        <w:rPr>
          <w:i/>
        </w:rPr>
        <w:t xml:space="preserve">Česká veřejná správa disponuje uceleným systémem, jehož základem jsou základní registry veřejné správy a k nim </w:t>
      </w:r>
      <w:r w:rsidRPr="00F46E1D">
        <w:rPr>
          <w:i/>
        </w:rPr>
        <w:lastRenderedPageBreak/>
        <w:t xml:space="preserve">bezpečně připojených více než pět tisíc agendových informačních systémů veřejné správy. Na jednom místě tak každý úřad a úředník, který je k tomu oprávněn zvláštními zákony, získá veškeré potřebné údaje nezbytné pro výkon konkrétní agendy, tedy naplňování práv a povinností občanů, a to samozřejmě souběžně s ochranou zájmů státu, definovanou zákony a podzákonnými předpisy. Úředníci tak mohou nově vykonávat svoji veřejnou službu efektivně a bez nadbytečné administrativní zátěže občanů. Navíc veřejná správa disponuje dalšími nástroji, které umožňují nezbytnou komunikaci mezi veřejnou správou a občanem provádět bezpečně, garantovaně a opět efektivně. Pro bezpečnou a garantovanou komunikaci je vybudovaný Informační systém datových schránek, který jako jediný může právně garantovat průkaznost uskutečněné obousměrné či jednosměrné komunikace mezi orgánem veřejné moci a občanem. Veškeré nezbytné informace o řešení jednotlivých životních situací, včetně open dat, je pak možné občanům nabízet přívětivou a návodnou formou prostřednictvím Portálu veřejné správy. Na druhou stranu pro občany, kteří o využívání moderních technologií zájem nejeví, disponuje Česká republika širokou škálou digitálních služeb, které jim mohou být poskytovány asistovanou formou na kontaktních místech veřejné správy. </w:t>
      </w:r>
    </w:p>
    <w:p w:rsidR="00424780" w:rsidRPr="00F46E1D" w:rsidRDefault="00424780" w:rsidP="003E4A5D">
      <w:pPr>
        <w:pStyle w:val="Text-Normaln"/>
        <w:widowControl w:val="0"/>
        <w:rPr>
          <w:i/>
        </w:rPr>
      </w:pPr>
      <w:r w:rsidRPr="00F46E1D">
        <w:rPr>
          <w:i/>
        </w:rPr>
        <w:t>Řada povinností v digitálním světě je navíc již legislativně ukotvena, avšak bez jakékoliv možnosti se těchto povinností domáhat a sankcionovat ty, kteří je odmítají plnit.</w:t>
      </w:r>
    </w:p>
    <w:p w:rsidR="00954A65" w:rsidRPr="00F46E1D" w:rsidRDefault="00954A65" w:rsidP="003E4A5D">
      <w:pPr>
        <w:pStyle w:val="Text-Normaln"/>
        <w:widowControl w:val="0"/>
        <w:rPr>
          <w:i/>
        </w:rPr>
      </w:pPr>
      <w:r w:rsidRPr="00F46E1D">
        <w:rPr>
          <w:i/>
        </w:rPr>
        <w:t xml:space="preserve">Základem pro fungující eGovernment je kromě digitalizace procesů a vhodné konektivity také </w:t>
      </w:r>
      <w:r w:rsidRPr="00F46E1D">
        <w:rPr>
          <w:i/>
          <w:u w:val="single"/>
        </w:rPr>
        <w:t>dostatek digitálních služeb</w:t>
      </w:r>
      <w:r w:rsidRPr="00F46E1D">
        <w:rPr>
          <w:i/>
        </w:rPr>
        <w:t xml:space="preserve"> veřejné správy a zajištění jejich přístupnosti pro občany při naplňování jejich práv a povinností vyplývajících z právního řádu </w:t>
      </w:r>
      <w:r w:rsidR="00C85BD6" w:rsidRPr="00C85BD6">
        <w:rPr>
          <w:i/>
        </w:rPr>
        <w:t>ČR</w:t>
      </w:r>
      <w:r w:rsidRPr="00F46E1D">
        <w:rPr>
          <w:i/>
        </w:rPr>
        <w:t xml:space="preserve">. Při respektování veřejnoprávního charakteru veřejné správy je základem jakékoliv působnosti každého orgánu veřejné správy konkrétní zákon nebo podzákonný právní předpis, který ukládá konkrétnímu orgánu veřejné moci práva či povinnosti. V případě práv a povinností občanů musí být základem pouze a výhradně konkrétní zákon. </w:t>
      </w:r>
    </w:p>
    <w:p w:rsidR="00954A65" w:rsidRPr="00F46E1D" w:rsidRDefault="00954A65" w:rsidP="003E4A5D">
      <w:pPr>
        <w:pStyle w:val="Text-Normaln"/>
        <w:widowControl w:val="0"/>
        <w:rPr>
          <w:i/>
        </w:rPr>
      </w:pPr>
      <w:r w:rsidRPr="00F46E1D">
        <w:rPr>
          <w:i/>
        </w:rPr>
        <w:t>Této premise odpovídá i konstrukce Systému základních registrů, resp. matice rol</w:t>
      </w:r>
      <w:r w:rsidR="00B90B56">
        <w:rPr>
          <w:i/>
        </w:rPr>
        <w:t>í a oprávnění v Registru práv a </w:t>
      </w:r>
      <w:r w:rsidRPr="00F46E1D">
        <w:rPr>
          <w:i/>
        </w:rPr>
        <w:t>povinností. Právě registrace, tj. aktuálně 428 agend (= zákonů), je základem pro</w:t>
      </w:r>
      <w:r w:rsidR="00B90B56">
        <w:rPr>
          <w:i/>
        </w:rPr>
        <w:t xml:space="preserve"> proces digitalizace procesů ve </w:t>
      </w:r>
      <w:r w:rsidRPr="00F46E1D">
        <w:rPr>
          <w:i/>
        </w:rPr>
        <w:t>veřejné správě. Digitalizace veřejné správy, tedy vytvoření podmínek pro digitální vl</w:t>
      </w:r>
      <w:r w:rsidR="00B90B56">
        <w:rPr>
          <w:i/>
        </w:rPr>
        <w:t>ádnutí, tzv. eGovernment, se </w:t>
      </w:r>
      <w:r w:rsidRPr="00F46E1D">
        <w:rPr>
          <w:i/>
        </w:rPr>
        <w:t>může týkat:</w:t>
      </w:r>
    </w:p>
    <w:p w:rsidR="00954A65" w:rsidRPr="00F46E1D" w:rsidRDefault="00954A65" w:rsidP="009D4B5F">
      <w:pPr>
        <w:pStyle w:val="Text-Normaln"/>
        <w:widowControl w:val="0"/>
        <w:numPr>
          <w:ilvl w:val="0"/>
          <w:numId w:val="40"/>
        </w:numPr>
        <w:rPr>
          <w:i/>
        </w:rPr>
      </w:pPr>
      <w:r w:rsidRPr="00F46E1D">
        <w:rPr>
          <w:i/>
        </w:rPr>
        <w:t xml:space="preserve">komplexní agendy – do digitální podoby jsou digitalizovány veškeré procesy a činnostní role tvořící danou agendu; </w:t>
      </w:r>
    </w:p>
    <w:p w:rsidR="00954A65" w:rsidRPr="00F46E1D" w:rsidRDefault="00954A65" w:rsidP="009D4B5F">
      <w:pPr>
        <w:pStyle w:val="Text-Normaln"/>
        <w:widowControl w:val="0"/>
        <w:numPr>
          <w:ilvl w:val="0"/>
          <w:numId w:val="40"/>
        </w:numPr>
        <w:rPr>
          <w:i/>
        </w:rPr>
      </w:pPr>
      <w:r w:rsidRPr="00F46E1D">
        <w:rPr>
          <w:i/>
        </w:rPr>
        <w:t>části agendy, a to na úrovni:</w:t>
      </w:r>
    </w:p>
    <w:p w:rsidR="00954A65" w:rsidRPr="00F46E1D" w:rsidRDefault="00954A65" w:rsidP="009D4B5F">
      <w:pPr>
        <w:pStyle w:val="Text-Normaln"/>
        <w:widowControl w:val="0"/>
        <w:numPr>
          <w:ilvl w:val="1"/>
          <w:numId w:val="40"/>
        </w:numPr>
        <w:rPr>
          <w:i/>
        </w:rPr>
      </w:pPr>
      <w:r w:rsidRPr="00F46E1D">
        <w:rPr>
          <w:i/>
        </w:rPr>
        <w:t xml:space="preserve">back office – některé procesy vykonávané na straně veřejné správy (sdílení jednou pořízených dat, Propojený datový fond orgánů veřejné moci, atd.); nebo </w:t>
      </w:r>
    </w:p>
    <w:p w:rsidR="00954A65" w:rsidRPr="00F46E1D" w:rsidRDefault="00954A65" w:rsidP="009D4B5F">
      <w:pPr>
        <w:pStyle w:val="Text-Normaln"/>
        <w:widowControl w:val="0"/>
        <w:numPr>
          <w:ilvl w:val="1"/>
          <w:numId w:val="40"/>
        </w:numPr>
        <w:rPr>
          <w:i/>
        </w:rPr>
      </w:pPr>
      <w:r w:rsidRPr="00F46E1D">
        <w:rPr>
          <w:i/>
        </w:rPr>
        <w:t xml:space="preserve">front office – digitální podání formou interaktivních formulářů, publikace open dat apod. </w:t>
      </w:r>
    </w:p>
    <w:p w:rsidR="00954A65" w:rsidRPr="00F46E1D" w:rsidRDefault="00954A65" w:rsidP="003E4A5D">
      <w:pPr>
        <w:pStyle w:val="Text-Normaln"/>
        <w:widowControl w:val="0"/>
        <w:rPr>
          <w:i/>
        </w:rPr>
      </w:pPr>
      <w:r w:rsidRPr="00F46E1D">
        <w:rPr>
          <w:i/>
        </w:rPr>
        <w:t>Agendy, činnostní role a zejména v nich vykonávané procesy, jsou také základem pro vytváření digitálních služeb veřejné správy a veřejných služeb, které jsou právě produktem konkrétních procesů v rámci dané agendy.</w:t>
      </w:r>
      <w:r w:rsidR="00F46E1D">
        <w:rPr>
          <w:i/>
        </w:rPr>
        <w:t>“</w:t>
      </w:r>
      <w:r w:rsidRPr="00F46E1D">
        <w:rPr>
          <w:i/>
        </w:rPr>
        <w:t xml:space="preserve">  </w:t>
      </w:r>
    </w:p>
    <w:p w:rsidR="00740701" w:rsidRPr="00F46E1D" w:rsidRDefault="00740701" w:rsidP="003E4A5D">
      <w:pPr>
        <w:widowControl w:val="0"/>
        <w:rPr>
          <w:i/>
        </w:rPr>
      </w:pPr>
      <w:r w:rsidRPr="00F46E1D">
        <w:t xml:space="preserve">Veřejně dostupné </w:t>
      </w:r>
      <w:r w:rsidR="00A476D5">
        <w:t>zdroje uvád</w:t>
      </w:r>
      <w:r w:rsidR="001F2819">
        <w:t>í</w:t>
      </w:r>
      <w:r w:rsidRPr="00F46E1D">
        <w:t>, že Česká republika v digitalizaci veřejné správy</w:t>
      </w:r>
      <w:r w:rsidRPr="00F46E1D">
        <w:rPr>
          <w:i/>
        </w:rPr>
        <w:t xml:space="preserve"> </w:t>
      </w:r>
      <w:r w:rsidR="00F46E1D">
        <w:rPr>
          <w:i/>
        </w:rPr>
        <w:t>„</w:t>
      </w:r>
      <w:r w:rsidRPr="00F46E1D">
        <w:rPr>
          <w:i/>
        </w:rPr>
        <w:t>výrazně zaostává za čelem Evropské unie a zejména pak za severskými lídry v digitalizaci. V některých aspektech, jako je například rozšíření služeb eGovernmentu, zaostává Česká republika dokonce i v</w:t>
      </w:r>
      <w:r w:rsidR="00B90B56">
        <w:rPr>
          <w:i/>
        </w:rPr>
        <w:t>e srovnání se zeměmi východní a </w:t>
      </w:r>
      <w:r w:rsidRPr="00F46E1D">
        <w:rPr>
          <w:i/>
        </w:rPr>
        <w:t>jihovýchodní Evropy a dalšími nově přistoupivšími členy Evropské unie. Klesající</w:t>
      </w:r>
      <w:r w:rsidR="00B90B56">
        <w:rPr>
          <w:i/>
        </w:rPr>
        <w:t xml:space="preserve"> trend, který můžeme sledovat v </w:t>
      </w:r>
      <w:r w:rsidRPr="00F46E1D">
        <w:rPr>
          <w:i/>
        </w:rPr>
        <w:t>posledních pěti letech, nelze přisuzovat pouze nízké podpoře ze strany tuzemských odpovědných institucí, nýbrž také výrazně vyšší aktivitě ostatních evropských států. Jako vzor jsou často uváděny Estonsko, Ve</w:t>
      </w:r>
      <w:r w:rsidR="00B90B56">
        <w:rPr>
          <w:i/>
        </w:rPr>
        <w:t>lká Británie a </w:t>
      </w:r>
      <w:r w:rsidRPr="00F46E1D">
        <w:rPr>
          <w:i/>
        </w:rPr>
        <w:t>skandinávské země.</w:t>
      </w:r>
      <w:r w:rsidR="00F46E1D">
        <w:rPr>
          <w:i/>
        </w:rPr>
        <w:t>“</w:t>
      </w:r>
    </w:p>
    <w:p w:rsidR="0036218C" w:rsidRPr="00F46E1D" w:rsidRDefault="00F46E1D" w:rsidP="003E4A5D">
      <w:pPr>
        <w:pStyle w:val="Text-Normaln"/>
        <w:widowControl w:val="0"/>
        <w:rPr>
          <w:i/>
        </w:rPr>
      </w:pPr>
      <w:r w:rsidRPr="00F46E1D">
        <w:t>Jak však RIA upozorňuje,</w:t>
      </w:r>
      <w:r>
        <w:rPr>
          <w:i/>
        </w:rPr>
        <w:t xml:space="preserve"> „</w:t>
      </w:r>
      <w:r w:rsidR="00740701" w:rsidRPr="00F46E1D">
        <w:rPr>
          <w:i/>
        </w:rPr>
        <w:t>žádná z těchto zemí – i přes nesporné úspěchy na poli rozvoje eGovernmentu – nedisponuje tak kvalitním a komplexním propojeným datovým fondem orgánů veřejné moci a nemá vybudovány tak kvalitní a moderní publikační a komunikační agendové informační systémy veřejné správy jako Česká republika. Tím, co nás od uvedených zemí odlišuje a co je příčinou propad</w:t>
      </w:r>
      <w:r w:rsidR="00B90B56">
        <w:rPr>
          <w:i/>
        </w:rPr>
        <w:t xml:space="preserve">u </w:t>
      </w:r>
      <w:r w:rsidR="00C85BD6" w:rsidRPr="00C85BD6">
        <w:rPr>
          <w:i/>
        </w:rPr>
        <w:t>ČR</w:t>
      </w:r>
      <w:r w:rsidR="00C85BD6">
        <w:rPr>
          <w:i/>
        </w:rPr>
        <w:t xml:space="preserve"> </w:t>
      </w:r>
      <w:r w:rsidR="00B90B56">
        <w:rPr>
          <w:i/>
        </w:rPr>
        <w:t>ve srovnání s </w:t>
      </w:r>
      <w:r w:rsidR="00740701" w:rsidRPr="00F46E1D">
        <w:rPr>
          <w:i/>
        </w:rPr>
        <w:t>digitálními lídry EU, je tak primárně neochota využívat ICT nástroje, které jsou již vybudovány a fungují, neochota modernizovat zastaralou legislativu, přetrvávající resortismus</w:t>
      </w:r>
      <w:r w:rsidR="007051FE" w:rsidRPr="00F46E1D">
        <w:rPr>
          <w:i/>
        </w:rPr>
        <w:t>.</w:t>
      </w:r>
      <w:r>
        <w:rPr>
          <w:i/>
        </w:rPr>
        <w:t>“</w:t>
      </w:r>
    </w:p>
    <w:p w:rsidR="00BD4BAE" w:rsidRDefault="00BD4BAE" w:rsidP="00BD4BAE">
      <w:pPr>
        <w:pStyle w:val="Nadpis3a"/>
        <w:numPr>
          <w:ilvl w:val="0"/>
          <w:numId w:val="0"/>
        </w:numPr>
        <w:ind w:left="720" w:hanging="720"/>
      </w:pPr>
      <w:bookmarkStart w:id="63" w:name="_Toc536553924"/>
      <w:r>
        <w:lastRenderedPageBreak/>
        <w:t xml:space="preserve">A.3.2 </w:t>
      </w:r>
      <w:r w:rsidRPr="00BD4BAE">
        <w:t>Hodnocení řešeného věcného okruhu</w:t>
      </w:r>
      <w:bookmarkEnd w:id="63"/>
    </w:p>
    <w:p w:rsidR="009C1FA6" w:rsidRPr="009A4F71" w:rsidRDefault="009C1FA6" w:rsidP="003E4A5D">
      <w:pPr>
        <w:pStyle w:val="Text-Normaln"/>
        <w:widowControl w:val="0"/>
        <w:rPr>
          <w:b/>
        </w:rPr>
      </w:pPr>
      <w:r w:rsidRPr="009A4F71">
        <w:rPr>
          <w:b/>
        </w:rPr>
        <w:t>Cíl:</w:t>
      </w:r>
      <w:r w:rsidRPr="009A4F71">
        <w:t xml:space="preserve"> </w:t>
      </w:r>
      <w:r w:rsidR="00A3356C" w:rsidRPr="009A4F71">
        <w:t>Zefektivnění a zrychlení povolovacího procesu, snížení administrativních nákladů u všech dotčených stran</w:t>
      </w:r>
    </w:p>
    <w:p w:rsidR="009C1FA6" w:rsidRPr="009A4F71" w:rsidRDefault="009C1FA6" w:rsidP="003E4A5D">
      <w:pPr>
        <w:pStyle w:val="Text-Normaln"/>
        <w:widowControl w:val="0"/>
        <w:rPr>
          <w:b/>
        </w:rPr>
      </w:pPr>
      <w:r w:rsidRPr="009A4F71">
        <w:rPr>
          <w:b/>
        </w:rPr>
        <w:t>Návrh variant řešení:</w:t>
      </w:r>
    </w:p>
    <w:p w:rsidR="009C1FA6" w:rsidRPr="009A4F71" w:rsidRDefault="009C1FA6" w:rsidP="003E4A5D">
      <w:pPr>
        <w:pStyle w:val="Text-Normaln"/>
        <w:widowControl w:val="0"/>
      </w:pPr>
      <w:r w:rsidRPr="009A4F71">
        <w:rPr>
          <w:b/>
          <w:i/>
        </w:rPr>
        <w:t>Varianta 0:</w:t>
      </w:r>
      <w:r w:rsidRPr="009A4F71">
        <w:t xml:space="preserve"> </w:t>
      </w:r>
      <w:r w:rsidR="007C6101" w:rsidRPr="009A4F71">
        <w:t>Zachování současného stavu</w:t>
      </w:r>
    </w:p>
    <w:p w:rsidR="009C1FA6" w:rsidRPr="00F23969" w:rsidRDefault="009C1FA6" w:rsidP="003E4A5D">
      <w:pPr>
        <w:pStyle w:val="Text-Normaln"/>
        <w:widowControl w:val="0"/>
      </w:pPr>
      <w:r w:rsidRPr="009A4F71">
        <w:rPr>
          <w:b/>
          <w:i/>
        </w:rPr>
        <w:t>Varianta 1:</w:t>
      </w:r>
      <w:r w:rsidRPr="009A4F71">
        <w:t xml:space="preserve"> </w:t>
      </w:r>
      <w:r w:rsidR="007C6101" w:rsidRPr="009A4F71">
        <w:t>Elektronizace agendy stavebních úřadů</w:t>
      </w:r>
    </w:p>
    <w:p w:rsidR="009C1FA6" w:rsidRPr="00F23969" w:rsidRDefault="009C1FA6" w:rsidP="003E4A5D">
      <w:pPr>
        <w:pStyle w:val="Text-Normaln"/>
        <w:widowControl w:val="0"/>
        <w:rPr>
          <w:b/>
        </w:rPr>
      </w:pPr>
      <w:r w:rsidRPr="00F23969">
        <w:rPr>
          <w:b/>
        </w:rPr>
        <w:t>Identifikace nákladů a přínosů:</w:t>
      </w:r>
      <w:r w:rsidR="008C2D12">
        <w:rPr>
          <w:b/>
        </w:rPr>
        <w:t xml:space="preserve"> </w:t>
      </w:r>
    </w:p>
    <w:p w:rsidR="00A20A6D" w:rsidRDefault="00A20A6D"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26</w:t>
      </w:r>
      <w:r w:rsidR="00AB65E9">
        <w:rPr>
          <w:noProof/>
        </w:rPr>
        <w:fldChar w:fldCharType="end"/>
      </w:r>
      <w:r>
        <w:t>: Identifikace nákladů a přínosů</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8962"/>
      </w:tblGrid>
      <w:tr w:rsidR="009C1FA6" w:rsidRPr="00D862A5" w:rsidTr="00A20A6D">
        <w:tc>
          <w:tcPr>
            <w:tcW w:w="8962" w:type="dxa"/>
            <w:tcBorders>
              <w:top w:val="single" w:sz="4" w:space="0" w:color="auto"/>
              <w:bottom w:val="single" w:sz="4" w:space="0" w:color="auto"/>
            </w:tcBorders>
            <w:shd w:val="clear" w:color="auto" w:fill="D9D9D9" w:themeFill="background1" w:themeFillShade="D9"/>
            <w:vAlign w:val="center"/>
          </w:tcPr>
          <w:p w:rsidR="009C1FA6" w:rsidRPr="00D862A5" w:rsidRDefault="009C1FA6"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t>Náklady</w:t>
            </w:r>
          </w:p>
        </w:tc>
      </w:tr>
      <w:tr w:rsidR="009C1FA6" w:rsidRPr="00D862A5" w:rsidTr="00A20A6D">
        <w:tc>
          <w:tcPr>
            <w:tcW w:w="8962" w:type="dxa"/>
            <w:tcBorders>
              <w:top w:val="single" w:sz="4" w:space="0" w:color="auto"/>
              <w:bottom w:val="single" w:sz="4" w:space="0" w:color="auto"/>
            </w:tcBorders>
            <w:shd w:val="clear" w:color="auto" w:fill="auto"/>
            <w:vAlign w:val="center"/>
          </w:tcPr>
          <w:p w:rsidR="00AA0213" w:rsidRPr="001F2819" w:rsidRDefault="00AA0213" w:rsidP="003E4A5D">
            <w:pPr>
              <w:widowControl w:val="0"/>
              <w:spacing w:before="0" w:after="0"/>
              <w:rPr>
                <w:rFonts w:asciiTheme="minorHAnsi" w:hAnsiTheme="minorHAnsi"/>
                <w:b/>
                <w:i/>
                <w:color w:val="000000"/>
                <w:sz w:val="20"/>
                <w:szCs w:val="20"/>
                <w:u w:val="single"/>
              </w:rPr>
            </w:pPr>
            <w:r w:rsidRPr="001F2819">
              <w:rPr>
                <w:rFonts w:asciiTheme="minorHAnsi" w:hAnsiTheme="minorHAnsi"/>
                <w:b/>
                <w:i/>
                <w:color w:val="000000"/>
                <w:sz w:val="20"/>
                <w:szCs w:val="20"/>
                <w:u w:val="single"/>
              </w:rPr>
              <w:t xml:space="preserve">Náklady nevyvolané </w:t>
            </w:r>
            <w:r w:rsidR="008B0435">
              <w:rPr>
                <w:rFonts w:asciiTheme="minorHAnsi" w:hAnsiTheme="minorHAnsi"/>
                <w:b/>
                <w:i/>
                <w:color w:val="000000"/>
                <w:sz w:val="20"/>
                <w:szCs w:val="20"/>
                <w:u w:val="single"/>
              </w:rPr>
              <w:t>věcným záměrem</w:t>
            </w:r>
          </w:p>
          <w:p w:rsidR="00AA0213" w:rsidRPr="00D862A5" w:rsidRDefault="00990EDE" w:rsidP="009D4B5F">
            <w:pPr>
              <w:pStyle w:val="Odstavecseseznamem"/>
              <w:widowControl w:val="0"/>
              <w:numPr>
                <w:ilvl w:val="0"/>
                <w:numId w:val="48"/>
              </w:numPr>
              <w:spacing w:before="0" w:after="0"/>
              <w:rPr>
                <w:rFonts w:asciiTheme="minorHAnsi" w:hAnsiTheme="minorHAnsi"/>
                <w:color w:val="000000"/>
                <w:sz w:val="20"/>
                <w:szCs w:val="20"/>
              </w:rPr>
            </w:pPr>
            <w:r w:rsidRPr="00D862A5">
              <w:rPr>
                <w:rFonts w:asciiTheme="minorHAnsi" w:hAnsiTheme="minorHAnsi"/>
                <w:color w:val="000000"/>
                <w:sz w:val="20"/>
                <w:szCs w:val="20"/>
              </w:rPr>
              <w:t>N</w:t>
            </w:r>
            <w:r w:rsidR="00AA0213" w:rsidRPr="00D862A5">
              <w:rPr>
                <w:rFonts w:asciiTheme="minorHAnsi" w:hAnsiTheme="minorHAnsi"/>
                <w:color w:val="000000"/>
                <w:sz w:val="20"/>
                <w:szCs w:val="20"/>
              </w:rPr>
              <w:t xml:space="preserve">áklady na dobudování Propojeného datového fondu orgánů veřejné moci. Tyto náklady nejsou vyvolány </w:t>
            </w:r>
            <w:r w:rsidR="008B0435">
              <w:rPr>
                <w:rFonts w:asciiTheme="minorHAnsi" w:hAnsiTheme="minorHAnsi"/>
                <w:color w:val="000000"/>
                <w:sz w:val="20"/>
                <w:szCs w:val="20"/>
              </w:rPr>
              <w:t>věcným záměrem</w:t>
            </w:r>
            <w:r w:rsidR="00AA0213" w:rsidRPr="00D862A5">
              <w:rPr>
                <w:rFonts w:asciiTheme="minorHAnsi" w:hAnsiTheme="minorHAnsi"/>
                <w:color w:val="000000"/>
                <w:sz w:val="20"/>
                <w:szCs w:val="20"/>
              </w:rPr>
              <w:t>, nicméně jsou nezbytným předpokladem pro dokončení plné funkčnosti back office eGovernmentu, tedy Propojeného datového fondu orgánů veřejné moci</w:t>
            </w:r>
            <w:r w:rsidR="00F46E1D" w:rsidRPr="00D862A5">
              <w:rPr>
                <w:rFonts w:asciiTheme="minorHAnsi" w:hAnsiTheme="minorHAnsi"/>
                <w:color w:val="000000"/>
                <w:sz w:val="20"/>
                <w:szCs w:val="20"/>
              </w:rPr>
              <w:t>, který budou stavební úřady v případě elektronizace jejich agendy potřebovat</w:t>
            </w:r>
            <w:r w:rsidR="00AA0213" w:rsidRPr="00D862A5">
              <w:rPr>
                <w:rFonts w:asciiTheme="minorHAnsi" w:hAnsiTheme="minorHAnsi"/>
                <w:color w:val="000000"/>
                <w:sz w:val="20"/>
                <w:szCs w:val="20"/>
              </w:rPr>
              <w:t>.</w:t>
            </w:r>
          </w:p>
          <w:p w:rsidR="009C1FA6" w:rsidRPr="00D862A5" w:rsidRDefault="00990EDE" w:rsidP="009D4B5F">
            <w:pPr>
              <w:pStyle w:val="Odstavecseseznamem"/>
              <w:widowControl w:val="0"/>
              <w:numPr>
                <w:ilvl w:val="0"/>
                <w:numId w:val="48"/>
              </w:numPr>
              <w:spacing w:before="0" w:after="0"/>
              <w:rPr>
                <w:rFonts w:asciiTheme="minorHAnsi" w:hAnsiTheme="minorHAnsi"/>
                <w:color w:val="000000"/>
                <w:sz w:val="20"/>
                <w:szCs w:val="20"/>
              </w:rPr>
            </w:pPr>
            <w:r w:rsidRPr="00D862A5">
              <w:rPr>
                <w:rFonts w:asciiTheme="minorHAnsi" w:hAnsiTheme="minorHAnsi"/>
                <w:color w:val="000000"/>
                <w:sz w:val="20"/>
                <w:szCs w:val="20"/>
              </w:rPr>
              <w:t>N</w:t>
            </w:r>
            <w:r w:rsidR="00AA0213" w:rsidRPr="00D862A5">
              <w:rPr>
                <w:rFonts w:asciiTheme="minorHAnsi" w:hAnsiTheme="minorHAnsi"/>
                <w:color w:val="000000"/>
                <w:sz w:val="20"/>
                <w:szCs w:val="20"/>
              </w:rPr>
              <w:t>áklady na zajištění práv a jim odpovídajících služeb a funkcionalit.</w:t>
            </w:r>
          </w:p>
        </w:tc>
      </w:tr>
      <w:tr w:rsidR="009C1FA6" w:rsidRPr="00D862A5" w:rsidTr="00A20A6D">
        <w:tc>
          <w:tcPr>
            <w:tcW w:w="8962" w:type="dxa"/>
            <w:tcBorders>
              <w:top w:val="single" w:sz="4" w:space="0" w:color="auto"/>
              <w:bottom w:val="single" w:sz="4" w:space="0" w:color="auto"/>
            </w:tcBorders>
            <w:shd w:val="clear" w:color="auto" w:fill="D9D9D9" w:themeFill="background1" w:themeFillShade="D9"/>
            <w:vAlign w:val="center"/>
          </w:tcPr>
          <w:p w:rsidR="009C1FA6" w:rsidRPr="00D862A5" w:rsidRDefault="009C1FA6"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9C1FA6" w:rsidRPr="00D862A5" w:rsidTr="00A20A6D">
        <w:tc>
          <w:tcPr>
            <w:tcW w:w="8962" w:type="dxa"/>
            <w:tcBorders>
              <w:top w:val="single" w:sz="4" w:space="0" w:color="auto"/>
            </w:tcBorders>
            <w:shd w:val="clear" w:color="auto" w:fill="auto"/>
            <w:vAlign w:val="center"/>
          </w:tcPr>
          <w:p w:rsidR="009C1FA6" w:rsidRPr="001F2819" w:rsidRDefault="006E49BE" w:rsidP="001F2819">
            <w:pPr>
              <w:pStyle w:val="Odstavecseseznamem"/>
              <w:widowControl w:val="0"/>
              <w:numPr>
                <w:ilvl w:val="0"/>
                <w:numId w:val="48"/>
              </w:numPr>
              <w:spacing w:before="0" w:after="0"/>
              <w:rPr>
                <w:rFonts w:asciiTheme="minorHAnsi" w:hAnsiTheme="minorHAnsi"/>
                <w:color w:val="000000"/>
                <w:sz w:val="20"/>
                <w:szCs w:val="20"/>
              </w:rPr>
            </w:pPr>
            <w:r w:rsidRPr="001F2819">
              <w:rPr>
                <w:rFonts w:asciiTheme="minorHAnsi" w:hAnsiTheme="minorHAnsi"/>
                <w:color w:val="000000"/>
                <w:sz w:val="20"/>
                <w:szCs w:val="20"/>
              </w:rPr>
              <w:t>Časové úspory, snížení administrativní zátěže, zefektivnění především povolovacích procesů</w:t>
            </w:r>
            <w:r w:rsidR="000E76F8" w:rsidRPr="001F2819">
              <w:rPr>
                <w:rFonts w:asciiTheme="minorHAnsi" w:hAnsiTheme="minorHAnsi"/>
                <w:color w:val="000000"/>
                <w:sz w:val="20"/>
                <w:szCs w:val="20"/>
              </w:rPr>
              <w:t>, jednotný formát, dostupnost, archivace</w:t>
            </w:r>
          </w:p>
        </w:tc>
      </w:tr>
    </w:tbl>
    <w:p w:rsidR="00D014FD" w:rsidRDefault="00D014FD" w:rsidP="000066CE">
      <w:pPr>
        <w:widowControl w:val="0"/>
        <w:spacing w:before="100" w:after="100"/>
      </w:pPr>
      <w:r>
        <w:t xml:space="preserve">S implementací </w:t>
      </w:r>
      <w:r w:rsidR="00DB2F0E">
        <w:t>opatření</w:t>
      </w:r>
      <w:r>
        <w:t xml:space="preserve"> jsou spojeny jak náklady jednorázové investiční, tak náklady provozní. Administrativní náklady nejsou, respektive jsou záporné a </w:t>
      </w:r>
      <w:r w:rsidR="00DB2F0E">
        <w:t>budo</w:t>
      </w:r>
      <w:r>
        <w:t xml:space="preserve">u proto uvedeny v kategorii přínosů. </w:t>
      </w:r>
    </w:p>
    <w:p w:rsidR="00D014FD" w:rsidRDefault="00D014FD" w:rsidP="000066CE">
      <w:pPr>
        <w:widowControl w:val="0"/>
        <w:spacing w:before="100" w:after="100"/>
      </w:pPr>
      <w:r>
        <w:t xml:space="preserve">Je zcela nezbytné na tomto místě zdůraznit, </w:t>
      </w:r>
      <w:r w:rsidR="00F46E1D">
        <w:t>že tyto náklady nevzniknou v důsledku případného přijetí nového zákona upravujícího vztahy v oblasti územního plánování a výsta</w:t>
      </w:r>
      <w:r w:rsidR="0043469D">
        <w:t>v</w:t>
      </w:r>
      <w:r w:rsidR="00F46E1D">
        <w:t>by</w:t>
      </w:r>
      <w:r w:rsidR="00A476D5">
        <w:t>,</w:t>
      </w:r>
      <w:r w:rsidR="0043469D">
        <w:t xml:space="preserve"> a </w:t>
      </w:r>
      <w:r>
        <w:t>že podstatn</w:t>
      </w:r>
      <w:r w:rsidR="00DB2F0E">
        <w:t>á</w:t>
      </w:r>
      <w:r>
        <w:t xml:space="preserve"> část investičních nákladů, o nichž se tato kapitola zmiňuje, již měla být v souladu s platnou legislativou vynaložena v minulých letech. K tomu však z různých důvodů nedošlo, čímž došlo mimo jiné k nenaplnění zákonných povinností na straně odpovědných orgánů veřejné správy. Pro splnění </w:t>
      </w:r>
      <w:r w:rsidR="0043469D">
        <w:t xml:space="preserve">výše stanovených </w:t>
      </w:r>
      <w:r>
        <w:t>cílů je nicméně nutné tyto investice</w:t>
      </w:r>
      <w:r w:rsidR="0043469D">
        <w:t xml:space="preserve"> </w:t>
      </w:r>
      <w:r>
        <w:t xml:space="preserve">vynaložit. </w:t>
      </w:r>
      <w:r w:rsidR="0043469D">
        <w:t xml:space="preserve">Nelze je však </w:t>
      </w:r>
      <w:r>
        <w:t xml:space="preserve">považovat za náklady </w:t>
      </w:r>
      <w:r w:rsidR="00DB2F0E">
        <w:t>plynoucí z</w:t>
      </w:r>
      <w:r w:rsidR="008B0435">
        <w:t> věcného záměru</w:t>
      </w:r>
      <w:r>
        <w:t>.</w:t>
      </w:r>
    </w:p>
    <w:p w:rsidR="00D014FD" w:rsidRDefault="0043469D" w:rsidP="000066CE">
      <w:pPr>
        <w:widowControl w:val="0"/>
        <w:spacing w:before="100" w:after="100"/>
      </w:pPr>
      <w:r>
        <w:t>Implementace</w:t>
      </w:r>
      <w:r w:rsidR="00D014FD">
        <w:t xml:space="preserve"> je na druhé straně spojen</w:t>
      </w:r>
      <w:r>
        <w:t>a</w:t>
      </w:r>
      <w:r w:rsidR="00D014FD">
        <w:t xml:space="preserve"> s významnými přínosy</w:t>
      </w:r>
      <w:r>
        <w:t xml:space="preserve"> a logicky doplňuje jiná opatření hodnocená v této zprávě</w:t>
      </w:r>
      <w:r w:rsidR="00D014FD">
        <w:t xml:space="preserve">. Hlavní část přínosů plyne </w:t>
      </w:r>
      <w:r>
        <w:t>z</w:t>
      </w:r>
      <w:r w:rsidR="00D014FD">
        <w:t xml:space="preserve"> časových úspor na straně uživatelů služeb veřejné správy, díky nimž budou tito uživatelé moci věnovat více času produktivní činnosti, což má kromě jejich vlastního benefitu také nesporné pozitivní dopady do veřejných rozpočtů. </w:t>
      </w:r>
    </w:p>
    <w:p w:rsidR="00864780" w:rsidRPr="00CF6F45" w:rsidRDefault="00864780" w:rsidP="000066CE">
      <w:pPr>
        <w:pStyle w:val="Text-Normaln"/>
        <w:widowControl w:val="0"/>
        <w:spacing w:before="100" w:after="100"/>
        <w:rPr>
          <w:b/>
        </w:rPr>
      </w:pPr>
      <w:r w:rsidRPr="00CF6F45">
        <w:rPr>
          <w:b/>
        </w:rPr>
        <w:t>Kvantifikace nákladů a přínosů:</w:t>
      </w:r>
    </w:p>
    <w:p w:rsidR="0050396A" w:rsidRPr="00F22B8C" w:rsidRDefault="0050396A" w:rsidP="000066CE">
      <w:pPr>
        <w:pStyle w:val="Normln-tun"/>
        <w:widowControl w:val="0"/>
        <w:spacing w:before="100" w:after="100"/>
      </w:pPr>
      <w:r w:rsidRPr="00864780">
        <w:t>Jedná se primárně o náklady spojené s úpravou agendov</w:t>
      </w:r>
      <w:r w:rsidR="0043469D">
        <w:t>ého</w:t>
      </w:r>
      <w:r w:rsidRPr="00864780">
        <w:t xml:space="preserve"> informační</w:t>
      </w:r>
      <w:r w:rsidR="0043469D">
        <w:t>ho</w:t>
      </w:r>
      <w:r w:rsidRPr="00864780">
        <w:t xml:space="preserve"> systém</w:t>
      </w:r>
      <w:r w:rsidR="0043469D">
        <w:t>u</w:t>
      </w:r>
      <w:r w:rsidRPr="00864780">
        <w:t xml:space="preserve"> </w:t>
      </w:r>
      <w:r w:rsidR="00856684">
        <w:t>stavebních úřadů</w:t>
      </w:r>
      <w:r w:rsidRPr="00864780">
        <w:t xml:space="preserve"> umožňující integraci k vnějšímu rozhraní Informačního systému základních registrů. Jak bylo již dříve uvedeno, tento proces </w:t>
      </w:r>
      <w:r w:rsidR="0043469D">
        <w:t>již měl být</w:t>
      </w:r>
      <w:r w:rsidRPr="00864780">
        <w:t xml:space="preserve"> řádně zabezpečen. V případě, že u některé agendy dosud nedošlo k připojení agendového informačního systému veřejné správy a jeho připojení </w:t>
      </w:r>
      <w:r w:rsidR="00A3096A" w:rsidRPr="00864780">
        <w:t>k</w:t>
      </w:r>
      <w:r w:rsidR="00A3096A">
        <w:t> </w:t>
      </w:r>
      <w:r w:rsidRPr="00864780">
        <w:t>systému základních registrů, jedná se o nedodržení zá</w:t>
      </w:r>
      <w:r w:rsidR="00B2597D">
        <w:t>kona ze strany správce agendy a </w:t>
      </w:r>
      <w:r w:rsidRPr="00864780">
        <w:t>agendového informačního systému, a nemělo by se tudíž jednat o nový a hlavně oprávněný požadavek vůči veřejným rozpočtům.</w:t>
      </w:r>
    </w:p>
    <w:p w:rsidR="0050396A" w:rsidRPr="00990EDE" w:rsidRDefault="0050396A" w:rsidP="000066CE">
      <w:pPr>
        <w:widowControl w:val="0"/>
        <w:spacing w:before="100" w:after="100"/>
      </w:pPr>
      <w:r w:rsidRPr="007B0D8A">
        <w:t xml:space="preserve">Nově se objevuje </w:t>
      </w:r>
      <w:r w:rsidRPr="00990EDE">
        <w:t>požadavek na připojení k Propojenému datovému fondu orgánů veřejné moci prostřednictvím služeb eGON Service Bus.</w:t>
      </w:r>
      <w:r w:rsidR="0043469D">
        <w:t xml:space="preserve"> </w:t>
      </w:r>
    </w:p>
    <w:p w:rsidR="0050396A" w:rsidRPr="009A4F71" w:rsidRDefault="0043469D" w:rsidP="000066CE">
      <w:pPr>
        <w:pStyle w:val="Text-Normaln"/>
        <w:widowControl w:val="0"/>
        <w:spacing w:before="100" w:after="100"/>
      </w:pPr>
      <w:r>
        <w:t>Následující část popisuje</w:t>
      </w:r>
      <w:r w:rsidR="0050396A" w:rsidRPr="009A4F71">
        <w:t xml:space="preserve"> náklad</w:t>
      </w:r>
      <w:r>
        <w:t>y</w:t>
      </w:r>
      <w:r w:rsidR="0050396A" w:rsidRPr="009A4F71">
        <w:t xml:space="preserve"> na </w:t>
      </w:r>
      <w:r>
        <w:t xml:space="preserve">případnou </w:t>
      </w:r>
      <w:r w:rsidR="0050396A" w:rsidRPr="009A4F71">
        <w:t>úpravu AIS</w:t>
      </w:r>
      <w:r>
        <w:t xml:space="preserve"> stavebních úřadů. Tento</w:t>
      </w:r>
      <w:r w:rsidR="0050396A" w:rsidRPr="009A4F71">
        <w:t xml:space="preserve"> agendov</w:t>
      </w:r>
      <w:r>
        <w:t>ý</w:t>
      </w:r>
      <w:r w:rsidR="0050396A" w:rsidRPr="009A4F71">
        <w:t xml:space="preserve"> systém</w:t>
      </w:r>
      <w:r w:rsidR="007B0D8A" w:rsidRPr="009A4F71">
        <w:t xml:space="preserve"> </w:t>
      </w:r>
      <w:r w:rsidR="0050396A" w:rsidRPr="009A4F71">
        <w:t>bud</w:t>
      </w:r>
      <w:r>
        <w:t>e</w:t>
      </w:r>
      <w:r w:rsidR="0050396A" w:rsidRPr="009A4F71">
        <w:t xml:space="preserve"> muse</w:t>
      </w:r>
      <w:r>
        <w:t>t</w:t>
      </w:r>
      <w:r w:rsidR="0050396A" w:rsidRPr="009A4F71">
        <w:t xml:space="preserve"> být upraven tak, aby dokázal komunikovat prostřednictvím rozhraní eGON Service Bus. Náklady na takové úpravy </w:t>
      </w:r>
      <w:r w:rsidR="00BB1714">
        <w:t xml:space="preserve">se dle </w:t>
      </w:r>
      <w:r w:rsidR="00BB1714" w:rsidRPr="00BB1714">
        <w:t>Z</w:t>
      </w:r>
      <w:r w:rsidR="00BB1714">
        <w:t>ávěrečné</w:t>
      </w:r>
      <w:r w:rsidR="00BB1714" w:rsidRPr="00BB1714">
        <w:t xml:space="preserve"> </w:t>
      </w:r>
      <w:r w:rsidR="00BB1714">
        <w:t>zprávy z hodnocení dopadů regulace k návrhu zákona o právu na digitální služby pohybují v řádech mil. Kč (za předpokladu</w:t>
      </w:r>
      <w:r w:rsidR="00B2597D">
        <w:t>, že </w:t>
      </w:r>
      <w:r w:rsidR="00BB1714">
        <w:t>jednotlivé stavební úřady již informační systém mají).</w:t>
      </w:r>
    </w:p>
    <w:p w:rsidR="004540F4" w:rsidRPr="004540F4" w:rsidRDefault="004540F4" w:rsidP="003E4A5D">
      <w:pPr>
        <w:pStyle w:val="Nadpis2a"/>
        <w:widowControl w:val="0"/>
      </w:pPr>
      <w:bookmarkStart w:id="64" w:name="_Toc536553925"/>
      <w:r w:rsidRPr="004540F4">
        <w:lastRenderedPageBreak/>
        <w:t xml:space="preserve">ZMĚNY </w:t>
      </w:r>
      <w:r w:rsidR="0011793A">
        <w:t>V OBLASTI</w:t>
      </w:r>
      <w:r w:rsidRPr="004540F4">
        <w:t xml:space="preserve"> ÚZEMNÍ</w:t>
      </w:r>
      <w:r w:rsidR="0011793A">
        <w:t>HO</w:t>
      </w:r>
      <w:r w:rsidRPr="004540F4">
        <w:t xml:space="preserve"> PLÁNOVÁNÍ</w:t>
      </w:r>
      <w:bookmarkEnd w:id="64"/>
    </w:p>
    <w:p w:rsidR="00486BB0" w:rsidRPr="00BD4BAE" w:rsidRDefault="00486BB0" w:rsidP="003E4A5D">
      <w:pPr>
        <w:pStyle w:val="Text-Normaln"/>
        <w:widowControl w:val="0"/>
      </w:pPr>
      <w:r w:rsidRPr="00BD4BAE">
        <w:t xml:space="preserve">Definice problému: </w:t>
      </w:r>
    </w:p>
    <w:p w:rsidR="00490E43" w:rsidRPr="00490E43" w:rsidRDefault="00490E43" w:rsidP="009D4B5F">
      <w:pPr>
        <w:pStyle w:val="Odstavecseseznamem"/>
        <w:widowControl w:val="0"/>
        <w:numPr>
          <w:ilvl w:val="0"/>
          <w:numId w:val="49"/>
        </w:numPr>
        <w:ind w:hanging="357"/>
        <w:contextualSpacing w:val="0"/>
        <w:rPr>
          <w:rFonts w:cs="Arial"/>
          <w:szCs w:val="24"/>
        </w:rPr>
      </w:pPr>
      <w:r w:rsidRPr="00490E43">
        <w:rPr>
          <w:rFonts w:cs="Arial"/>
          <w:szCs w:val="24"/>
        </w:rPr>
        <w:t>absence dokumentace v dostatečné podrobnosti, na jejímž základě by bylo možné rychle umisťovat celostátně významné záměry, včetně záměrů společného zájmu, zejména tedy staveb veřejné dopravní a veřejné technické infrastruktury,</w:t>
      </w:r>
    </w:p>
    <w:p w:rsidR="00490E43" w:rsidRPr="00490E43" w:rsidRDefault="007C1713" w:rsidP="007C1713">
      <w:pPr>
        <w:pStyle w:val="Odstavecseseznamem"/>
        <w:widowControl w:val="0"/>
        <w:numPr>
          <w:ilvl w:val="0"/>
          <w:numId w:val="49"/>
        </w:numPr>
        <w:contextualSpacing w:val="0"/>
        <w:rPr>
          <w:rFonts w:cs="Arial"/>
          <w:szCs w:val="24"/>
        </w:rPr>
      </w:pPr>
      <w:r w:rsidRPr="007C1713">
        <w:rPr>
          <w:rFonts w:cs="Arial"/>
          <w:szCs w:val="24"/>
        </w:rPr>
        <w:t xml:space="preserve">není dostatečně využívána možnost </w:t>
      </w:r>
      <w:r w:rsidRPr="00696E9E">
        <w:rPr>
          <w:rFonts w:cs="Arial"/>
          <w:szCs w:val="24"/>
        </w:rPr>
        <w:t xml:space="preserve">koordinovat </w:t>
      </w:r>
      <w:r w:rsidR="00490E43" w:rsidRPr="00533FC0">
        <w:rPr>
          <w:rFonts w:cs="Arial"/>
          <w:szCs w:val="24"/>
        </w:rPr>
        <w:t>územní plánování na úr</w:t>
      </w:r>
      <w:r w:rsidR="00B2597D" w:rsidRPr="00FB6639">
        <w:rPr>
          <w:rFonts w:cs="Arial"/>
          <w:szCs w:val="24"/>
        </w:rPr>
        <w:t>ovni krajů, zejména ve vztahu k </w:t>
      </w:r>
      <w:r w:rsidR="00490E43" w:rsidRPr="00B00F3A">
        <w:rPr>
          <w:rFonts w:cs="Arial"/>
          <w:szCs w:val="24"/>
        </w:rPr>
        <w:t>otázkám, které přesahují zájmy jednotlivých obcí (tzv. otázky nadmístního vý</w:t>
      </w:r>
      <w:r w:rsidR="00490E43" w:rsidRPr="005258F7">
        <w:rPr>
          <w:rFonts w:cs="Arial"/>
          <w:szCs w:val="24"/>
        </w:rPr>
        <w:t xml:space="preserve">znamu), jako jsou typicky otázky související se vznikem a rozvojem aglomerací </w:t>
      </w:r>
      <w:r w:rsidRPr="00D00936">
        <w:rPr>
          <w:rFonts w:cs="Arial"/>
          <w:szCs w:val="24"/>
        </w:rPr>
        <w:t>a</w:t>
      </w:r>
      <w:r>
        <w:rPr>
          <w:rFonts w:cs="Arial"/>
          <w:szCs w:val="24"/>
        </w:rPr>
        <w:t> </w:t>
      </w:r>
      <w:r w:rsidR="00490E43" w:rsidRPr="00696E9E">
        <w:rPr>
          <w:rFonts w:cs="Arial"/>
          <w:szCs w:val="24"/>
        </w:rPr>
        <w:t>metropolitních oblastí, prioritizace rozvoje některých činností</w:t>
      </w:r>
      <w:r w:rsidR="00490E43" w:rsidRPr="00533FC0">
        <w:rPr>
          <w:rFonts w:cs="Arial"/>
          <w:szCs w:val="24"/>
        </w:rPr>
        <w:t xml:space="preserve"> na</w:t>
      </w:r>
      <w:r w:rsidR="00490E43" w:rsidRPr="00490E43">
        <w:rPr>
          <w:rFonts w:cs="Arial"/>
          <w:szCs w:val="24"/>
        </w:rPr>
        <w:t xml:space="preserve"> vymezeném území kraje, kde je rozvoj těchto činností žádoucí z hlediska existující infrastruktury či jiných ekonomických a sociálních důvodů,</w:t>
      </w:r>
    </w:p>
    <w:p w:rsidR="00490E43" w:rsidRPr="00490E43" w:rsidRDefault="00490E43" w:rsidP="009D4B5F">
      <w:pPr>
        <w:pStyle w:val="Odstavecseseznamem"/>
        <w:widowControl w:val="0"/>
        <w:numPr>
          <w:ilvl w:val="0"/>
          <w:numId w:val="49"/>
        </w:numPr>
        <w:ind w:hanging="357"/>
        <w:contextualSpacing w:val="0"/>
        <w:rPr>
          <w:rFonts w:cs="Arial"/>
          <w:szCs w:val="24"/>
        </w:rPr>
      </w:pPr>
      <w:r w:rsidRPr="00490E43">
        <w:rPr>
          <w:rFonts w:cs="Arial"/>
          <w:szCs w:val="24"/>
        </w:rPr>
        <w:t xml:space="preserve">v praxi jen zcela zřídkavé pořizování </w:t>
      </w:r>
      <w:r w:rsidR="007C1713">
        <w:rPr>
          <w:rFonts w:cs="Arial"/>
          <w:szCs w:val="24"/>
        </w:rPr>
        <w:t>RP</w:t>
      </w:r>
      <w:r w:rsidRPr="00490E43">
        <w:rPr>
          <w:rFonts w:cs="Arial"/>
          <w:szCs w:val="24"/>
        </w:rPr>
        <w:t xml:space="preserve"> v rámci systému </w:t>
      </w:r>
      <w:r w:rsidR="007C1713">
        <w:rPr>
          <w:rFonts w:cs="Arial"/>
          <w:szCs w:val="24"/>
        </w:rPr>
        <w:t>ÚPD</w:t>
      </w:r>
      <w:r w:rsidRPr="00490E43">
        <w:rPr>
          <w:rFonts w:cs="Arial"/>
          <w:szCs w:val="24"/>
        </w:rPr>
        <w:t xml:space="preserve"> a následn</w:t>
      </w:r>
      <w:r w:rsidR="000E76F8">
        <w:rPr>
          <w:rFonts w:cs="Arial"/>
          <w:szCs w:val="24"/>
        </w:rPr>
        <w:t>á</w:t>
      </w:r>
      <w:r w:rsidRPr="00490E43">
        <w:rPr>
          <w:rFonts w:cs="Arial"/>
          <w:szCs w:val="24"/>
        </w:rPr>
        <w:t xml:space="preserve"> absenc</w:t>
      </w:r>
      <w:r w:rsidR="000E76F8">
        <w:rPr>
          <w:rFonts w:cs="Arial"/>
          <w:szCs w:val="24"/>
        </w:rPr>
        <w:t>e</w:t>
      </w:r>
      <w:r w:rsidRPr="00490E43">
        <w:rPr>
          <w:rFonts w:cs="Arial"/>
          <w:szCs w:val="24"/>
        </w:rPr>
        <w:t xml:space="preserve"> dostatečně podrobné </w:t>
      </w:r>
      <w:r w:rsidR="007C1713">
        <w:rPr>
          <w:rFonts w:cs="Arial"/>
          <w:szCs w:val="24"/>
        </w:rPr>
        <w:t>ÚPD</w:t>
      </w:r>
      <w:r w:rsidRPr="00490E43">
        <w:rPr>
          <w:rFonts w:cs="Arial"/>
          <w:szCs w:val="24"/>
        </w:rPr>
        <w:t>, která by umožnila vyřešit otázky v určitém území koncepčně a na úrovni územního plánování, nikoli teprve při povolání jednotlivého záměru ve správním řízení,</w:t>
      </w:r>
    </w:p>
    <w:p w:rsidR="00490E43" w:rsidRPr="00490E43" w:rsidRDefault="009543D0" w:rsidP="009543D0">
      <w:pPr>
        <w:pStyle w:val="Odstavecseseznamem"/>
        <w:widowControl w:val="0"/>
        <w:numPr>
          <w:ilvl w:val="0"/>
          <w:numId w:val="49"/>
        </w:numPr>
        <w:contextualSpacing w:val="0"/>
        <w:rPr>
          <w:rFonts w:cs="Arial"/>
          <w:szCs w:val="24"/>
        </w:rPr>
      </w:pPr>
      <w:r w:rsidRPr="009543D0">
        <w:rPr>
          <w:rFonts w:cs="Arial"/>
          <w:szCs w:val="24"/>
        </w:rPr>
        <w:t>nízká míra digitalizace ÚPD vydané zastupitelstvem obcí před 1. 1. 2018 a obtížné zobrazování a čerpání dat v ní obsažených</w:t>
      </w:r>
      <w:r w:rsidRPr="009543D0" w:rsidDel="009543D0">
        <w:rPr>
          <w:rFonts w:cs="Arial"/>
          <w:szCs w:val="24"/>
        </w:rPr>
        <w:t xml:space="preserve"> </w:t>
      </w:r>
      <w:r w:rsidR="00490E43" w:rsidRPr="00490E43">
        <w:rPr>
          <w:rFonts w:cs="Arial"/>
          <w:szCs w:val="24"/>
        </w:rPr>
        <w:t>,</w:t>
      </w:r>
    </w:p>
    <w:p w:rsidR="00C152D7" w:rsidRPr="004926F8" w:rsidRDefault="00490E43">
      <w:pPr>
        <w:pStyle w:val="Odstavecseseznamem"/>
        <w:widowControl w:val="0"/>
        <w:numPr>
          <w:ilvl w:val="0"/>
          <w:numId w:val="49"/>
        </w:numPr>
        <w:ind w:hanging="357"/>
        <w:contextualSpacing w:val="0"/>
        <w:rPr>
          <w:rFonts w:cs="Arial"/>
          <w:szCs w:val="24"/>
        </w:rPr>
      </w:pPr>
      <w:r w:rsidRPr="004926F8">
        <w:rPr>
          <w:rFonts w:cs="Arial"/>
          <w:szCs w:val="24"/>
        </w:rPr>
        <w:t>roztříštěnost informací veřejné správy o území – existence velkého množství datových skladů a registrů, častá duplicita dat, jejich nepřesnost; neexistující registry veřejné správy, které by poskytovaly garantované informace o území</w:t>
      </w:r>
      <w:r w:rsidR="009D7D17" w:rsidRPr="004926F8">
        <w:rPr>
          <w:rFonts w:cs="Arial"/>
          <w:szCs w:val="24"/>
        </w:rPr>
        <w:t>,</w:t>
      </w:r>
    </w:p>
    <w:p w:rsidR="00C152D7" w:rsidRPr="00C152D7" w:rsidRDefault="00C152D7" w:rsidP="009D4B5F">
      <w:pPr>
        <w:pStyle w:val="Odstavecseseznamem"/>
        <w:widowControl w:val="0"/>
        <w:numPr>
          <w:ilvl w:val="0"/>
          <w:numId w:val="49"/>
        </w:numPr>
        <w:ind w:hanging="357"/>
        <w:contextualSpacing w:val="0"/>
        <w:rPr>
          <w:rFonts w:cs="Arial"/>
          <w:szCs w:val="24"/>
        </w:rPr>
      </w:pPr>
      <w:r w:rsidRPr="00C152D7">
        <w:rPr>
          <w:rFonts w:cs="Arial"/>
          <w:szCs w:val="24"/>
        </w:rPr>
        <w:t xml:space="preserve">tzv. incidenční přezkum opatření obecné povahy, který umožňuje správnímu soudu na základě žaloby proti rozhodnutí, jež vychází z </w:t>
      </w:r>
      <w:r w:rsidR="009543D0">
        <w:rPr>
          <w:rFonts w:cs="Arial"/>
          <w:szCs w:val="24"/>
        </w:rPr>
        <w:t>OOP</w:t>
      </w:r>
      <w:r w:rsidRPr="00C152D7">
        <w:rPr>
          <w:rFonts w:cs="Arial"/>
          <w:szCs w:val="24"/>
        </w:rPr>
        <w:t xml:space="preserve">, na návrh v rozsahu aktivní legitimace žalobce přezkoumat a případně v odpovídající části zrušit toto </w:t>
      </w:r>
      <w:r w:rsidR="009543D0">
        <w:rPr>
          <w:rFonts w:cs="Arial"/>
          <w:szCs w:val="24"/>
        </w:rPr>
        <w:t>OOP</w:t>
      </w:r>
      <w:r w:rsidRPr="00C152D7">
        <w:rPr>
          <w:rFonts w:cs="Arial"/>
          <w:szCs w:val="24"/>
        </w:rPr>
        <w:t>,</w:t>
      </w:r>
    </w:p>
    <w:p w:rsidR="00C152D7" w:rsidRPr="00C152D7" w:rsidRDefault="00C152D7" w:rsidP="009D4B5F">
      <w:pPr>
        <w:pStyle w:val="Odstavecseseznamem"/>
        <w:widowControl w:val="0"/>
        <w:numPr>
          <w:ilvl w:val="0"/>
          <w:numId w:val="49"/>
        </w:numPr>
        <w:ind w:hanging="357"/>
        <w:contextualSpacing w:val="0"/>
        <w:rPr>
          <w:rFonts w:cs="Arial"/>
          <w:szCs w:val="24"/>
        </w:rPr>
      </w:pPr>
      <w:r w:rsidRPr="00C152D7">
        <w:rPr>
          <w:rFonts w:cs="Arial"/>
          <w:szCs w:val="24"/>
        </w:rPr>
        <w:t xml:space="preserve">možnost zpětných zásahů do existujícího právního stavu, judikaturou dovozená možnost zrušit </w:t>
      </w:r>
      <w:r w:rsidR="009543D0">
        <w:rPr>
          <w:rFonts w:cs="Arial"/>
          <w:szCs w:val="24"/>
        </w:rPr>
        <w:t>OOP</w:t>
      </w:r>
      <w:r w:rsidRPr="00C152D7">
        <w:rPr>
          <w:rFonts w:cs="Arial"/>
          <w:szCs w:val="24"/>
        </w:rPr>
        <w:t xml:space="preserve"> „do minulosti“</w:t>
      </w:r>
      <w:r>
        <w:rPr>
          <w:rFonts w:cs="Arial"/>
          <w:szCs w:val="24"/>
        </w:rPr>
        <w:t>.</w:t>
      </w:r>
    </w:p>
    <w:p w:rsidR="00486BB0" w:rsidRDefault="00486BB0" w:rsidP="003E4A5D">
      <w:pPr>
        <w:pStyle w:val="Text-Normaln"/>
        <w:widowControl w:val="0"/>
        <w:rPr>
          <w:rFonts w:cs="Arial"/>
          <w:szCs w:val="24"/>
        </w:rPr>
      </w:pPr>
      <w:r w:rsidRPr="00E414AC">
        <w:rPr>
          <w:b/>
        </w:rPr>
        <w:t>Cíl:</w:t>
      </w:r>
      <w:r w:rsidRPr="00E414AC">
        <w:t xml:space="preserve"> </w:t>
      </w:r>
      <w:r w:rsidR="00973BEC" w:rsidRPr="00973BEC">
        <w:rPr>
          <w:rFonts w:cs="Arial"/>
          <w:szCs w:val="24"/>
        </w:rPr>
        <w:t>Zefektivnění a zrychlení povolovacího procesu</w:t>
      </w:r>
      <w:r w:rsidR="00973BEC">
        <w:rPr>
          <w:rFonts w:cs="Arial"/>
          <w:szCs w:val="24"/>
        </w:rPr>
        <w:t>, zajištění kvality procesu územního plánování</w:t>
      </w:r>
      <w:r w:rsidR="00864E0C">
        <w:rPr>
          <w:rFonts w:cs="Arial"/>
          <w:szCs w:val="24"/>
        </w:rPr>
        <w:t xml:space="preserve"> pomocí</w:t>
      </w:r>
      <w:r w:rsidR="009D7D17">
        <w:rPr>
          <w:rFonts w:cs="Arial"/>
          <w:szCs w:val="24"/>
        </w:rPr>
        <w:t>:</w:t>
      </w:r>
    </w:p>
    <w:p w:rsidR="00864E0C" w:rsidRPr="00864E0C" w:rsidRDefault="00864E0C" w:rsidP="009D4B5F">
      <w:pPr>
        <w:pStyle w:val="Text-Normaln"/>
        <w:widowControl w:val="0"/>
        <w:numPr>
          <w:ilvl w:val="0"/>
          <w:numId w:val="40"/>
        </w:numPr>
      </w:pPr>
      <w:r w:rsidRPr="00864E0C">
        <w:t xml:space="preserve">zvýšení stability </w:t>
      </w:r>
      <w:r w:rsidR="007C1713">
        <w:t>ÚPD</w:t>
      </w:r>
      <w:r w:rsidRPr="00864E0C">
        <w:t xml:space="preserve"> a zvýšení míry právní</w:t>
      </w:r>
      <w:r>
        <w:t xml:space="preserve"> </w:t>
      </w:r>
      <w:r w:rsidRPr="00864E0C">
        <w:t>jistoty v území;</w:t>
      </w:r>
    </w:p>
    <w:p w:rsidR="00864E0C" w:rsidRPr="00864E0C" w:rsidRDefault="00864E0C" w:rsidP="009D4B5F">
      <w:pPr>
        <w:pStyle w:val="Text-Normaln"/>
        <w:widowControl w:val="0"/>
        <w:numPr>
          <w:ilvl w:val="0"/>
          <w:numId w:val="40"/>
        </w:numPr>
      </w:pPr>
      <w:r w:rsidRPr="00864E0C">
        <w:t>zvýšení míry koordinace;</w:t>
      </w:r>
    </w:p>
    <w:p w:rsidR="00864E0C" w:rsidRPr="00864E0C" w:rsidRDefault="00864E0C" w:rsidP="009D4B5F">
      <w:pPr>
        <w:pStyle w:val="Text-Normaln"/>
        <w:widowControl w:val="0"/>
        <w:numPr>
          <w:ilvl w:val="0"/>
          <w:numId w:val="40"/>
        </w:numPr>
      </w:pPr>
      <w:r w:rsidRPr="00864E0C">
        <w:t>zvýšení míry digitalizace územního plánování;</w:t>
      </w:r>
    </w:p>
    <w:p w:rsidR="00864E0C" w:rsidRPr="00864E0C" w:rsidRDefault="00864E0C" w:rsidP="009D4B5F">
      <w:pPr>
        <w:pStyle w:val="Text-Normaln"/>
        <w:widowControl w:val="0"/>
        <w:numPr>
          <w:ilvl w:val="0"/>
          <w:numId w:val="40"/>
        </w:numPr>
      </w:pPr>
      <w:r w:rsidRPr="00864E0C">
        <w:t>sjednocení informací shromažďovaných v rámci územního plánování.</w:t>
      </w:r>
    </w:p>
    <w:p w:rsidR="00486BB0" w:rsidRPr="00ED4BCB" w:rsidRDefault="00486BB0" w:rsidP="003E4A5D">
      <w:pPr>
        <w:pStyle w:val="Text-Normaln"/>
        <w:widowControl w:val="0"/>
        <w:rPr>
          <w:b/>
        </w:rPr>
      </w:pPr>
      <w:r w:rsidRPr="00ED4BCB">
        <w:rPr>
          <w:b/>
        </w:rPr>
        <w:t>Návrh variant řešení:</w:t>
      </w:r>
    </w:p>
    <w:p w:rsidR="00486BB0" w:rsidRPr="00992A63" w:rsidRDefault="00486BB0" w:rsidP="003E4A5D">
      <w:pPr>
        <w:pStyle w:val="Text-Normaln"/>
        <w:widowControl w:val="0"/>
        <w:rPr>
          <w:i/>
        </w:rPr>
      </w:pPr>
      <w:r w:rsidRPr="00813344">
        <w:rPr>
          <w:b/>
          <w:i/>
        </w:rPr>
        <w:t>Varianta 0:</w:t>
      </w:r>
      <w:r w:rsidRPr="00813344">
        <w:rPr>
          <w:i/>
        </w:rPr>
        <w:t xml:space="preserve"> </w:t>
      </w:r>
      <w:r w:rsidR="00813344" w:rsidRPr="00992A63">
        <w:rPr>
          <w:i/>
        </w:rPr>
        <w:t>Zachování současného stavu</w:t>
      </w:r>
    </w:p>
    <w:p w:rsidR="00486BB0" w:rsidRPr="00992A63" w:rsidRDefault="00486BB0" w:rsidP="003E4A5D">
      <w:pPr>
        <w:pStyle w:val="Text-Normaln"/>
        <w:widowControl w:val="0"/>
        <w:rPr>
          <w:i/>
        </w:rPr>
      </w:pPr>
      <w:r w:rsidRPr="00992A63">
        <w:rPr>
          <w:b/>
          <w:i/>
        </w:rPr>
        <w:t>Varianta 1:</w:t>
      </w:r>
      <w:r w:rsidRPr="00992A63">
        <w:rPr>
          <w:i/>
        </w:rPr>
        <w:t xml:space="preserve"> </w:t>
      </w:r>
      <w:r w:rsidR="00813344" w:rsidRPr="00992A63">
        <w:rPr>
          <w:i/>
        </w:rPr>
        <w:t xml:space="preserve">Nové nastavení hierarchie a obsahu </w:t>
      </w:r>
      <w:r w:rsidR="007C1713">
        <w:rPr>
          <w:i/>
        </w:rPr>
        <w:t>ÚPD</w:t>
      </w:r>
      <w:r w:rsidR="00591FCA" w:rsidRPr="00992A63">
        <w:rPr>
          <w:i/>
        </w:rPr>
        <w:t>, přičemž</w:t>
      </w:r>
    </w:p>
    <w:p w:rsidR="00591FCA" w:rsidRDefault="00591FCA" w:rsidP="003E4A5D">
      <w:pPr>
        <w:pStyle w:val="Text-Normaln"/>
        <w:widowControl w:val="0"/>
        <w:ind w:left="708"/>
        <w:rPr>
          <w:i/>
        </w:rPr>
      </w:pPr>
      <w:r w:rsidRPr="00992A63">
        <w:rPr>
          <w:i/>
        </w:rPr>
        <w:t>Varianta</w:t>
      </w:r>
      <w:r>
        <w:rPr>
          <w:i/>
        </w:rPr>
        <w:t xml:space="preserve"> 1a</w:t>
      </w:r>
      <w:r w:rsidR="000D45A9">
        <w:rPr>
          <w:i/>
        </w:rPr>
        <w:t>i</w:t>
      </w:r>
      <w:r>
        <w:rPr>
          <w:i/>
        </w:rPr>
        <w:t xml:space="preserve">: </w:t>
      </w:r>
      <w:r w:rsidR="006B5FFB" w:rsidRPr="00DB76A8">
        <w:rPr>
          <w:i/>
        </w:rPr>
        <w:t>Celostátní územně plánovací dokumentace (územní plán státu)</w:t>
      </w:r>
      <w:r w:rsidR="006B5FFB">
        <w:rPr>
          <w:i/>
        </w:rPr>
        <w:t xml:space="preserve"> - j</w:t>
      </w:r>
      <w:r w:rsidRPr="00591FCA">
        <w:rPr>
          <w:i/>
        </w:rPr>
        <w:t>eden dokument se dvěma částmi s různou mírou právní</w:t>
      </w:r>
      <w:r>
        <w:rPr>
          <w:i/>
        </w:rPr>
        <w:t xml:space="preserve"> </w:t>
      </w:r>
      <w:r w:rsidRPr="00591FCA">
        <w:rPr>
          <w:i/>
        </w:rPr>
        <w:t>závaznosti</w:t>
      </w:r>
      <w:r w:rsidR="006B5FFB">
        <w:rPr>
          <w:i/>
        </w:rPr>
        <w:t>;</w:t>
      </w:r>
      <w:r w:rsidR="00E860A1" w:rsidRPr="00E860A1">
        <w:t xml:space="preserve"> </w:t>
      </w:r>
      <w:r w:rsidR="00E860A1" w:rsidRPr="00E860A1">
        <w:rPr>
          <w:i/>
        </w:rPr>
        <w:t>Územní plán kraje - j</w:t>
      </w:r>
      <w:r w:rsidR="00B2597D">
        <w:rPr>
          <w:i/>
        </w:rPr>
        <w:t>eden dokument se dvěma částmi s </w:t>
      </w:r>
      <w:r w:rsidR="00E860A1" w:rsidRPr="00E860A1">
        <w:rPr>
          <w:i/>
        </w:rPr>
        <w:t>různou mírou právní</w:t>
      </w:r>
      <w:r w:rsidR="00E860A1">
        <w:rPr>
          <w:i/>
        </w:rPr>
        <w:t xml:space="preserve"> </w:t>
      </w:r>
      <w:r w:rsidR="00E860A1" w:rsidRPr="00E860A1">
        <w:rPr>
          <w:i/>
        </w:rPr>
        <w:t>závaznosti</w:t>
      </w:r>
    </w:p>
    <w:p w:rsidR="00591FCA" w:rsidRDefault="00591FCA" w:rsidP="003E4A5D">
      <w:pPr>
        <w:pStyle w:val="Text-Normaln"/>
        <w:widowControl w:val="0"/>
        <w:ind w:left="708"/>
        <w:rPr>
          <w:i/>
        </w:rPr>
      </w:pPr>
      <w:r>
        <w:rPr>
          <w:i/>
        </w:rPr>
        <w:t>Varianta 1</w:t>
      </w:r>
      <w:r w:rsidR="000D45A9">
        <w:rPr>
          <w:i/>
        </w:rPr>
        <w:t>aii</w:t>
      </w:r>
      <w:r>
        <w:rPr>
          <w:i/>
        </w:rPr>
        <w:t>:</w:t>
      </w:r>
      <w:r w:rsidRPr="00591FCA">
        <w:rPr>
          <w:i/>
        </w:rPr>
        <w:t xml:space="preserve"> </w:t>
      </w:r>
      <w:r w:rsidR="006B5FFB" w:rsidRPr="00DB76A8">
        <w:rPr>
          <w:i/>
        </w:rPr>
        <w:t>Celostátní územně plánovací dokumentace (územní plán státu)</w:t>
      </w:r>
      <w:r w:rsidR="006B5FFB">
        <w:rPr>
          <w:i/>
        </w:rPr>
        <w:t xml:space="preserve"> - d</w:t>
      </w:r>
      <w:r w:rsidR="006B5FFB" w:rsidRPr="006B5FFB">
        <w:rPr>
          <w:i/>
        </w:rPr>
        <w:t>va dokumenty, jeden ve formě nařízení vlády, druhý ve</w:t>
      </w:r>
      <w:r w:rsidR="006B5FFB">
        <w:rPr>
          <w:i/>
        </w:rPr>
        <w:t xml:space="preserve"> </w:t>
      </w:r>
      <w:r w:rsidR="006B5FFB" w:rsidRPr="006B5FFB">
        <w:rPr>
          <w:i/>
        </w:rPr>
        <w:t>formě usnesení vlády</w:t>
      </w:r>
      <w:r w:rsidR="006B5FFB">
        <w:rPr>
          <w:i/>
        </w:rPr>
        <w:t>;</w:t>
      </w:r>
      <w:r w:rsidR="00E860A1" w:rsidRPr="00E860A1">
        <w:t xml:space="preserve"> </w:t>
      </w:r>
      <w:r w:rsidR="00E860A1" w:rsidRPr="00E860A1">
        <w:rPr>
          <w:i/>
        </w:rPr>
        <w:t>Územní plán kraje</w:t>
      </w:r>
      <w:r w:rsidR="00E860A1">
        <w:rPr>
          <w:i/>
        </w:rPr>
        <w:t xml:space="preserve"> - d</w:t>
      </w:r>
      <w:r w:rsidR="00E860A1" w:rsidRPr="00E860A1">
        <w:rPr>
          <w:i/>
        </w:rPr>
        <w:t>va dokumenty, jeden ve formě právního předpisu nebo</w:t>
      </w:r>
      <w:r w:rsidR="00E860A1">
        <w:rPr>
          <w:i/>
        </w:rPr>
        <w:t xml:space="preserve"> </w:t>
      </w:r>
      <w:r w:rsidR="00E860A1" w:rsidRPr="00E860A1">
        <w:rPr>
          <w:i/>
        </w:rPr>
        <w:t>opatření obecné povahy, druhý ve formě usnesení zastupitelstva kraje</w:t>
      </w:r>
    </w:p>
    <w:p w:rsidR="00471BB4" w:rsidRDefault="00471BB4" w:rsidP="003E4A5D">
      <w:pPr>
        <w:pStyle w:val="Text-Normaln"/>
        <w:widowControl w:val="0"/>
        <w:ind w:left="708"/>
        <w:rPr>
          <w:i/>
        </w:rPr>
      </w:pPr>
      <w:r>
        <w:rPr>
          <w:i/>
        </w:rPr>
        <w:t>Varianta 1</w:t>
      </w:r>
      <w:r w:rsidR="000D45A9">
        <w:rPr>
          <w:i/>
        </w:rPr>
        <w:t>bi</w:t>
      </w:r>
      <w:r>
        <w:rPr>
          <w:i/>
        </w:rPr>
        <w:t>:</w:t>
      </w:r>
      <w:r w:rsidRPr="00471BB4">
        <w:t xml:space="preserve"> </w:t>
      </w:r>
      <w:r w:rsidR="00C01D89">
        <w:rPr>
          <w:i/>
        </w:rPr>
        <w:t>Ú</w:t>
      </w:r>
      <w:r w:rsidR="00387222">
        <w:rPr>
          <w:i/>
        </w:rPr>
        <w:t xml:space="preserve">zemní plán obce </w:t>
      </w:r>
      <w:r w:rsidR="00C01D89" w:rsidRPr="00C01D89">
        <w:rPr>
          <w:i/>
        </w:rPr>
        <w:t>ve formě právního předpisu nebo opatření obecné povahy</w:t>
      </w:r>
    </w:p>
    <w:p w:rsidR="00813344" w:rsidRPr="007E3D10" w:rsidRDefault="00813344" w:rsidP="003E4A5D">
      <w:pPr>
        <w:pStyle w:val="Text-Normaln"/>
        <w:widowControl w:val="0"/>
        <w:rPr>
          <w:i/>
          <w:highlight w:val="yellow"/>
        </w:rPr>
      </w:pPr>
      <w:r w:rsidRPr="006A55DA">
        <w:rPr>
          <w:b/>
          <w:i/>
        </w:rPr>
        <w:t xml:space="preserve">Varianta </w:t>
      </w:r>
      <w:r w:rsidR="007E3D10" w:rsidRPr="006A55DA">
        <w:rPr>
          <w:b/>
          <w:i/>
        </w:rPr>
        <w:t>2</w:t>
      </w:r>
      <w:r w:rsidRPr="006A55DA">
        <w:rPr>
          <w:b/>
          <w:i/>
        </w:rPr>
        <w:t>:</w:t>
      </w:r>
      <w:r w:rsidR="006E3132" w:rsidRPr="006A55DA">
        <w:t xml:space="preserve"> </w:t>
      </w:r>
      <w:r w:rsidR="006A55DA" w:rsidRPr="006A55DA">
        <w:rPr>
          <w:i/>
        </w:rPr>
        <w:t>Národní geoportál územního plánování</w:t>
      </w:r>
    </w:p>
    <w:p w:rsidR="006E3132" w:rsidRPr="006E3132" w:rsidRDefault="00E54E26" w:rsidP="003E4A5D">
      <w:pPr>
        <w:pStyle w:val="Text-Normaln"/>
        <w:widowControl w:val="0"/>
        <w:rPr>
          <w:i/>
        </w:rPr>
      </w:pPr>
      <w:r w:rsidRPr="00E54E26">
        <w:rPr>
          <w:b/>
          <w:i/>
        </w:rPr>
        <w:lastRenderedPageBreak/>
        <w:t>Varianta 3:</w:t>
      </w:r>
      <w:r w:rsidRPr="00E54E26">
        <w:rPr>
          <w:i/>
        </w:rPr>
        <w:t xml:space="preserve"> </w:t>
      </w:r>
      <w:r>
        <w:rPr>
          <w:i/>
        </w:rPr>
        <w:t xml:space="preserve">alespoň </w:t>
      </w:r>
      <w:r w:rsidRPr="00E54E26">
        <w:rPr>
          <w:i/>
        </w:rPr>
        <w:t xml:space="preserve">informační systém představující registr fyzické infrastruktury </w:t>
      </w:r>
    </w:p>
    <w:p w:rsidR="00486BB0" w:rsidRPr="00F23969" w:rsidRDefault="00486BB0" w:rsidP="003E4A5D">
      <w:pPr>
        <w:pStyle w:val="Text-Normaln"/>
        <w:widowControl w:val="0"/>
        <w:rPr>
          <w:b/>
        </w:rPr>
      </w:pPr>
      <w:r w:rsidRPr="00F23969">
        <w:rPr>
          <w:b/>
        </w:rPr>
        <w:t>Identifikace nákladů a přínosů:</w:t>
      </w:r>
    </w:p>
    <w:p w:rsidR="009D7D17" w:rsidRDefault="00632A4A" w:rsidP="003E4A5D">
      <w:pPr>
        <w:pStyle w:val="Text-Normaln"/>
        <w:widowControl w:val="0"/>
        <w:rPr>
          <w:b/>
          <w:i/>
          <w:color w:val="000000" w:themeColor="text1"/>
        </w:rPr>
      </w:pPr>
      <w:bookmarkStart w:id="65" w:name="_Toc421607941"/>
      <w:bookmarkStart w:id="66" w:name="_Toc450768333"/>
      <w:r w:rsidRPr="00BD4BAE">
        <w:rPr>
          <w:b/>
          <w:i/>
          <w:color w:val="000000" w:themeColor="text1"/>
        </w:rPr>
        <w:t>Ekonomické dopady územně plánovací dokumentace a územně plánovacích podkladů na potenciál území</w:t>
      </w:r>
      <w:bookmarkEnd w:id="65"/>
    </w:p>
    <w:p w:rsidR="00632A4A" w:rsidRPr="00BD4BAE" w:rsidRDefault="00BD4BAE" w:rsidP="003E4A5D">
      <w:pPr>
        <w:pStyle w:val="Text-Normaln"/>
        <w:widowControl w:val="0"/>
        <w:rPr>
          <w:b/>
          <w:i/>
          <w:color w:val="000000" w:themeColor="text1"/>
        </w:rPr>
      </w:pPr>
      <w:r w:rsidRPr="00BD4BAE">
        <w:rPr>
          <w:b/>
          <w:i/>
          <w:color w:val="000000" w:themeColor="text1"/>
        </w:rPr>
        <w:t xml:space="preserve"> - </w:t>
      </w:r>
      <w:bookmarkStart w:id="67" w:name="_Toc421607942"/>
      <w:r w:rsidRPr="00BD4BAE">
        <w:rPr>
          <w:b/>
          <w:i/>
          <w:color w:val="000000" w:themeColor="text1"/>
        </w:rPr>
        <w:t>p</w:t>
      </w:r>
      <w:r w:rsidR="00632A4A" w:rsidRPr="00BD4BAE">
        <w:rPr>
          <w:b/>
          <w:i/>
          <w:color w:val="000000" w:themeColor="text1"/>
        </w:rPr>
        <w:t>římé dopady</w:t>
      </w:r>
      <w:bookmarkEnd w:id="67"/>
    </w:p>
    <w:p w:rsidR="00632A4A" w:rsidRDefault="00632A4A" w:rsidP="003E4A5D">
      <w:pPr>
        <w:pStyle w:val="Text-Normaln"/>
        <w:widowControl w:val="0"/>
      </w:pPr>
      <w:r>
        <w:t xml:space="preserve">Ekonomické dopady územního plánování obecně lze rozdělit na dopady přímé a nepřímé. Jak je uváděno ve studii </w:t>
      </w:r>
      <w:r>
        <w:rPr>
          <w:i/>
        </w:rPr>
        <w:t>Study on the economic effects of Maritime Spatial Planning</w:t>
      </w:r>
      <w:r>
        <w:t xml:space="preserve"> vyhotovenou Evropskou komisí v roce 2011, přímé dopady souvisí především se zvýšenou právní jistotou dotčených subjektů a předvídatelností územní politiky regulátora. Přímé dopady jsou rozděleny do tří skupin:</w:t>
      </w:r>
    </w:p>
    <w:p w:rsidR="00632A4A" w:rsidRDefault="00632A4A" w:rsidP="009D4B5F">
      <w:pPr>
        <w:pStyle w:val="Text-Normaln"/>
        <w:widowControl w:val="0"/>
        <w:numPr>
          <w:ilvl w:val="0"/>
          <w:numId w:val="51"/>
        </w:numPr>
      </w:pPr>
      <w:r>
        <w:t xml:space="preserve">Efektivnější koordinace vládních </w:t>
      </w:r>
      <w:r w:rsidR="002156C3">
        <w:t>institucí</w:t>
      </w:r>
    </w:p>
    <w:p w:rsidR="00632A4A" w:rsidRDefault="00632A4A" w:rsidP="009D4B5F">
      <w:pPr>
        <w:pStyle w:val="Text-Normaln"/>
        <w:widowControl w:val="0"/>
        <w:numPr>
          <w:ilvl w:val="0"/>
          <w:numId w:val="51"/>
        </w:numPr>
      </w:pPr>
      <w:r>
        <w:t>Snižování transakčních nákladů</w:t>
      </w:r>
    </w:p>
    <w:p w:rsidR="00632A4A" w:rsidRDefault="00632A4A" w:rsidP="009D4B5F">
      <w:pPr>
        <w:pStyle w:val="Text-Normaln"/>
        <w:widowControl w:val="0"/>
        <w:numPr>
          <w:ilvl w:val="0"/>
          <w:numId w:val="51"/>
        </w:numPr>
      </w:pPr>
      <w:r>
        <w:t>Zlepšení investičního prostředí</w:t>
      </w:r>
    </w:p>
    <w:p w:rsidR="00632A4A" w:rsidRDefault="00632A4A" w:rsidP="003E4A5D">
      <w:pPr>
        <w:pStyle w:val="Text-Normaln"/>
        <w:widowControl w:val="0"/>
        <w:rPr>
          <w:i/>
        </w:rPr>
      </w:pPr>
      <w:r>
        <w:rPr>
          <w:i/>
        </w:rPr>
        <w:t>Efektivnější koordinace veřejných institucí</w:t>
      </w:r>
    </w:p>
    <w:p w:rsidR="00632A4A" w:rsidRDefault="00632A4A" w:rsidP="003E4A5D">
      <w:pPr>
        <w:pStyle w:val="Text-Normaln"/>
        <w:widowControl w:val="0"/>
      </w:pPr>
      <w:r>
        <w:t xml:space="preserve">Dochází především ke zkracování administrativních procedur a snižování nákladů jednotlivých úřadů. Bez územního plánování by bylo rozhodování dotčených institucí </w:t>
      </w:r>
      <w:r w:rsidR="00B2597D">
        <w:t>daleko složitější a </w:t>
      </w:r>
      <w:r>
        <w:t>zdlouhavější. Efektivnější fungování veřejné správy pak přináší zvýhodnění (nebo minimálně neznevýhodňování) ČR vůči ostatním státům a podporuje tak například zájem zahraničních investorů.</w:t>
      </w:r>
    </w:p>
    <w:p w:rsidR="00632A4A" w:rsidRDefault="00632A4A" w:rsidP="003E4A5D">
      <w:pPr>
        <w:pStyle w:val="Text-Normaln"/>
        <w:widowControl w:val="0"/>
        <w:rPr>
          <w:i/>
        </w:rPr>
      </w:pPr>
      <w:r>
        <w:rPr>
          <w:i/>
        </w:rPr>
        <w:t>Snižování transakčních nákladů</w:t>
      </w:r>
    </w:p>
    <w:p w:rsidR="00632A4A" w:rsidRDefault="00632A4A" w:rsidP="003E4A5D">
      <w:pPr>
        <w:pStyle w:val="Text-Normaln"/>
        <w:widowControl w:val="0"/>
      </w:pPr>
      <w:r>
        <w:t xml:space="preserve">Při efektivním a kvalitním územním plánování dochází ke snižování transakčních nákladů čtyř typů. Prvním jsou transakční náklady na vyhledávání informací. Územní analýza výrazně usnadňuje </w:t>
      </w:r>
      <w:r w:rsidR="00686D84">
        <w:t>například</w:t>
      </w:r>
      <w:r>
        <w:t xml:space="preserve"> investorům projekční činnost, a to vzhledem k počtu územních plánů vytváří nemalé celospolečenské úspory z rozsahu. </w:t>
      </w:r>
    </w:p>
    <w:p w:rsidR="00632A4A" w:rsidRDefault="00632A4A" w:rsidP="003E4A5D">
      <w:pPr>
        <w:pStyle w:val="Text-Normaln"/>
        <w:widowControl w:val="0"/>
      </w:pPr>
      <w:r>
        <w:t>Druhým typem transakčních nákladů jsou náklady právní. Tyto náklady souvisí především s legitimitou podnikání a vynucování kontraktů. Územní plánování jasně nastavuje pravidla pro tyto činnosti, a proto subjektům nevznikají další dodatečné náklady, které by je mohly odrazovat.</w:t>
      </w:r>
    </w:p>
    <w:p w:rsidR="00632A4A" w:rsidRDefault="00632A4A" w:rsidP="003E4A5D">
      <w:pPr>
        <w:pStyle w:val="Text-Normaln"/>
        <w:widowControl w:val="0"/>
      </w:pPr>
      <w:r>
        <w:t>Třetí typ transakčních nákladů jsou administrativní náklady – náklady na povolení, licence, certifikace. Sjednocení procesů jejich vydávání pak opět podporuje mezinárodní konkurenceschopnost a působí pozitivně na potencionální žadatele.</w:t>
      </w:r>
    </w:p>
    <w:p w:rsidR="00632A4A" w:rsidRDefault="00632A4A" w:rsidP="003E4A5D">
      <w:pPr>
        <w:pStyle w:val="Text-Normaln"/>
        <w:widowControl w:val="0"/>
      </w:pPr>
      <w:r>
        <w:t xml:space="preserve">Posledním typem jsou náklady plynoucí z menšího počtu konfliktů mezi subjekty. Vzhledem k tomu, že </w:t>
      </w:r>
      <w:r w:rsidR="00E973FC">
        <w:t>ÚPD</w:t>
      </w:r>
      <w:r>
        <w:t xml:space="preserve"> jasně definuje</w:t>
      </w:r>
      <w:r w:rsidR="00C01D89">
        <w:t xml:space="preserve"> předpokládané využití území</w:t>
      </w:r>
      <w:r>
        <w:t xml:space="preserve">, je pravděpodobnost konfliktu mezi jednotlivými stranami minimalizována. Všem subjektům se tedy snižují potencionální náklady </w:t>
      </w:r>
      <w:r w:rsidR="00E973FC">
        <w:t>a </w:t>
      </w:r>
      <w:r>
        <w:t>dochází ke zvýšení ochoty využívání území.</w:t>
      </w:r>
    </w:p>
    <w:p w:rsidR="00632A4A" w:rsidRDefault="00632A4A" w:rsidP="003E4A5D">
      <w:pPr>
        <w:pStyle w:val="Text-Normaln"/>
        <w:widowControl w:val="0"/>
        <w:rPr>
          <w:i/>
        </w:rPr>
      </w:pPr>
      <w:r>
        <w:rPr>
          <w:i/>
        </w:rPr>
        <w:t>Zlepšení investičního prostředí</w:t>
      </w:r>
    </w:p>
    <w:p w:rsidR="00632A4A" w:rsidRDefault="00632A4A" w:rsidP="003E4A5D">
      <w:pPr>
        <w:pStyle w:val="Text-Normaln"/>
        <w:widowControl w:val="0"/>
      </w:pPr>
      <w:r>
        <w:t>Zvýšení právních jistot v oblasti územního plánování rovněž přispívá k akceleraci ekonomické aktivity na daném území a ekonomickému růstu. Akcelerace ekonomické aktivity plyne ze zjednodušování procedur, snižování transakčních nákladů a zvyšování právních jistot. Investoři pak zaznamenávají příznivější ekonomické prostředí, což by se mělo pozitivně projevit na jejich ochotě investovat. Navýšení investic pak ovlivňuje i ostatní subjekty a dochází ke zvyšování výkonnosti celé ekonomiky. S tím souvisí i ekonomický růst dané země. Zjednodušení procesů získávání autorizací, zvyšování právních jistot a snižování transakčních nákladů navíc vede k optimální alokaci aktivit, čímž dochází k efektivnějšímu chování všech subjektů a dochází k růstu ekonomiky dané země.</w:t>
      </w:r>
    </w:p>
    <w:p w:rsidR="00632A4A" w:rsidRPr="00BD4BAE" w:rsidRDefault="009D7D17" w:rsidP="003E4A5D">
      <w:pPr>
        <w:pStyle w:val="Text-Normaln"/>
        <w:widowControl w:val="0"/>
        <w:rPr>
          <w:b/>
          <w:i/>
        </w:rPr>
      </w:pPr>
      <w:r>
        <w:rPr>
          <w:b/>
          <w:i/>
        </w:rPr>
        <w:lastRenderedPageBreak/>
        <w:t xml:space="preserve">- </w:t>
      </w:r>
      <w:bookmarkStart w:id="68" w:name="_Toc421607943"/>
      <w:r>
        <w:rPr>
          <w:b/>
          <w:i/>
        </w:rPr>
        <w:t>n</w:t>
      </w:r>
      <w:r w:rsidR="00632A4A" w:rsidRPr="00BD4BAE">
        <w:rPr>
          <w:b/>
          <w:i/>
        </w:rPr>
        <w:t>epřímé dopady</w:t>
      </w:r>
      <w:bookmarkEnd w:id="68"/>
    </w:p>
    <w:p w:rsidR="00632A4A" w:rsidRDefault="00632A4A" w:rsidP="003E4A5D">
      <w:pPr>
        <w:pStyle w:val="Text-Normaln"/>
        <w:widowControl w:val="0"/>
      </w:pPr>
      <w:r>
        <w:t>Nepřímé dopady jsou uskutečňovány především prostřednic</w:t>
      </w:r>
      <w:r w:rsidR="00B2597D">
        <w:t>tvím efektivní alokace statků a </w:t>
      </w:r>
      <w:r>
        <w:t>podpoře investic. Na investice jsou navázána jiná odvětví a stejně jako efektivní alokace aktivit vedou k pozitivním dopadům na celou ekonomiku.</w:t>
      </w:r>
    </w:p>
    <w:p w:rsidR="00632A4A" w:rsidRDefault="00632A4A" w:rsidP="003E4A5D">
      <w:pPr>
        <w:pStyle w:val="Text-Normaln"/>
        <w:widowControl w:val="0"/>
      </w:pPr>
      <w:r>
        <w:t xml:space="preserve">Ekonomické benefity mohou plynout i z jiných než ekonomických dopadů územního plánování. Jedním z nejdůležitějších nepřímých dopadů jsou dopady na životní prostředí. Ovlivnění životního prostředí může přinést jak značné ekonomické benefity, tak i dodatečné náklady a při zvažování investic by mělo dojít k jejich posouzení. Protože územní plánování v sobě zahrnuje proces vyhodnocování dopadů na životní prostředí, opět dochází k výrazným úsporám z rozsahu, a tedy pozitivnímu vlivu na celou ekonomiku daného státu. </w:t>
      </w:r>
    </w:p>
    <w:p w:rsidR="00632A4A" w:rsidRPr="00BD4BAE" w:rsidRDefault="00632A4A" w:rsidP="003E4A5D">
      <w:pPr>
        <w:pStyle w:val="Text-Normaln"/>
        <w:widowControl w:val="0"/>
        <w:rPr>
          <w:b/>
          <w:i/>
          <w:u w:val="single"/>
        </w:rPr>
      </w:pPr>
      <w:bookmarkStart w:id="69" w:name="_Toc421607944"/>
      <w:r w:rsidRPr="00BD4BAE">
        <w:rPr>
          <w:b/>
          <w:i/>
        </w:rPr>
        <w:t>Konkrétní aplikace</w:t>
      </w:r>
      <w:bookmarkEnd w:id="69"/>
      <w:r w:rsidRPr="00BD4BAE">
        <w:rPr>
          <w:b/>
          <w:i/>
          <w:u w:val="single"/>
        </w:rPr>
        <w:t xml:space="preserve"> </w:t>
      </w:r>
    </w:p>
    <w:p w:rsidR="00632A4A" w:rsidRDefault="00632A4A" w:rsidP="003E4A5D">
      <w:pPr>
        <w:pStyle w:val="Text-Normaln"/>
        <w:widowControl w:val="0"/>
      </w:pPr>
      <w:r>
        <w:t xml:space="preserve">Hodnocení správnosti či „špatnosti“ zpracování územně plánovací dokumentace je otázka, která se obtížně hodnotí, zejména v krátkodobém horizontu, tj. cca 5 let. První skutečností, která toto ovlivňuje je fakt, že v územním plánování se nejedná o přímý projekt, ale o koncepci a organizaci území se širšími vazbami. Tu však neuskutečňuje pouze jeden investor, ale vstupuje do jejího zrealizování mnoho investorů a dalších činitelů, kteří mají spoluutvářet výsledný celek. Jejich stanoviska a požadavky bývají nezřídka zcela opačné – konfliktní, proto není možné vyhovět v plném rozsahu všem, ale je nutné hledat optimální řešení. Toto řešení se dále může v průběhu času měnit, neboť i vstupní faktory se kontinuálně vyvíjejí. </w:t>
      </w:r>
    </w:p>
    <w:p w:rsidR="00632A4A" w:rsidRDefault="00632A4A" w:rsidP="003E4A5D">
      <w:pPr>
        <w:pStyle w:val="Text-Normaln"/>
        <w:widowControl w:val="0"/>
      </w:pPr>
      <w:r>
        <w:t>To plně navazuje na druhou skutečnost, že hodnotící horizont nelze stanovit v řádu několika let, ale</w:t>
      </w:r>
      <w:r w:rsidR="00F76ADF">
        <w:t xml:space="preserve"> minimálně s odstupem 10 – 15</w:t>
      </w:r>
      <w:r>
        <w:t xml:space="preserve"> let. Jako ukázkový pozitivní příklad územního plánování lze uvést město Hradec Králové. Jeho rozvoj dlouhodobě (již více než 100 let) sleduje koncepci stanovenou v územním plánu Josefa Gočára z počátku 20. let 20. století – systém centrického uspořádání dopravních okruhů, které jsou vzájemně propojeny radiálními komunikacemi. Mezi těmito okruhy se nacházejí plochy bydlení, zeleně, občanského vybavení i výroby ve vzájemném propojení a doplnění. Řešení dopravy tohoto města je i z dnešního hlediska výrazně lepší </w:t>
      </w:r>
      <w:r w:rsidR="00B2597D">
        <w:t>než u </w:t>
      </w:r>
      <w:r>
        <w:t>okolních sídel.</w:t>
      </w:r>
    </w:p>
    <w:p w:rsidR="006E3132" w:rsidRDefault="00632A4A" w:rsidP="003E4A5D">
      <w:pPr>
        <w:pStyle w:val="Text-Normaln"/>
        <w:widowControl w:val="0"/>
        <w:rPr>
          <w:bCs/>
        </w:rPr>
      </w:pPr>
      <w:r>
        <w:t>Jako rozhodně chybný nebo špatný přístup v územním plánování lze označit jednoznačně nesystematičnost nebo diskontinuitu návrhů i koncepcí v území. Tu lze popsat teoretickým modelem sídla X. Sídlo X v roce 0 má ve vedení sídla převahu mandátů strany GG. Zástupci sídla X pořídí a schválí územní plán. V tomto územním plánu jsou navrženy plochy pro výrobu na severní periferii a plochy pro bydlení v jihozápadní periferii. V roce 4 v komunálních volbách zvítězí strana TT a vyhodnotí momentálně platný územní plán jako špatný, rozhodne se jej přepracovat - změnit. V novém návrhu budou plochy výroby na severu zrušeny a nově navrženy na jižní periferii a plochy pro bydlení budou přesunuty na východ. Tato situace vykazuje prvky nestability území pro investice. Investoři nemají záruku, že s novým volebním obdobím nedojde k zásadním změnám a jejich záměry se nedostanou do kolize s novými záměry a koncepcemi, případně, že budou i nadále dodrženy vstupní podmínky pro jejich investice. Z těchto důvodů do území nebudou ochotni investovat a budou hledat území stabilnější. Subjektům, které již v území investovaly, mohou být způsobeny majetkové újmy, eventuálně nedojde k jimi plánovanému zhodnocení investic (například výstavba bytů na prodej).</w:t>
      </w:r>
      <w:r w:rsidR="00373898">
        <w:t xml:space="preserve"> (</w:t>
      </w:r>
      <w:r w:rsidR="00373898" w:rsidRPr="00373898">
        <w:rPr>
          <w:i/>
        </w:rPr>
        <w:t>Zdroj: DOPADY ARCHITEKTONICKÉ PRAXE NA EKONOMIKU ČR</w:t>
      </w:r>
      <w:r w:rsidR="00373898" w:rsidRPr="00373898">
        <w:rPr>
          <w:bCs/>
          <w:i/>
        </w:rPr>
        <w:t>, MMR (2015)</w:t>
      </w:r>
      <w:r w:rsidR="00373898">
        <w:rPr>
          <w:bCs/>
        </w:rPr>
        <w:t>)</w:t>
      </w:r>
    </w:p>
    <w:p w:rsidR="0059298E" w:rsidRDefault="0059298E">
      <w:pPr>
        <w:spacing w:before="0" w:after="0"/>
        <w:jc w:val="left"/>
        <w:rPr>
          <w:rFonts w:eastAsia="MS Mincho"/>
          <w:bCs/>
        </w:rPr>
      </w:pPr>
      <w:r>
        <w:rPr>
          <w:bCs/>
        </w:rPr>
        <w:br w:type="page"/>
      </w:r>
    </w:p>
    <w:p w:rsidR="00541817" w:rsidRPr="00E54E26" w:rsidRDefault="00F824CB" w:rsidP="003E4A5D">
      <w:pPr>
        <w:pStyle w:val="Normln-tun"/>
        <w:widowControl w:val="0"/>
        <w:rPr>
          <w:b/>
        </w:rPr>
      </w:pPr>
      <w:r>
        <w:rPr>
          <w:b/>
        </w:rPr>
        <w:lastRenderedPageBreak/>
        <w:t>Identifikace</w:t>
      </w:r>
      <w:r w:rsidR="005C436D" w:rsidRPr="00E54E26">
        <w:rPr>
          <w:b/>
        </w:rPr>
        <w:t xml:space="preserve"> nákladů a přínosů:</w:t>
      </w:r>
    </w:p>
    <w:p w:rsidR="000D45A9" w:rsidRPr="000D45A9" w:rsidRDefault="000D45A9" w:rsidP="003E4A5D">
      <w:pPr>
        <w:pStyle w:val="Normln-tun"/>
        <w:widowControl w:val="0"/>
        <w:rPr>
          <w:u w:val="single"/>
        </w:rPr>
      </w:pPr>
      <w:r w:rsidRPr="000D45A9">
        <w:rPr>
          <w:u w:val="single"/>
        </w:rPr>
        <w:t>Varianta 1</w:t>
      </w:r>
    </w:p>
    <w:p w:rsidR="005C436D" w:rsidRPr="00712125" w:rsidRDefault="005C436D" w:rsidP="003E4A5D">
      <w:pPr>
        <w:pStyle w:val="Normln-tun"/>
        <w:widowControl w:val="0"/>
        <w:rPr>
          <w:i/>
        </w:rPr>
      </w:pPr>
      <w:r w:rsidRPr="00732B55">
        <w:t xml:space="preserve">Závěrečná zpráva RIA k návrhu novely zákona č. 416/2009 Sb. o urychlení výstavby dopravní, vodní a energetické infrastruktury a infrastruktury elektronických komunikací (2018) předpokládá, že </w:t>
      </w:r>
      <w:r w:rsidR="00800D62" w:rsidRPr="00712125">
        <w:rPr>
          <w:i/>
        </w:rPr>
        <w:t>„</w:t>
      </w:r>
      <w:r w:rsidRPr="00712125">
        <w:rPr>
          <w:i/>
        </w:rPr>
        <w:t>návrh územního rozvojového plánu bude zpracová</w:t>
      </w:r>
      <w:r w:rsidR="00B2597D">
        <w:rPr>
          <w:i/>
        </w:rPr>
        <w:t>vat v Ústavu územního rozvoje 5 </w:t>
      </w:r>
      <w:r w:rsidRPr="00712125">
        <w:rPr>
          <w:i/>
        </w:rPr>
        <w:t xml:space="preserve">pracovníků vysokoškolsky vzdělaných ve složení architekt obor architektura nebo územní plánování - vedoucí týmu; specialista na dopravní stavby; specialita na stavby vodního hospodářství a krajinného inženýrství; specialista na pozemní stavby (technické sítě); specialista na městské inženýrství. Výpočet nákladů na tyto pracovníky vycházel z toho, že jeden pracovník bude zařazen do 14. platové třídy a ostatní do 13 platové třídy. Pro výpočet </w:t>
      </w:r>
      <w:r w:rsidR="00732B55" w:rsidRPr="00712125">
        <w:rPr>
          <w:i/>
        </w:rPr>
        <w:t>se</w:t>
      </w:r>
      <w:r w:rsidRPr="00712125">
        <w:rPr>
          <w:i/>
        </w:rPr>
        <w:t xml:space="preserve"> počítalo </w:t>
      </w:r>
      <w:r w:rsidR="00732B55" w:rsidRPr="00712125">
        <w:rPr>
          <w:i/>
        </w:rPr>
        <w:t>s</w:t>
      </w:r>
      <w:r w:rsidRPr="00712125">
        <w:rPr>
          <w:i/>
        </w:rPr>
        <w:t xml:space="preserve"> </w:t>
      </w:r>
      <w:r w:rsidR="00732B55" w:rsidRPr="00712125">
        <w:rPr>
          <w:i/>
        </w:rPr>
        <w:t>…</w:t>
      </w:r>
      <w:r w:rsidRPr="00712125">
        <w:rPr>
          <w:i/>
        </w:rPr>
        <w:t xml:space="preserve">9 platovým stupněm; 20% na osobní ohodnocení; 35% na odvody; 43% na režijní náklady. Celkové náklady budou činit cca 4,4 mil. Kč/rok.  </w:t>
      </w:r>
    </w:p>
    <w:p w:rsidR="00A6497F" w:rsidRPr="00712125" w:rsidRDefault="00A6497F" w:rsidP="003E4A5D">
      <w:pPr>
        <w:pStyle w:val="Normln-tun"/>
        <w:widowControl w:val="0"/>
        <w:rPr>
          <w:i/>
        </w:rPr>
      </w:pPr>
      <w:r w:rsidRPr="00712125">
        <w:rPr>
          <w:i/>
        </w:rPr>
        <w:t>Administrativní zátěž veřejné správy by se neměla zvýšit, protože vymezením plochy nebo koridoru pro vybrané záměry v územním rozvojovém plánu by mělo následně snížit administrativní zátěž při pojednávání ZÚR. Výhodou týmu zařazeného do organizační složky státu bude, že ihned po rozhodnutí vlády o aktualizaci územního rozvojového plánu může tento tým začít pracovat na této aktualizaci, aniž by muselo probíhat výběrové řízení na dodavatele a upřesňování a schvalování smlouvy s dodavatelem. Další výhodou tohoto řešení je, že bude možné průběžně konzultovat navrhované trasy záměrů s pracovníky, kteří budou kontinuálně na územním rozvojovém plánu pracovat.</w:t>
      </w:r>
    </w:p>
    <w:p w:rsidR="00A6497F" w:rsidRPr="00712125" w:rsidRDefault="00A6497F" w:rsidP="003E4A5D">
      <w:pPr>
        <w:pStyle w:val="Normln-tun"/>
        <w:widowControl w:val="0"/>
        <w:rPr>
          <w:i/>
          <w:color w:val="000000"/>
        </w:rPr>
      </w:pPr>
      <w:r w:rsidRPr="00712125">
        <w:rPr>
          <w:i/>
        </w:rPr>
        <w:t xml:space="preserve">Další náklady budou spojeny s 3 pořizovateli, kteří budou nově zařazeny do Ministerstva pro místní rozvoj ve 14 platové třídě. </w:t>
      </w:r>
      <w:r w:rsidR="00732B55" w:rsidRPr="00712125">
        <w:rPr>
          <w:i/>
        </w:rPr>
        <w:t>…</w:t>
      </w:r>
      <w:r w:rsidRPr="00712125">
        <w:rPr>
          <w:i/>
          <w:color w:val="000000"/>
        </w:rPr>
        <w:t>Pro výpočet se postupovalo podle metodiky Ministerstva vnitra a počítalo se s 9 platovým stupněm; 20% na osobní ohodnocení; 35% na odvody; 43% na režijní náklady. Celkové náklady budou činit cca 2,9 mil. Kč/rok.</w:t>
      </w:r>
    </w:p>
    <w:p w:rsidR="00A6497F" w:rsidRPr="00712125" w:rsidRDefault="00A6497F" w:rsidP="003E4A5D">
      <w:pPr>
        <w:pStyle w:val="Normln-tun"/>
        <w:widowControl w:val="0"/>
        <w:rPr>
          <w:i/>
        </w:rPr>
      </w:pPr>
      <w:r w:rsidRPr="00712125">
        <w:rPr>
          <w:i/>
        </w:rPr>
        <w:t xml:space="preserve">Náklady na pořizování a vydávání územního rozvojového plánu budou celkem činit cca </w:t>
      </w:r>
      <w:r w:rsidRPr="00712125">
        <w:rPr>
          <w:i/>
          <w:color w:val="000000"/>
        </w:rPr>
        <w:t>7,3 mil. Kč/rok.</w:t>
      </w:r>
    </w:p>
    <w:p w:rsidR="00A6497F" w:rsidRPr="00712125" w:rsidRDefault="00A6497F" w:rsidP="003E4A5D">
      <w:pPr>
        <w:pStyle w:val="Normln-tun"/>
        <w:widowControl w:val="0"/>
        <w:rPr>
          <w:i/>
        </w:rPr>
      </w:pPr>
      <w:r w:rsidRPr="00712125">
        <w:rPr>
          <w:i/>
        </w:rPr>
        <w:t>Náklady plynoucí z regulace pro podnikatele a občany navrhovanou právní úpravou nevzniknou.</w:t>
      </w:r>
    </w:p>
    <w:p w:rsidR="00A6497F" w:rsidRPr="00712125" w:rsidRDefault="00A6497F" w:rsidP="003E4A5D">
      <w:pPr>
        <w:pStyle w:val="Normln-tun"/>
        <w:widowControl w:val="0"/>
        <w:rPr>
          <w:rFonts w:cs="Arial"/>
          <w:i/>
        </w:rPr>
      </w:pPr>
      <w:r w:rsidRPr="00712125">
        <w:rPr>
          <w:rFonts w:cs="Arial"/>
          <w:i/>
        </w:rPr>
        <w:t>Dále lze očekávat náklady spojené s případným soudním přezkumem nebo náklady spojené s náhradou prokázané újmy spojené s vymezením plochy nebo koridoru pro stanovený záměr. Tyto náklady, které nelze objektivně vyčíslit, budou hrazeny též ze státního rozpočtu.</w:t>
      </w:r>
      <w:r w:rsidR="00732B55" w:rsidRPr="00712125">
        <w:rPr>
          <w:rFonts w:cs="Arial"/>
          <w:i/>
        </w:rPr>
        <w:t>“</w:t>
      </w:r>
      <w:r w:rsidRPr="00712125">
        <w:rPr>
          <w:rFonts w:cs="Arial"/>
          <w:i/>
        </w:rPr>
        <w:t xml:space="preserve"> </w:t>
      </w:r>
    </w:p>
    <w:p w:rsidR="003F68DA" w:rsidRDefault="00696E9E" w:rsidP="003E4A5D">
      <w:pPr>
        <w:pStyle w:val="Normln-tun"/>
        <w:widowControl w:val="0"/>
      </w:pPr>
      <w:r>
        <w:t>Obdobně</w:t>
      </w:r>
      <w:r w:rsidR="00C74D98">
        <w:t>, abychom byli konzistentní,</w:t>
      </w:r>
      <w:r w:rsidR="003F68DA">
        <w:t xml:space="preserve"> lze předpokládat </w:t>
      </w:r>
      <w:r w:rsidR="00FC3B4D">
        <w:t>pro</w:t>
      </w:r>
      <w:r w:rsidR="003F68DA">
        <w:t xml:space="preserve"> územní plány kraje, tj. částka se tak v tomto věcném okruhu zdvojnásobí. Bližší kvantifikaci pak bude možné udělat k paragrafovému znění návrhu zákona, kde bude již přesně vymezen postup pořizo</w:t>
      </w:r>
      <w:r w:rsidR="00B2597D">
        <w:t>vání, příp. aktualizace plánů a </w:t>
      </w:r>
      <w:r w:rsidR="003F68DA">
        <w:t>na jehož základě bude možné odhad zpřesnit.</w:t>
      </w:r>
    </w:p>
    <w:p w:rsidR="005C436D" w:rsidRPr="00A7605C" w:rsidRDefault="00A7605C" w:rsidP="003E4A5D">
      <w:pPr>
        <w:pStyle w:val="Normln-tun"/>
        <w:widowControl w:val="0"/>
      </w:pPr>
      <w:r w:rsidRPr="00A7605C">
        <w:t xml:space="preserve">Výše uvedené přínosy </w:t>
      </w:r>
      <w:r w:rsidR="00595C46">
        <w:t xml:space="preserve">(efektivnější koordinace vládních institucí, nižší transakční náklady, příznivější investiční prostředí) </w:t>
      </w:r>
      <w:r w:rsidRPr="00A7605C">
        <w:t xml:space="preserve">mohou být ve Variantě </w:t>
      </w:r>
      <w:r w:rsidR="000D45A9">
        <w:t>1</w:t>
      </w:r>
      <w:r w:rsidRPr="00A7605C">
        <w:t xml:space="preserve"> realizovány díky</w:t>
      </w:r>
      <w:r w:rsidR="00856188">
        <w:t>:</w:t>
      </w:r>
    </w:p>
    <w:p w:rsidR="00A7605C" w:rsidRDefault="00A7605C" w:rsidP="009D4B5F">
      <w:pPr>
        <w:pStyle w:val="Normln-tun"/>
        <w:widowControl w:val="0"/>
        <w:numPr>
          <w:ilvl w:val="0"/>
          <w:numId w:val="52"/>
        </w:numPr>
      </w:pPr>
      <w:r>
        <w:t>u</w:t>
      </w:r>
      <w:r w:rsidRPr="00A7605C">
        <w:t>možnění</w:t>
      </w:r>
      <w:r>
        <w:t>/usnadnění</w:t>
      </w:r>
      <w:r w:rsidRPr="00A7605C">
        <w:t xml:space="preserve"> jednotného povolování celostátně významných záměrů, včetně záměrů společného zájmu a záměry přesahující rámec jednotlivých krajů (dle konzultací </w:t>
      </w:r>
      <w:r w:rsidR="00517E06">
        <w:t>PÚR</w:t>
      </w:r>
      <w:r w:rsidRPr="00A7605C">
        <w:t xml:space="preserve"> podle </w:t>
      </w:r>
      <w:r w:rsidR="00517E06" w:rsidRPr="00A7605C">
        <w:t>§</w:t>
      </w:r>
      <w:r w:rsidR="00517E06">
        <w:t> </w:t>
      </w:r>
      <w:r w:rsidRPr="00A7605C">
        <w:t xml:space="preserve">31 a násl. </w:t>
      </w:r>
      <w:r w:rsidR="00696E9E">
        <w:t>SZ</w:t>
      </w:r>
      <w:r w:rsidRPr="00A7605C">
        <w:t xml:space="preserve"> tuto roli neplní) - </w:t>
      </w:r>
      <w:r w:rsidR="00686D84">
        <w:t>například</w:t>
      </w:r>
      <w:r w:rsidRPr="00A7605C">
        <w:t xml:space="preserve"> koridory na vysokorychlostní tratě (VRT) by byly zobrazeny v detailu stávajících </w:t>
      </w:r>
      <w:r w:rsidR="00517E06">
        <w:t>ZÚR</w:t>
      </w:r>
      <w:r>
        <w:t xml:space="preserve"> (viz obrázek PÚR v úvodu dokumentu);</w:t>
      </w:r>
    </w:p>
    <w:p w:rsidR="00A7605C" w:rsidRPr="00A7605C" w:rsidRDefault="00A7605C" w:rsidP="009D4B5F">
      <w:pPr>
        <w:pStyle w:val="Normln-tun"/>
        <w:widowControl w:val="0"/>
        <w:numPr>
          <w:ilvl w:val="0"/>
          <w:numId w:val="52"/>
        </w:numPr>
      </w:pPr>
      <w:r w:rsidRPr="00A7605C">
        <w:t>umožnění vyvlastnění nemovitostí pro účely realizace těchto</w:t>
      </w:r>
      <w:r>
        <w:t xml:space="preserve"> </w:t>
      </w:r>
      <w:r w:rsidRPr="00A7605C">
        <w:t>strategických záměrů</w:t>
      </w:r>
      <w:r w:rsidR="00811CC9">
        <w:t xml:space="preserve"> (pokud budou parametry nástroje správně nastaveny);</w:t>
      </w:r>
    </w:p>
    <w:p w:rsidR="00697062" w:rsidRPr="00BB3FAA" w:rsidRDefault="00697062" w:rsidP="009D4B5F">
      <w:pPr>
        <w:pStyle w:val="Normln-tun"/>
        <w:widowControl w:val="0"/>
        <w:numPr>
          <w:ilvl w:val="0"/>
          <w:numId w:val="52"/>
        </w:numPr>
      </w:pPr>
      <w:r w:rsidRPr="00BB3FAA">
        <w:t>zvýšení stability územně plánovací dokumentace a zvýšení míry právní</w:t>
      </w:r>
      <w:r w:rsidR="00BB3FAA" w:rsidRPr="00BB3FAA">
        <w:t xml:space="preserve"> </w:t>
      </w:r>
      <w:r w:rsidRPr="00BB3FAA">
        <w:t>jistoty v území;</w:t>
      </w:r>
    </w:p>
    <w:p w:rsidR="00AC4589" w:rsidRDefault="00697062" w:rsidP="009D4B5F">
      <w:pPr>
        <w:pStyle w:val="Normln-tun"/>
        <w:widowControl w:val="0"/>
        <w:numPr>
          <w:ilvl w:val="0"/>
          <w:numId w:val="52"/>
        </w:numPr>
      </w:pPr>
      <w:r w:rsidRPr="00BB3FAA">
        <w:t>zvýšení míry koordinace územního plánování na úrovni krajů a umožnění</w:t>
      </w:r>
      <w:r w:rsidR="00BB3FAA" w:rsidRPr="00BB3FAA">
        <w:t xml:space="preserve"> </w:t>
      </w:r>
      <w:r w:rsidRPr="00BB3FAA">
        <w:t>podrobnější některých celokrajsky významných záměrů v krajské ÚPD;</w:t>
      </w:r>
    </w:p>
    <w:p w:rsidR="00696E9E" w:rsidRDefault="00696E9E" w:rsidP="00533FC0">
      <w:pPr>
        <w:pStyle w:val="Normln-tun"/>
        <w:widowControl w:val="0"/>
      </w:pPr>
    </w:p>
    <w:p w:rsidR="00696E9E" w:rsidRPr="00BB3FAA" w:rsidRDefault="00696E9E" w:rsidP="00533FC0">
      <w:pPr>
        <w:pStyle w:val="Normln-tun"/>
        <w:widowControl w:val="0"/>
      </w:pPr>
    </w:p>
    <w:p w:rsidR="000D45A9" w:rsidRPr="000D45A9" w:rsidRDefault="000D45A9" w:rsidP="003E4A5D">
      <w:pPr>
        <w:pStyle w:val="Normln-tun"/>
        <w:widowControl w:val="0"/>
        <w:rPr>
          <w:i/>
        </w:rPr>
      </w:pPr>
      <w:r w:rsidRPr="000D45A9">
        <w:rPr>
          <w:i/>
        </w:rPr>
        <w:lastRenderedPageBreak/>
        <w:t xml:space="preserve">Porovnání variant 1ai a 1aii </w:t>
      </w:r>
    </w:p>
    <w:p w:rsidR="001E6FB6" w:rsidRDefault="001E6FB6" w:rsidP="001E6FB6">
      <w:pPr>
        <w:pStyle w:val="Titulek"/>
        <w:keepNext/>
      </w:pPr>
      <w:r>
        <w:t xml:space="preserve">Tabulka </w:t>
      </w:r>
      <w:r w:rsidR="00AB65E9">
        <w:rPr>
          <w:noProof/>
        </w:rPr>
        <w:fldChar w:fldCharType="begin"/>
      </w:r>
      <w:r w:rsidR="00530152">
        <w:rPr>
          <w:noProof/>
        </w:rPr>
        <w:instrText xml:space="preserve"> SEQ Tabulka \* ARABIC </w:instrText>
      </w:r>
      <w:r w:rsidR="00AB65E9">
        <w:rPr>
          <w:noProof/>
        </w:rPr>
        <w:fldChar w:fldCharType="separate"/>
      </w:r>
      <w:r w:rsidR="00263A1B">
        <w:rPr>
          <w:noProof/>
        </w:rPr>
        <w:t>27</w:t>
      </w:r>
      <w:r w:rsidR="00AB65E9">
        <w:rPr>
          <w:noProof/>
        </w:rPr>
        <w:fldChar w:fldCharType="end"/>
      </w:r>
      <w:r>
        <w:t xml:space="preserve">: </w:t>
      </w:r>
      <w:r w:rsidRPr="00F22FAC">
        <w:t>Porovnání variant 1ai a 1aii</w:t>
      </w:r>
    </w:p>
    <w:tbl>
      <w:tblPr>
        <w:tblStyle w:val="Svtlstnovn1"/>
        <w:tblW w:w="9072" w:type="dxa"/>
        <w:tblInd w:w="108" w:type="dxa"/>
        <w:tblLook w:val="04A0" w:firstRow="1" w:lastRow="0" w:firstColumn="1" w:lastColumn="0" w:noHBand="0" w:noVBand="1"/>
      </w:tblPr>
      <w:tblGrid>
        <w:gridCol w:w="4570"/>
        <w:gridCol w:w="4502"/>
      </w:tblGrid>
      <w:tr w:rsidR="002962AB" w:rsidRPr="0075491C" w:rsidTr="00A52B3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70" w:type="dxa"/>
            <w:vAlign w:val="center"/>
          </w:tcPr>
          <w:p w:rsidR="002962AB" w:rsidRPr="0075491C" w:rsidRDefault="002962AB" w:rsidP="003E4A5D">
            <w:pPr>
              <w:widowControl w:val="0"/>
              <w:spacing w:before="0" w:after="0"/>
              <w:rPr>
                <w:rFonts w:asciiTheme="minorHAnsi" w:hAnsiTheme="minorHAnsi" w:cstheme="minorHAnsi"/>
                <w:sz w:val="20"/>
                <w:szCs w:val="20"/>
              </w:rPr>
            </w:pPr>
            <w:r w:rsidRPr="0075491C">
              <w:rPr>
                <w:rFonts w:asciiTheme="minorHAnsi" w:hAnsiTheme="minorHAnsi" w:cstheme="minorHAnsi"/>
                <w:sz w:val="20"/>
                <w:szCs w:val="20"/>
              </w:rPr>
              <w:t>Kategorie nákladů</w:t>
            </w:r>
          </w:p>
        </w:tc>
        <w:tc>
          <w:tcPr>
            <w:tcW w:w="4502" w:type="dxa"/>
            <w:vAlign w:val="center"/>
          </w:tcPr>
          <w:p w:rsidR="002962AB" w:rsidRPr="0075491C" w:rsidRDefault="002962AB"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962AB" w:rsidRPr="0075491C" w:rsidTr="00A52B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70" w:type="dxa"/>
            <w:vAlign w:val="center"/>
          </w:tcPr>
          <w:p w:rsidR="002962AB" w:rsidRPr="002962AB" w:rsidRDefault="002962AB" w:rsidP="003E4A5D">
            <w:pPr>
              <w:widowControl w:val="0"/>
              <w:spacing w:before="0" w:after="0"/>
              <w:rPr>
                <w:rFonts w:asciiTheme="minorHAnsi" w:hAnsiTheme="minorHAnsi" w:cstheme="minorHAnsi"/>
                <w:sz w:val="20"/>
                <w:szCs w:val="20"/>
              </w:rPr>
            </w:pPr>
            <w:r w:rsidRPr="002962AB">
              <w:rPr>
                <w:rFonts w:asciiTheme="minorHAnsi" w:hAnsiTheme="minorHAnsi" w:cstheme="minorHAnsi"/>
                <w:sz w:val="20"/>
                <w:szCs w:val="20"/>
              </w:rPr>
              <w:t>Varianta 1ai</w:t>
            </w:r>
          </w:p>
        </w:tc>
        <w:tc>
          <w:tcPr>
            <w:tcW w:w="4502" w:type="dxa"/>
            <w:vAlign w:val="center"/>
          </w:tcPr>
          <w:p w:rsidR="002962AB" w:rsidRDefault="002962AB"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Varianta 1aii</w:t>
            </w:r>
          </w:p>
        </w:tc>
      </w:tr>
      <w:tr w:rsidR="002962AB" w:rsidRPr="0075491C" w:rsidTr="00A52B35">
        <w:trPr>
          <w:trHeight w:val="397"/>
        </w:trPr>
        <w:tc>
          <w:tcPr>
            <w:cnfStyle w:val="001000000000" w:firstRow="0" w:lastRow="0" w:firstColumn="1" w:lastColumn="0" w:oddVBand="0" w:evenVBand="0" w:oddHBand="0" w:evenHBand="0" w:firstRowFirstColumn="0" w:firstRowLastColumn="0" w:lastRowFirstColumn="0" w:lastRowLastColumn="0"/>
            <w:tcW w:w="4570" w:type="dxa"/>
            <w:tcBorders>
              <w:bottom w:val="nil"/>
            </w:tcBorders>
            <w:vAlign w:val="center"/>
          </w:tcPr>
          <w:p w:rsidR="004C272D" w:rsidRPr="004C272D" w:rsidRDefault="003203F0" w:rsidP="009D4B5F">
            <w:pPr>
              <w:pStyle w:val="Odstavecseseznamem"/>
              <w:widowControl w:val="0"/>
              <w:numPr>
                <w:ilvl w:val="0"/>
                <w:numId w:val="58"/>
              </w:numPr>
              <w:spacing w:before="0" w:after="0"/>
              <w:ind w:left="318" w:hanging="284"/>
              <w:contextualSpacing w:val="0"/>
              <w:rPr>
                <w:rFonts w:asciiTheme="minorHAnsi" w:hAnsiTheme="minorHAnsi" w:cstheme="minorHAnsi"/>
                <w:sz w:val="20"/>
                <w:szCs w:val="20"/>
              </w:rPr>
            </w:pPr>
            <w:r w:rsidRPr="003203F0">
              <w:rPr>
                <w:rFonts w:asciiTheme="minorHAnsi" w:hAnsiTheme="minorHAnsi" w:cstheme="minorHAnsi"/>
                <w:b w:val="0"/>
                <w:sz w:val="20"/>
                <w:szCs w:val="20"/>
              </w:rPr>
              <w:t>obtížnější nastavení zjednodušeného procesu přijímání změn pouze pro strategickou část, jelikož budou obě části obsažené v dokumentu stejné právní formy</w:t>
            </w:r>
            <w:r w:rsidR="004C272D" w:rsidRPr="003203F0">
              <w:rPr>
                <w:rFonts w:asciiTheme="minorHAnsi" w:hAnsiTheme="minorHAnsi" w:cstheme="minorHAnsi"/>
                <w:sz w:val="20"/>
                <w:szCs w:val="20"/>
              </w:rPr>
              <w:t xml:space="preserve"> </w:t>
            </w:r>
          </w:p>
          <w:p w:rsidR="002962AB" w:rsidRPr="004C272D" w:rsidRDefault="004C272D" w:rsidP="009D4B5F">
            <w:pPr>
              <w:pStyle w:val="Odstavecseseznamem"/>
              <w:widowControl w:val="0"/>
              <w:numPr>
                <w:ilvl w:val="0"/>
                <w:numId w:val="58"/>
              </w:numPr>
              <w:spacing w:before="0" w:after="0"/>
              <w:ind w:left="318" w:hanging="284"/>
              <w:contextualSpacing w:val="0"/>
              <w:rPr>
                <w:rFonts w:asciiTheme="minorHAnsi" w:hAnsiTheme="minorHAnsi" w:cstheme="minorHAnsi"/>
                <w:b w:val="0"/>
                <w:sz w:val="20"/>
                <w:szCs w:val="20"/>
              </w:rPr>
            </w:pPr>
            <w:r>
              <w:rPr>
                <w:rFonts w:asciiTheme="minorHAnsi" w:hAnsiTheme="minorHAnsi" w:cstheme="minorHAnsi"/>
                <w:b w:val="0"/>
                <w:sz w:val="20"/>
                <w:szCs w:val="20"/>
              </w:rPr>
              <w:t>ne</w:t>
            </w:r>
            <w:r w:rsidRPr="004C272D">
              <w:rPr>
                <w:rFonts w:asciiTheme="minorHAnsi" w:hAnsiTheme="minorHAnsi" w:cstheme="minorHAnsi"/>
                <w:b w:val="0"/>
                <w:sz w:val="20"/>
                <w:szCs w:val="20"/>
              </w:rPr>
              <w:t xml:space="preserve">možnost použít pro různé účely </w:t>
            </w:r>
            <w:r>
              <w:rPr>
                <w:rFonts w:asciiTheme="minorHAnsi" w:hAnsiTheme="minorHAnsi" w:cstheme="minorHAnsi"/>
                <w:b w:val="0"/>
                <w:sz w:val="20"/>
                <w:szCs w:val="20"/>
              </w:rPr>
              <w:t xml:space="preserve">dvě </w:t>
            </w:r>
            <w:r w:rsidRPr="004C272D">
              <w:rPr>
                <w:rFonts w:asciiTheme="minorHAnsi" w:hAnsiTheme="minorHAnsi" w:cstheme="minorHAnsi"/>
                <w:b w:val="0"/>
                <w:sz w:val="20"/>
                <w:szCs w:val="20"/>
              </w:rPr>
              <w:t>odlišné právní formy a s nimi spojené odlišné právní účinky</w:t>
            </w:r>
          </w:p>
        </w:tc>
        <w:tc>
          <w:tcPr>
            <w:tcW w:w="4502" w:type="dxa"/>
            <w:tcBorders>
              <w:bottom w:val="nil"/>
            </w:tcBorders>
            <w:vAlign w:val="center"/>
          </w:tcPr>
          <w:p w:rsidR="002962AB" w:rsidRDefault="006A5341"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5341">
              <w:rPr>
                <w:rFonts w:asciiTheme="minorHAnsi" w:hAnsiTheme="minorHAnsi" w:cstheme="minorHAnsi"/>
                <w:sz w:val="20"/>
                <w:szCs w:val="20"/>
              </w:rPr>
              <w:t>potřeb</w:t>
            </w:r>
            <w:r w:rsidR="003203F0">
              <w:rPr>
                <w:rFonts w:asciiTheme="minorHAnsi" w:hAnsiTheme="minorHAnsi" w:cstheme="minorHAnsi"/>
                <w:sz w:val="20"/>
                <w:szCs w:val="20"/>
              </w:rPr>
              <w:t>a</w:t>
            </w:r>
            <w:r w:rsidRPr="006A5341">
              <w:rPr>
                <w:rFonts w:asciiTheme="minorHAnsi" w:hAnsiTheme="minorHAnsi" w:cstheme="minorHAnsi"/>
                <w:sz w:val="20"/>
                <w:szCs w:val="20"/>
              </w:rPr>
              <w:t xml:space="preserve"> sta</w:t>
            </w:r>
            <w:r w:rsidR="004C272D">
              <w:rPr>
                <w:rFonts w:asciiTheme="minorHAnsi" w:hAnsiTheme="minorHAnsi" w:cstheme="minorHAnsi"/>
                <w:sz w:val="20"/>
                <w:szCs w:val="20"/>
              </w:rPr>
              <w:t>n</w:t>
            </w:r>
            <w:r w:rsidRPr="006A5341">
              <w:rPr>
                <w:rFonts w:asciiTheme="minorHAnsi" w:hAnsiTheme="minorHAnsi" w:cstheme="minorHAnsi"/>
                <w:sz w:val="20"/>
                <w:szCs w:val="20"/>
              </w:rPr>
              <w:t>ov</w:t>
            </w:r>
            <w:r w:rsidR="003203F0">
              <w:rPr>
                <w:rFonts w:asciiTheme="minorHAnsi" w:hAnsiTheme="minorHAnsi" w:cstheme="minorHAnsi"/>
                <w:sz w:val="20"/>
                <w:szCs w:val="20"/>
              </w:rPr>
              <w:t>it</w:t>
            </w:r>
            <w:r w:rsidRPr="006A5341">
              <w:rPr>
                <w:rFonts w:asciiTheme="minorHAnsi" w:hAnsiTheme="minorHAnsi" w:cstheme="minorHAnsi"/>
                <w:sz w:val="20"/>
                <w:szCs w:val="20"/>
              </w:rPr>
              <w:t xml:space="preserve"> a dodržov</w:t>
            </w:r>
            <w:r w:rsidR="003203F0">
              <w:rPr>
                <w:rFonts w:asciiTheme="minorHAnsi" w:hAnsiTheme="minorHAnsi" w:cstheme="minorHAnsi"/>
                <w:sz w:val="20"/>
                <w:szCs w:val="20"/>
              </w:rPr>
              <w:t>at</w:t>
            </w:r>
            <w:r w:rsidRPr="006A5341">
              <w:rPr>
                <w:rFonts w:asciiTheme="minorHAnsi" w:hAnsiTheme="minorHAnsi" w:cstheme="minorHAnsi"/>
                <w:sz w:val="20"/>
                <w:szCs w:val="20"/>
              </w:rPr>
              <w:t xml:space="preserve"> obsahov</w:t>
            </w:r>
            <w:r w:rsidR="003203F0">
              <w:rPr>
                <w:rFonts w:asciiTheme="minorHAnsi" w:hAnsiTheme="minorHAnsi" w:cstheme="minorHAnsi"/>
                <w:sz w:val="20"/>
                <w:szCs w:val="20"/>
              </w:rPr>
              <w:t>ý</w:t>
            </w:r>
            <w:r w:rsidRPr="006A5341">
              <w:rPr>
                <w:rFonts w:asciiTheme="minorHAnsi" w:hAnsiTheme="minorHAnsi" w:cstheme="minorHAnsi"/>
                <w:sz w:val="20"/>
                <w:szCs w:val="20"/>
              </w:rPr>
              <w:t xml:space="preserve"> soulad dvou dokumentů</w:t>
            </w:r>
          </w:p>
          <w:p w:rsidR="006465AE" w:rsidRPr="006465AE" w:rsidRDefault="004C272D"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sz w:val="20"/>
                <w:szCs w:val="20"/>
              </w:rPr>
              <w:t>celkově vyšší</w:t>
            </w:r>
            <w:r w:rsidR="006465AE" w:rsidRPr="006A5341">
              <w:rPr>
                <w:rFonts w:asciiTheme="minorHAnsi" w:hAnsiTheme="minorHAnsi" w:cstheme="minorHAnsi"/>
                <w:sz w:val="20"/>
                <w:szCs w:val="20"/>
              </w:rPr>
              <w:t xml:space="preserve"> procesní náročnost zpracování, projednání a schvalování </w:t>
            </w:r>
            <w:r>
              <w:rPr>
                <w:rFonts w:asciiTheme="minorHAnsi" w:hAnsiTheme="minorHAnsi" w:cstheme="minorHAnsi"/>
                <w:sz w:val="20"/>
                <w:szCs w:val="20"/>
              </w:rPr>
              <w:t>(nelze využít synergií)</w:t>
            </w:r>
          </w:p>
          <w:p w:rsidR="006465AE" w:rsidRPr="006465AE" w:rsidRDefault="006465AE"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6465AE">
              <w:rPr>
                <w:rFonts w:asciiTheme="minorHAnsi" w:hAnsiTheme="minorHAnsi" w:cstheme="minorHAnsi"/>
                <w:sz w:val="20"/>
                <w:szCs w:val="20"/>
              </w:rPr>
              <w:t>rizik</w:t>
            </w:r>
            <w:r w:rsidR="004C272D">
              <w:rPr>
                <w:rFonts w:asciiTheme="minorHAnsi" w:hAnsiTheme="minorHAnsi" w:cstheme="minorHAnsi"/>
                <w:sz w:val="20"/>
                <w:szCs w:val="20"/>
              </w:rPr>
              <w:t>o</w:t>
            </w:r>
            <w:r w:rsidRPr="006465AE">
              <w:rPr>
                <w:rFonts w:asciiTheme="minorHAnsi" w:hAnsiTheme="minorHAnsi" w:cstheme="minorHAnsi"/>
                <w:sz w:val="20"/>
                <w:szCs w:val="20"/>
              </w:rPr>
              <w:t xml:space="preserve"> vzájemných rozporů mezi dvěma dokumenty a potřeba úprav a aktualizací jednoho dokumentu v návaznosti na předtím provedené změny ve druhém dokumentu</w:t>
            </w:r>
          </w:p>
          <w:p w:rsidR="006465AE" w:rsidRPr="006A5341" w:rsidRDefault="004C272D" w:rsidP="00696E9E">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menší</w:t>
            </w:r>
            <w:r w:rsidR="006465AE" w:rsidRPr="006465AE">
              <w:rPr>
                <w:rFonts w:asciiTheme="minorHAnsi" w:hAnsiTheme="minorHAnsi" w:cstheme="minorHAnsi"/>
                <w:sz w:val="20"/>
                <w:szCs w:val="20"/>
              </w:rPr>
              <w:t xml:space="preserve"> prostor pro plynulé provázání obsahu části</w:t>
            </w:r>
            <w:r w:rsidR="006465AE" w:rsidRPr="006A5341">
              <w:rPr>
                <w:rFonts w:asciiTheme="minorHAnsi" w:hAnsiTheme="minorHAnsi" w:cstheme="minorHAnsi"/>
                <w:sz w:val="20"/>
                <w:szCs w:val="20"/>
              </w:rPr>
              <w:t xml:space="preserve"> vymezující záměry a strategické části </w:t>
            </w:r>
            <w:r w:rsidR="00696E9E" w:rsidRPr="006A5341">
              <w:rPr>
                <w:rFonts w:asciiTheme="minorHAnsi" w:hAnsiTheme="minorHAnsi" w:cstheme="minorHAnsi"/>
                <w:sz w:val="20"/>
                <w:szCs w:val="20"/>
              </w:rPr>
              <w:t>v</w:t>
            </w:r>
            <w:r w:rsidR="00696E9E">
              <w:rPr>
                <w:rFonts w:asciiTheme="minorHAnsi" w:hAnsiTheme="minorHAnsi" w:cstheme="minorHAnsi"/>
                <w:sz w:val="20"/>
                <w:szCs w:val="20"/>
              </w:rPr>
              <w:t> </w:t>
            </w:r>
            <w:r w:rsidR="006465AE" w:rsidRPr="006A5341">
              <w:rPr>
                <w:rFonts w:asciiTheme="minorHAnsi" w:hAnsiTheme="minorHAnsi" w:cstheme="minorHAnsi"/>
                <w:sz w:val="20"/>
                <w:szCs w:val="20"/>
              </w:rPr>
              <w:t>rámci jednoho dokumentu</w:t>
            </w:r>
          </w:p>
        </w:tc>
      </w:tr>
      <w:tr w:rsidR="006A5341" w:rsidRPr="0075491C" w:rsidTr="00A52B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570" w:type="dxa"/>
            <w:tcBorders>
              <w:top w:val="nil"/>
              <w:bottom w:val="single" w:sz="4" w:space="0" w:color="auto"/>
            </w:tcBorders>
            <w:shd w:val="clear" w:color="auto" w:fill="auto"/>
            <w:vAlign w:val="center"/>
          </w:tcPr>
          <w:p w:rsidR="006A5341" w:rsidRPr="006A5341" w:rsidRDefault="006A5341" w:rsidP="003E4A5D">
            <w:pPr>
              <w:widowControl w:val="0"/>
              <w:spacing w:before="0" w:after="0"/>
              <w:rPr>
                <w:rFonts w:asciiTheme="minorHAnsi" w:hAnsiTheme="minorHAnsi" w:cstheme="minorHAnsi"/>
                <w:sz w:val="4"/>
                <w:szCs w:val="4"/>
              </w:rPr>
            </w:pPr>
          </w:p>
        </w:tc>
        <w:tc>
          <w:tcPr>
            <w:tcW w:w="4502" w:type="dxa"/>
            <w:tcBorders>
              <w:top w:val="nil"/>
              <w:bottom w:val="single" w:sz="4" w:space="0" w:color="auto"/>
            </w:tcBorders>
            <w:shd w:val="clear" w:color="auto" w:fill="auto"/>
            <w:vAlign w:val="center"/>
          </w:tcPr>
          <w:p w:rsidR="006A5341" w:rsidRPr="006A5341" w:rsidRDefault="006A534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
                <w:szCs w:val="4"/>
              </w:rPr>
            </w:pPr>
          </w:p>
        </w:tc>
      </w:tr>
    </w:tbl>
    <w:p w:rsidR="000D45A9" w:rsidRDefault="004C272D" w:rsidP="003E4A5D">
      <w:pPr>
        <w:pStyle w:val="Normln-tun"/>
        <w:widowControl w:val="0"/>
      </w:pPr>
      <w:r>
        <w:t>Pro</w:t>
      </w:r>
      <w:r w:rsidR="002962AB">
        <w:t xml:space="preserve"> obě varianty platí, že ve stavebním zákoně </w:t>
      </w:r>
      <w:r>
        <w:t xml:space="preserve">bude nutné </w:t>
      </w:r>
      <w:r w:rsidR="002962AB">
        <w:t xml:space="preserve">upravit celou řadu otázek souvisejících s procesem přijímání i s právními účinky </w:t>
      </w:r>
      <w:r>
        <w:t>územně plánovacích dokumentů</w:t>
      </w:r>
      <w:r w:rsidR="002962AB">
        <w:t xml:space="preserve">. Rovněž rozsah soudního přezkumu </w:t>
      </w:r>
      <w:r>
        <w:t xml:space="preserve">bude </w:t>
      </w:r>
      <w:r w:rsidR="002962AB">
        <w:t>souvis</w:t>
      </w:r>
      <w:r>
        <w:t>et</w:t>
      </w:r>
      <w:r w:rsidR="002962AB">
        <w:t xml:space="preserve"> spíše s nastavením právních účinků a dopadů na </w:t>
      </w:r>
      <w:r>
        <w:t>dotčené strany</w:t>
      </w:r>
      <w:r w:rsidR="002962AB">
        <w:t xml:space="preserve"> než s tím, zda </w:t>
      </w:r>
      <w:r>
        <w:t>pů</w:t>
      </w:r>
      <w:r w:rsidR="002962AB">
        <w:t>jde o samostatný dokument či o zvláštní část jednoho dokumentu.</w:t>
      </w:r>
      <w:r w:rsidR="006465AE">
        <w:t xml:space="preserve"> </w:t>
      </w:r>
      <w:r>
        <w:t xml:space="preserve">Pokud však zohledníme hlavní cíl nového zákona, jímž je jednoduchost a přehlednost </w:t>
      </w:r>
      <w:r w:rsidR="00621811">
        <w:t>a vezmeme v úvahu, že výše uvedené dopady nelze přesně kvantifikovat, nabízí se k doporučení spíše varianta 1ai.</w:t>
      </w:r>
    </w:p>
    <w:p w:rsidR="00322819" w:rsidRDefault="00F13FBD" w:rsidP="003E4A5D">
      <w:pPr>
        <w:pStyle w:val="Normln-tun"/>
        <w:widowControl w:val="0"/>
        <w:rPr>
          <w:i/>
        </w:rPr>
      </w:pPr>
      <w:r w:rsidRPr="00621811">
        <w:rPr>
          <w:i/>
        </w:rPr>
        <w:t>Porovnání variant</w:t>
      </w:r>
      <w:r w:rsidR="002962AB" w:rsidRPr="00621811">
        <w:rPr>
          <w:i/>
        </w:rPr>
        <w:t>y</w:t>
      </w:r>
      <w:r w:rsidRPr="00621811">
        <w:rPr>
          <w:i/>
        </w:rPr>
        <w:t xml:space="preserve"> </w:t>
      </w:r>
      <w:r w:rsidR="002962AB" w:rsidRPr="00621811">
        <w:rPr>
          <w:i/>
        </w:rPr>
        <w:t>1bi oproti současnému stavu</w:t>
      </w:r>
      <w:r w:rsidRPr="00621811">
        <w:rPr>
          <w:i/>
        </w:rPr>
        <w:t xml:space="preserve"> </w:t>
      </w:r>
      <w:r w:rsidR="00621811" w:rsidRPr="00621811">
        <w:rPr>
          <w:i/>
        </w:rPr>
        <w:t xml:space="preserve">- </w:t>
      </w:r>
      <w:r w:rsidR="00621811">
        <w:rPr>
          <w:i/>
        </w:rPr>
        <w:t>s</w:t>
      </w:r>
      <w:r w:rsidR="00322819" w:rsidRPr="00621811">
        <w:rPr>
          <w:i/>
        </w:rPr>
        <w:t xml:space="preserve">rovnání formy obecně závazné vyhlášky </w:t>
      </w:r>
      <w:r w:rsidR="00621811">
        <w:rPr>
          <w:i/>
        </w:rPr>
        <w:t xml:space="preserve">(OZV) </w:t>
      </w:r>
      <w:r w:rsidR="00322819" w:rsidRPr="00621811">
        <w:rPr>
          <w:i/>
        </w:rPr>
        <w:t>a opatření obecné povahy</w:t>
      </w:r>
      <w:r w:rsidR="00621811">
        <w:rPr>
          <w:i/>
        </w:rPr>
        <w:t xml:space="preserve"> (OOP)</w:t>
      </w:r>
      <w:r w:rsidR="00322819" w:rsidRPr="00621811">
        <w:rPr>
          <w:i/>
        </w:rPr>
        <w:t xml:space="preserve"> jako nosiče územních plánů</w:t>
      </w:r>
      <w:r w:rsidR="008C2D12">
        <w:rPr>
          <w:i/>
        </w:rPr>
        <w:t xml:space="preserve"> </w:t>
      </w:r>
    </w:p>
    <w:p w:rsidR="00C12DAE" w:rsidRDefault="00C12DAE" w:rsidP="00A52B35">
      <w:pPr>
        <w:pStyle w:val="Titulek"/>
        <w:spacing w:after="120"/>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28</w:t>
      </w:r>
      <w:r w:rsidR="00AB65E9">
        <w:rPr>
          <w:noProof/>
        </w:rPr>
        <w:fldChar w:fldCharType="end"/>
      </w:r>
      <w:r>
        <w:t xml:space="preserve">: </w:t>
      </w:r>
      <w:r w:rsidRPr="00C12DAE">
        <w:t>Porovnání varianty 1bi oproti současnému stavu - srovnání formy obecně závazné vyhlášky (OZV) a opatření obecné povahy (OOP) jako nosiče územních plánů</w:t>
      </w:r>
    </w:p>
    <w:tbl>
      <w:tblPr>
        <w:tblStyle w:val="Tabulkaseznamu21"/>
        <w:tblW w:w="4885" w:type="pct"/>
        <w:tblInd w:w="108" w:type="dxa"/>
        <w:tblLook w:val="04A0" w:firstRow="1" w:lastRow="0" w:firstColumn="1" w:lastColumn="0" w:noHBand="0" w:noVBand="1"/>
      </w:tblPr>
      <w:tblGrid>
        <w:gridCol w:w="1751"/>
        <w:gridCol w:w="3714"/>
        <w:gridCol w:w="3607"/>
      </w:tblGrid>
      <w:tr w:rsidR="00D67A38" w:rsidRPr="00630CFE" w:rsidTr="00A52B3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53598E">
            <w:pPr>
              <w:pStyle w:val="Normln-tun"/>
              <w:widowControl w:val="0"/>
              <w:jc w:val="center"/>
              <w:rPr>
                <w:rFonts w:cstheme="minorHAnsi"/>
                <w:b w:val="0"/>
                <w:sz w:val="22"/>
              </w:rPr>
            </w:pPr>
          </w:p>
        </w:tc>
        <w:tc>
          <w:tcPr>
            <w:tcW w:w="2047" w:type="pct"/>
          </w:tcPr>
          <w:p w:rsidR="00D67A38" w:rsidRPr="000E635F" w:rsidRDefault="00D67A38" w:rsidP="0053598E">
            <w:pPr>
              <w:pStyle w:val="Normln-tun"/>
              <w:widowControl w:val="0"/>
              <w:jc w:val="center"/>
              <w:cnfStyle w:val="100000000000" w:firstRow="1" w:lastRow="0" w:firstColumn="0" w:lastColumn="0" w:oddVBand="0" w:evenVBand="0" w:oddHBand="0" w:evenHBand="0" w:firstRowFirstColumn="0" w:firstRowLastColumn="0" w:lastRowFirstColumn="0" w:lastRowLastColumn="0"/>
              <w:rPr>
                <w:rFonts w:cstheme="minorHAnsi"/>
                <w:smallCaps/>
                <w:sz w:val="22"/>
              </w:rPr>
            </w:pPr>
            <w:r w:rsidRPr="000E635F">
              <w:rPr>
                <w:rFonts w:cstheme="minorHAnsi"/>
                <w:smallCaps/>
                <w:sz w:val="22"/>
              </w:rPr>
              <w:t>Opatření obecné povahy</w:t>
            </w:r>
          </w:p>
        </w:tc>
        <w:tc>
          <w:tcPr>
            <w:tcW w:w="1989" w:type="pct"/>
          </w:tcPr>
          <w:p w:rsidR="00D67A38" w:rsidRPr="000E635F" w:rsidRDefault="00D67A38" w:rsidP="0053598E">
            <w:pPr>
              <w:pStyle w:val="Normln-tun"/>
              <w:widowControl w:val="0"/>
              <w:jc w:val="center"/>
              <w:cnfStyle w:val="100000000000" w:firstRow="1" w:lastRow="0" w:firstColumn="0" w:lastColumn="0" w:oddVBand="0" w:evenVBand="0" w:oddHBand="0" w:evenHBand="0" w:firstRowFirstColumn="0" w:firstRowLastColumn="0" w:lastRowFirstColumn="0" w:lastRowLastColumn="0"/>
              <w:rPr>
                <w:rFonts w:cstheme="minorHAnsi"/>
                <w:smallCaps/>
                <w:sz w:val="22"/>
              </w:rPr>
            </w:pPr>
            <w:r w:rsidRPr="000E635F">
              <w:rPr>
                <w:rFonts w:cstheme="minorHAnsi"/>
                <w:smallCaps/>
                <w:sz w:val="22"/>
              </w:rPr>
              <w:t>Obecně závazná vyhláška</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Abstraktní přezkum a jeho důsledky </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Aktivní legitimace: Kdokoliv, kdo byl na svých právech dotčen OOP; ve lhůtě 1 roku.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Počet instancí: krajský soud (následný přezkum jeho rozhodnutí u NSS, možnost podat stížnost k ÚS).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zrušení územního plánu v rozsahu aktivní legitimace navrhovatele.</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Aktivní legitimace: Okruh subjektů s aktivní legitimací užší než v případě OOP – viz § 64 odst. 2 zákona č. 182/1993 Sb., o Ústavním soudu.</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Počet instancí: varianta 1 - jen jedna soudní instance, pokud tuto pravomoc bude mít jako dosud jen Ústavní soud; varianta 2 – dvě instance, pokud by pravomoc k přezkumu zákonnosti byla podle čl. 87 odst. 3 Ústavy přenesena na NSS; nositelé ústavně zaručených práv by měli k dispozici ještě ústavní stížnost proti rozhodnutí NSS; přezkum ústavnosti OZV by musel být ponechán ÚS.</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zrušení části nebo celé OZV.</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Konkrétní kontrola zákonnosti </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 xml:space="preserve">Konkrétní kontrola zákonnosti soudem v „ryzí“ podobě (bez návrhu a s možností si samostatně posoudit zákonnost územního plánu a případně </w:t>
            </w:r>
            <w:r w:rsidRPr="000E635F">
              <w:rPr>
                <w:rFonts w:cstheme="minorHAnsi"/>
                <w:sz w:val="22"/>
              </w:rPr>
              <w:lastRenderedPageBreak/>
              <w:t>ho neaplikovat) dnes u OOP neexistuje.</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lastRenderedPageBreak/>
              <w:t>Probíhala by i bez návrhu v závislosti na diskreci soudce v souvislosti se žalobou proti rozhodnutí vycházejícího z územního plánu v OZV.</w:t>
            </w:r>
          </w:p>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lastRenderedPageBreak/>
              <w:t>Počet instancí: krajský soud a NSS [u ÚS možné postoupení k abstraktnímu přezkumu - § 64 odst. 2 písm. c) ZoÚS].</w:t>
            </w:r>
          </w:p>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Důsledky zjištění nezákonnosti: neaplikace nezákonné části OZV. S ohledem na to, že dotčené osoby budou mít omezenější možnost napadat územní plán, lze předpokládat větší počet žalob proti rozhodnutí vycházejícího z územního plánu v OZV.</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lastRenderedPageBreak/>
              <w:t>Incidenční přezkum</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Aktivní legitimace: kdokoliv, kdo může napadnout rozhodnutí vycházející z OOP; ve lhůtě 1 roku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Počet instancí: krajský soud (následný přezkum jeho rozhodnutí u NSS a ÚS).</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Důsledky zjištění nezákonnosti: zrušení v rozsahu aktivní legitimace navrhovatele, v krajních případech zjištěné nezákonnosti i zpětně. </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Probíhal by jen v souvislosti s ústavní stížností u ÚS [§ 74 a § 64 odst. 2 písm. c) ZoÚS].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Pokud by byl k abstraktnímu přezkumu aktivován NSS, lze zvážit i přenos incidenčního přezkumu do řízení o kasační stížnosti, kde by ho mohl navrhnout stěžovatel nebo tříčlenný senát.</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stejné jako u abstraktního přezkumu výše s případným dopadem na zákonnost napadeného rozhodnutí.</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Vyloučení zpětných účinků zrušení územního plánu</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Je legislativně přípustné, opět lze identifikovat rozpor s judikaturou NSS, tentokrát ovšem v mnohem menší míře než u časového omezení, NSS se neopřel o ústavní důvody a omezil možnost zpětného rušení na krajní případy (viz rozsudek Nejvyššího správního soudu ze dne 21. 6. 2017, č. j. 3 As 157/2016-63).</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Nepředstavuje problém, protože obecné soudy by jen v konkrétních věcech územní plán neaplikovaly a případné zrušení v abstraktním (či incidenčním přezkumu) by nemělo zpětné účinky na vydaná rozhodnutí a právní vztahy.</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Vypořádání připomínek veřejnosti </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Poměrně náročný proces, obzvláště v případě velkého počtu připomínek, na jejichž vypořádání klade judikatura správních soudů vysoké požadavky s hrozbou zrušení územního plánu v rozsahu aktivní legitimace navrhovatele v případě jejich nesplnění. </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Politické rozhodnutí, které se činí při přijímání každého právního předpisu. Účast veřejnosti na přijímání OZV by byla s ohledem na zakotvení nové úpravy procesu jejich přijímání přesto rozšířena. Nová úprava by také musela nastavit proces projednání připomínek či námitek vlastníků nemovitostí.</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Ochrana vlastníků</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Vlastníci mají potřebný procesní prostor k ochraně svých práv při přijímání OOP i v následném soudním přezkumu, poskytnutí ochrany jejich právům může vést ke zrušení územního plánu v rozsahu aktivní legitimace navrhovatele.</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Právní předpis podle ÚS sám o sobě neznamená zásah do základních práv, případně lze zakotvit účinnou procesní ochranu při přijímání OZV v kombinaci s fungujícím systémem náhrad za změny v území (po vzoru okolních zemí, kde je tento způsob kompenzace běžný).</w:t>
            </w:r>
          </w:p>
        </w:tc>
      </w:tr>
    </w:tbl>
    <w:p w:rsidR="00D67A38" w:rsidRDefault="00D67A38" w:rsidP="00D67A38">
      <w:pPr>
        <w:pStyle w:val="Normln-tun"/>
        <w:widowControl w:val="0"/>
      </w:pPr>
      <w:r>
        <w:t>Rozdíl mezi OOP a OZV lze shrnout následovně</w:t>
      </w:r>
      <w:r w:rsidRPr="001E6FB6">
        <w:t xml:space="preserve">. </w:t>
      </w:r>
      <w:r>
        <w:t xml:space="preserve">OOP je již zavedený institut územního plánování, k jehož procesu vydávání a přezkumu existuje poměrně bohatá judikatura NSS a ÚS. </w:t>
      </w:r>
      <w:r>
        <w:lastRenderedPageBreak/>
        <w:t xml:space="preserve">Institut OOP a jeho přezkum v současné podobě obsahuje řadu nedostatků, které bude nutné v rámci rekodifikace odstranit. Jedná se </w:t>
      </w:r>
      <w:r w:rsidR="00686D84">
        <w:t>například</w:t>
      </w:r>
      <w:r>
        <w:t xml:space="preserve"> o možnost zpětného rušení OOP v krajních případech nebo značné nároky na vypořádání připomínek a námitek při projednávání </w:t>
      </w:r>
      <w:r w:rsidR="00BD106E">
        <w:t>ÚPD</w:t>
      </w:r>
      <w:r>
        <w:t xml:space="preserve">. Větší jistotu v území může zajistit i úprava </w:t>
      </w:r>
      <w:r w:rsidR="00BD106E">
        <w:t>soudního řádu správního</w:t>
      </w:r>
      <w:r>
        <w:t xml:space="preserve"> v důsledcích zrušení OOP nebo jeho části do již vydaných rozhodnutí, která byla vydána na základě zrušeného OOP, a to po vzoru důsledků zrušení právního předpisu.</w:t>
      </w:r>
    </w:p>
    <w:p w:rsidR="00D67A38" w:rsidRDefault="00D67A38" w:rsidP="003E4A5D">
      <w:pPr>
        <w:pStyle w:val="Normln-tun"/>
        <w:widowControl w:val="0"/>
      </w:pPr>
      <w:r>
        <w:t xml:space="preserve">Odhlédneme-li od dnes již historické úpravy přijímání ÚPD ve formě OZV, bude změna formy ÚPD na OZV představovat zcela nový institut v rámci územního plánování. Proces přijímání ÚPD ve formě OZV bude muset být nastaven nově s přihlédnutím k zájmům vlastníků a dotčené veřejnosti na podobě ÚPD a k možnostem jejich vyjádření se v rámci procesu přijímání ÚPD. OZV bude znamenat značné zjednodušení soudního přezkumu ÚPD a jeho koncentraci na úroveň NSS </w:t>
      </w:r>
      <w:r w:rsidRPr="00BD106E">
        <w:t>nebo ÚS. Zde je nutné připomenout, že původně byl k přezkumu OOP příslušný NSS, od roku 2012 je přezkum OOP svěřen krajským soudům. Zavedení této formy tak bude vyžadovat přenastavení procesu přijímání</w:t>
      </w:r>
      <w:r>
        <w:t xml:space="preserve"> ÚPD a bude znamenat i nároky pro soudní instance, které budou muset v průběhu doby vytvořit zcela novou ustálenou judikaturu, zároveň však představuje možnost zcela nového nastavení procesu přijímání ÚPD.</w:t>
      </w:r>
    </w:p>
    <w:p w:rsidR="00EA6D22" w:rsidRPr="004507C4" w:rsidRDefault="00EA6D22" w:rsidP="003E4A5D">
      <w:pPr>
        <w:pStyle w:val="Normln-tun"/>
        <w:widowControl w:val="0"/>
        <w:rPr>
          <w:u w:val="single"/>
        </w:rPr>
      </w:pPr>
      <w:r w:rsidRPr="004507C4">
        <w:rPr>
          <w:u w:val="single"/>
        </w:rPr>
        <w:t>Varianta 2</w:t>
      </w:r>
    </w:p>
    <w:p w:rsidR="00EA6D22" w:rsidRDefault="00EA6D22" w:rsidP="003E4A5D">
      <w:pPr>
        <w:widowControl w:val="0"/>
      </w:pPr>
      <w:r w:rsidRPr="006B6106">
        <w:t xml:space="preserve">Přímé náklady spojené se zřízením národního geoportálu územního plánování budou činit cca 20 mil. Kč. Náklady na provoz geoportálu včetně údržby se odhadují na cca 3,5 mil. Kč/rok. Předpokládá se, že tyto náklady budou hrazeny ze státního rozpočtu. </w:t>
      </w:r>
    </w:p>
    <w:p w:rsidR="004507C4" w:rsidRPr="006B6106" w:rsidRDefault="004507C4" w:rsidP="003E4A5D">
      <w:pPr>
        <w:widowControl w:val="0"/>
      </w:pPr>
      <w:r>
        <w:t>Přínosy spočívají opět v kvalitnějším a efektivnějším procesu územního plánování a jeho pozitivních dopadech na rozvoj území.</w:t>
      </w:r>
    </w:p>
    <w:p w:rsidR="006E3132" w:rsidRPr="004507C4" w:rsidRDefault="006E3132" w:rsidP="003E4A5D">
      <w:pPr>
        <w:pStyle w:val="Normln-tun"/>
        <w:widowControl w:val="0"/>
        <w:rPr>
          <w:u w:val="single"/>
        </w:rPr>
      </w:pPr>
      <w:r w:rsidRPr="004507C4">
        <w:rPr>
          <w:u w:val="single"/>
        </w:rPr>
        <w:t>Varianta 3</w:t>
      </w:r>
    </w:p>
    <w:bookmarkEnd w:id="66"/>
    <w:p w:rsidR="006E3132" w:rsidRDefault="006E3132" w:rsidP="003E4A5D">
      <w:pPr>
        <w:pStyle w:val="Text-Normaln"/>
        <w:widowControl w:val="0"/>
      </w:pPr>
      <w:r>
        <w:t>V současnosti v </w:t>
      </w:r>
      <w:r w:rsidR="00C85BD6" w:rsidRPr="00C85BD6">
        <w:t>ČR</w:t>
      </w:r>
      <w:r>
        <w:t xml:space="preserve"> neexistuje informační systém obsahující informace ve smyslu registru fyzické infrastruktury. </w:t>
      </w:r>
    </w:p>
    <w:p w:rsidR="006E3132" w:rsidRDefault="006E3132" w:rsidP="003E4A5D">
      <w:pPr>
        <w:pStyle w:val="Text-Normaln"/>
        <w:widowControl w:val="0"/>
      </w:pPr>
      <w:r>
        <w:t xml:space="preserve">Na první pohled je zřejmé, že případná existence by byla jistě užitečná a do budoucna by se mohlo jednat o jeden ze strategických registrů </w:t>
      </w:r>
      <w:r w:rsidR="00C85BD6" w:rsidRPr="00C85BD6">
        <w:t>ČR</w:t>
      </w:r>
      <w:r>
        <w:t xml:space="preserve">. Problematická může být výše případně vynaložených nákladů, neboť ze zahraniční zkušenosti vyplývá, že náklady na pořízení takového registru představují stovky milionů Kč. V našich podmínkách je tu otázka využitelnosti a úplnosti. </w:t>
      </w:r>
      <w:r w:rsidR="001F5FD6">
        <w:t>V</w:t>
      </w:r>
      <w:r>
        <w:t xml:space="preserve"> případě </w:t>
      </w:r>
      <w:r w:rsidR="00C85BD6" w:rsidRPr="00C85BD6">
        <w:t>ČR</w:t>
      </w:r>
      <w:r>
        <w:t xml:space="preserve"> nejsou některé informace o existující fyzické infrastruktuře dostupné pro všechny typy sítí. Jedná se zejména o umístění </w:t>
      </w:r>
      <w:r w:rsidR="00B2597D">
        <w:t>a trasování prvků sítě a také o </w:t>
      </w:r>
      <w:r>
        <w:t>informace o jejich současném využití. Potřeba zmapovat a zaměřit sítě, u nichž k tomu doposud nedošlo (jedná se především o starší infrastrukturu), může přinést další náklady a celý systém ještě více prodražit.</w:t>
      </w:r>
      <w:r w:rsidR="001F5FD6" w:rsidRPr="001F5FD6">
        <w:t xml:space="preserve"> </w:t>
      </w:r>
      <w:r w:rsidR="001F5FD6">
        <w:t>Z důvodu vysoké nákladnosti tohoto systému je třeba, aby byl takový systém budován v souladu s dalšími připravovanými národními strategiemi typu Geoinformační strategie a další</w:t>
      </w:r>
      <w:r w:rsidR="002A7EFD">
        <w:t>mi</w:t>
      </w:r>
      <w:r w:rsidR="001F5FD6">
        <w:t>. V tomto ohledu může být problémem současná rozpracovanost této koncepce. Finální verze tohoto dokumentu není k dispozici a je tak obtížné nyní nastavit systém tak, aby byl v budoucnu s výše uvedenou strategií konzistentní.</w:t>
      </w:r>
      <w:r w:rsidR="001F5FD6" w:rsidRPr="001F5FD6">
        <w:t xml:space="preserve"> </w:t>
      </w:r>
      <w:r w:rsidR="001F5FD6">
        <w:t>Kvantifikaci nákladů na informační systém se detailně věnuje studie proveditelnosti, kterou si v roce 2015 nechal zpracovat ČTÚ</w:t>
      </w:r>
      <w:r w:rsidR="001F5FD6">
        <w:rPr>
          <w:rStyle w:val="Znakapoznpodarou"/>
        </w:rPr>
        <w:footnoteReference w:id="13"/>
      </w:r>
      <w:r w:rsidR="001F5FD6">
        <w:t xml:space="preserve">. Po potřeby vyhodnocení vycházíme z odhadu nákladů provedených v daném materiálu. Investiční náklady jsou odhadnuty na 124,2 mil. Kč, při čemž zahrnují pořízení hardwaru a komunikační infrastruktury, základního softwaru, APV systému Registru fyzické infrastruktury a konsolidovaných dat o fyzické infrastruktuře. Náklady na provoz byly ve studii proveditelnosti odhadnuty na 26,33 mil. Kč ročně. Uvedené náklady zahrnují nejen podporu provozu, ale i personální náklady na tým provozovatele. Skutečné náklady se mohou lehce lišit v závislosti na zvolené podobě </w:t>
      </w:r>
      <w:r w:rsidR="001F5FD6">
        <w:lastRenderedPageBreak/>
        <w:t>informačního systému a na jeho obsahu.</w:t>
      </w:r>
    </w:p>
    <w:p w:rsidR="00397F9B" w:rsidRDefault="006E3132" w:rsidP="003E4A5D">
      <w:pPr>
        <w:pStyle w:val="Text-Normaln"/>
        <w:widowControl w:val="0"/>
      </w:pPr>
      <w:r>
        <w:t>Jednoznačnou výhodou je obsah téměř kompletních dat o fyzické infrastruktuře</w:t>
      </w:r>
      <w:r w:rsidR="001F5FD6">
        <w:t>.</w:t>
      </w:r>
      <w:r w:rsidR="00CC2271">
        <w:t xml:space="preserve"> Při jeho budování je </w:t>
      </w:r>
      <w:r w:rsidR="00CC2271" w:rsidRPr="00CC2271">
        <w:t xml:space="preserve">však třeba počítat s přechodným obdobím. </w:t>
      </w:r>
      <w:r w:rsidR="00397F9B" w:rsidRPr="00CC2271">
        <w:t xml:space="preserve">Na základě </w:t>
      </w:r>
      <w:r w:rsidR="00CC2271" w:rsidRPr="00CC2271">
        <w:t xml:space="preserve">§ 27 a § 161 </w:t>
      </w:r>
      <w:r w:rsidR="006830C3">
        <w:t xml:space="preserve">stávajícího </w:t>
      </w:r>
      <w:r w:rsidR="00CC2271" w:rsidRPr="00CC2271">
        <w:t xml:space="preserve">stavebního zákona </w:t>
      </w:r>
      <w:r w:rsidR="00397F9B" w:rsidRPr="00CC2271">
        <w:t xml:space="preserve">jsou v ČR </w:t>
      </w:r>
      <w:r w:rsidR="00CC2271">
        <w:t xml:space="preserve">(2016) </w:t>
      </w:r>
      <w:r w:rsidR="00397F9B" w:rsidRPr="00CC2271">
        <w:t>dostupná následující data o technické infrastruktuře</w:t>
      </w:r>
      <w:r w:rsidR="00CC2271" w:rsidRPr="00CC2271">
        <w:t xml:space="preserve"> z i</w:t>
      </w:r>
      <w:r w:rsidR="00397F9B" w:rsidRPr="00CC2271">
        <w:t>nformační</w:t>
      </w:r>
      <w:r w:rsidR="00CC2271" w:rsidRPr="00CC2271">
        <w:t>ch</w:t>
      </w:r>
      <w:r w:rsidR="00397F9B" w:rsidRPr="00CC2271">
        <w:t xml:space="preserve"> systém</w:t>
      </w:r>
      <w:r w:rsidR="00CC2271" w:rsidRPr="00CC2271">
        <w:t>ů</w:t>
      </w:r>
      <w:r w:rsidR="00397F9B" w:rsidRPr="00CC2271">
        <w:t xml:space="preserve"> provozovatelů sítí infrastruktury</w:t>
      </w:r>
      <w:r w:rsidR="00CC2271">
        <w:t>:</w:t>
      </w:r>
    </w:p>
    <w:p w:rsidR="00397F9B" w:rsidRDefault="00397F9B" w:rsidP="003E4A5D">
      <w:pPr>
        <w:widowControl w:val="0"/>
        <w:rPr>
          <w:i/>
        </w:rPr>
      </w:pPr>
      <w:r>
        <w:rPr>
          <w:i/>
        </w:rPr>
        <w:t>Oblast přepravy a distribuce plynu</w:t>
      </w:r>
    </w:p>
    <w:p w:rsidR="00397F9B" w:rsidRDefault="00397F9B" w:rsidP="003E4A5D">
      <w:pPr>
        <w:widowControl w:val="0"/>
      </w:pPr>
      <w:r>
        <w:t xml:space="preserve">V GIS jsou uložena data o </w:t>
      </w:r>
      <w:r w:rsidR="006830C3">
        <w:t>c</w:t>
      </w:r>
      <w:r>
        <w:t xml:space="preserve">ca 100 % provozovaných distribučních plynárenských zařízeních. Jedná se o polohopisné informace a základní technické a organizační informace. U plynárenských zařízení vyřazených z provozu je u distribučních společností situace mírně rozdílná, ale v souhrnu jsou v GIS data o cca 50 % plynovodech. Tyto informace však nemají vysokou kvalitu. Provozovatel přepravní soustavy má v GIS uložena geoprostorová a technická (atributová) data k plynárenskému zařízení z 99 %. </w:t>
      </w:r>
    </w:p>
    <w:p w:rsidR="00397F9B" w:rsidRDefault="00397F9B" w:rsidP="003E4A5D">
      <w:pPr>
        <w:widowControl w:val="0"/>
      </w:pPr>
      <w:r>
        <w:t>Co se tý</w:t>
      </w:r>
      <w:r w:rsidR="002A7EFD">
        <w:t>ká</w:t>
      </w:r>
      <w:r>
        <w:t xml:space="preserve"> přesného zaměření, existuje riziko u historicky přebíraných plynárenských zařízení (zejména před rokem 1995), kdy cca 50 % sítě bylo digitalizováno dodatečným vytýčením a zaměřením trasy či překreslením výkresové dokumentace do účelových map povrchové situace. Většinově se známá místa s polohovými odchylkami cíleně prověřovala a opravovala. Odhad míst s podezřením na polohové odchylky činí méně než 1%, nicméně ročně se zjišťuje několik desítek až stovek nových podezřelých míst. U přenosové plynárenské soustavy se riziko nepřesného zaměření může týkat zařízení, která byla zaměřena do roku 1996. U tranzitních plynovodů došlo k přeměření po vytýčení hledačem. Vnitrostátní plynovody se postupně doměřují. Zařízení postavená po roce 1996 představují 18 % sítě, z 82 % se jedná o plynovody postavené před rokem 1996 a tudíž nepřesně zaměřené.</w:t>
      </w:r>
    </w:p>
    <w:p w:rsidR="00397F9B" w:rsidRDefault="00397F9B" w:rsidP="003E4A5D">
      <w:pPr>
        <w:widowControl w:val="0"/>
        <w:rPr>
          <w:i/>
        </w:rPr>
      </w:pPr>
      <w:r>
        <w:rPr>
          <w:i/>
        </w:rPr>
        <w:t>Oblast distribuce elektrické energie</w:t>
      </w:r>
    </w:p>
    <w:p w:rsidR="00397F9B" w:rsidRDefault="00397F9B" w:rsidP="003E4A5D">
      <w:pPr>
        <w:widowControl w:val="0"/>
      </w:pPr>
      <w:r>
        <w:t>Veškerá technická dokumentace je evidována v elektronické podobě. Jde o údaje o technických a ekonomických parametrech, poloze a propojení zařízení distribuční sítě. V listinné podobě jsou archivovány projektové dokumentace a nabývací tituly k technické infrastruktuře. Přesná poloha ve smyslu přesného geodetického zaměření sítě ve třetí třídě přesnosti není známa u 62 % z celkového rozsahu distribuční sítí.</w:t>
      </w:r>
    </w:p>
    <w:p w:rsidR="00397F9B" w:rsidRDefault="00397F9B" w:rsidP="003E4A5D">
      <w:pPr>
        <w:widowControl w:val="0"/>
        <w:jc w:val="left"/>
        <w:rPr>
          <w:i/>
        </w:rPr>
      </w:pPr>
      <w:r>
        <w:rPr>
          <w:i/>
        </w:rPr>
        <w:t>Oblast telekomunikačních sítí</w:t>
      </w:r>
    </w:p>
    <w:p w:rsidR="00397F9B" w:rsidRDefault="00397F9B" w:rsidP="003E4A5D">
      <w:pPr>
        <w:widowControl w:val="0"/>
      </w:pPr>
      <w:r>
        <w:t xml:space="preserve">K </w:t>
      </w:r>
      <w:r w:rsidR="007857B6">
        <w:t>c</w:t>
      </w:r>
      <w:r>
        <w:t xml:space="preserve">ca 100 % sítě existuje dokumentace v elektronické podobě, stejně jako jsou veškeré návrhy projektů a aktualizace dat prováděny pouze v elektronické formě. Z podzemních sítí nemusí být zaměřeno cca 16 % sítě. </w:t>
      </w:r>
    </w:p>
    <w:p w:rsidR="007857B6" w:rsidRDefault="007857B6" w:rsidP="00215D45">
      <w:pPr>
        <w:widowControl w:val="0"/>
        <w:jc w:val="left"/>
        <w:rPr>
          <w:i/>
        </w:rPr>
      </w:pPr>
      <w:r w:rsidRPr="00215D45">
        <w:rPr>
          <w:i/>
        </w:rPr>
        <w:t xml:space="preserve">Oblast vodovodů a kanalizací (splašková, smíšená </w:t>
      </w:r>
      <w:r>
        <w:rPr>
          <w:i/>
        </w:rPr>
        <w:t>a</w:t>
      </w:r>
      <w:r w:rsidRPr="00215D45">
        <w:rPr>
          <w:i/>
        </w:rPr>
        <w:t xml:space="preserve"> dešťová)</w:t>
      </w:r>
    </w:p>
    <w:p w:rsidR="007857B6" w:rsidRPr="00CA6A16" w:rsidRDefault="007857B6" w:rsidP="00CA6A16">
      <w:pPr>
        <w:widowControl w:val="0"/>
      </w:pPr>
      <w:r w:rsidRPr="00215D45">
        <w:t xml:space="preserve">Oblast vodovodů a kanalizací </w:t>
      </w:r>
      <w:r w:rsidR="006D24A4" w:rsidRPr="00215D45">
        <w:t xml:space="preserve">ve vlastnictví obcí </w:t>
      </w:r>
      <w:r w:rsidRPr="00215D45">
        <w:t xml:space="preserve">je nejhůře zmapována. Zejména stavby vodovodů a kanalizací (splašková, smíšená a dešťová) realizované v „akci Z“ </w:t>
      </w:r>
      <w:r w:rsidR="006D24A4" w:rsidRPr="00215D45">
        <w:t>většinou postrádají</w:t>
      </w:r>
      <w:r w:rsidRPr="00215D45">
        <w:t xml:space="preserve"> </w:t>
      </w:r>
      <w:r w:rsidR="006D24A4" w:rsidRPr="00215D45">
        <w:t>dokumentaci skutečného provedení a kvalitní zaměření. Bližší údaje však nejsou k dispozici.</w:t>
      </w:r>
      <w:r w:rsidRPr="00215D45">
        <w:t xml:space="preserve"> </w:t>
      </w:r>
    </w:p>
    <w:p w:rsidR="00F8483B" w:rsidRPr="008712FB" w:rsidRDefault="004540F4" w:rsidP="008712FB">
      <w:pPr>
        <w:pStyle w:val="Nadpis2a"/>
        <w:widowControl w:val="0"/>
        <w:rPr>
          <w:vanish/>
        </w:rPr>
      </w:pPr>
      <w:bookmarkStart w:id="70" w:name="_Toc536431008"/>
      <w:bookmarkStart w:id="71" w:name="_Toc536553926"/>
      <w:bookmarkEnd w:id="70"/>
      <w:r w:rsidRPr="004540F4">
        <w:t>PROCESNÍ ZMĚNY</w:t>
      </w:r>
      <w:r w:rsidR="005B6EB1">
        <w:t xml:space="preserve"> </w:t>
      </w:r>
      <w:r w:rsidR="0008064D">
        <w:t xml:space="preserve">V POVOLOVACÍM PROCESU </w:t>
      </w:r>
      <w:r w:rsidR="005B6EB1">
        <w:t>– J</w:t>
      </w:r>
      <w:r w:rsidR="0008064D">
        <w:t>EDNO ROZHODNUTÍ</w:t>
      </w:r>
      <w:bookmarkStart w:id="72" w:name="_Toc536431010"/>
      <w:bookmarkEnd w:id="71"/>
      <w:bookmarkEnd w:id="72"/>
    </w:p>
    <w:p w:rsidR="00B6056E" w:rsidRPr="00521833" w:rsidRDefault="00486BB0" w:rsidP="003E4A5D">
      <w:pPr>
        <w:pStyle w:val="Text-Normaln"/>
        <w:widowControl w:val="0"/>
      </w:pPr>
      <w:r w:rsidRPr="00F17D93">
        <w:rPr>
          <w:b/>
        </w:rPr>
        <w:t>Definice problému:</w:t>
      </w:r>
      <w:r w:rsidRPr="00521833">
        <w:t xml:space="preserve"> </w:t>
      </w:r>
      <w:r w:rsidR="00B6056E">
        <w:t>Zdlouhavý a komplikovaný povolovací proces</w:t>
      </w:r>
      <w:r w:rsidR="00A06010">
        <w:t xml:space="preserve"> (viz kapitola Popis současného stavu)</w:t>
      </w:r>
    </w:p>
    <w:p w:rsidR="00486BB0" w:rsidRDefault="00486BB0" w:rsidP="003E4A5D">
      <w:pPr>
        <w:pStyle w:val="Text-Normaln"/>
        <w:widowControl w:val="0"/>
        <w:rPr>
          <w:b/>
        </w:rPr>
      </w:pPr>
      <w:r w:rsidRPr="00ED4BCB">
        <w:rPr>
          <w:b/>
        </w:rPr>
        <w:t>Návrh variant řešení:</w:t>
      </w:r>
    </w:p>
    <w:p w:rsidR="00993B98" w:rsidRPr="00992A63" w:rsidRDefault="00993B98" w:rsidP="003E4A5D">
      <w:pPr>
        <w:pStyle w:val="Text-Normaln"/>
        <w:widowControl w:val="0"/>
        <w:rPr>
          <w:i/>
        </w:rPr>
      </w:pPr>
      <w:r w:rsidRPr="00813344">
        <w:rPr>
          <w:b/>
          <w:i/>
        </w:rPr>
        <w:t>Varianta 0:</w:t>
      </w:r>
      <w:r w:rsidRPr="00813344">
        <w:rPr>
          <w:i/>
        </w:rPr>
        <w:t xml:space="preserve"> </w:t>
      </w:r>
      <w:r w:rsidRPr="00992A63">
        <w:rPr>
          <w:i/>
        </w:rPr>
        <w:t>Zachování současného stavu</w:t>
      </w:r>
    </w:p>
    <w:p w:rsidR="00836BC2" w:rsidRPr="001F5FD6" w:rsidRDefault="00836BC2" w:rsidP="003E4A5D">
      <w:pPr>
        <w:widowControl w:val="0"/>
        <w:spacing w:line="24" w:lineRule="atLeast"/>
        <w:rPr>
          <w:i/>
          <w:color w:val="000000" w:themeColor="text1"/>
        </w:rPr>
      </w:pPr>
      <w:r w:rsidRPr="00993B98">
        <w:rPr>
          <w:b/>
          <w:i/>
          <w:color w:val="000000" w:themeColor="text1"/>
        </w:rPr>
        <w:t>Varianta 1</w:t>
      </w:r>
      <w:r w:rsidR="00993B98" w:rsidRPr="00993B98">
        <w:rPr>
          <w:b/>
          <w:i/>
          <w:color w:val="000000" w:themeColor="text1"/>
        </w:rPr>
        <w:t>:</w:t>
      </w:r>
      <w:r w:rsidRPr="001F5FD6">
        <w:rPr>
          <w:i/>
          <w:color w:val="000000" w:themeColor="text1"/>
        </w:rPr>
        <w:t xml:space="preserve"> </w:t>
      </w:r>
      <w:r w:rsidR="00993B98" w:rsidRPr="001F5FD6">
        <w:rPr>
          <w:i/>
        </w:rPr>
        <w:t>Integrace povolovacího řízení</w:t>
      </w:r>
    </w:p>
    <w:p w:rsidR="00836BC2" w:rsidRDefault="00934EE8" w:rsidP="003E4A5D">
      <w:pPr>
        <w:widowControl w:val="0"/>
        <w:spacing w:line="24" w:lineRule="atLeast"/>
      </w:pPr>
      <w:r>
        <w:t xml:space="preserve">Na základě žádosti </w:t>
      </w:r>
      <w:r w:rsidR="00855025">
        <w:t xml:space="preserve">žadatele </w:t>
      </w:r>
      <w:r>
        <w:t xml:space="preserve">o povolení stavby </w:t>
      </w:r>
      <w:r w:rsidR="00836BC2" w:rsidRPr="006501D8">
        <w:t xml:space="preserve">by </w:t>
      </w:r>
      <w:r w:rsidR="00836BC2">
        <w:t xml:space="preserve">bylo </w:t>
      </w:r>
      <w:r w:rsidR="00836BC2" w:rsidRPr="006501D8">
        <w:t>ved</w:t>
      </w:r>
      <w:r w:rsidR="00836BC2">
        <w:t>eno</w:t>
      </w:r>
      <w:r w:rsidR="00B2597D">
        <w:t xml:space="preserve"> pouze jedno správní řízení o </w:t>
      </w:r>
      <w:r w:rsidR="00836BC2" w:rsidRPr="00CE20B5">
        <w:t>povolení stavby</w:t>
      </w:r>
      <w:r w:rsidR="00836BC2" w:rsidRPr="006501D8">
        <w:t xml:space="preserve">, </w:t>
      </w:r>
      <w:r w:rsidRPr="00934EE8">
        <w:t xml:space="preserve">směřující k vydání jediného </w:t>
      </w:r>
      <w:r w:rsidRPr="00993B98">
        <w:t>rozhodnutí o povolení stavby,</w:t>
      </w:r>
      <w:r w:rsidRPr="00934EE8">
        <w:t xml:space="preserve"> </w:t>
      </w:r>
      <w:r w:rsidR="00836BC2" w:rsidRPr="006501D8">
        <w:t xml:space="preserve">které by jej pak přímo opravňovalo k uskutečnění záměru. </w:t>
      </w:r>
      <w:r>
        <w:t>Rozhodnutí o p</w:t>
      </w:r>
      <w:r w:rsidRPr="00CE20B5">
        <w:t xml:space="preserve">ovolení </w:t>
      </w:r>
      <w:r w:rsidR="00836BC2" w:rsidRPr="00CE20B5">
        <w:t>stavby</w:t>
      </w:r>
      <w:r w:rsidR="00836BC2" w:rsidRPr="006501D8">
        <w:t xml:space="preserve"> by z pohledu dnešní právní úpravy integrovalo </w:t>
      </w:r>
      <w:r>
        <w:t xml:space="preserve">zejména </w:t>
      </w:r>
      <w:r w:rsidR="00836BC2" w:rsidRPr="006501D8">
        <w:t>územní řízení a stavební řízení, případně proces EIA</w:t>
      </w:r>
      <w:r>
        <w:t xml:space="preserve">, IPPC </w:t>
      </w:r>
      <w:r w:rsidR="00FB6639" w:rsidRPr="000066CE">
        <w:lastRenderedPageBreak/>
        <w:t>i </w:t>
      </w:r>
      <w:r w:rsidRPr="000066CE">
        <w:t>vyvlastnění</w:t>
      </w:r>
      <w:r w:rsidR="00836BC2" w:rsidRPr="000066CE">
        <w:t xml:space="preserve">. </w:t>
      </w:r>
      <w:r w:rsidR="00836BC2" w:rsidRPr="000066CE">
        <w:rPr>
          <w:caps/>
        </w:rPr>
        <w:t>ř</w:t>
      </w:r>
      <w:r w:rsidR="00836BC2" w:rsidRPr="000066CE">
        <w:t>ízení o</w:t>
      </w:r>
      <w:r w:rsidR="00836BC2" w:rsidRPr="007D075A">
        <w:t xml:space="preserve"> povolení</w:t>
      </w:r>
      <w:r w:rsidR="00836BC2">
        <w:t xml:space="preserve"> stavby </w:t>
      </w:r>
      <w:r w:rsidR="00836BC2" w:rsidRPr="006501D8">
        <w:t xml:space="preserve">by bylo zahájeno na žádost žadatele, ke které by žadatel přiložil dokumentaci v rozsahu a obsahu dnešní dokumentace pro </w:t>
      </w:r>
      <w:r w:rsidR="009019DE">
        <w:t xml:space="preserve">vydání územního rozhodnutí </w:t>
      </w:r>
      <w:r w:rsidRPr="00C041E0">
        <w:rPr>
          <w:color w:val="000000"/>
          <w:szCs w:val="24"/>
        </w:rPr>
        <w:t xml:space="preserve">doplněné </w:t>
      </w:r>
      <w:r w:rsidR="006D24A4" w:rsidRPr="00C041E0">
        <w:rPr>
          <w:color w:val="000000"/>
          <w:szCs w:val="24"/>
        </w:rPr>
        <w:t>o</w:t>
      </w:r>
      <w:r w:rsidR="006D24A4">
        <w:rPr>
          <w:color w:val="000000"/>
          <w:szCs w:val="24"/>
        </w:rPr>
        <w:t> </w:t>
      </w:r>
      <w:r w:rsidRPr="00C041E0">
        <w:rPr>
          <w:color w:val="000000"/>
          <w:szCs w:val="24"/>
        </w:rPr>
        <w:t>některé další konkrétní požadavky</w:t>
      </w:r>
      <w:r w:rsidR="009019DE">
        <w:rPr>
          <w:color w:val="000000"/>
          <w:szCs w:val="24"/>
        </w:rPr>
        <w:t xml:space="preserve"> pro realizaci stavby</w:t>
      </w:r>
      <w:r w:rsidR="00836BC2" w:rsidRPr="006501D8">
        <w:t xml:space="preserve"> a další </w:t>
      </w:r>
      <w:r w:rsidR="001F5FD6">
        <w:t xml:space="preserve">případné </w:t>
      </w:r>
      <w:r w:rsidR="00836BC2" w:rsidRPr="006501D8">
        <w:t xml:space="preserve">podklady </w:t>
      </w:r>
      <w:r w:rsidR="00FB6639" w:rsidRPr="006501D8">
        <w:t>v</w:t>
      </w:r>
      <w:r w:rsidR="00FB6639">
        <w:t> </w:t>
      </w:r>
      <w:r w:rsidR="00836BC2" w:rsidRPr="006501D8">
        <w:t>rozsahu s</w:t>
      </w:r>
      <w:r w:rsidR="00B2597D">
        <w:t>tanoveném ve stavebním zákoně a </w:t>
      </w:r>
      <w:r w:rsidR="00836BC2" w:rsidRPr="006501D8">
        <w:t xml:space="preserve">dalších složkových zákonech. Po vyjádření všech </w:t>
      </w:r>
      <w:r w:rsidR="006D24A4">
        <w:t>DO</w:t>
      </w:r>
      <w:r w:rsidR="00836BC2" w:rsidRPr="006501D8">
        <w:t xml:space="preserve"> by stavební úřad </w:t>
      </w:r>
      <w:r w:rsidR="001F5FD6">
        <w:t>projednal</w:t>
      </w:r>
      <w:r w:rsidR="00836BC2" w:rsidRPr="006501D8">
        <w:t xml:space="preserve"> stanoviska, námitky a připomínky všech ostatních </w:t>
      </w:r>
      <w:r w:rsidR="006D24A4">
        <w:t>DO</w:t>
      </w:r>
      <w:r w:rsidR="00836BC2" w:rsidRPr="006501D8">
        <w:t xml:space="preserve"> </w:t>
      </w:r>
      <w:r w:rsidR="00FB6639" w:rsidRPr="006501D8">
        <w:t>a</w:t>
      </w:r>
      <w:r w:rsidR="00FB6639">
        <w:t> </w:t>
      </w:r>
      <w:r w:rsidR="00836BC2" w:rsidRPr="006501D8">
        <w:t xml:space="preserve">účastníků řízení. </w:t>
      </w:r>
      <w:r w:rsidR="00855025">
        <w:t>Žadatel by měl po získání pravomocného povolení stavby zákonem uloženou povinnost vyhotovit dokumentaci pro provádění stavby</w:t>
      </w:r>
      <w:r w:rsidR="00B47874" w:rsidRPr="00C041E0">
        <w:rPr>
          <w:color w:val="000000"/>
          <w:szCs w:val="24"/>
        </w:rPr>
        <w:t>, podle které se bude stavba provádět</w:t>
      </w:r>
      <w:r w:rsidR="00B47874">
        <w:t>.</w:t>
      </w:r>
    </w:p>
    <w:p w:rsidR="00A105D2" w:rsidRDefault="00F824CB" w:rsidP="003E4A5D">
      <w:pPr>
        <w:pStyle w:val="Text-Normaln"/>
        <w:widowControl w:val="0"/>
        <w:rPr>
          <w:b/>
        </w:rPr>
      </w:pPr>
      <w:r>
        <w:rPr>
          <w:b/>
        </w:rPr>
        <w:t>Identifikace</w:t>
      </w:r>
      <w:r w:rsidR="00A105D2" w:rsidRPr="00CF6F45">
        <w:rPr>
          <w:b/>
        </w:rPr>
        <w:t xml:space="preserve"> nákladů a přínosů:</w:t>
      </w:r>
    </w:p>
    <w:p w:rsidR="004A3A07" w:rsidRDefault="004A3A07" w:rsidP="003E4A5D">
      <w:pPr>
        <w:widowControl w:val="0"/>
      </w:pPr>
      <w:r>
        <w:t xml:space="preserve">Náklady budou u této varianty vznikat v případě, že bude jako podklad pro započetí řízení </w:t>
      </w:r>
      <w:r w:rsidR="006D24A4">
        <w:t xml:space="preserve">před stavebním úřadem </w:t>
      </w:r>
      <w:r>
        <w:t xml:space="preserve">požadována podrobnější projektová dokumentace, než je tomu v současné době. </w:t>
      </w:r>
      <w:r w:rsidRPr="00416CE5">
        <w:t xml:space="preserve">Tyto náklady můžeme </w:t>
      </w:r>
      <w:r>
        <w:t xml:space="preserve">případně </w:t>
      </w:r>
      <w:r w:rsidRPr="00416CE5">
        <w:t xml:space="preserve">odhadnout jako násobek podílu případů, kdy byla v minulosti zamítnuta žádost o územní rozhodnutí či projektová dokumentace musela být přepracována z jiných důvodů, </w:t>
      </w:r>
      <w:r>
        <w:t xml:space="preserve">1 - </w:t>
      </w:r>
      <w:r w:rsidRPr="00416CE5">
        <w:t>1,5</w:t>
      </w:r>
      <w:r>
        <w:t> </w:t>
      </w:r>
      <w:r w:rsidRPr="00416CE5">
        <w:t>% investičních nákladů projektu a koeficientu, který zohledňuje to, že změna projektové dokumentace je méně náročná než vypracování nové projektové dokumentace. Průměrnou velikost tohoto nákladu odhadujeme na 0,375 % investičních nákladů</w:t>
      </w:r>
      <w:r w:rsidR="00567EBF" w:rsidRPr="00567EBF">
        <w:t xml:space="preserve"> </w:t>
      </w:r>
      <w:r w:rsidR="005258F7">
        <w:t>(</w:t>
      </w:r>
      <w:r w:rsidR="005258F7" w:rsidRPr="005258F7">
        <w:t>za předpokladu, že přepracování dokumentace stojí ½ vypracování nové a že podíl případů, kdy byla v minulosti zamítnuta žádost o územní rozhodnutí či projektová dokumentace musela být přepracována z jiných důvodů, je 50 %)</w:t>
      </w:r>
    </w:p>
    <w:p w:rsidR="00F26F7B" w:rsidRDefault="00F26F7B" w:rsidP="003E4A5D">
      <w:pPr>
        <w:widowControl w:val="0"/>
      </w:pPr>
      <w:r w:rsidRPr="00F26F7B">
        <w:t xml:space="preserve">Pokud jde o vymezení typu staveb, obecných požadavků na výstavbu, obsah a rozsah </w:t>
      </w:r>
      <w:r w:rsidRPr="00212EE8">
        <w:t xml:space="preserve">dokumentace atd., tedy o stavební právo hmotné, zejména potom o hmotně právní stránku řízení, potom je nutné zkonstatovat, že záměrem RIA nebylo se touto otázkou detailněji zabývat. Důvodem je detailní rozpracování této otázky v rámci </w:t>
      </w:r>
      <w:r w:rsidR="008B0435">
        <w:t>věcného záměru</w:t>
      </w:r>
      <w:r w:rsidRPr="00F26F7B">
        <w:t>. RIA se tedy dále zabývá jednotným řízením (vč. postupů) pro všechny typy staveb podléhající úpravě nového stavebního zákona (s výjimkou staveb, které budou v novém stavebním zákoně výslovně vyloučeny z povolovacího režimu).</w:t>
      </w:r>
    </w:p>
    <w:p w:rsidR="00486BB0" w:rsidRPr="00567EBF" w:rsidRDefault="00567EBF" w:rsidP="00567EBF">
      <w:pPr>
        <w:widowControl w:val="0"/>
      </w:pPr>
      <w:r w:rsidRPr="00416CE5">
        <w:t xml:space="preserve">Hlavní přínosy varianty </w:t>
      </w:r>
      <w:r>
        <w:t xml:space="preserve">1 </w:t>
      </w:r>
      <w:r w:rsidRPr="00416CE5">
        <w:t xml:space="preserve">opět přímo souvisí se zrychlením povolovacího procesu. </w:t>
      </w:r>
      <w:r>
        <w:t>Protože hodnotu přínosů této věcné varianty nelze oddělit od ostatních opatření, vše je opět uvedeno v </w:t>
      </w:r>
      <w:r w:rsidRPr="00F26F7B">
        <w:t>závěrečné souhrnné tabulce.</w:t>
      </w:r>
    </w:p>
    <w:p w:rsidR="00D94012" w:rsidRDefault="00D94012" w:rsidP="00D94012">
      <w:pPr>
        <w:pStyle w:val="Nadpis2a"/>
        <w:widowControl w:val="0"/>
        <w:rPr>
          <w:caps/>
        </w:rPr>
      </w:pPr>
      <w:bookmarkStart w:id="73" w:name="_Toc535507170"/>
      <w:bookmarkStart w:id="74" w:name="_Toc536553927"/>
      <w:r w:rsidRPr="00BF74A9">
        <w:rPr>
          <w:caps/>
        </w:rPr>
        <w:t>Změny stavebního hmotného práva</w:t>
      </w:r>
      <w:bookmarkEnd w:id="73"/>
      <w:bookmarkEnd w:id="74"/>
    </w:p>
    <w:p w:rsidR="002D22B1" w:rsidRDefault="002D22B1" w:rsidP="002D22B1">
      <w:pPr>
        <w:pStyle w:val="Text-Normaln"/>
        <w:widowControl w:val="0"/>
        <w:rPr>
          <w:szCs w:val="24"/>
        </w:rPr>
      </w:pPr>
      <w:r>
        <w:rPr>
          <w:szCs w:val="24"/>
        </w:rPr>
        <w:t>Následující část je v </w:t>
      </w:r>
      <w:r w:rsidR="00254774">
        <w:rPr>
          <w:szCs w:val="24"/>
        </w:rPr>
        <w:t>RIA</w:t>
      </w:r>
      <w:r>
        <w:rPr>
          <w:szCs w:val="24"/>
        </w:rPr>
        <w:t xml:space="preserve"> obsažena z toho důvodu, že vedle otázek, jak se má povolovat a kdo má povolovat, je třeba řešit situaci i v oblasti celkového objemu agendy, tj. zodpovědět dotaz, c</w:t>
      </w:r>
      <w:r w:rsidRPr="0076240D">
        <w:rPr>
          <w:szCs w:val="24"/>
        </w:rPr>
        <w:t xml:space="preserve">o se bude povolovat, </w:t>
      </w:r>
      <w:r>
        <w:rPr>
          <w:szCs w:val="24"/>
        </w:rPr>
        <w:t>co má</w:t>
      </w:r>
      <w:r w:rsidRPr="0076240D">
        <w:rPr>
          <w:szCs w:val="24"/>
        </w:rPr>
        <w:t xml:space="preserve"> st</w:t>
      </w:r>
      <w:r>
        <w:rPr>
          <w:szCs w:val="24"/>
        </w:rPr>
        <w:t>á</w:t>
      </w:r>
      <w:r w:rsidRPr="0076240D">
        <w:rPr>
          <w:szCs w:val="24"/>
        </w:rPr>
        <w:t xml:space="preserve">t </w:t>
      </w:r>
      <w:r>
        <w:rPr>
          <w:szCs w:val="24"/>
        </w:rPr>
        <w:t>konkrétně</w:t>
      </w:r>
      <w:r w:rsidRPr="0076240D">
        <w:rPr>
          <w:szCs w:val="24"/>
        </w:rPr>
        <w:t xml:space="preserve"> regulovat, kde je ve</w:t>
      </w:r>
      <w:r>
        <w:rPr>
          <w:szCs w:val="24"/>
        </w:rPr>
        <w:t>ř</w:t>
      </w:r>
      <w:r w:rsidRPr="0076240D">
        <w:rPr>
          <w:szCs w:val="24"/>
        </w:rPr>
        <w:t>ejn</w:t>
      </w:r>
      <w:r>
        <w:rPr>
          <w:szCs w:val="24"/>
        </w:rPr>
        <w:t>ý</w:t>
      </w:r>
      <w:r w:rsidRPr="0076240D">
        <w:rPr>
          <w:szCs w:val="24"/>
        </w:rPr>
        <w:t xml:space="preserve"> z</w:t>
      </w:r>
      <w:r>
        <w:rPr>
          <w:szCs w:val="24"/>
        </w:rPr>
        <w:t>á</w:t>
      </w:r>
      <w:r w:rsidRPr="0076240D">
        <w:rPr>
          <w:szCs w:val="24"/>
        </w:rPr>
        <w:t xml:space="preserve">jem </w:t>
      </w:r>
      <w:r>
        <w:rPr>
          <w:szCs w:val="24"/>
        </w:rPr>
        <w:t xml:space="preserve">ospravedlňující ingerenci státu. </w:t>
      </w:r>
      <w:r w:rsidR="00D92CCA">
        <w:rPr>
          <w:szCs w:val="24"/>
        </w:rPr>
        <w:t>V opačném případě by nemuselo být dosaženo takových přínosů, které jsou od rekodifikace očekávány.</w:t>
      </w:r>
    </w:p>
    <w:p w:rsidR="00A25299" w:rsidRDefault="00A25299" w:rsidP="002D22B1">
      <w:pPr>
        <w:pStyle w:val="Text-Normaln"/>
        <w:widowControl w:val="0"/>
        <w:rPr>
          <w:szCs w:val="24"/>
        </w:rPr>
      </w:pPr>
      <w:r w:rsidRPr="00A25299">
        <w:rPr>
          <w:szCs w:val="24"/>
        </w:rPr>
        <w:t xml:space="preserve">V důsledku rekodifikace v oblasti stavebního hmotného práva </w:t>
      </w:r>
      <w:r>
        <w:rPr>
          <w:szCs w:val="24"/>
        </w:rPr>
        <w:t xml:space="preserve">by tak </w:t>
      </w:r>
      <w:r w:rsidRPr="00A25299">
        <w:rPr>
          <w:szCs w:val="24"/>
        </w:rPr>
        <w:t xml:space="preserve">kromě stávajícího stavebního zákona a jeho prováděcích právních předpisů </w:t>
      </w:r>
      <w:r>
        <w:rPr>
          <w:szCs w:val="24"/>
        </w:rPr>
        <w:t>a</w:t>
      </w:r>
      <w:r w:rsidRPr="00A25299">
        <w:rPr>
          <w:szCs w:val="24"/>
        </w:rPr>
        <w:t xml:space="preserve"> zvláštní</w:t>
      </w:r>
      <w:r>
        <w:rPr>
          <w:szCs w:val="24"/>
        </w:rPr>
        <w:t>ch</w:t>
      </w:r>
      <w:r w:rsidRPr="00A25299">
        <w:rPr>
          <w:szCs w:val="24"/>
        </w:rPr>
        <w:t xml:space="preserve"> právní</w:t>
      </w:r>
      <w:r>
        <w:rPr>
          <w:szCs w:val="24"/>
        </w:rPr>
        <w:t>ch</w:t>
      </w:r>
      <w:r w:rsidRPr="00A25299">
        <w:rPr>
          <w:szCs w:val="24"/>
        </w:rPr>
        <w:t xml:space="preserve"> (složkov</w:t>
      </w:r>
      <w:r>
        <w:rPr>
          <w:szCs w:val="24"/>
        </w:rPr>
        <w:t>ých</w:t>
      </w:r>
      <w:r w:rsidRPr="00A25299">
        <w:rPr>
          <w:szCs w:val="24"/>
        </w:rPr>
        <w:t>) předpis</w:t>
      </w:r>
      <w:r>
        <w:rPr>
          <w:szCs w:val="24"/>
        </w:rPr>
        <w:t>ů</w:t>
      </w:r>
      <w:r w:rsidRPr="00A25299">
        <w:rPr>
          <w:szCs w:val="24"/>
        </w:rPr>
        <w:t xml:space="preserve"> vzhledem ke stavebnímu zákonu (a jejich prováděcí</w:t>
      </w:r>
      <w:r>
        <w:rPr>
          <w:szCs w:val="24"/>
        </w:rPr>
        <w:t>ch</w:t>
      </w:r>
      <w:r w:rsidRPr="00A25299">
        <w:rPr>
          <w:szCs w:val="24"/>
        </w:rPr>
        <w:t xml:space="preserve"> právní</w:t>
      </w:r>
      <w:r>
        <w:rPr>
          <w:szCs w:val="24"/>
        </w:rPr>
        <w:t>ch</w:t>
      </w:r>
      <w:r w:rsidRPr="00A25299">
        <w:rPr>
          <w:szCs w:val="24"/>
        </w:rPr>
        <w:t xml:space="preserve"> předpis</w:t>
      </w:r>
      <w:r>
        <w:rPr>
          <w:szCs w:val="24"/>
        </w:rPr>
        <w:t>ů) měly být zrevidovány i</w:t>
      </w:r>
      <w:r w:rsidRPr="00A25299">
        <w:rPr>
          <w:szCs w:val="24"/>
        </w:rPr>
        <w:t xml:space="preserve"> další právní předpisy, které také mají vztah ke stavebnímu hmotnému právu.</w:t>
      </w:r>
    </w:p>
    <w:p w:rsidR="00A25299" w:rsidRPr="00A25299" w:rsidRDefault="00A25299" w:rsidP="008712FB">
      <w:pPr>
        <w:pStyle w:val="Text-Normaln"/>
        <w:widowControl w:val="0"/>
        <w:spacing w:before="60" w:after="60"/>
        <w:rPr>
          <w:szCs w:val="24"/>
        </w:rPr>
      </w:pPr>
      <w:r w:rsidRPr="00A25299">
        <w:rPr>
          <w:szCs w:val="24"/>
        </w:rPr>
        <w:t xml:space="preserve">Tento cílový stav je v souladu i s usnesením vlády </w:t>
      </w:r>
      <w:r w:rsidR="00C85BD6" w:rsidRPr="00C85BD6">
        <w:rPr>
          <w:szCs w:val="24"/>
        </w:rPr>
        <w:t>ČR</w:t>
      </w:r>
      <w:r w:rsidR="00C85BD6">
        <w:rPr>
          <w:szCs w:val="24"/>
        </w:rPr>
        <w:t xml:space="preserve"> </w:t>
      </w:r>
      <w:r w:rsidRPr="00A25299">
        <w:rPr>
          <w:szCs w:val="24"/>
        </w:rPr>
        <w:t xml:space="preserve">ze dne 21. září 2016 č. 828, kterým se mj. ukládá „ministryni pro místní rozvoj, ministrům </w:t>
      </w:r>
      <w:r w:rsidR="00BD2155">
        <w:rPr>
          <w:szCs w:val="24"/>
        </w:rPr>
        <w:t>životního prostředí, průmyslu a </w:t>
      </w:r>
      <w:r w:rsidRPr="00A25299">
        <w:rPr>
          <w:szCs w:val="24"/>
        </w:rPr>
        <w:t>obchodu, dopravy, zemědělství, zdravotnictví, kultury, obrany, vnitra a spravedlnosti zanalyzovat při přípravě právních předpisů, které se dotýkaj</w:t>
      </w:r>
      <w:r w:rsidR="00BD2155">
        <w:rPr>
          <w:szCs w:val="24"/>
        </w:rPr>
        <w:t>í územní přípravy, umisťování a </w:t>
      </w:r>
      <w:r w:rsidRPr="00A25299">
        <w:rPr>
          <w:szCs w:val="24"/>
        </w:rPr>
        <w:t>povolování staveb, možnosti zjednodušení a navrhovat konkré</w:t>
      </w:r>
      <w:r w:rsidR="00BD2155">
        <w:rPr>
          <w:szCs w:val="24"/>
        </w:rPr>
        <w:t>tní úpravy právních předpisů za </w:t>
      </w:r>
      <w:r w:rsidRPr="00A25299">
        <w:rPr>
          <w:szCs w:val="24"/>
        </w:rPr>
        <w:t>účelem dosažení</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jednotné formy úkonů všech </w:t>
      </w:r>
      <w:r w:rsidR="00D85CA7">
        <w:rPr>
          <w:szCs w:val="24"/>
        </w:rPr>
        <w:t>DO</w:t>
      </w:r>
      <w:r w:rsidRPr="00A25299">
        <w:rPr>
          <w:szCs w:val="24"/>
        </w:rPr>
        <w:t xml:space="preserve"> vstupujících do pořizování územně plánovacích dokumentací a povolovacího řízení, </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posílení vzájemné koordinace </w:t>
      </w:r>
      <w:r w:rsidR="00D85CA7">
        <w:rPr>
          <w:szCs w:val="24"/>
        </w:rPr>
        <w:t>DO</w:t>
      </w:r>
      <w:r w:rsidRPr="00A25299">
        <w:rPr>
          <w:szCs w:val="24"/>
        </w:rPr>
        <w:t xml:space="preserve"> v s</w:t>
      </w:r>
      <w:r w:rsidR="00BD2155">
        <w:rPr>
          <w:szCs w:val="24"/>
        </w:rPr>
        <w:t>ouvislosti s územní přípravou a </w:t>
      </w:r>
      <w:r w:rsidRPr="00A25299">
        <w:rPr>
          <w:szCs w:val="24"/>
        </w:rPr>
        <w:t xml:space="preserve">povolováním záměru, </w:t>
      </w:r>
    </w:p>
    <w:p w:rsidR="00A25299" w:rsidRPr="00A25299" w:rsidRDefault="00A25299" w:rsidP="00C873B4">
      <w:pPr>
        <w:pStyle w:val="Text-Normaln"/>
        <w:widowControl w:val="0"/>
        <w:numPr>
          <w:ilvl w:val="0"/>
          <w:numId w:val="72"/>
        </w:numPr>
        <w:spacing w:before="60" w:after="60"/>
        <w:rPr>
          <w:szCs w:val="24"/>
        </w:rPr>
      </w:pPr>
      <w:r w:rsidRPr="00A25299">
        <w:rPr>
          <w:szCs w:val="24"/>
        </w:rPr>
        <w:lastRenderedPageBreak/>
        <w:t xml:space="preserve">úprav souvisejících zákonů s maximální mírou integrace do pořizování </w:t>
      </w:r>
      <w:r w:rsidR="00D85CA7">
        <w:rPr>
          <w:szCs w:val="24"/>
        </w:rPr>
        <w:t>ÚPD</w:t>
      </w:r>
      <w:r w:rsidRPr="00A25299">
        <w:rPr>
          <w:szCs w:val="24"/>
        </w:rPr>
        <w:t xml:space="preserve"> </w:t>
      </w:r>
      <w:r w:rsidR="00D85CA7" w:rsidRPr="00A25299">
        <w:rPr>
          <w:szCs w:val="24"/>
        </w:rPr>
        <w:t>a</w:t>
      </w:r>
      <w:r w:rsidR="00D85CA7">
        <w:rPr>
          <w:szCs w:val="24"/>
        </w:rPr>
        <w:t> </w:t>
      </w:r>
      <w:r w:rsidRPr="00A25299">
        <w:rPr>
          <w:szCs w:val="24"/>
        </w:rPr>
        <w:t xml:space="preserve">povolovacího řízení prováděného podle stavebního zákona, </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redukce související administrativní zátěže“. </w:t>
      </w:r>
    </w:p>
    <w:p w:rsidR="00A25299" w:rsidRDefault="00A25299" w:rsidP="00A25299">
      <w:pPr>
        <w:pStyle w:val="Text-Normaln"/>
        <w:widowControl w:val="0"/>
        <w:rPr>
          <w:szCs w:val="24"/>
        </w:rPr>
      </w:pPr>
      <w:r w:rsidRPr="00A25299">
        <w:rPr>
          <w:szCs w:val="24"/>
        </w:rPr>
        <w:t xml:space="preserve">Cílem připomínkového řízení a dalších fází legislativního procesu </w:t>
      </w:r>
      <w:r>
        <w:rPr>
          <w:szCs w:val="24"/>
        </w:rPr>
        <w:t xml:space="preserve">by </w:t>
      </w:r>
      <w:r w:rsidR="00D85CA7">
        <w:rPr>
          <w:szCs w:val="24"/>
        </w:rPr>
        <w:t>p</w:t>
      </w:r>
      <w:r>
        <w:rPr>
          <w:szCs w:val="24"/>
        </w:rPr>
        <w:t>roto mělo být</w:t>
      </w:r>
      <w:r w:rsidRPr="00A25299">
        <w:rPr>
          <w:szCs w:val="24"/>
        </w:rPr>
        <w:t xml:space="preserve">, aby jednotlivá dotčená ministerstva v souladu s citovaným usnesením vlády </w:t>
      </w:r>
      <w:r w:rsidR="00C85BD6" w:rsidRPr="00C85BD6">
        <w:rPr>
          <w:szCs w:val="24"/>
        </w:rPr>
        <w:t>ČR</w:t>
      </w:r>
      <w:r w:rsidR="00C85BD6">
        <w:rPr>
          <w:szCs w:val="24"/>
        </w:rPr>
        <w:t xml:space="preserve"> </w:t>
      </w:r>
      <w:r w:rsidRPr="00A25299">
        <w:rPr>
          <w:szCs w:val="24"/>
        </w:rPr>
        <w:t xml:space="preserve">identifikovala relevantní dotčené právní předpisy s cílem dosažení maximální míry integrace procesů v rámci pořizování </w:t>
      </w:r>
      <w:r w:rsidR="00D85CA7">
        <w:rPr>
          <w:szCs w:val="24"/>
        </w:rPr>
        <w:t>ÚPD</w:t>
      </w:r>
      <w:r w:rsidRPr="00A25299">
        <w:rPr>
          <w:szCs w:val="24"/>
        </w:rPr>
        <w:t xml:space="preserve"> a povolovacích řízení. Spolu s tím </w:t>
      </w:r>
      <w:r>
        <w:rPr>
          <w:szCs w:val="24"/>
        </w:rPr>
        <w:t xml:space="preserve">by měly být </w:t>
      </w:r>
      <w:r w:rsidRPr="00A25299">
        <w:rPr>
          <w:szCs w:val="24"/>
        </w:rPr>
        <w:t xml:space="preserve">identifikovány i požadavky </w:t>
      </w:r>
      <w:r w:rsidR="00506431" w:rsidRPr="00A25299">
        <w:rPr>
          <w:szCs w:val="24"/>
        </w:rPr>
        <w:t>v</w:t>
      </w:r>
      <w:r w:rsidR="00506431">
        <w:rPr>
          <w:szCs w:val="24"/>
        </w:rPr>
        <w:t> </w:t>
      </w:r>
      <w:r w:rsidRPr="00A25299">
        <w:rPr>
          <w:szCs w:val="24"/>
        </w:rPr>
        <w:t>oblasti hmotného stavebního práva s cílem integrovat je do stavebního zákona, popř. prováděcího právního předpisu.</w:t>
      </w:r>
    </w:p>
    <w:p w:rsidR="00BF74A9" w:rsidRPr="00BF74A9" w:rsidRDefault="00BF74A9" w:rsidP="00BF74A9">
      <w:pPr>
        <w:pStyle w:val="Nadpis3a"/>
        <w:numPr>
          <w:ilvl w:val="0"/>
          <w:numId w:val="0"/>
        </w:numPr>
        <w:ind w:left="720" w:hanging="720"/>
      </w:pPr>
      <w:bookmarkStart w:id="75" w:name="_Toc536553928"/>
      <w:r>
        <w:t xml:space="preserve">D.1 </w:t>
      </w:r>
      <w:r w:rsidRPr="00BF74A9">
        <w:t>Požadavky na výstavbu, dokumentaci, základní pojmy, povinnosti a odpovědnost osob při přípravě, provádění a užívání staveb</w:t>
      </w:r>
      <w:bookmarkEnd w:id="75"/>
      <w:r w:rsidRPr="00BF74A9">
        <w:t xml:space="preserve"> </w:t>
      </w:r>
    </w:p>
    <w:p w:rsidR="00BF74A9" w:rsidRDefault="002D22B1" w:rsidP="00BF74A9">
      <w:pPr>
        <w:pStyle w:val="Nadpis3a"/>
        <w:numPr>
          <w:ilvl w:val="0"/>
          <w:numId w:val="0"/>
        </w:numPr>
        <w:tabs>
          <w:tab w:val="left" w:pos="708"/>
        </w:tabs>
        <w:rPr>
          <w:szCs w:val="24"/>
        </w:rPr>
      </w:pPr>
      <w:bookmarkStart w:id="76" w:name="_Toc536553929"/>
      <w:r>
        <w:rPr>
          <w:szCs w:val="24"/>
        </w:rPr>
        <w:t>D</w:t>
      </w:r>
      <w:r w:rsidR="00BF74A9">
        <w:rPr>
          <w:szCs w:val="24"/>
        </w:rPr>
        <w:t>.1.1. Popis současného stavu</w:t>
      </w:r>
      <w:bookmarkEnd w:id="76"/>
    </w:p>
    <w:p w:rsidR="0076240D" w:rsidRPr="0076240D" w:rsidRDefault="0076240D" w:rsidP="0076240D">
      <w:pPr>
        <w:pStyle w:val="Text-Normaln"/>
        <w:widowControl w:val="0"/>
        <w:rPr>
          <w:szCs w:val="24"/>
        </w:rPr>
      </w:pPr>
      <w:r w:rsidRPr="0076240D">
        <w:rPr>
          <w:szCs w:val="24"/>
        </w:rPr>
        <w:t>Pojem „obecné požadavky na výstavbu“ shrnuje oblasti podzákonné právní úpravy, v níž jsou stanoveny požadavky na výstavbu. Tento pojem zahrnuje:</w:t>
      </w:r>
    </w:p>
    <w:p w:rsidR="0076240D" w:rsidRPr="0076240D" w:rsidRDefault="0076240D" w:rsidP="00C873B4">
      <w:pPr>
        <w:pStyle w:val="Text-Normaln"/>
        <w:widowControl w:val="0"/>
        <w:numPr>
          <w:ilvl w:val="0"/>
          <w:numId w:val="71"/>
        </w:numPr>
        <w:ind w:left="284" w:hanging="284"/>
        <w:rPr>
          <w:szCs w:val="24"/>
        </w:rPr>
      </w:pPr>
      <w:r w:rsidRPr="0076240D">
        <w:rPr>
          <w:szCs w:val="24"/>
        </w:rPr>
        <w:t>obecné požadavky na využívání území (požadavky při vymezování ploch a pozemků, při stanovování podmínek jejich využití a umisťování staveb na nich, rozhodování o změně stavby a o změně vlivu stavby na využití území),</w:t>
      </w:r>
    </w:p>
    <w:p w:rsidR="0076240D" w:rsidRPr="0076240D" w:rsidRDefault="0076240D" w:rsidP="00C873B4">
      <w:pPr>
        <w:pStyle w:val="Text-Normaln"/>
        <w:widowControl w:val="0"/>
        <w:numPr>
          <w:ilvl w:val="0"/>
          <w:numId w:val="71"/>
        </w:numPr>
        <w:ind w:left="284" w:hanging="284"/>
        <w:rPr>
          <w:szCs w:val="24"/>
        </w:rPr>
      </w:pPr>
      <w:r w:rsidRPr="0076240D">
        <w:rPr>
          <w:szCs w:val="24"/>
        </w:rPr>
        <w:tab/>
        <w:t xml:space="preserve">technické požadavky na stavby (požadavky na mechanickou odolnost; požární bezpečnost; ochranu zdraví osob a zvířat, zdravých životních podmínek a životního prostředí; ochranu proti hluku; bezpečnost při užívání; úsporu energie a tepelnou ochranu), </w:t>
      </w:r>
    </w:p>
    <w:p w:rsidR="0076240D" w:rsidRDefault="0076240D" w:rsidP="00C873B4">
      <w:pPr>
        <w:pStyle w:val="Text-Normaln"/>
        <w:widowControl w:val="0"/>
        <w:numPr>
          <w:ilvl w:val="0"/>
          <w:numId w:val="71"/>
        </w:numPr>
        <w:ind w:left="284" w:hanging="284"/>
        <w:rPr>
          <w:szCs w:val="24"/>
        </w:rPr>
      </w:pPr>
      <w:r w:rsidRPr="0076240D">
        <w:rPr>
          <w:szCs w:val="24"/>
        </w:rPr>
        <w:t>obecné technické požadavky zabezpečující bezbariérové užíván</w:t>
      </w:r>
      <w:r w:rsidR="00BD2155">
        <w:rPr>
          <w:szCs w:val="24"/>
        </w:rPr>
        <w:t>í staveb (požadavky na stavby a </w:t>
      </w:r>
      <w:r w:rsidRPr="0076240D">
        <w:rPr>
          <w:szCs w:val="24"/>
        </w:rPr>
        <w:t>jejich části tak, aby bylo zabezpečeno jejich užívání osobami s pohybovým, zrakovým, sluchovým a mentálním postižením, osobami pokročilého věku, těhotnými ženami, osobami doprovázejícími dítě v kočárku nebo dítě do tří let).</w:t>
      </w:r>
      <w:r>
        <w:rPr>
          <w:szCs w:val="24"/>
        </w:rPr>
        <w:t xml:space="preserve"> </w:t>
      </w:r>
    </w:p>
    <w:p w:rsidR="0076240D" w:rsidRDefault="0076240D" w:rsidP="0076240D">
      <w:pPr>
        <w:pStyle w:val="Text-Normaln"/>
        <w:widowControl w:val="0"/>
        <w:rPr>
          <w:szCs w:val="24"/>
        </w:rPr>
      </w:pPr>
      <w:r w:rsidRPr="0076240D">
        <w:rPr>
          <w:szCs w:val="24"/>
        </w:rPr>
        <w:t>Povinnost dodržovat obecné požadavky na výstavbu je stanovena jednotlivým subjektům (právnické osoby, fyzické osoby a příslušné orgány veřejné</w:t>
      </w:r>
      <w:r w:rsidR="00BD2155">
        <w:rPr>
          <w:szCs w:val="24"/>
        </w:rPr>
        <w:t xml:space="preserve"> správy) při územně plánovací a </w:t>
      </w:r>
      <w:r w:rsidRPr="0076240D">
        <w:rPr>
          <w:szCs w:val="24"/>
        </w:rPr>
        <w:t>projektové činnosti, při povolování, provádění, užívání a odstraňování staveb stavebním zákonem.</w:t>
      </w:r>
      <w:r>
        <w:rPr>
          <w:szCs w:val="24"/>
        </w:rPr>
        <w:t xml:space="preserve"> (</w:t>
      </w:r>
      <w:r w:rsidRPr="0076240D">
        <w:rPr>
          <w:i/>
          <w:szCs w:val="24"/>
        </w:rPr>
        <w:t xml:space="preserve">Zdroj: </w:t>
      </w:r>
      <w:r>
        <w:rPr>
          <w:i/>
          <w:szCs w:val="24"/>
        </w:rPr>
        <w:t xml:space="preserve">MMR (2018). </w:t>
      </w:r>
      <w:r w:rsidRPr="0076240D">
        <w:rPr>
          <w:i/>
          <w:szCs w:val="24"/>
        </w:rPr>
        <w:t>Rekodifikace veřejného stavebního práva,</w:t>
      </w:r>
      <w:r w:rsidR="00BD2155">
        <w:rPr>
          <w:i/>
          <w:szCs w:val="24"/>
        </w:rPr>
        <w:t xml:space="preserve"> Informace o hlavních směrech a </w:t>
      </w:r>
      <w:r w:rsidRPr="0076240D">
        <w:rPr>
          <w:i/>
          <w:szCs w:val="24"/>
        </w:rPr>
        <w:t>cílech rekodifikace, PRACOVNÍ MATERIÁL PRO JEDNÁNÍ VLÁDY – verze k 28. 8. 2018</w:t>
      </w:r>
      <w:r>
        <w:rPr>
          <w:szCs w:val="24"/>
        </w:rPr>
        <w:t>)</w:t>
      </w:r>
    </w:p>
    <w:p w:rsidR="00BF74A9" w:rsidRDefault="00D92CCA" w:rsidP="00BF74A9">
      <w:pPr>
        <w:pStyle w:val="Text-Normaln"/>
        <w:widowControl w:val="0"/>
        <w:rPr>
          <w:b/>
          <w:szCs w:val="24"/>
        </w:rPr>
      </w:pPr>
      <w:r w:rsidRPr="00212EE8">
        <w:rPr>
          <w:szCs w:val="24"/>
        </w:rPr>
        <w:t>Protože se jedná spíše o textovou argumentaci než práci s čísly, ponecháváme v</w:t>
      </w:r>
      <w:r w:rsidR="00BF74A9" w:rsidRPr="00212EE8">
        <w:rPr>
          <w:szCs w:val="24"/>
        </w:rPr>
        <w:t>ymezení typu staveb, požadavků na výstavbu, obsah a rozsah dokumentace, zá</w:t>
      </w:r>
      <w:r w:rsidR="00BD2155" w:rsidRPr="00212EE8">
        <w:rPr>
          <w:szCs w:val="24"/>
        </w:rPr>
        <w:t>kladní pojmy stavebního práva a </w:t>
      </w:r>
      <w:r w:rsidR="00BF74A9" w:rsidRPr="00212EE8">
        <w:rPr>
          <w:szCs w:val="24"/>
        </w:rPr>
        <w:t xml:space="preserve">povinnosti a odpovědnost osob při přípravě, provádění a užívání staveb </w:t>
      </w:r>
      <w:r w:rsidR="00254774" w:rsidRPr="00212EE8">
        <w:rPr>
          <w:szCs w:val="24"/>
        </w:rPr>
        <w:t xml:space="preserve">a </w:t>
      </w:r>
      <w:r w:rsidR="00BF74A9" w:rsidRPr="00212EE8">
        <w:rPr>
          <w:szCs w:val="24"/>
        </w:rPr>
        <w:t xml:space="preserve">detailní rozpracování této otázky </w:t>
      </w:r>
      <w:r w:rsidRPr="00212EE8">
        <w:rPr>
          <w:szCs w:val="24"/>
        </w:rPr>
        <w:t>na</w:t>
      </w:r>
      <w:r w:rsidR="00BF74A9" w:rsidRPr="00212EE8">
        <w:rPr>
          <w:szCs w:val="24"/>
        </w:rPr>
        <w:t xml:space="preserve"> </w:t>
      </w:r>
      <w:r w:rsidR="001D7237">
        <w:rPr>
          <w:szCs w:val="24"/>
        </w:rPr>
        <w:t>věcném záměru</w:t>
      </w:r>
      <w:r w:rsidR="00BF74A9" w:rsidRPr="00212EE8">
        <w:rPr>
          <w:szCs w:val="24"/>
        </w:rPr>
        <w:t>.</w:t>
      </w:r>
      <w:r w:rsidR="00BF74A9">
        <w:rPr>
          <w:szCs w:val="24"/>
        </w:rPr>
        <w:t xml:space="preserve"> </w:t>
      </w:r>
    </w:p>
    <w:p w:rsidR="0072356F" w:rsidRDefault="000C0DF9" w:rsidP="00BF74A9">
      <w:pPr>
        <w:pStyle w:val="Text-Normaln"/>
        <w:widowControl w:val="0"/>
        <w:rPr>
          <w:b/>
          <w:szCs w:val="24"/>
        </w:rPr>
      </w:pPr>
      <w:r>
        <w:rPr>
          <w:b/>
          <w:szCs w:val="24"/>
        </w:rPr>
        <w:t>D</w:t>
      </w:r>
      <w:r w:rsidR="00BF74A9">
        <w:rPr>
          <w:b/>
          <w:szCs w:val="24"/>
        </w:rPr>
        <w:t>.1.2.</w:t>
      </w:r>
      <w:r w:rsidR="00BF74A9" w:rsidRPr="0072356F">
        <w:rPr>
          <w:b/>
          <w:szCs w:val="24"/>
        </w:rPr>
        <w:t xml:space="preserve"> </w:t>
      </w:r>
      <w:r w:rsidR="00BF74A9">
        <w:rPr>
          <w:b/>
          <w:szCs w:val="24"/>
        </w:rPr>
        <w:t>Definice problému</w:t>
      </w:r>
    </w:p>
    <w:p w:rsidR="00BF74A9" w:rsidRDefault="0076240D" w:rsidP="00BF74A9">
      <w:pPr>
        <w:pStyle w:val="Text-Normaln"/>
        <w:widowControl w:val="0"/>
        <w:rPr>
          <w:bCs/>
          <w:szCs w:val="24"/>
        </w:rPr>
      </w:pPr>
      <w:r>
        <w:rPr>
          <w:bCs/>
          <w:szCs w:val="24"/>
        </w:rPr>
        <w:t>R</w:t>
      </w:r>
      <w:r w:rsidR="00BF74A9">
        <w:rPr>
          <w:bCs/>
          <w:szCs w:val="24"/>
        </w:rPr>
        <w:t>oztříštěnost</w:t>
      </w:r>
      <w:r w:rsidR="00BF74A9">
        <w:rPr>
          <w:szCs w:val="24"/>
        </w:rPr>
        <w:t xml:space="preserve"> do mnoha různých předpisů různé právní síly, s čímž souvisí i nepřehlednost stanovení obecných požadavků na výstavbu a dokumentaci pro jednotlivé účastníky výstavby i stavební úřady; </w:t>
      </w:r>
      <w:r w:rsidR="00BF74A9">
        <w:rPr>
          <w:bCs/>
          <w:szCs w:val="24"/>
        </w:rPr>
        <w:t xml:space="preserve">různá územní platnost některých právních předpisů a rozdílné stanovení technických požadavků na stavby z územního hlediska; roztříštěnost do předpisů v gesci různých ústředních orgánů, s čímž souvisí i jejich nepřehlednost; výkladové nejasnosti některých požadavků na obsah a rozsah dokumentace a přílišná obsáhlost rozsahu a náležitostí dokumentace pro povolení stavby; stanovení požadavků formou odkazů na technické normy (čímž je tvoří závaznými), v mnoha případech však zcela nekonkrétně.  </w:t>
      </w:r>
    </w:p>
    <w:p w:rsidR="00BF74A9" w:rsidRPr="0072356F" w:rsidRDefault="000C0DF9" w:rsidP="00BF74A9">
      <w:pPr>
        <w:pStyle w:val="Text-Normaln"/>
        <w:widowControl w:val="0"/>
        <w:rPr>
          <w:b/>
          <w:szCs w:val="24"/>
        </w:rPr>
      </w:pPr>
      <w:r w:rsidRPr="0072356F">
        <w:rPr>
          <w:b/>
          <w:szCs w:val="24"/>
        </w:rPr>
        <w:t>D</w:t>
      </w:r>
      <w:r w:rsidR="00BF74A9" w:rsidRPr="0072356F">
        <w:rPr>
          <w:b/>
          <w:szCs w:val="24"/>
        </w:rPr>
        <w:t>.1.3. Návrh variant řešení</w:t>
      </w:r>
    </w:p>
    <w:p w:rsidR="00BF74A9" w:rsidRDefault="00BF74A9" w:rsidP="00BF74A9">
      <w:pPr>
        <w:pStyle w:val="Text-Normaln"/>
        <w:widowControl w:val="0"/>
        <w:rPr>
          <w:i/>
          <w:szCs w:val="24"/>
        </w:rPr>
      </w:pPr>
      <w:r>
        <w:rPr>
          <w:b/>
          <w:i/>
          <w:szCs w:val="24"/>
        </w:rPr>
        <w:t>Varianta 0:</w:t>
      </w:r>
      <w:r>
        <w:rPr>
          <w:i/>
          <w:szCs w:val="24"/>
        </w:rPr>
        <w:t xml:space="preserve"> Zachov</w:t>
      </w:r>
      <w:r w:rsidR="00D92CCA">
        <w:rPr>
          <w:i/>
          <w:szCs w:val="24"/>
        </w:rPr>
        <w:t>at</w:t>
      </w:r>
      <w:r>
        <w:rPr>
          <w:i/>
          <w:szCs w:val="24"/>
        </w:rPr>
        <w:t xml:space="preserve"> současn</w:t>
      </w:r>
      <w:r w:rsidR="00D92CCA">
        <w:rPr>
          <w:i/>
          <w:szCs w:val="24"/>
        </w:rPr>
        <w:t>ý</w:t>
      </w:r>
      <w:r>
        <w:rPr>
          <w:i/>
          <w:szCs w:val="24"/>
        </w:rPr>
        <w:t xml:space="preserve"> stav</w:t>
      </w:r>
    </w:p>
    <w:p w:rsidR="00BF74A9" w:rsidRDefault="00BF74A9" w:rsidP="00BF74A9">
      <w:pPr>
        <w:spacing w:line="276" w:lineRule="auto"/>
        <w:rPr>
          <w:bCs/>
          <w:szCs w:val="24"/>
        </w:rPr>
      </w:pPr>
      <w:r>
        <w:rPr>
          <w:b/>
          <w:i/>
          <w:szCs w:val="24"/>
        </w:rPr>
        <w:lastRenderedPageBreak/>
        <w:t>Varianta 1:</w:t>
      </w:r>
      <w:r>
        <w:rPr>
          <w:i/>
          <w:szCs w:val="24"/>
        </w:rPr>
        <w:t xml:space="preserve"> </w:t>
      </w:r>
      <w:r w:rsidR="00D92CCA">
        <w:rPr>
          <w:i/>
          <w:szCs w:val="24"/>
        </w:rPr>
        <w:t>Z</w:t>
      </w:r>
      <w:r>
        <w:rPr>
          <w:i/>
          <w:szCs w:val="24"/>
        </w:rPr>
        <w:t>revidovat obecné požadavky na výstavbu, stanovit jednoznačné, moderní, technicky reálné a ekonomicky únosné obecně závazné požadavky, představující ochranu veřejných zájmů ve výstavbě; sjednotit obecné požadavky na výstavbu a na projektovou dokumentaci do jednoho právního předpisu, zrevidovat a posílit zákonnou úpravu stavebního práva hmotného na úrovni nového stavebního zákona, tj. nikoliv jen zakotvit na zákonné úrovni základní pojmy stavebního práva hmotného a </w:t>
      </w:r>
      <w:r w:rsidRPr="008712FB">
        <w:rPr>
          <w:i/>
          <w:szCs w:val="24"/>
        </w:rPr>
        <w:t>zvážit řešení různé územní platnosti některých právních předpisů obsahujících požadavky na výstavbu</w:t>
      </w:r>
      <w:r w:rsidRPr="00D067E2">
        <w:rPr>
          <w:i/>
          <w:szCs w:val="24"/>
        </w:rPr>
        <w:t xml:space="preserve">; </w:t>
      </w:r>
      <w:r w:rsidR="00AB65E9" w:rsidRPr="00D00936">
        <w:rPr>
          <w:i/>
          <w:szCs w:val="24"/>
        </w:rPr>
        <w:t>sjednotit i z hlediska územní platnosti obecné požadavky na výstavbu do jednoho právního předpisu, ve kterém by byly zohledněny specifické požadavky na výstavbu velký</w:t>
      </w:r>
      <w:r w:rsidR="00AB65E9" w:rsidRPr="00D0045D">
        <w:rPr>
          <w:i/>
          <w:szCs w:val="24"/>
        </w:rPr>
        <w:t>ch sídel umožňující jejich moderní rozvoj odpovídající</w:t>
      </w:r>
      <w:r w:rsidRPr="00D0045D">
        <w:rPr>
          <w:i/>
          <w:szCs w:val="24"/>
        </w:rPr>
        <w:t xml:space="preserve"> 21.</w:t>
      </w:r>
      <w:r>
        <w:rPr>
          <w:i/>
          <w:szCs w:val="24"/>
        </w:rPr>
        <w:t xml:space="preserve"> století; v návaznosti na novou úpravu stavebního práva procesního zredukovat jednotlivé druhy dokumentací a zjednodušit obsahové náležitosti jednotlivých druhů dokumentací a upravit požadavky na zpracovatele dokumentací; zrevidovat mj. v návaznosti na novou úpravu stavebního práva procesního a na nový způsob stanovení požadavků na výstavbu základní pojmy stavebního práva.</w:t>
      </w:r>
    </w:p>
    <w:tbl>
      <w:tblPr>
        <w:tblW w:w="0" w:type="auto"/>
        <w:tblInd w:w="108" w:type="dxa"/>
        <w:shd w:val="clear" w:color="auto" w:fill="B6B002"/>
        <w:tblLook w:val="00A0" w:firstRow="1" w:lastRow="0" w:firstColumn="1" w:lastColumn="0" w:noHBand="0" w:noVBand="0"/>
      </w:tblPr>
      <w:tblGrid>
        <w:gridCol w:w="8962"/>
      </w:tblGrid>
      <w:tr w:rsidR="00BF74A9" w:rsidRPr="00D92CCA" w:rsidTr="008712FB">
        <w:trPr>
          <w:trHeight w:val="22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BF74A9" w:rsidRPr="00D92CCA" w:rsidRDefault="00BF74A9" w:rsidP="00D92CCA">
            <w:pPr>
              <w:widowControl w:val="0"/>
              <w:spacing w:before="0" w:after="0"/>
              <w:rPr>
                <w:rFonts w:asciiTheme="minorHAnsi" w:hAnsiTheme="minorHAnsi"/>
                <w:b/>
                <w:color w:val="000000"/>
                <w:sz w:val="20"/>
                <w:szCs w:val="20"/>
              </w:rPr>
            </w:pPr>
            <w:r w:rsidRPr="00D92CCA">
              <w:rPr>
                <w:rFonts w:asciiTheme="minorHAnsi" w:hAnsiTheme="minorHAnsi"/>
                <w:b/>
                <w:color w:val="000000"/>
                <w:sz w:val="20"/>
                <w:szCs w:val="20"/>
              </w:rPr>
              <w:t>Náklady</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auto"/>
            <w:vAlign w:val="center"/>
            <w:hideMark/>
          </w:tcPr>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sz w:val="20"/>
                <w:szCs w:val="20"/>
              </w:rPr>
              <w:t>V případě zavedení Varianty 1 žádné výrazné náklady neočekáváme</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BF74A9" w:rsidRPr="00D92CCA" w:rsidRDefault="00BF74A9" w:rsidP="00D92CCA">
            <w:pPr>
              <w:widowControl w:val="0"/>
              <w:spacing w:before="0" w:after="0"/>
              <w:rPr>
                <w:rFonts w:asciiTheme="minorHAnsi" w:hAnsiTheme="minorHAnsi"/>
                <w:b/>
                <w:color w:val="000000"/>
                <w:sz w:val="20"/>
                <w:szCs w:val="20"/>
              </w:rPr>
            </w:pPr>
            <w:r w:rsidRPr="00D92CCA">
              <w:rPr>
                <w:rFonts w:asciiTheme="minorHAnsi" w:hAnsiTheme="minorHAnsi"/>
                <w:b/>
                <w:color w:val="000000"/>
                <w:sz w:val="20"/>
                <w:szCs w:val="20"/>
              </w:rPr>
              <w:t>Přínosy</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FFFFFF" w:themeFill="background1"/>
            <w:vAlign w:val="center"/>
          </w:tcPr>
          <w:p w:rsidR="00BF74A9" w:rsidRPr="00D92CCA" w:rsidRDefault="00BF74A9" w:rsidP="00D92CCA">
            <w:pPr>
              <w:widowControl w:val="0"/>
              <w:spacing w:before="0" w:after="0"/>
              <w:rPr>
                <w:rFonts w:asciiTheme="minorHAnsi" w:hAnsiTheme="minorHAnsi"/>
                <w:color w:val="000000"/>
                <w:sz w:val="20"/>
                <w:szCs w:val="20"/>
              </w:rPr>
            </w:pPr>
            <w:r w:rsidRPr="00D92CCA">
              <w:rPr>
                <w:rFonts w:asciiTheme="minorHAnsi" w:hAnsiTheme="minorHAnsi"/>
                <w:color w:val="000000"/>
                <w:sz w:val="20"/>
                <w:szCs w:val="20"/>
              </w:rPr>
              <w:t xml:space="preserve">Všechny strany podílející se na přípravě či samotné realizaci stavby stavební úřady či </w:t>
            </w:r>
            <w:r w:rsidR="00D85CA7">
              <w:rPr>
                <w:rFonts w:asciiTheme="minorHAnsi" w:hAnsiTheme="minorHAnsi"/>
                <w:color w:val="000000"/>
                <w:sz w:val="20"/>
                <w:szCs w:val="20"/>
              </w:rPr>
              <w:t>DO</w:t>
            </w:r>
            <w:r w:rsidRPr="00D92CCA">
              <w:rPr>
                <w:rFonts w:asciiTheme="minorHAnsi" w:hAnsiTheme="minorHAnsi"/>
                <w:color w:val="000000"/>
                <w:sz w:val="20"/>
                <w:szCs w:val="20"/>
              </w:rPr>
              <w:t xml:space="preserve"> nevyjímaje</w:t>
            </w:r>
          </w:p>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sz w:val="20"/>
                <w:szCs w:val="20"/>
              </w:rPr>
              <w:t>Zvýšení právní jistoty</w:t>
            </w:r>
          </w:p>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color w:val="000000"/>
                <w:sz w:val="20"/>
                <w:szCs w:val="20"/>
              </w:rPr>
              <w:t>Časové úspory a snížení administrativní zátěže v důsledku zpřehlednění a zefektivnění právní úpravy, v rámci přípravy a povolování staveb</w:t>
            </w:r>
          </w:p>
        </w:tc>
      </w:tr>
    </w:tbl>
    <w:p w:rsidR="00BF74A9" w:rsidRDefault="0072356F" w:rsidP="00BF74A9">
      <w:pPr>
        <w:pStyle w:val="Text-Normaln"/>
        <w:widowControl w:val="0"/>
        <w:rPr>
          <w:b/>
          <w:szCs w:val="24"/>
        </w:rPr>
      </w:pPr>
      <w:r>
        <w:rPr>
          <w:b/>
          <w:szCs w:val="24"/>
        </w:rPr>
        <w:t xml:space="preserve">D.1.4. </w:t>
      </w:r>
      <w:r w:rsidR="00BF74A9">
        <w:rPr>
          <w:b/>
          <w:szCs w:val="24"/>
        </w:rPr>
        <w:t>Kvantifikace nákladů a přínosů</w:t>
      </w:r>
    </w:p>
    <w:p w:rsidR="00BF74A9" w:rsidRDefault="00BF74A9" w:rsidP="00BF74A9">
      <w:pPr>
        <w:pStyle w:val="Text-Normaln"/>
        <w:widowControl w:val="0"/>
        <w:rPr>
          <w:szCs w:val="24"/>
        </w:rPr>
      </w:pPr>
      <w:r>
        <w:rPr>
          <w:szCs w:val="24"/>
        </w:rPr>
        <w:t>Varianta 1 má hlavní přínosy v očekávaném zjednodušení přípravy a povolování staveb. Hodnotu přínosů této věcné varianty však nelze oddělit od ostatních opatření, zejména v procesní oblasti.</w:t>
      </w:r>
    </w:p>
    <w:p w:rsidR="000C0DF9" w:rsidRPr="000C0DF9" w:rsidRDefault="000C0DF9" w:rsidP="000C0DF9">
      <w:pPr>
        <w:pStyle w:val="Nadpis3a"/>
        <w:numPr>
          <w:ilvl w:val="0"/>
          <w:numId w:val="0"/>
        </w:numPr>
        <w:tabs>
          <w:tab w:val="left" w:pos="567"/>
        </w:tabs>
      </w:pPr>
      <w:bookmarkStart w:id="77" w:name="_Toc536553930"/>
      <w:r>
        <w:t>D.2</w:t>
      </w:r>
      <w:r w:rsidR="002105D2">
        <w:t xml:space="preserve"> </w:t>
      </w:r>
      <w:r w:rsidRPr="000C0DF9">
        <w:t>Technické normy (ČSN)</w:t>
      </w:r>
      <w:bookmarkEnd w:id="77"/>
    </w:p>
    <w:p w:rsidR="000C0DF9" w:rsidRDefault="000C0DF9" w:rsidP="000C0DF9">
      <w:pPr>
        <w:pStyle w:val="Nadpis3a"/>
        <w:numPr>
          <w:ilvl w:val="0"/>
          <w:numId w:val="0"/>
        </w:numPr>
      </w:pPr>
      <w:bookmarkStart w:id="78" w:name="_Toc536553931"/>
      <w:r>
        <w:t>D.2.1. Popis současného stavu:</w:t>
      </w:r>
      <w:bookmarkEnd w:id="78"/>
    </w:p>
    <w:p w:rsidR="000C0DF9" w:rsidRDefault="000C0DF9" w:rsidP="000C0DF9">
      <w:pPr>
        <w:pStyle w:val="Text-Normaln"/>
        <w:widowControl w:val="0"/>
      </w:pPr>
      <w:r>
        <w:t xml:space="preserve">Od 1. l. 2018 vykonává činnosti související s tvorbou, vydáváním a distribucí technických norem Česká agentura pro standardizaci (ČAS), která byla zřízena jako státní příspěvková organizace Úřadem pro technickou normalizaci, metrologii a státní zkušebnictví (ÚNMZ). ÚNMZ je organizační složkou státu v resortu </w:t>
      </w:r>
      <w:r w:rsidR="00D85CA7">
        <w:t>MPO</w:t>
      </w:r>
      <w:r>
        <w:t xml:space="preserve">. Hlavním posláním ÚNMZ je zabezpečovat úkoly vyplývající ze zákonů </w:t>
      </w:r>
      <w:r w:rsidR="0097207F" w:rsidRPr="0097207F">
        <w:t>ČR</w:t>
      </w:r>
      <w:r>
        <w:t xml:space="preserve"> upravujících technickou normalizaci, metrologii a státní zkušebnictví </w:t>
      </w:r>
      <w:r w:rsidR="00566280">
        <w:t>a </w:t>
      </w:r>
      <w:r>
        <w:t xml:space="preserve">úkoly v oblasti technických předpisů a norem uplatňovaných v rámci členství ČR </w:t>
      </w:r>
      <w:r w:rsidR="00D85CA7">
        <w:t>v EU</w:t>
      </w:r>
      <w:r>
        <w:t>.</w:t>
      </w:r>
    </w:p>
    <w:p w:rsidR="000C0DF9" w:rsidRDefault="000C0DF9" w:rsidP="000C0DF9">
      <w:pPr>
        <w:pStyle w:val="Text-Normaln"/>
        <w:widowControl w:val="0"/>
      </w:pPr>
      <w:r>
        <w:t>Tvorba technických norem vychází z požadavků profesních komor, státu, jiných zájmových skupin apod. ČAS přijímá požadavek, vyhodnocuje ho, zajistí vytvoření normy (prostřednictvím cca 1 700 smluvních partnerů) a začlení ji do soustavy.</w:t>
      </w:r>
    </w:p>
    <w:p w:rsidR="000C0DF9" w:rsidRDefault="000C0DF9" w:rsidP="000C0DF9">
      <w:pPr>
        <w:pStyle w:val="Text-Normaln"/>
        <w:widowControl w:val="0"/>
      </w:pPr>
      <w:r>
        <w:t>Odkazy na technickou normu v právních předpisech mohou mít z hlediska jejich síly formu odkazu výlučného (povinného) nebo indikativního. České technické normy, obsahující informace o obecně uznávaných technických řešeních, základní zákonné požadavky bezpečnosti konstrukční, materiálové, protipožární, hygienické či ochrany zdraví a životního prostřední, jsou považovány za kvalifikovaná doporučení (nikoliv příkazy) a jejich používání je nezávazné (dobrovolné). Existuje však celá řada případů, kdy je dodržení požadavků konkrétních českých technických norem vyžadováno zákonem nebo podzákonným právním předpisem. Povinnost postupovat při určité činnosti v souladu s českými technickými normami může vzniknout především na základě ustanovení právního předpisu, které stanoví, že ve vztazích upravených tímto právním předpisem je nutno dodržovat české technické norm</w:t>
      </w:r>
      <w:r w:rsidR="00BD2155">
        <w:t>y. V těchto případech již lze o </w:t>
      </w:r>
      <w:r>
        <w:t>určité závaznosti těchto norem hovořit. (</w:t>
      </w:r>
      <w:r>
        <w:rPr>
          <w:i/>
        </w:rPr>
        <w:t>Zdroj: http://www.unmz.cz/test/problematika-uvadeni-technickych-norem-v-pravnich-predpisech</w:t>
      </w:r>
      <w:r>
        <w:t>)</w:t>
      </w:r>
    </w:p>
    <w:p w:rsidR="000C0DF9" w:rsidRDefault="000C0DF9" w:rsidP="007D31C3">
      <w:pPr>
        <w:pStyle w:val="Normlnweb"/>
        <w:spacing w:before="0" w:beforeAutospacing="0" w:after="0" w:afterAutospacing="0"/>
        <w:jc w:val="both"/>
        <w:rPr>
          <w:rFonts w:ascii="Garamond" w:eastAsia="Calibri" w:hAnsi="Garamond"/>
          <w:szCs w:val="22"/>
          <w:lang w:eastAsia="en-US"/>
        </w:rPr>
      </w:pPr>
      <w:r>
        <w:rPr>
          <w:rFonts w:ascii="Garamond" w:eastAsia="Calibri" w:hAnsi="Garamond"/>
          <w:szCs w:val="22"/>
          <w:lang w:eastAsia="en-US"/>
        </w:rPr>
        <w:lastRenderedPageBreak/>
        <w:t>Výlučný odkaz určuje shodu s technickou normou, na kterou se odkazuje, jako jediný způsob splnění příslušného ustanovení daného právního předpisu. V případě indikativního odkazu je shoda s technickou normou jen jedním ze způsobů, jak tyto poža</w:t>
      </w:r>
      <w:r w:rsidR="00BD2155">
        <w:rPr>
          <w:rFonts w:ascii="Garamond" w:eastAsia="Calibri" w:hAnsi="Garamond"/>
          <w:szCs w:val="22"/>
          <w:lang w:eastAsia="en-US"/>
        </w:rPr>
        <w:t>davky splnit. Technická norma v </w:t>
      </w:r>
      <w:r>
        <w:rPr>
          <w:rFonts w:ascii="Garamond" w:eastAsia="Calibri" w:hAnsi="Garamond"/>
          <w:szCs w:val="22"/>
          <w:lang w:eastAsia="en-US"/>
        </w:rPr>
        <w:t>tomto případě konkretizuje obecný, souhrnný právní požadavek, který však může být splněn jinými prostředky. Dobrovolný charakter používání technických norem tak umožňuje přijímat vyspělá technická řešení a podporuje technologický rozvoj.</w:t>
      </w:r>
    </w:p>
    <w:p w:rsidR="000C0DF9" w:rsidRDefault="002D7477" w:rsidP="000C0DF9">
      <w:pPr>
        <w:pStyle w:val="Text-Normaln"/>
        <w:widowControl w:val="0"/>
      </w:pPr>
      <w:r>
        <w:t>Stávající s</w:t>
      </w:r>
      <w:r w:rsidR="000C0DF9">
        <w:t xml:space="preserve">tavební zákon obsahuje odkazy na technické normy v obecné rovině, </w:t>
      </w:r>
      <w:r w:rsidR="00686D84">
        <w:t>například</w:t>
      </w:r>
      <w:r w:rsidR="000C0DF9">
        <w:t xml:space="preserve"> v § 160 odst. 2 stanoví: </w:t>
      </w:r>
      <w:r w:rsidR="000C0DF9">
        <w:rPr>
          <w:i/>
        </w:rPr>
        <w:t>„Zhotovitel stavby je povinen provádět stavbu v souladu s rozhodnutím nebo jiným opatřením stavebního úřadu a s ověřenou projektovou dokumentací, dodržet obecné požadavky na výstavbu, popřípadě jiné technické předpisy a technické normy a zajistit dodržování povinností k ochraně života</w:t>
      </w:r>
      <w:r w:rsidR="00BD2155">
        <w:rPr>
          <w:i/>
        </w:rPr>
        <w:t>, zdraví, životního prostředí a </w:t>
      </w:r>
      <w:r w:rsidR="000C0DF9">
        <w:rPr>
          <w:i/>
        </w:rPr>
        <w:t>bezpečnosti práce vyplývajících ze zvláštních právních předpisů.“</w:t>
      </w:r>
    </w:p>
    <w:p w:rsidR="000C0DF9" w:rsidRDefault="000C0DF9" w:rsidP="000C0DF9">
      <w:pPr>
        <w:pStyle w:val="Text1-11-111"/>
        <w:ind w:left="0"/>
      </w:pPr>
      <w:r>
        <w:rPr>
          <w:rFonts w:ascii="Garamond" w:eastAsia="Calibri" w:hAnsi="Garamond"/>
          <w:szCs w:val="22"/>
        </w:rPr>
        <w:t xml:space="preserve">Vyhláška č. 268/2009 Sb., o technických požadavcích na stavby, ve znění pozdějších předpisů, využívá pro odkazy na technické normy pojem „normové hodnoty“ definovaný v § 3 písm. k): </w:t>
      </w:r>
      <w:r>
        <w:rPr>
          <w:rFonts w:ascii="Garamond" w:eastAsia="Calibri" w:hAnsi="Garamond"/>
          <w:i/>
          <w:szCs w:val="22"/>
        </w:rPr>
        <w:t>„konkrétní technický požadavek, zejména limitní hodnota, návrhová metoda, národně stanovené parametry, technické vlastnosti stavebních konstrukcí a technických zařízení, obsažený v příslušné české technické normě, jehož dodržení se považuje za splnění požadavků konkrétního ustanovení této vyhlášky“</w:t>
      </w:r>
      <w:r>
        <w:rPr>
          <w:rFonts w:ascii="Garamond" w:eastAsia="Calibri" w:hAnsi="Garamond"/>
          <w:szCs w:val="22"/>
        </w:rPr>
        <w:t>. Na tento pojem vyhláška dále navazuje u jednotlivých požadavků na stavb</w:t>
      </w:r>
      <w:r w:rsidR="00BD2155">
        <w:rPr>
          <w:rFonts w:ascii="Garamond" w:eastAsia="Calibri" w:hAnsi="Garamond"/>
          <w:szCs w:val="22"/>
        </w:rPr>
        <w:t>y (obdobně také § 3 vyhlášky č. </w:t>
      </w:r>
      <w:r>
        <w:rPr>
          <w:rFonts w:ascii="Garamond" w:eastAsia="Calibri" w:hAnsi="Garamond"/>
          <w:szCs w:val="22"/>
        </w:rPr>
        <w:t>398/2009 Sb.) a pak obecně v § 55 odst. 2 této vyhlášky (obdobn</w:t>
      </w:r>
      <w:r w:rsidR="00BD2155">
        <w:rPr>
          <w:rFonts w:ascii="Garamond" w:eastAsia="Calibri" w:hAnsi="Garamond"/>
          <w:szCs w:val="22"/>
        </w:rPr>
        <w:t>ě také § 15 odst. 2 vyhlášky č. </w:t>
      </w:r>
      <w:r>
        <w:rPr>
          <w:rFonts w:ascii="Garamond" w:eastAsia="Calibri" w:hAnsi="Garamond"/>
          <w:szCs w:val="22"/>
        </w:rPr>
        <w:t>398/2009 Sb.) (</w:t>
      </w:r>
      <w:r w:rsidR="00686D84">
        <w:rPr>
          <w:rFonts w:ascii="Garamond" w:eastAsia="Calibri" w:hAnsi="Garamond"/>
          <w:szCs w:val="22"/>
        </w:rPr>
        <w:t>například</w:t>
      </w:r>
      <w:r>
        <w:rPr>
          <w:rFonts w:ascii="Garamond" w:eastAsia="Calibri" w:hAnsi="Garamond"/>
          <w:szCs w:val="22"/>
        </w:rPr>
        <w:t xml:space="preserve"> dle § 9 odst. 1 vyhlášky 268/2009 Sb.: </w:t>
      </w:r>
      <w:r>
        <w:rPr>
          <w:rFonts w:ascii="Garamond" w:eastAsia="Calibri" w:hAnsi="Garamond"/>
          <w:i/>
          <w:szCs w:val="22"/>
        </w:rPr>
        <w:t>„Stavba musí být navržena a provedena v souladu s normovými hodnotami …“</w:t>
      </w:r>
      <w:r>
        <w:rPr>
          <w:rFonts w:ascii="Garamond" w:eastAsia="Calibri" w:hAnsi="Garamond"/>
          <w:szCs w:val="22"/>
        </w:rPr>
        <w:t>). Kromě toho odkazuje v § 48a v textu na normové hodnoty a v poznámkách pod čarou na příslušné ČSN.</w:t>
      </w:r>
    </w:p>
    <w:p w:rsidR="000C0DF9" w:rsidRDefault="000C0DF9" w:rsidP="000C0DF9">
      <w:pPr>
        <w:pStyle w:val="Text-Normaln"/>
        <w:widowControl w:val="0"/>
      </w:pPr>
      <w:r>
        <w:t xml:space="preserve">Konkrétní odkazy však stavební zákon ani prováděcí vyhlášky (nad rámec výše uvedených odkazů v § 48a vyhlášky č. 268/2009 Sb.) neobsahuje. </w:t>
      </w:r>
    </w:p>
    <w:p w:rsidR="000C0DF9" w:rsidRDefault="005638C6" w:rsidP="000C0DF9">
      <w:pPr>
        <w:pStyle w:val="Text-Normaln"/>
        <w:widowControl w:val="0"/>
      </w:pPr>
      <w:r>
        <w:t>MMR</w:t>
      </w:r>
      <w:r w:rsidR="000C0DF9">
        <w:t xml:space="preserve"> vytvořilo pouze neformální seznam ČSN, které provádějí jednotlivá ustanovení vyhlášek č</w:t>
      </w:r>
      <w:r w:rsidR="002D7477">
        <w:t>. </w:t>
      </w:r>
      <w:r w:rsidR="000C0DF9">
        <w:t>268/2009 Sb. a 398/2009 Sb. Platná právní úprava však neobsahuje oficiální seznam norem, které je nutné dodržet pro naplnění technických požadavků na výstavbu.</w:t>
      </w:r>
    </w:p>
    <w:p w:rsidR="000C0DF9" w:rsidRDefault="000C0DF9" w:rsidP="000C0DF9">
      <w:pPr>
        <w:pStyle w:val="Text-Normaln"/>
        <w:widowControl w:val="0"/>
      </w:pPr>
      <w:r>
        <w:t>ČAS nyní bezplatně zpřístupňuje pouze seznam technických norem, které slouží k naplňování požadavků. Nejsou publikovány plné texty, a to z důvodu ochrany autorských práv k těmto normám, kterou po ČR požadují organizace evropské a světové normalizace, jejichž je ÚNMZ členem (přičemž práva vykonává na základě zřizovací listiny ČAS). Technické normy se nesmí poskytovat zdarma, pokud by to členský stát učinil, byl by vyloučen,</w:t>
      </w:r>
      <w:r w:rsidR="00BD2155">
        <w:t xml:space="preserve"> tj. jediný legální způsob, jak </w:t>
      </w:r>
      <w:r>
        <w:t>získat přístup k plným textům technických norem, je jejich nákup.</w:t>
      </w:r>
    </w:p>
    <w:p w:rsidR="000C0DF9" w:rsidRDefault="000C0DF9" w:rsidP="000C0DF9">
      <w:pPr>
        <w:pStyle w:val="Nadpis3a"/>
        <w:numPr>
          <w:ilvl w:val="0"/>
          <w:numId w:val="0"/>
        </w:numPr>
        <w:ind w:left="720" w:hanging="720"/>
      </w:pPr>
      <w:bookmarkStart w:id="79" w:name="_Toc536553932"/>
      <w:r>
        <w:t>D.2.2 Definice problému</w:t>
      </w:r>
      <w:bookmarkEnd w:id="79"/>
    </w:p>
    <w:p w:rsidR="000C0DF9" w:rsidRDefault="000C0DF9" w:rsidP="000C0DF9">
      <w:pPr>
        <w:pStyle w:val="Text-Normaln"/>
        <w:widowControl w:val="0"/>
      </w:pPr>
      <w:r>
        <w:t>Současný stav vede k vysoké právní nejistotě všech účastníků výstavby, zejména stavebníků, projektantů i dodavatelů staveb, přičemž velkou zátěž klade i na samotné stavební úřady.</w:t>
      </w:r>
    </w:p>
    <w:p w:rsidR="000C0DF9" w:rsidRDefault="000C0DF9" w:rsidP="000C0DF9">
      <w:pPr>
        <w:pStyle w:val="Text-Normaln"/>
        <w:widowControl w:val="0"/>
      </w:pPr>
      <w:r>
        <w:t>Příčinu lze hledat v následujících aspektech:</w:t>
      </w:r>
    </w:p>
    <w:p w:rsidR="000C0DF9" w:rsidRDefault="000C0DF9" w:rsidP="00C873B4">
      <w:pPr>
        <w:pStyle w:val="Text-Normaln"/>
        <w:widowControl w:val="0"/>
        <w:numPr>
          <w:ilvl w:val="0"/>
          <w:numId w:val="73"/>
        </w:numPr>
      </w:pPr>
      <w:r>
        <w:t>nepřehlednost v používání technických norem a nejednoznačné odkazy na normy,</w:t>
      </w:r>
    </w:p>
    <w:p w:rsidR="000C0DF9" w:rsidRDefault="000C0DF9" w:rsidP="00C873B4">
      <w:pPr>
        <w:pStyle w:val="Text-Normaln"/>
        <w:widowControl w:val="0"/>
        <w:numPr>
          <w:ilvl w:val="0"/>
          <w:numId w:val="73"/>
        </w:numPr>
      </w:pPr>
      <w:r>
        <w:t>nedostatečná publicita technických norem, a</w:t>
      </w:r>
    </w:p>
    <w:p w:rsidR="000C0DF9" w:rsidRDefault="000C0DF9" w:rsidP="00C873B4">
      <w:pPr>
        <w:pStyle w:val="Text-Normaln"/>
        <w:widowControl w:val="0"/>
        <w:numPr>
          <w:ilvl w:val="0"/>
          <w:numId w:val="73"/>
        </w:numPr>
      </w:pPr>
      <w:r>
        <w:t>skutečnost, že technické normy v některých případech upravují příliš obecnou problematiku, která systematicky spadá spíše do obecných požadavků na výstavbu regulovaných vyhláškami MMR, a případně i opačný příliš velký detail požadavků uvedených v podzákonných předpisech.</w:t>
      </w:r>
    </w:p>
    <w:p w:rsidR="000C0DF9" w:rsidRDefault="000C0DF9" w:rsidP="000C0DF9">
      <w:pPr>
        <w:pStyle w:val="Nadpis3a"/>
        <w:numPr>
          <w:ilvl w:val="0"/>
          <w:numId w:val="0"/>
        </w:numPr>
        <w:ind w:left="720" w:hanging="720"/>
      </w:pPr>
      <w:bookmarkStart w:id="80" w:name="_Toc536553933"/>
      <w:r>
        <w:t>D.2.3 Hodnocení řešeného věcného okruhu</w:t>
      </w:r>
      <w:bookmarkEnd w:id="80"/>
    </w:p>
    <w:p w:rsidR="000C0DF9" w:rsidRDefault="000C0DF9" w:rsidP="000C0DF9">
      <w:pPr>
        <w:pStyle w:val="Text-Normaln"/>
        <w:widowControl w:val="0"/>
        <w:rPr>
          <w:b/>
        </w:rPr>
      </w:pPr>
      <w:r>
        <w:rPr>
          <w:b/>
        </w:rPr>
        <w:t>Cíl:</w:t>
      </w:r>
      <w:r>
        <w:t xml:space="preserve"> Zvýšit právní jistotu, snížit náklady na (soudní) spory; zefektivnit tak přípravu či samotné provádění staveb; zpřehlednit soustavu a způsob odkazování na technické normy a zajistit </w:t>
      </w:r>
      <w:r>
        <w:lastRenderedPageBreak/>
        <w:t>dostatečný přístup k těmto normám</w:t>
      </w:r>
      <w:r w:rsidR="002D7477">
        <w:t>.</w:t>
      </w:r>
    </w:p>
    <w:p w:rsidR="000C0DF9" w:rsidRDefault="000C0DF9" w:rsidP="000C0DF9">
      <w:pPr>
        <w:pStyle w:val="Text-Normaln"/>
        <w:widowControl w:val="0"/>
        <w:rPr>
          <w:b/>
        </w:rPr>
      </w:pPr>
      <w:r>
        <w:rPr>
          <w:b/>
        </w:rPr>
        <w:t>Návrh variant řešení:</w:t>
      </w:r>
    </w:p>
    <w:p w:rsidR="000C0DF9" w:rsidRDefault="000C0DF9" w:rsidP="000C0DF9">
      <w:pPr>
        <w:pStyle w:val="Text-Normaln"/>
        <w:widowControl w:val="0"/>
        <w:rPr>
          <w:i/>
        </w:rPr>
      </w:pPr>
      <w:r>
        <w:rPr>
          <w:b/>
          <w:i/>
        </w:rPr>
        <w:t>Varianta 0:</w:t>
      </w:r>
      <w:r>
        <w:rPr>
          <w:i/>
        </w:rPr>
        <w:t xml:space="preserve"> Zachování současného stavu</w:t>
      </w:r>
    </w:p>
    <w:p w:rsidR="000C0DF9" w:rsidRDefault="000C0DF9" w:rsidP="000C0DF9">
      <w:pPr>
        <w:pStyle w:val="Text-Normaln"/>
        <w:widowControl w:val="0"/>
        <w:rPr>
          <w:i/>
        </w:rPr>
      </w:pPr>
      <w:r>
        <w:rPr>
          <w:b/>
          <w:i/>
        </w:rPr>
        <w:t>Varianta 1:</w:t>
      </w:r>
      <w:r>
        <w:rPr>
          <w:i/>
        </w:rPr>
        <w:t xml:space="preserve"> Změna modelu zahrnující přednostní užívání indikativního odkazu, a pouze ve vybraných případech odkaz výlučný; vytvoření databáze, kterou bude ČAS trvale udržovat v aktuální podobě (v databázi budou obsaženy všechny normy, jednotlivé články norem, případně jiné technické dokumenty plnotextově a stát bude přístup sponzorovat); provedení revize norem</w:t>
      </w:r>
    </w:p>
    <w:p w:rsidR="000C0DF9" w:rsidRDefault="000C0DF9" w:rsidP="000C0DF9">
      <w:pPr>
        <w:pStyle w:val="Text-Normaln"/>
        <w:widowControl w:val="0"/>
      </w:pPr>
      <w:r>
        <w:t>Parciální segmenty Varianty 1 jsou zahrnuty v jednom scénáři, neboť fragmentovaná implementace nedává z pohledu stanoveného cíle smysl.</w:t>
      </w:r>
    </w:p>
    <w:p w:rsidR="000C0DF9" w:rsidRDefault="000C0DF9" w:rsidP="000C0DF9">
      <w:pPr>
        <w:pStyle w:val="Text-Normaln"/>
        <w:widowControl w:val="0"/>
        <w:rPr>
          <w:b/>
        </w:rPr>
      </w:pPr>
      <w:r>
        <w:rPr>
          <w:b/>
        </w:rPr>
        <w:t>Identifikace nákladů a přínosů:</w:t>
      </w:r>
    </w:p>
    <w:p w:rsidR="000C0DF9" w:rsidRDefault="000C0DF9" w:rsidP="000C0DF9">
      <w:pPr>
        <w:pStyle w:val="Titulek"/>
        <w:keepNext/>
      </w:pPr>
      <w:r>
        <w:t xml:space="preserve">Tabulka </w:t>
      </w:r>
      <w:r w:rsidR="00AB65E9">
        <w:rPr>
          <w:noProof/>
        </w:rPr>
        <w:fldChar w:fldCharType="begin"/>
      </w:r>
      <w:r w:rsidR="00ED6005">
        <w:rPr>
          <w:noProof/>
        </w:rPr>
        <w:instrText xml:space="preserve"> SEQ Tabulka \* ARABIC </w:instrText>
      </w:r>
      <w:r w:rsidR="00AB65E9">
        <w:rPr>
          <w:noProof/>
        </w:rPr>
        <w:fldChar w:fldCharType="separate"/>
      </w:r>
      <w:r w:rsidR="00263A1B">
        <w:rPr>
          <w:noProof/>
        </w:rPr>
        <w:t>29</w:t>
      </w:r>
      <w:r w:rsidR="00AB65E9">
        <w:rPr>
          <w:noProof/>
        </w:rPr>
        <w:fldChar w:fldCharType="end"/>
      </w:r>
      <w:r>
        <w:t>: Identifikace nákladů a přínosů Varianty 1</w:t>
      </w:r>
    </w:p>
    <w:tbl>
      <w:tblPr>
        <w:tblW w:w="0" w:type="auto"/>
        <w:tblInd w:w="108" w:type="dxa"/>
        <w:shd w:val="clear" w:color="auto" w:fill="B6B002"/>
        <w:tblLook w:val="00A0" w:firstRow="1" w:lastRow="0" w:firstColumn="1" w:lastColumn="0" w:noHBand="0" w:noVBand="0"/>
      </w:tblPr>
      <w:tblGrid>
        <w:gridCol w:w="8962"/>
      </w:tblGrid>
      <w:tr w:rsidR="000C0DF9" w:rsidRPr="000C0DF9" w:rsidTr="000C0DF9">
        <w:trPr>
          <w:trHeight w:val="39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0C0DF9" w:rsidRPr="000C0DF9" w:rsidRDefault="000C0DF9" w:rsidP="000C0DF9">
            <w:pPr>
              <w:widowControl w:val="0"/>
              <w:spacing w:before="0" w:after="0"/>
              <w:rPr>
                <w:rFonts w:asciiTheme="minorHAnsi" w:hAnsiTheme="minorHAnsi"/>
                <w:b/>
                <w:color w:val="000000"/>
                <w:sz w:val="20"/>
                <w:szCs w:val="20"/>
              </w:rPr>
            </w:pPr>
            <w:r w:rsidRPr="000C0DF9">
              <w:rPr>
                <w:rFonts w:asciiTheme="minorHAnsi" w:hAnsiTheme="minorHAnsi"/>
                <w:b/>
                <w:color w:val="000000"/>
                <w:sz w:val="20"/>
                <w:szCs w:val="20"/>
              </w:rPr>
              <w:t>Náklady</w:t>
            </w: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auto"/>
            <w:vAlign w:val="center"/>
            <w:hideMark/>
          </w:tcPr>
          <w:p w:rsidR="000C0DF9" w:rsidRPr="000C0DF9" w:rsidRDefault="000C0DF9" w:rsidP="000C0DF9">
            <w:pPr>
              <w:widowControl w:val="0"/>
              <w:spacing w:before="0" w:after="0"/>
              <w:rPr>
                <w:rFonts w:asciiTheme="minorHAnsi" w:hAnsiTheme="minorHAnsi"/>
                <w:color w:val="000000"/>
                <w:sz w:val="20"/>
                <w:szCs w:val="20"/>
              </w:rPr>
            </w:pPr>
            <w:r w:rsidRPr="000C0DF9">
              <w:rPr>
                <w:rFonts w:asciiTheme="minorHAnsi" w:hAnsiTheme="minorHAnsi"/>
                <w:color w:val="000000"/>
                <w:sz w:val="20"/>
                <w:szCs w:val="20"/>
              </w:rPr>
              <w:t>Na straně ČAS</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 xml:space="preserve">Náklady na technické řešení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sz w:val="20"/>
                <w:szCs w:val="20"/>
              </w:rPr>
            </w:pPr>
            <w:r w:rsidRPr="000C0DF9">
              <w:rPr>
                <w:rFonts w:asciiTheme="minorHAnsi" w:hAnsiTheme="minorHAnsi"/>
                <w:sz w:val="20"/>
                <w:szCs w:val="20"/>
              </w:rPr>
              <w:t>Pravidelná aktualizace a údržba</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sz w:val="20"/>
                <w:szCs w:val="20"/>
              </w:rPr>
            </w:pPr>
            <w:r w:rsidRPr="000C0DF9">
              <w:rPr>
                <w:rFonts w:asciiTheme="minorHAnsi" w:hAnsiTheme="minorHAnsi"/>
                <w:sz w:val="20"/>
                <w:szCs w:val="20"/>
              </w:rPr>
              <w:t>Revize norem – zde je předpokládána spoluúčast státu</w:t>
            </w:r>
          </w:p>
          <w:p w:rsidR="000C0DF9" w:rsidRPr="000C0DF9" w:rsidRDefault="000C0DF9" w:rsidP="000C0DF9">
            <w:pPr>
              <w:widowControl w:val="0"/>
              <w:spacing w:before="0" w:after="0"/>
              <w:rPr>
                <w:rFonts w:asciiTheme="minorHAnsi" w:hAnsiTheme="minorHAnsi"/>
                <w:sz w:val="20"/>
                <w:szCs w:val="20"/>
              </w:rPr>
            </w:pPr>
            <w:r w:rsidRPr="000C0DF9">
              <w:rPr>
                <w:rFonts w:asciiTheme="minorHAnsi" w:hAnsiTheme="minorHAnsi"/>
                <w:sz w:val="20"/>
                <w:szCs w:val="20"/>
              </w:rPr>
              <w:t xml:space="preserve">Na straně státu </w:t>
            </w:r>
          </w:p>
          <w:p w:rsidR="000C0DF9" w:rsidRPr="008712FB"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Sponzoring přístupu k technickým normám</w:t>
            </w:r>
          </w:p>
          <w:p w:rsidR="00E04C32" w:rsidRPr="000C0DF9" w:rsidRDefault="00E04C32" w:rsidP="008712FB">
            <w:pPr>
              <w:pStyle w:val="Odstavecseseznamem"/>
              <w:widowControl w:val="0"/>
              <w:spacing w:before="0" w:after="0"/>
              <w:ind w:left="360"/>
              <w:contextualSpacing w:val="0"/>
              <w:rPr>
                <w:rFonts w:asciiTheme="minorHAnsi" w:hAnsiTheme="minorHAnsi"/>
                <w:color w:val="000000"/>
                <w:sz w:val="20"/>
                <w:szCs w:val="20"/>
              </w:rPr>
            </w:pP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0C0DF9" w:rsidRPr="000C0DF9" w:rsidRDefault="000C0DF9" w:rsidP="000C0DF9">
            <w:pPr>
              <w:widowControl w:val="0"/>
              <w:spacing w:before="0" w:after="0"/>
              <w:rPr>
                <w:rFonts w:asciiTheme="minorHAnsi" w:hAnsiTheme="minorHAnsi"/>
                <w:b/>
                <w:color w:val="000000"/>
                <w:sz w:val="20"/>
                <w:szCs w:val="20"/>
              </w:rPr>
            </w:pPr>
            <w:r w:rsidRPr="000C0DF9">
              <w:rPr>
                <w:rFonts w:asciiTheme="minorHAnsi" w:hAnsiTheme="minorHAnsi"/>
                <w:b/>
                <w:color w:val="000000"/>
                <w:sz w:val="20"/>
                <w:szCs w:val="20"/>
              </w:rPr>
              <w:t>Přínosy</w:t>
            </w: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FFFFFF" w:themeFill="background1"/>
            <w:vAlign w:val="center"/>
            <w:hideMark/>
          </w:tcPr>
          <w:p w:rsidR="000C0DF9" w:rsidRPr="000C0DF9" w:rsidRDefault="000C0DF9" w:rsidP="000C0DF9">
            <w:pPr>
              <w:widowControl w:val="0"/>
              <w:spacing w:before="0" w:after="0"/>
              <w:rPr>
                <w:rFonts w:asciiTheme="minorHAnsi" w:hAnsiTheme="minorHAnsi"/>
                <w:color w:val="000000"/>
                <w:sz w:val="20"/>
                <w:szCs w:val="20"/>
              </w:rPr>
            </w:pPr>
            <w:r w:rsidRPr="000C0DF9">
              <w:rPr>
                <w:rFonts w:asciiTheme="minorHAnsi" w:hAnsiTheme="minorHAnsi"/>
                <w:color w:val="000000"/>
                <w:sz w:val="20"/>
                <w:szCs w:val="20"/>
              </w:rPr>
              <w:t xml:space="preserve">Všechny strany podílející se na přípravě či samotné realizaci stavby stavební úřady či </w:t>
            </w:r>
            <w:r w:rsidR="00E04C32">
              <w:rPr>
                <w:rFonts w:asciiTheme="minorHAnsi" w:hAnsiTheme="minorHAnsi"/>
                <w:color w:val="000000"/>
                <w:sz w:val="20"/>
                <w:szCs w:val="20"/>
              </w:rPr>
              <w:t>DO</w:t>
            </w:r>
            <w:r w:rsidRPr="000C0DF9">
              <w:rPr>
                <w:rFonts w:asciiTheme="minorHAnsi" w:hAnsiTheme="minorHAnsi"/>
                <w:color w:val="000000"/>
                <w:sz w:val="20"/>
                <w:szCs w:val="20"/>
              </w:rPr>
              <w:t xml:space="preserve"> nevyjímaje</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Zvýšení právní jistoty</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 xml:space="preserve">Časové úspory a úspory úkonů plynoucí z existence transparentní databáze technických norem, z jejich provedené revize, z výběru a stanovení technických norem, jejichž splnění bude povinné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 xml:space="preserve">Podpora technologického rozvoje díky upřednostnění indikativních odkazů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Podpora MSP, které nemohou vynakládat tolik prostředků na sledování právního stavu, konzultanty apod. v porovnání s většími společnostmi</w:t>
            </w:r>
          </w:p>
        </w:tc>
      </w:tr>
    </w:tbl>
    <w:p w:rsidR="000C0DF9" w:rsidRDefault="000C0DF9" w:rsidP="000C0DF9">
      <w:pPr>
        <w:pStyle w:val="Text-Normaln"/>
        <w:widowControl w:val="0"/>
        <w:rPr>
          <w:b/>
        </w:rPr>
      </w:pPr>
      <w:r>
        <w:rPr>
          <w:b/>
        </w:rPr>
        <w:t>Kvantifikace nákladů:</w:t>
      </w:r>
    </w:p>
    <w:p w:rsidR="000C0DF9" w:rsidRDefault="000C0DF9" w:rsidP="000C0DF9">
      <w:pPr>
        <w:pStyle w:val="Text-Normaln"/>
        <w:widowControl w:val="0"/>
        <w:rPr>
          <w:i/>
        </w:rPr>
      </w:pPr>
      <w:r>
        <w:rPr>
          <w:b/>
          <w:i/>
        </w:rPr>
        <w:t>Varianta 1</w:t>
      </w:r>
      <w:r>
        <w:rPr>
          <w:i/>
        </w:rPr>
        <w:t xml:space="preserve"> </w:t>
      </w:r>
    </w:p>
    <w:p w:rsidR="000C0DF9" w:rsidRDefault="000C0DF9" w:rsidP="008712FB">
      <w:pPr>
        <w:widowControl w:val="0"/>
        <w:spacing w:before="80" w:after="80"/>
        <w:rPr>
          <w:u w:val="single"/>
        </w:rPr>
      </w:pPr>
      <w:r>
        <w:rPr>
          <w:u w:val="single"/>
        </w:rPr>
        <w:t xml:space="preserve">Náklady na technické řešení </w:t>
      </w:r>
    </w:p>
    <w:p w:rsidR="000C0DF9" w:rsidRDefault="000C0DF9" w:rsidP="008712FB">
      <w:pPr>
        <w:spacing w:before="80" w:after="80"/>
      </w:pPr>
      <w:r>
        <w:t xml:space="preserve">Technické řešení je již hotové, reálně funguje v případě přístupu k normám na elektronickou fakturu. ČAS tak odhaduje jednorázové náklady na rozšíření IT řešení na stavební normy pouze ve výši přibližně 0,5 mil. Kč. </w:t>
      </w:r>
    </w:p>
    <w:p w:rsidR="000C0DF9" w:rsidRDefault="000C0DF9" w:rsidP="008712FB">
      <w:pPr>
        <w:widowControl w:val="0"/>
        <w:spacing w:before="80" w:after="80"/>
      </w:pPr>
      <w:r>
        <w:rPr>
          <w:u w:val="single"/>
        </w:rPr>
        <w:t>Pravidelná aktualizace a údržba</w:t>
      </w:r>
    </w:p>
    <w:p w:rsidR="000C0DF9" w:rsidRDefault="000C0DF9" w:rsidP="008712FB">
      <w:pPr>
        <w:spacing w:before="80" w:after="80"/>
      </w:pPr>
      <w:r>
        <w:t xml:space="preserve">Na základě konzultací s ČAS </w:t>
      </w:r>
      <w:r w:rsidR="00E04C32">
        <w:t>se dá předpokládat</w:t>
      </w:r>
      <w:r>
        <w:t xml:space="preserve">, že pravidelnou aktualizaci a údržbu by částečně agentura poskytovala v rámci ceny sponzorovaného přístupu. </w:t>
      </w:r>
    </w:p>
    <w:p w:rsidR="000C0DF9" w:rsidRDefault="000C0DF9" w:rsidP="008712FB">
      <w:pPr>
        <w:widowControl w:val="0"/>
        <w:spacing w:before="80" w:after="80"/>
      </w:pPr>
      <w:r>
        <w:rPr>
          <w:u w:val="single"/>
        </w:rPr>
        <w:t>Revize norem</w:t>
      </w:r>
      <w:r>
        <w:t xml:space="preserve"> </w:t>
      </w:r>
    </w:p>
    <w:p w:rsidR="000C0DF9" w:rsidRDefault="000C0DF9" w:rsidP="008712FB">
      <w:pPr>
        <w:spacing w:before="80" w:after="80"/>
      </w:pPr>
      <w:r>
        <w:t>U této kategorie jednorázových nákladů je předpokládána finanč</w:t>
      </w:r>
      <w:r w:rsidR="00BD2155">
        <w:t>ní spoluúčast státu. Jedná se o </w:t>
      </w:r>
      <w:r>
        <w:t xml:space="preserve">náklady na vytvoření databáze. Pro tvorbu databáze bude třeba zasmluvnit množství odborníků na jednotlivé druhy staveb (pozemní, dopravní, vodní atd.), a v rámci těchto segmentů pak odborníků </w:t>
      </w:r>
      <w:r w:rsidR="00686D84">
        <w:t>například</w:t>
      </w:r>
      <w:r>
        <w:t xml:space="preserve"> na technické zabezpečení budov, tepelnou och</w:t>
      </w:r>
      <w:r w:rsidR="00BD2155">
        <w:t>ranu budov, vnitřní instalace a </w:t>
      </w:r>
      <w:r>
        <w:t>další desítky profesí. Tito odborníky určí, které požadavky budou povinné pro účely stavebních předpisů a budou začleněny do databáze.</w:t>
      </w:r>
    </w:p>
    <w:p w:rsidR="000C0DF9" w:rsidRDefault="000C0DF9" w:rsidP="008712FB">
      <w:pPr>
        <w:spacing w:before="80" w:after="80"/>
      </w:pPr>
      <w:r>
        <w:lastRenderedPageBreak/>
        <w:t>Úkol bude muset být řešen ve spolupráci s profesními komorami, ČKAIT, ČKA a dalšími odborníky. Nositelem úkolu by měla být ČAS, aby byla z</w:t>
      </w:r>
      <w:r w:rsidR="00BD2155">
        <w:t>ajištěna efektivní komunikace a </w:t>
      </w:r>
      <w:r>
        <w:t>koordinace.</w:t>
      </w:r>
    </w:p>
    <w:p w:rsidR="000C0DF9" w:rsidRDefault="000C0DF9" w:rsidP="008712FB">
      <w:pPr>
        <w:spacing w:before="80" w:after="80"/>
      </w:pPr>
      <w:r>
        <w:t xml:space="preserve">Náklady jsou ČAS odhadovány na přibližně 10 mil Kč. </w:t>
      </w:r>
    </w:p>
    <w:p w:rsidR="000C0DF9" w:rsidRDefault="000C0DF9" w:rsidP="008712FB">
      <w:pPr>
        <w:spacing w:before="80" w:after="80"/>
        <w:rPr>
          <w:u w:val="single"/>
        </w:rPr>
      </w:pPr>
      <w:r>
        <w:rPr>
          <w:u w:val="single"/>
        </w:rPr>
        <w:t>Sponzorování technických norem státem</w:t>
      </w:r>
    </w:p>
    <w:p w:rsidR="000C0DF9" w:rsidRDefault="000C0DF9" w:rsidP="008712FB">
      <w:pPr>
        <w:spacing w:before="80" w:after="80"/>
      </w:pPr>
      <w:r>
        <w:t>V současné době je v případě přístupu k normám na elektronickou fakturu hrazeno MMR agentuře 7 mil. Kč za obsažených 9 norem. Při předpokladu zachování počtu 160 norem relevantních pro účely dnešního stavebného zákona a vyhlášky 268/2009 Sb. byla ČAS provedena následující kalkulace:</w:t>
      </w:r>
    </w:p>
    <w:p w:rsidR="000C0DF9" w:rsidRDefault="000C0DF9" w:rsidP="000C0DF9">
      <w:pPr>
        <w:pStyle w:val="Titulek"/>
        <w:keepNext/>
      </w:pPr>
      <w:r>
        <w:t xml:space="preserve">Tabulka </w:t>
      </w:r>
      <w:r w:rsidR="00AB65E9">
        <w:rPr>
          <w:noProof/>
        </w:rPr>
        <w:fldChar w:fldCharType="begin"/>
      </w:r>
      <w:r>
        <w:rPr>
          <w:noProof/>
        </w:rPr>
        <w:instrText xml:space="preserve"> SEQ Tabulka \* ARABIC </w:instrText>
      </w:r>
      <w:r w:rsidR="00AB65E9">
        <w:rPr>
          <w:noProof/>
        </w:rPr>
        <w:fldChar w:fldCharType="separate"/>
      </w:r>
      <w:r w:rsidR="00263A1B">
        <w:rPr>
          <w:noProof/>
        </w:rPr>
        <w:t>30</w:t>
      </w:r>
      <w:r w:rsidR="00AB65E9">
        <w:rPr>
          <w:noProof/>
        </w:rPr>
        <w:fldChar w:fldCharType="end"/>
      </w:r>
      <w:r>
        <w:t>: Předběžná kalkulace sponzorovaného přístupu pro uživatele stavebních norem</w:t>
      </w:r>
    </w:p>
    <w:tbl>
      <w:tblPr>
        <w:tblStyle w:val="Svtlstnovn1"/>
        <w:tblW w:w="0" w:type="auto"/>
        <w:tblInd w:w="108" w:type="dxa"/>
        <w:tblLook w:val="04A0" w:firstRow="1" w:lastRow="0" w:firstColumn="1" w:lastColumn="0" w:noHBand="0" w:noVBand="1"/>
      </w:tblPr>
      <w:tblGrid>
        <w:gridCol w:w="4253"/>
        <w:gridCol w:w="4819"/>
      </w:tblGrid>
      <w:tr w:rsidR="000C0DF9" w:rsidTr="008712F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C0DF9" w:rsidRDefault="000C0DF9">
            <w:pPr>
              <w:spacing w:before="0" w:after="0"/>
              <w:rPr>
                <w:rFonts w:asciiTheme="minorHAnsi" w:hAnsiTheme="minorHAnsi" w:cstheme="minorHAnsi"/>
                <w:sz w:val="20"/>
                <w:szCs w:val="20"/>
              </w:rPr>
            </w:pPr>
            <w:r>
              <w:rPr>
                <w:rFonts w:asciiTheme="minorHAnsi" w:hAnsiTheme="minorHAnsi" w:cstheme="minorHAnsi"/>
                <w:sz w:val="20"/>
                <w:szCs w:val="20"/>
              </w:rPr>
              <w:t>Vstupní parametr</w:t>
            </w:r>
          </w:p>
        </w:tc>
        <w:tc>
          <w:tcPr>
            <w:tcW w:w="4819" w:type="dxa"/>
            <w:vAlign w:val="center"/>
            <w:hideMark/>
          </w:tcPr>
          <w:p w:rsidR="000C0DF9" w:rsidRDefault="000C0DF9">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Hodnota</w:t>
            </w:r>
          </w:p>
        </w:tc>
      </w:tr>
      <w:tr w:rsidR="000C0DF9" w:rsidTr="008712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bottom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Hodnota poskytovaných ČSN*</w:t>
            </w:r>
          </w:p>
        </w:tc>
        <w:tc>
          <w:tcPr>
            <w:tcW w:w="4819" w:type="dxa"/>
            <w:tcBorders>
              <w:top w:val="nil"/>
              <w:bottom w:val="nil"/>
            </w:tcBorders>
            <w:vAlign w:val="center"/>
            <w:hideMark/>
          </w:tcPr>
          <w:p w:rsidR="000C0DF9" w:rsidRDefault="000C0DF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88 366,- Kč (pro výpočet zaokrouhleno na 88 000,- Kč)</w:t>
            </w:r>
          </w:p>
        </w:tc>
      </w:tr>
      <w:tr w:rsidR="000C0DF9" w:rsidTr="008712FB">
        <w:trPr>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Počet potenciálních uživatelů**</w:t>
            </w:r>
          </w:p>
        </w:tc>
        <w:tc>
          <w:tcPr>
            <w:tcW w:w="4819" w:type="dxa"/>
            <w:tcBorders>
              <w:top w:val="nil"/>
              <w:left w:val="nil"/>
              <w:bottom w:val="nil"/>
              <w:right w:val="nil"/>
            </w:tcBorders>
            <w:vAlign w:val="center"/>
            <w:hideMark/>
          </w:tcPr>
          <w:p w:rsidR="000C0DF9" w:rsidRDefault="000C0DF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Cs/>
                <w:sz w:val="20"/>
                <w:szCs w:val="20"/>
              </w:rPr>
              <w:t>130 000</w:t>
            </w:r>
            <w:r>
              <w:rPr>
                <w:rFonts w:asciiTheme="minorHAnsi" w:hAnsiTheme="minorHAnsi" w:cstheme="minorHAnsi"/>
                <w:sz w:val="20"/>
                <w:szCs w:val="20"/>
              </w:rPr>
              <w:t xml:space="preserve"> (zaokrouhleno na celé stovky)</w:t>
            </w:r>
          </w:p>
        </w:tc>
      </w:tr>
      <w:tr w:rsidR="000C0DF9" w:rsidTr="008712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bottom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Minimální částka hrazená za jednoho uživatele (</w:t>
            </w:r>
            <w:r>
              <w:rPr>
                <w:rFonts w:asciiTheme="minorHAnsi" w:hAnsiTheme="minorHAnsi" w:cstheme="minorHAnsi"/>
                <w:b w:val="0"/>
                <w:bCs w:val="0"/>
                <w:sz w:val="20"/>
                <w:szCs w:val="20"/>
              </w:rPr>
              <w:t>0,5 %</w:t>
            </w:r>
            <w:r>
              <w:rPr>
                <w:rFonts w:asciiTheme="minorHAnsi" w:hAnsiTheme="minorHAnsi" w:cstheme="minorHAnsi"/>
                <w:b w:val="0"/>
                <w:sz w:val="20"/>
                <w:szCs w:val="20"/>
              </w:rPr>
              <w:t xml:space="preserve"> z hodnoty poskytovaných ČSN)</w:t>
            </w:r>
          </w:p>
        </w:tc>
        <w:tc>
          <w:tcPr>
            <w:tcW w:w="4819" w:type="dxa"/>
            <w:tcBorders>
              <w:top w:val="nil"/>
              <w:bottom w:val="nil"/>
            </w:tcBorders>
            <w:vAlign w:val="center"/>
            <w:hideMark/>
          </w:tcPr>
          <w:p w:rsidR="000C0DF9" w:rsidRDefault="000C0DF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441,83 Kč (zaokrouhleno na </w:t>
            </w:r>
            <w:r>
              <w:rPr>
                <w:rFonts w:asciiTheme="minorHAnsi" w:hAnsiTheme="minorHAnsi" w:cstheme="minorHAnsi"/>
                <w:bCs/>
                <w:sz w:val="20"/>
                <w:szCs w:val="20"/>
              </w:rPr>
              <w:t>440,- Kč</w:t>
            </w:r>
            <w:r>
              <w:rPr>
                <w:rFonts w:asciiTheme="minorHAnsi" w:hAnsiTheme="minorHAnsi" w:cstheme="minorHAnsi"/>
                <w:sz w:val="20"/>
                <w:szCs w:val="20"/>
              </w:rPr>
              <w:t>)</w:t>
            </w:r>
          </w:p>
        </w:tc>
      </w:tr>
      <w:tr w:rsidR="000C0DF9" w:rsidTr="008712FB">
        <w:trPr>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single" w:sz="8" w:space="0" w:color="000000"/>
              <w:right w:val="nil"/>
            </w:tcBorders>
            <w:vAlign w:val="center"/>
            <w:hideMark/>
          </w:tcPr>
          <w:p w:rsidR="000C0DF9" w:rsidRDefault="000C0DF9">
            <w:pPr>
              <w:spacing w:before="0" w:after="0"/>
              <w:rPr>
                <w:rFonts w:asciiTheme="minorHAnsi" w:hAnsiTheme="minorHAnsi" w:cstheme="minorHAnsi"/>
                <w:sz w:val="20"/>
                <w:szCs w:val="20"/>
              </w:rPr>
            </w:pPr>
            <w:r>
              <w:rPr>
                <w:rFonts w:asciiTheme="minorHAnsi" w:hAnsiTheme="minorHAnsi" w:cstheme="minorHAnsi"/>
                <w:sz w:val="20"/>
                <w:szCs w:val="20"/>
              </w:rPr>
              <w:t>Sponzor hradí tuto částku za všechny potenciální uživatele, tedy 440 Kč krát 130 000 uživatelů</w:t>
            </w:r>
          </w:p>
        </w:tc>
        <w:tc>
          <w:tcPr>
            <w:tcW w:w="4819" w:type="dxa"/>
            <w:tcBorders>
              <w:top w:val="nil"/>
              <w:left w:val="nil"/>
              <w:bottom w:val="single" w:sz="8" w:space="0" w:color="000000"/>
              <w:right w:val="nil"/>
            </w:tcBorders>
            <w:vAlign w:val="center"/>
            <w:hideMark/>
          </w:tcPr>
          <w:p w:rsidR="000C0DF9" w:rsidRDefault="000C0DF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712FB">
              <w:rPr>
                <w:rFonts w:asciiTheme="minorHAnsi" w:hAnsiTheme="minorHAnsi" w:cstheme="minorHAnsi"/>
                <w:b/>
                <w:bCs/>
                <w:sz w:val="20"/>
                <w:szCs w:val="20"/>
              </w:rPr>
              <w:t>57 200 000,- Kč/rok</w:t>
            </w:r>
          </w:p>
        </w:tc>
      </w:tr>
    </w:tbl>
    <w:p w:rsidR="000C0DF9" w:rsidRDefault="000C0DF9" w:rsidP="000C0DF9">
      <w:pPr>
        <w:pStyle w:val="Citt"/>
      </w:pPr>
      <w:r>
        <w:rPr>
          <w:rStyle w:val="CittChar"/>
          <w:i/>
          <w:iCs/>
        </w:rPr>
        <w:t>Zdroj:</w:t>
      </w:r>
      <w:r>
        <w:rPr>
          <w:rStyle w:val="CittChar"/>
          <w:rFonts w:eastAsiaTheme="minorHAnsi"/>
          <w:i/>
          <w:iCs/>
        </w:rPr>
        <w:t xml:space="preserve"> </w:t>
      </w:r>
      <w:r>
        <w:rPr>
          <w:rStyle w:val="CittChar"/>
          <w:i/>
          <w:iCs/>
        </w:rPr>
        <w:t>ČAS</w:t>
      </w:r>
      <w:r>
        <w:t> </w:t>
      </w:r>
    </w:p>
    <w:p w:rsidR="000C0DF9" w:rsidRDefault="000C0DF9" w:rsidP="000C0DF9">
      <w:pPr>
        <w:pStyle w:val="Citt"/>
        <w:rPr>
          <w:rStyle w:val="CittChar"/>
          <w:rFonts w:eastAsiaTheme="minorHAnsi"/>
          <w:i/>
          <w:iCs/>
        </w:rPr>
      </w:pPr>
      <w:r>
        <w:rPr>
          <w:rStyle w:val="CittChar"/>
          <w:i/>
          <w:iCs/>
        </w:rPr>
        <w:t>* cena norem je kalkulována ke 14.1.2019</w:t>
      </w:r>
    </w:p>
    <w:p w:rsidR="000C0DF9" w:rsidRDefault="000C0DF9" w:rsidP="000C0DF9">
      <w:pPr>
        <w:pStyle w:val="Citt"/>
      </w:pPr>
      <w:r>
        <w:rPr>
          <w:rStyle w:val="CittChar"/>
          <w:i/>
          <w:iCs/>
        </w:rPr>
        <w:t>** počet aktivních podnikatelů v oboru stavebnictví (podle CZ-NACE obory 41 Výstavba budov a 42 Inženýrské stavitelství) je platný k 31.12.2017 (zdroj: ČSÚ). Zahrnuti jsou i členové profesních komor (ČKAIT, ČKA)</w:t>
      </w:r>
      <w:r>
        <w:t xml:space="preserve"> </w:t>
      </w:r>
    </w:p>
    <w:p w:rsidR="000C0DF9" w:rsidRDefault="000C0DF9" w:rsidP="000C0DF9">
      <w:r>
        <w:t xml:space="preserve">Výše uvedený odhad se může změnit v návaznosti na změnu počtu technických norem relevantních pro stavební předpisy. Řádově je možné počítat s odchylkou ± 10 mil. Kč, pokud se </w:t>
      </w:r>
      <w:r w:rsidR="00686D84">
        <w:t>například</w:t>
      </w:r>
      <w:r>
        <w:t xml:space="preserve"> budou publikovat pouze některé články norem. </w:t>
      </w:r>
    </w:p>
    <w:p w:rsidR="000C0DF9" w:rsidRDefault="000C0DF9" w:rsidP="000C0DF9">
      <w:r>
        <w:t>Účelem Varianty 1 je mít technické normy transparentně shromážděny na jednom místě tak, aby stavebním úřadům</w:t>
      </w:r>
      <w:r w:rsidR="00744826">
        <w:t xml:space="preserve"> a</w:t>
      </w:r>
      <w:r>
        <w:t xml:space="preserve"> soudům bylo zřejmé, dodržování kterých povinností vyžaduje stát po všech účastnících procesu, a protože technické normy nelze zpřístupnit bezplatně, měl by tento přístup sponzorovat stát (který stanovuje povinnost). </w:t>
      </w:r>
    </w:p>
    <w:p w:rsidR="000C0DF9" w:rsidRDefault="000C0DF9" w:rsidP="000C0DF9">
      <w:r>
        <w:t>Sponzorovaný přístup není novinkou, Varianta 1 nepracuje s novým řešením. Naopak je zde řešení, které se v praxi osvědčilo (viz přístup k normám na elektronickou fakturu hrazený MMR), a připravuje se jeho použití v dalších oblastech (</w:t>
      </w:r>
      <w:r w:rsidR="00686D84">
        <w:t>například</w:t>
      </w:r>
      <w:r>
        <w:t xml:space="preserve"> pohřebnictví).</w:t>
      </w:r>
    </w:p>
    <w:p w:rsidR="000C0DF9" w:rsidRDefault="000C0DF9" w:rsidP="000C0DF9">
      <w:r>
        <w:t>Naprostá většina norem, které tvoří soustavu ČSN, jsou přejímány do soustavy českých technických norem na základě členství ČR v evropských a mezinárodních normalizačních organizacích. Soustavu českých technických norem stát nevlastní, pouze má právo ji užívat na základě uvedeného členství. Výjimkou jsou původní české technické normy, kterých je však z celkového počtu 36 000 norem, které tvoří soustavu ČSN, necelých 5 %. Nadto i tyto normy jsou s těmi převzatými provázány a vyžadují též autorsko-právní ochranu.</w:t>
      </w:r>
    </w:p>
    <w:p w:rsidR="000C0DF9" w:rsidRDefault="000C0DF9" w:rsidP="000C0DF9">
      <w:r>
        <w:t>Z pravidel členství v evropských a mezinárodních normalizačních organizacích jednoznačně vyplývá, že technické normy nesmí byt v žádném případě distribuovány zdarma, tj. mohou se distribuovat po zaplacení poplatku za autorskoprávní ochranu. Porušení tohoto principy by vedlo k vyloučení ÚNMZ, který je národním normalizačním orgánem, z organizací evropské a světové normalizace, čímž by ČR mimo jiných důsledků přestala plnit závazky z primárního práva EU (jedním ze závazků primárního práva je technická harmonizace sbližování technických předpisů, které se děje právě prostřednictvím harmonizovaných technických norem).</w:t>
      </w:r>
    </w:p>
    <w:p w:rsidR="000C0DF9" w:rsidRDefault="000C0DF9" w:rsidP="000C0DF9">
      <w:pPr>
        <w:pStyle w:val="Text-Normaln"/>
        <w:widowControl w:val="0"/>
        <w:rPr>
          <w:b/>
        </w:rPr>
      </w:pPr>
      <w:r>
        <w:rPr>
          <w:b/>
        </w:rPr>
        <w:t>Kvantifikace přínosů:</w:t>
      </w:r>
    </w:p>
    <w:p w:rsidR="000C0DF9" w:rsidRDefault="000C0DF9" w:rsidP="000C0DF9">
      <w:r>
        <w:lastRenderedPageBreak/>
        <w:t>V současné době není tato oblast systematicky řešena, technické normy nejsou plnotextově zveřejněné, stavebníci, projektanti nemají jistotu, jaké požadavky mají dodržovat. Klíčovým přínosem Varianty 1 tak bude výrazné zvýšení právní jistoty v oblasti s dalšími pozitivními dopady na vyšší právní jistotu navázanými (snížení administrativních a transakčních nákladů všech dotčených stran, snížení časové náročnosti vyhledávání, redukce soudních výloh atp.). Tímto dojde i ke zlepšení postavení MSP, které nemohou vynakládat tak vysoké prostředky na orientaci v legislativě, poradenství atp. v porovnání s většími společnostmi.</w:t>
      </w:r>
    </w:p>
    <w:p w:rsidR="000C0DF9" w:rsidRDefault="000C0DF9" w:rsidP="000C0DF9">
      <w:r>
        <w:t xml:space="preserve">Nelze předpokládat, že dojde k úsporám na straně projektantů a stavebních firem z titulu sponzorování přístupu k povinným technickým normám státem, neboť vedle těchto povinných norem budou dotčené subjekty potřebovat přístup k desítkám dalších nepovinných, a ani to není cílem Varianty 1. Největším přínosem Varianty </w:t>
      </w:r>
      <w:r w:rsidR="00D067E2">
        <w:t xml:space="preserve">1 </w:t>
      </w:r>
      <w:r>
        <w:t>bude dosažení stavu, kdy bude zcela jasné, jaké požadavky se mají povinně dodržovat, a zjednoduší se a zpřehlední přístup k těmto požadavkům. Součástí vydaných rozhodnutí o povolení stavby často býv</w:t>
      </w:r>
      <w:r w:rsidR="00A5107E">
        <w:t>á v současné době požadavek, že </w:t>
      </w:r>
      <w:r>
        <w:t>stavebník se bude řídit příslušnými ČSN. Nyní je tato věta po</w:t>
      </w:r>
      <w:r w:rsidR="00A5107E">
        <w:t>uze formálním konstatováním. Po </w:t>
      </w:r>
      <w:r>
        <w:t>implementaci Varianty 1 bude zřejmé, o jaké technické normy se jedná, čím se má stavebník řídit. V případě porušení této veřejnoprávní povinnosti pak bude možné uložit sankce.</w:t>
      </w:r>
    </w:p>
    <w:p w:rsidR="000C0DF9" w:rsidRDefault="000C0DF9" w:rsidP="000C0DF9">
      <w:pPr>
        <w:pStyle w:val="Text-Normaln"/>
        <w:widowControl w:val="0"/>
        <w:rPr>
          <w:b/>
        </w:rPr>
      </w:pPr>
      <w:r>
        <w:rPr>
          <w:b/>
        </w:rPr>
        <w:t>Volba varianty a její implementace</w:t>
      </w:r>
    </w:p>
    <w:p w:rsidR="000C0DF9" w:rsidRDefault="000C0DF9" w:rsidP="000C0DF9">
      <w:pPr>
        <w:pStyle w:val="Text-Normaln"/>
        <w:widowControl w:val="0"/>
      </w:pPr>
      <w:r>
        <w:t>Na základě výše uvedené argumentace volíme Variantu 1.</w:t>
      </w:r>
    </w:p>
    <w:p w:rsidR="000C0DF9" w:rsidRDefault="000C0DF9" w:rsidP="000C0DF9">
      <w:pPr>
        <w:pStyle w:val="Text-Normaln"/>
        <w:widowControl w:val="0"/>
      </w:pPr>
      <w:r>
        <w:t xml:space="preserve">Je zde předpoklad, že vytvoření databáze si může vyžádat dva roky intenzivní práce. Protože databáze technických norem bude obsahovat požadavky ve vazbě na stavební předpisy, realizace přínosů se bude odvíjet od nabytí platnosti a účinnosti nového stavebního zákona. </w:t>
      </w:r>
    </w:p>
    <w:p w:rsidR="000C0DF9" w:rsidRDefault="000C0DF9" w:rsidP="000C0DF9">
      <w:r>
        <w:t xml:space="preserve">Technické řešení je již hotové, reálně funguje v případě přístupu k normám na elektronickou fakturu. V tomto případě jde nový modul webovských stránek ČAS se seznamem 9 sponzorovaných norem. Pokud chce uživatel vidět plný text normy, musí se pouze přihlásit na základě jednoduché registrace. V záhlaví aplikace je uveden odkaz na MMR, aby bylo zřejmé, že přístup je sice pro uživatele bezplatný, nicméně náklady za něho hradí MMR. Dále je pak v záhlaví uvedeno jméno a emailová adresa uživatele. Tyto prvky </w:t>
      </w:r>
      <w:r w:rsidR="00A5107E">
        <w:t>jsou povinné a jejich vložení a </w:t>
      </w:r>
      <w:r>
        <w:t xml:space="preserve">zobrazení v záhlaví normy vyžadují mezinárodní organizace. Důvodem je potřeba autorskoprávní ochrany norem, neboť pokud by byl stažený text dále nelegálně šířen, bylo by možné dohledat původce. </w:t>
      </w:r>
    </w:p>
    <w:p w:rsidR="00D94012" w:rsidRPr="004540F4" w:rsidRDefault="00D94012" w:rsidP="003E4A5D">
      <w:pPr>
        <w:pStyle w:val="Text-Normaln"/>
        <w:widowControl w:val="0"/>
        <w:rPr>
          <w:b/>
        </w:rPr>
      </w:pPr>
    </w:p>
    <w:p w:rsidR="004540F4" w:rsidRDefault="004540F4" w:rsidP="003E4A5D">
      <w:pPr>
        <w:pStyle w:val="Nadpis2a"/>
        <w:widowControl w:val="0"/>
      </w:pPr>
      <w:bookmarkStart w:id="81" w:name="_Toc536553934"/>
      <w:r w:rsidRPr="00CB7505">
        <w:t>ZMĚNY V SOUDNÍM PŘEZKUMU ROZHODNUTÍ STAVEBNÍCH ÚŘADŮ</w:t>
      </w:r>
      <w:bookmarkEnd w:id="81"/>
    </w:p>
    <w:p w:rsidR="00486BB0" w:rsidRPr="00521833" w:rsidRDefault="00486BB0" w:rsidP="003E4A5D">
      <w:pPr>
        <w:pStyle w:val="Text-Normaln"/>
        <w:widowControl w:val="0"/>
      </w:pPr>
      <w:r w:rsidRPr="00F17D93">
        <w:rPr>
          <w:b/>
        </w:rPr>
        <w:t>Definice problému:</w:t>
      </w:r>
      <w:r w:rsidRPr="00521833">
        <w:t xml:space="preserve"> </w:t>
      </w:r>
      <w:r w:rsidR="00E660FB" w:rsidRPr="00E660FB">
        <w:t>viz výše</w:t>
      </w:r>
    </w:p>
    <w:p w:rsidR="00486BB0" w:rsidRDefault="00486BB0" w:rsidP="003E4A5D">
      <w:pPr>
        <w:pStyle w:val="Text-Normaln"/>
        <w:widowControl w:val="0"/>
      </w:pPr>
      <w:r w:rsidRPr="00E414AC">
        <w:rPr>
          <w:b/>
        </w:rPr>
        <w:t>Cíl:</w:t>
      </w:r>
      <w:r w:rsidRPr="00E414AC">
        <w:t xml:space="preserve"> </w:t>
      </w:r>
      <w:r w:rsidR="00FA37D3">
        <w:t>Zjednodušení všech stavebně-právních řízení, jejich zrychlení a zejména snaha co nejdříve dosáhnout právní jistoty v otázce možnosti (ne)realizovat stavební záměr.</w:t>
      </w:r>
    </w:p>
    <w:p w:rsidR="00486BB0" w:rsidRPr="00ED4BCB" w:rsidRDefault="00486BB0" w:rsidP="003E4A5D">
      <w:pPr>
        <w:pStyle w:val="Text-Normaln"/>
        <w:widowControl w:val="0"/>
        <w:rPr>
          <w:b/>
        </w:rPr>
      </w:pPr>
      <w:r w:rsidRPr="00ED4BCB">
        <w:rPr>
          <w:b/>
        </w:rPr>
        <w:t>Návrh variant řešení:</w:t>
      </w:r>
    </w:p>
    <w:p w:rsidR="00486BB0" w:rsidRPr="00FA37D3" w:rsidRDefault="00486BB0" w:rsidP="003E4A5D">
      <w:pPr>
        <w:pStyle w:val="Text-Normaln"/>
        <w:widowControl w:val="0"/>
        <w:rPr>
          <w:i/>
        </w:rPr>
      </w:pPr>
      <w:r w:rsidRPr="00FA37D3">
        <w:rPr>
          <w:b/>
          <w:i/>
        </w:rPr>
        <w:t>Varianta 0:</w:t>
      </w:r>
      <w:r w:rsidRPr="00FA37D3">
        <w:rPr>
          <w:i/>
        </w:rPr>
        <w:t xml:space="preserve"> </w:t>
      </w:r>
      <w:r w:rsidR="00FA37D3" w:rsidRPr="00FA37D3">
        <w:rPr>
          <w:i/>
        </w:rPr>
        <w:t>Zachování současného stavu</w:t>
      </w:r>
    </w:p>
    <w:p w:rsidR="00FA37D3" w:rsidRPr="003869A2" w:rsidRDefault="00486BB0" w:rsidP="001F2819">
      <w:pPr>
        <w:widowControl w:val="0"/>
        <w:spacing w:before="0" w:after="0"/>
        <w:rPr>
          <w:i/>
        </w:rPr>
      </w:pPr>
      <w:r w:rsidRPr="00FA37D3">
        <w:rPr>
          <w:b/>
          <w:i/>
        </w:rPr>
        <w:t>Varianta 1:</w:t>
      </w:r>
      <w:r w:rsidRPr="00FA37D3">
        <w:rPr>
          <w:i/>
        </w:rPr>
        <w:t xml:space="preserve"> </w:t>
      </w:r>
      <w:r w:rsidR="00304059" w:rsidRPr="00FA37D3">
        <w:rPr>
          <w:i/>
        </w:rPr>
        <w:t xml:space="preserve">Zakotvení povinnosti soudu projednat všechny žalobní body a dát </w:t>
      </w:r>
      <w:r w:rsidR="00A5107E">
        <w:rPr>
          <w:i/>
        </w:rPr>
        <w:t>stavebnímu úřadu při respektu k </w:t>
      </w:r>
      <w:r w:rsidR="00304059" w:rsidRPr="00FA37D3">
        <w:rPr>
          <w:i/>
        </w:rPr>
        <w:t>jeho správnímu uvážení jasný návod</w:t>
      </w:r>
      <w:r w:rsidR="003869A2">
        <w:rPr>
          <w:i/>
        </w:rPr>
        <w:t>; m</w:t>
      </w:r>
      <w:r w:rsidR="00304059" w:rsidRPr="00FA37D3">
        <w:rPr>
          <w:i/>
        </w:rPr>
        <w:t>ožnosti správního soudu změnit rozhodnutí žalovaného stavebního úřadu</w:t>
      </w:r>
      <w:r w:rsidR="003869A2">
        <w:rPr>
          <w:i/>
        </w:rPr>
        <w:t xml:space="preserve">; </w:t>
      </w:r>
      <w:r w:rsidR="003869A2" w:rsidRPr="003869A2">
        <w:rPr>
          <w:i/>
        </w:rPr>
        <w:t>zavedení institutu zneužití práva podat správní žalobu</w:t>
      </w:r>
      <w:r w:rsidR="003869A2">
        <w:rPr>
          <w:i/>
        </w:rPr>
        <w:t>; p</w:t>
      </w:r>
      <w:r w:rsidR="003869A2" w:rsidRPr="003869A2">
        <w:rPr>
          <w:i/>
        </w:rPr>
        <w:t xml:space="preserve">odání správní žaloby ve stavebních věcech </w:t>
      </w:r>
      <w:r w:rsidR="003869A2">
        <w:rPr>
          <w:i/>
        </w:rPr>
        <w:t>bez</w:t>
      </w:r>
      <w:r w:rsidR="003869A2" w:rsidRPr="003869A2">
        <w:rPr>
          <w:i/>
        </w:rPr>
        <w:t xml:space="preserve"> automatick</w:t>
      </w:r>
      <w:r w:rsidR="003869A2">
        <w:rPr>
          <w:i/>
        </w:rPr>
        <w:t>ého</w:t>
      </w:r>
      <w:r w:rsidR="003869A2" w:rsidRPr="003869A2">
        <w:rPr>
          <w:i/>
        </w:rPr>
        <w:t xml:space="preserve"> odkladn</w:t>
      </w:r>
      <w:r w:rsidR="003869A2">
        <w:rPr>
          <w:i/>
        </w:rPr>
        <w:t>ého</w:t>
      </w:r>
      <w:r w:rsidR="003869A2" w:rsidRPr="003869A2">
        <w:rPr>
          <w:i/>
        </w:rPr>
        <w:t xml:space="preserve"> účink</w:t>
      </w:r>
      <w:r w:rsidR="003869A2">
        <w:rPr>
          <w:i/>
        </w:rPr>
        <w:t>u aj.</w:t>
      </w:r>
    </w:p>
    <w:p w:rsidR="00FA37D3" w:rsidRPr="00FB524B" w:rsidRDefault="00FA37D3" w:rsidP="003E4A5D">
      <w:pPr>
        <w:pStyle w:val="Text-Normaln"/>
        <w:widowControl w:val="0"/>
      </w:pPr>
      <w:r w:rsidRPr="00FB524B">
        <w:rPr>
          <w:b/>
          <w:i/>
        </w:rPr>
        <w:t xml:space="preserve">Varianta </w:t>
      </w:r>
      <w:r w:rsidR="003869A2">
        <w:rPr>
          <w:b/>
          <w:i/>
        </w:rPr>
        <w:t>2</w:t>
      </w:r>
      <w:r w:rsidRPr="00FB524B">
        <w:rPr>
          <w:b/>
          <w:i/>
        </w:rPr>
        <w:t>:</w:t>
      </w:r>
      <w:r w:rsidR="00FB524B" w:rsidRPr="00FB524B">
        <w:t xml:space="preserve"> </w:t>
      </w:r>
      <w:r w:rsidR="00FB524B" w:rsidRPr="00FB524B">
        <w:rPr>
          <w:i/>
        </w:rPr>
        <w:t>Vytvoření specializovaných senátů u vybraných správních úseků krajských soudů a jejich obligatorní místní příslušnost ve věcech stavebního práva</w:t>
      </w:r>
    </w:p>
    <w:p w:rsidR="00486BB0" w:rsidRPr="00F23969" w:rsidRDefault="00486BB0" w:rsidP="003E4A5D">
      <w:pPr>
        <w:pStyle w:val="Text-Normaln"/>
        <w:widowControl w:val="0"/>
        <w:rPr>
          <w:b/>
        </w:rPr>
      </w:pPr>
      <w:r w:rsidRPr="00F23969">
        <w:rPr>
          <w:b/>
        </w:rPr>
        <w:t>Identifikace nákladů a přínosů:</w:t>
      </w:r>
      <w:r w:rsidR="008C2D12">
        <w:rPr>
          <w:b/>
        </w:rPr>
        <w:t xml:space="preserve"> </w:t>
      </w:r>
    </w:p>
    <w:p w:rsidR="00C12DAE" w:rsidRDefault="00C12DAE"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31</w:t>
      </w:r>
      <w:r w:rsidR="00AB65E9">
        <w:rPr>
          <w:noProof/>
        </w:rPr>
        <w:fldChar w:fldCharType="end"/>
      </w:r>
      <w:r>
        <w:t>: Identifikace nákladů a přínosů</w:t>
      </w:r>
    </w:p>
    <w:tbl>
      <w:tblPr>
        <w:tblW w:w="0" w:type="auto"/>
        <w:tblInd w:w="108" w:type="dxa"/>
        <w:tblBorders>
          <w:top w:val="single" w:sz="4" w:space="0" w:color="auto"/>
          <w:bottom w:val="single" w:sz="4" w:space="0" w:color="auto"/>
        </w:tblBorders>
        <w:shd w:val="clear" w:color="auto" w:fill="B6B002"/>
        <w:tblLook w:val="00A0" w:firstRow="1" w:lastRow="0" w:firstColumn="1" w:lastColumn="0" w:noHBand="0" w:noVBand="0"/>
      </w:tblPr>
      <w:tblGrid>
        <w:gridCol w:w="8962"/>
      </w:tblGrid>
      <w:tr w:rsidR="00486BB0" w:rsidRPr="00D862A5" w:rsidTr="008A595A">
        <w:trPr>
          <w:trHeight w:val="397"/>
        </w:trPr>
        <w:tc>
          <w:tcPr>
            <w:tcW w:w="8962" w:type="dxa"/>
            <w:tcBorders>
              <w:top w:val="single" w:sz="4" w:space="0" w:color="auto"/>
              <w:bottom w:val="single" w:sz="4" w:space="0" w:color="auto"/>
            </w:tcBorders>
            <w:shd w:val="clear" w:color="auto" w:fill="D9D9D9" w:themeFill="background1" w:themeFillShade="D9"/>
            <w:vAlign w:val="center"/>
          </w:tcPr>
          <w:p w:rsidR="00486BB0" w:rsidRPr="00D862A5" w:rsidRDefault="00486BB0"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lastRenderedPageBreak/>
              <w:t>Náklady</w:t>
            </w:r>
          </w:p>
        </w:tc>
      </w:tr>
      <w:tr w:rsidR="00486BB0" w:rsidRPr="00D862A5" w:rsidTr="008A595A">
        <w:trPr>
          <w:trHeight w:val="397"/>
        </w:trPr>
        <w:tc>
          <w:tcPr>
            <w:tcW w:w="8962" w:type="dxa"/>
            <w:tcBorders>
              <w:top w:val="single" w:sz="4" w:space="0" w:color="auto"/>
              <w:bottom w:val="single" w:sz="4" w:space="0" w:color="auto"/>
            </w:tcBorders>
            <w:shd w:val="clear" w:color="auto" w:fill="auto"/>
            <w:vAlign w:val="center"/>
          </w:tcPr>
          <w:p w:rsidR="00486BB0" w:rsidRDefault="00EE4D67" w:rsidP="003E4A5D">
            <w:pPr>
              <w:widowControl w:val="0"/>
              <w:spacing w:before="0" w:after="0"/>
              <w:rPr>
                <w:rFonts w:asciiTheme="minorHAnsi" w:hAnsiTheme="minorHAnsi"/>
                <w:color w:val="000000"/>
                <w:sz w:val="20"/>
                <w:szCs w:val="20"/>
              </w:rPr>
            </w:pPr>
            <w:r w:rsidRPr="00D862A5">
              <w:rPr>
                <w:rFonts w:asciiTheme="minorHAnsi" w:hAnsiTheme="minorHAnsi"/>
                <w:color w:val="000000"/>
                <w:sz w:val="20"/>
                <w:szCs w:val="20"/>
              </w:rPr>
              <w:t>Hlavním nákladem budou administrativní náklady soudů související s</w:t>
            </w:r>
            <w:r w:rsidR="00E660FB" w:rsidRPr="00D862A5">
              <w:rPr>
                <w:rFonts w:asciiTheme="minorHAnsi" w:hAnsiTheme="minorHAnsi"/>
                <w:color w:val="000000"/>
                <w:sz w:val="20"/>
                <w:szCs w:val="20"/>
              </w:rPr>
              <w:t xml:space="preserve"> případným </w:t>
            </w:r>
            <w:r w:rsidRPr="00D862A5">
              <w:rPr>
                <w:rFonts w:asciiTheme="minorHAnsi" w:hAnsiTheme="minorHAnsi"/>
                <w:color w:val="000000"/>
                <w:sz w:val="20"/>
                <w:szCs w:val="20"/>
              </w:rPr>
              <w:t xml:space="preserve">nárůstem </w:t>
            </w:r>
            <w:r w:rsidR="003869A2">
              <w:rPr>
                <w:rFonts w:asciiTheme="minorHAnsi" w:hAnsiTheme="minorHAnsi"/>
                <w:color w:val="000000"/>
                <w:sz w:val="20"/>
                <w:szCs w:val="20"/>
              </w:rPr>
              <w:t>časové náročnosti</w:t>
            </w:r>
            <w:r w:rsidRPr="00D862A5">
              <w:rPr>
                <w:rFonts w:asciiTheme="minorHAnsi" w:hAnsiTheme="minorHAnsi"/>
                <w:color w:val="000000"/>
                <w:sz w:val="20"/>
                <w:szCs w:val="20"/>
              </w:rPr>
              <w:t xml:space="preserve"> řešených případů</w:t>
            </w:r>
          </w:p>
          <w:p w:rsidR="003869A2" w:rsidRPr="00D862A5" w:rsidRDefault="003869A2" w:rsidP="00A5107E">
            <w:pPr>
              <w:widowControl w:val="0"/>
              <w:spacing w:before="0" w:after="0"/>
              <w:rPr>
                <w:rFonts w:asciiTheme="minorHAnsi" w:hAnsiTheme="minorHAnsi"/>
                <w:color w:val="000000"/>
                <w:sz w:val="20"/>
                <w:szCs w:val="20"/>
              </w:rPr>
            </w:pPr>
            <w:r>
              <w:rPr>
                <w:rFonts w:asciiTheme="minorHAnsi" w:hAnsiTheme="minorHAnsi"/>
                <w:color w:val="000000"/>
                <w:sz w:val="20"/>
                <w:szCs w:val="20"/>
              </w:rPr>
              <w:t>Vytvoření specializovaných senátů u vybraných správních soudů – zde se však opět předpokládá spíše posílení kvalifikace některých soudců, než vytváření nové instituce – bude se tak jednat především o</w:t>
            </w:r>
            <w:r w:rsidR="00A5107E">
              <w:rPr>
                <w:rFonts w:asciiTheme="minorHAnsi" w:hAnsiTheme="minorHAnsi"/>
                <w:color w:val="000000"/>
                <w:sz w:val="20"/>
                <w:szCs w:val="20"/>
              </w:rPr>
              <w:t> </w:t>
            </w:r>
            <w:r>
              <w:rPr>
                <w:rFonts w:asciiTheme="minorHAnsi" w:hAnsiTheme="minorHAnsi"/>
                <w:color w:val="000000"/>
                <w:sz w:val="20"/>
                <w:szCs w:val="20"/>
              </w:rPr>
              <w:t>náklady na vzdělání a zvýšení kvalifikace</w:t>
            </w:r>
          </w:p>
        </w:tc>
      </w:tr>
      <w:tr w:rsidR="00486BB0" w:rsidRPr="00D862A5" w:rsidTr="008A595A">
        <w:trPr>
          <w:trHeight w:val="397"/>
        </w:trPr>
        <w:tc>
          <w:tcPr>
            <w:tcW w:w="8962" w:type="dxa"/>
            <w:tcBorders>
              <w:top w:val="single" w:sz="4" w:space="0" w:color="auto"/>
              <w:bottom w:val="single" w:sz="4" w:space="0" w:color="auto"/>
            </w:tcBorders>
            <w:shd w:val="clear" w:color="auto" w:fill="D9D9D9" w:themeFill="background1" w:themeFillShade="D9"/>
            <w:vAlign w:val="center"/>
          </w:tcPr>
          <w:p w:rsidR="00486BB0" w:rsidRPr="00D862A5" w:rsidRDefault="00486BB0"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486BB0" w:rsidRPr="00D862A5" w:rsidTr="008A595A">
        <w:trPr>
          <w:trHeight w:val="397"/>
        </w:trPr>
        <w:tc>
          <w:tcPr>
            <w:tcW w:w="8962" w:type="dxa"/>
            <w:tcBorders>
              <w:top w:val="single" w:sz="4" w:space="0" w:color="auto"/>
            </w:tcBorders>
            <w:shd w:val="clear" w:color="auto" w:fill="FFFFFF" w:themeFill="background1"/>
            <w:vAlign w:val="center"/>
          </w:tcPr>
          <w:p w:rsidR="00486BB0" w:rsidRPr="00D862A5" w:rsidRDefault="00EE4D67" w:rsidP="003E4A5D">
            <w:pPr>
              <w:widowControl w:val="0"/>
              <w:spacing w:before="0" w:after="0"/>
              <w:rPr>
                <w:rFonts w:asciiTheme="minorHAnsi" w:hAnsiTheme="minorHAnsi"/>
                <w:color w:val="000000"/>
                <w:sz w:val="20"/>
                <w:szCs w:val="20"/>
              </w:rPr>
            </w:pPr>
            <w:r w:rsidRPr="00D862A5">
              <w:rPr>
                <w:rFonts w:asciiTheme="minorHAnsi" w:hAnsiTheme="minorHAnsi"/>
                <w:color w:val="000000"/>
                <w:sz w:val="20"/>
                <w:szCs w:val="20"/>
              </w:rPr>
              <w:t>T</w:t>
            </w:r>
            <w:r w:rsidR="00E660FB" w:rsidRPr="00D862A5">
              <w:rPr>
                <w:rFonts w:asciiTheme="minorHAnsi" w:hAnsiTheme="minorHAnsi"/>
                <w:color w:val="000000"/>
                <w:sz w:val="20"/>
                <w:szCs w:val="20"/>
              </w:rPr>
              <w:t>a</w:t>
            </w:r>
            <w:r w:rsidRPr="00D862A5">
              <w:rPr>
                <w:rFonts w:asciiTheme="minorHAnsi" w:hAnsiTheme="minorHAnsi"/>
                <w:color w:val="000000"/>
                <w:sz w:val="20"/>
                <w:szCs w:val="20"/>
              </w:rPr>
              <w:t>to opatření by měl</w:t>
            </w:r>
            <w:r w:rsidR="003E0080">
              <w:rPr>
                <w:rFonts w:asciiTheme="minorHAnsi" w:hAnsiTheme="minorHAnsi"/>
                <w:color w:val="000000"/>
                <w:sz w:val="20"/>
                <w:szCs w:val="20"/>
              </w:rPr>
              <w:t>a</w:t>
            </w:r>
            <w:r w:rsidRPr="00D862A5">
              <w:rPr>
                <w:rFonts w:asciiTheme="minorHAnsi" w:hAnsiTheme="minorHAnsi"/>
                <w:color w:val="000000"/>
                <w:sz w:val="20"/>
                <w:szCs w:val="20"/>
              </w:rPr>
              <w:t xml:space="preserve"> zabránit formalistickým obstrukcím plánované výstav</w:t>
            </w:r>
            <w:r w:rsidR="00A5107E">
              <w:rPr>
                <w:rFonts w:asciiTheme="minorHAnsi" w:hAnsiTheme="minorHAnsi"/>
                <w:color w:val="000000"/>
                <w:sz w:val="20"/>
                <w:szCs w:val="20"/>
              </w:rPr>
              <w:t>by, zároveň však umožnit vzít v </w:t>
            </w:r>
            <w:r w:rsidRPr="00D862A5">
              <w:rPr>
                <w:rFonts w:asciiTheme="minorHAnsi" w:hAnsiTheme="minorHAnsi"/>
                <w:color w:val="000000"/>
                <w:sz w:val="20"/>
                <w:szCs w:val="20"/>
              </w:rPr>
              <w:t xml:space="preserve">potaz zásadní připomínky a zachovat přezkum správního rozhodnutí </w:t>
            </w:r>
          </w:p>
        </w:tc>
      </w:tr>
    </w:tbl>
    <w:p w:rsidR="00A105D2" w:rsidRPr="00CF6F45" w:rsidRDefault="0052384F" w:rsidP="003E4A5D">
      <w:pPr>
        <w:pStyle w:val="Text-Normaln"/>
        <w:widowControl w:val="0"/>
        <w:rPr>
          <w:b/>
        </w:rPr>
      </w:pPr>
      <w:r>
        <w:rPr>
          <w:b/>
        </w:rPr>
        <w:t>Identifikace</w:t>
      </w:r>
      <w:r w:rsidR="00A105D2" w:rsidRPr="00CF6F45">
        <w:rPr>
          <w:b/>
        </w:rPr>
        <w:t xml:space="preserve"> nákladů a přínosů:</w:t>
      </w:r>
    </w:p>
    <w:p w:rsidR="003869A2" w:rsidRDefault="00EE4D67" w:rsidP="003E4A5D">
      <w:pPr>
        <w:pStyle w:val="Text-Normaln"/>
        <w:widowControl w:val="0"/>
      </w:pPr>
      <w:r w:rsidRPr="00EE4D67">
        <w:t xml:space="preserve">Varianta </w:t>
      </w:r>
      <w:r w:rsidR="00E660FB">
        <w:t>1</w:t>
      </w:r>
      <w:r w:rsidR="00525207">
        <w:t xml:space="preserve"> </w:t>
      </w:r>
      <w:r w:rsidR="00E660FB">
        <w:t xml:space="preserve">- </w:t>
      </w:r>
      <w:r w:rsidR="00B47025">
        <w:t>2</w:t>
      </w:r>
      <w:r w:rsidRPr="00EE4D67">
        <w:t xml:space="preserve"> m</w:t>
      </w:r>
      <w:r w:rsidR="00E660FB">
        <w:t>ají</w:t>
      </w:r>
      <w:r w:rsidRPr="00EE4D67">
        <w:t xml:space="preserve"> hlavní přínosy v očekávaném urychlení povolovacího procesu staveb. Odvolání v územním i stavebním řízení dnes trvá obvykle půl roku až rok. V případě územního řízení to však prodlužuje střední hodnotu délky povolovacího procesu více, jelikož je zde častější (než v případě stavebního řízení) situace, že následná žaloba proti rozhodnutí je úspěšná a celý proces územního řízení se opakuje. </w:t>
      </w:r>
      <w:bookmarkStart w:id="82" w:name="_Toc440639809"/>
    </w:p>
    <w:p w:rsidR="00705588" w:rsidRDefault="00705588" w:rsidP="003E4A5D">
      <w:pPr>
        <w:pStyle w:val="Text-Normaln"/>
        <w:widowControl w:val="0"/>
      </w:pPr>
      <w:r>
        <w:t xml:space="preserve">Protože v rámci konzultací ani na základě existujících dat nebylo možné podpořit odhad budoucího vývoje po rekodifikaci v oblasti soudnictví, </w:t>
      </w:r>
      <w:r w:rsidR="007A2432">
        <w:t>jsou zde shrnuty</w:t>
      </w:r>
      <w:r>
        <w:t xml:space="preserve"> především závěry z konzultací.</w:t>
      </w:r>
    </w:p>
    <w:p w:rsidR="00705588" w:rsidRDefault="007A2432" w:rsidP="003E4A5D">
      <w:pPr>
        <w:pStyle w:val="Text-Normaln"/>
        <w:widowControl w:val="0"/>
      </w:pPr>
      <w:r>
        <w:t>Lze očekávat</w:t>
      </w:r>
      <w:r w:rsidR="00705588">
        <w:t>, že v důsledku rekodifikace poklesne počet případů řešených soudy. Může sice vzrůst časová náročnost jejich řešení, nicméně pokles by měl být v důsledku všech navrhovaných změn tak markantní, že finální dopad na straně soudů by měl být pozitivní. O přínosech pro ostatní dotčené strany bude pojednáno opět níže.</w:t>
      </w:r>
    </w:p>
    <w:p w:rsidR="00D862A5" w:rsidRDefault="00705588" w:rsidP="007D31C3">
      <w:pPr>
        <w:pStyle w:val="Text-Normaln"/>
        <w:widowControl w:val="0"/>
      </w:pPr>
      <w:r>
        <w:t xml:space="preserve">Náklady by mohly být dočasně spojeny s přenastavením systému a mít formu možné nestability při změně způsobu přidělování případů, dovzdělávání soudců atp. Nicméně jejich výši nelze vzhledem k neexistující historické zkušenosti odhadnout. Proto i v rámci kapitoly o přezkumu účinnosti </w:t>
      </w:r>
      <w:r w:rsidR="007A2432">
        <w:t xml:space="preserve">je vhodné </w:t>
      </w:r>
      <w:r>
        <w:t xml:space="preserve">zaměřit se na tuto oblast a monitorovat počty a vytížení specializovaných soudců. </w:t>
      </w:r>
    </w:p>
    <w:p w:rsidR="00B914FA" w:rsidRDefault="00525207" w:rsidP="003E4A5D">
      <w:pPr>
        <w:pStyle w:val="Nadpis1"/>
        <w:numPr>
          <w:ilvl w:val="0"/>
          <w:numId w:val="25"/>
        </w:numPr>
      </w:pPr>
      <w:bookmarkStart w:id="83" w:name="_Toc536431019"/>
      <w:bookmarkStart w:id="84" w:name="_Toc536553935"/>
      <w:bookmarkEnd w:id="83"/>
      <w:r>
        <w:t xml:space="preserve">Návrh </w:t>
      </w:r>
      <w:r w:rsidR="00900923">
        <w:t>řešení</w:t>
      </w:r>
      <w:bookmarkEnd w:id="84"/>
    </w:p>
    <w:p w:rsidR="00900923" w:rsidRDefault="00BD4BAE" w:rsidP="00BD4BAE">
      <w:pPr>
        <w:pStyle w:val="Nadpis20"/>
      </w:pPr>
      <w:bookmarkStart w:id="85" w:name="_Toc536553936"/>
      <w:r>
        <w:t>Institucionální změny</w:t>
      </w:r>
      <w:bookmarkEnd w:id="85"/>
    </w:p>
    <w:p w:rsidR="007339D8" w:rsidRDefault="00D236A2" w:rsidP="003E4A5D">
      <w:pPr>
        <w:widowControl w:val="0"/>
      </w:pPr>
      <w:r w:rsidRPr="00D236A2">
        <w:t xml:space="preserve">Nepřehlednost i nejednotnost aplikační praxe plynoucí z příslušnosti různých ministerstev nebo jiných ústředních orgánů státní správy bude </w:t>
      </w:r>
      <w:r w:rsidR="00F24B03" w:rsidRPr="00D236A2">
        <w:t>eliminovat vytvoření</w:t>
      </w:r>
      <w:r w:rsidR="00F24B03">
        <w:t xml:space="preserve"> nové soustavy orgánů státní správy včetně </w:t>
      </w:r>
      <w:r w:rsidR="00F24B03" w:rsidRPr="00D236A2">
        <w:t xml:space="preserve">nového </w:t>
      </w:r>
      <w:r w:rsidR="00ED70BD">
        <w:t>NSÚ</w:t>
      </w:r>
      <w:r w:rsidRPr="00D236A2">
        <w:t>.</w:t>
      </w:r>
    </w:p>
    <w:p w:rsidR="00C16320" w:rsidRPr="008712FB" w:rsidRDefault="007339D8" w:rsidP="003E4A5D">
      <w:pPr>
        <w:widowControl w:val="0"/>
        <w:rPr>
          <w:b/>
        </w:rPr>
      </w:pPr>
      <w:r w:rsidRPr="008712FB">
        <w:rPr>
          <w:b/>
        </w:rPr>
        <w:t xml:space="preserve">Obrázek </w:t>
      </w:r>
      <w:r w:rsidR="00263A1B">
        <w:rPr>
          <w:b/>
          <w:bCs/>
          <w:noProof/>
        </w:rPr>
        <w:t>21</w:t>
      </w:r>
      <w:r w:rsidRPr="008712FB">
        <w:rPr>
          <w:b/>
        </w:rPr>
        <w:t xml:space="preserve">: Struktura </w:t>
      </w:r>
      <w:r w:rsidR="00EE4C03">
        <w:rPr>
          <w:b/>
        </w:rPr>
        <w:t xml:space="preserve">navrhované </w:t>
      </w:r>
      <w:r w:rsidR="00EE4C03" w:rsidRPr="008712FB">
        <w:rPr>
          <w:b/>
        </w:rPr>
        <w:t>stavební správy</w:t>
      </w:r>
      <w:r w:rsidR="00D236A2" w:rsidRPr="008712FB">
        <w:rPr>
          <w:b/>
        </w:rPr>
        <w:t xml:space="preserve"> </w:t>
      </w:r>
    </w:p>
    <w:p w:rsidR="00AF64DB" w:rsidRDefault="00F8285F" w:rsidP="00CA5F60">
      <w:pPr>
        <w:widowControl w:val="0"/>
      </w:pPr>
      <w:r>
        <w:rPr>
          <w:noProof/>
          <w:lang w:eastAsia="cs-CZ"/>
        </w:rPr>
        <w:lastRenderedPageBreak/>
        <w:drawing>
          <wp:inline distT="0" distB="0" distL="0" distR="0" wp14:anchorId="7EB6C5BF" wp14:editId="44CD2ABF">
            <wp:extent cx="5759450" cy="5222284"/>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PNG"/>
                    <pic:cNvPicPr/>
                  </pic:nvPicPr>
                  <pic:blipFill>
                    <a:blip r:embed="rId56">
                      <a:extLst>
                        <a:ext uri="{28A0092B-C50C-407E-A947-70E740481C1C}">
                          <a14:useLocalDpi xmlns:a14="http://schemas.microsoft.com/office/drawing/2010/main" val="0"/>
                        </a:ext>
                      </a:extLst>
                    </a:blip>
                    <a:stretch>
                      <a:fillRect/>
                    </a:stretch>
                  </pic:blipFill>
                  <pic:spPr>
                    <a:xfrm>
                      <a:off x="0" y="0"/>
                      <a:ext cx="5764535" cy="5226895"/>
                    </a:xfrm>
                    <a:prstGeom prst="rect">
                      <a:avLst/>
                    </a:prstGeom>
                  </pic:spPr>
                </pic:pic>
              </a:graphicData>
            </a:graphic>
          </wp:inline>
        </w:drawing>
      </w:r>
    </w:p>
    <w:p w:rsidR="00CA5F60" w:rsidRDefault="00CA5F60" w:rsidP="00FD36BD">
      <w:pPr>
        <w:widowControl w:val="0"/>
        <w:spacing w:before="240"/>
      </w:pPr>
      <w:r>
        <w:t xml:space="preserve">NSÚ by měl převzít část kompetencí stávajících ministerstev a dalších ústředních orgánů státní správy v oblasti stavebního práva v širším smyslu (včetně EIA a územního plánování) Z této pozice by pak měl vykonávat působnost nejen ve správním řízení v jednotlivých věcech, ale též v oblasti výkonu vrchního státního dozoru, metodické činnosti vůči stavební správě, zajišťování elektronizace stavební agendy, zajišťování personálního, majetkového a ekonomického provozu stavební správy, činnost odvolacího orgánu vůči rozhodnutím krajského stavebního úřadu. V oblasti územního plánování by měl být NSÚ pořizovatelem celostátní dokumentace. </w:t>
      </w:r>
    </w:p>
    <w:p w:rsidR="00CA5F60" w:rsidRDefault="00CA5F60" w:rsidP="00F24B03">
      <w:pPr>
        <w:widowControl w:val="0"/>
      </w:pPr>
      <w:r>
        <w:t>V čele NSÚ bude ředitel podléhající zákonu č. 234/2014 Sb., o státní službě, avšak v souladu s § 54 tohoto zákona bude ředitele NSÚ jmenovat vláda na návrh výběrové komise, kterou rovněž jmenuje vláda. Tato varianta byla zvolena proto, aby se i ostatní resorty mohly podílet na výběru ředitele NSÚ za situace, kdy nová stavební správa bude zahrnovat i některé kompetence přenesené na ní z ostatních resortů. Kromě ředitele by měli vedení NSÚ tvořit jeho zástupci. V</w:t>
      </w:r>
      <w:r w:rsidR="008B03BB">
        <w:t> </w:t>
      </w:r>
      <w:r>
        <w:t>souvislosti s tím by mělo dojít k nastavení odpovídajících kvalifikačních požadavků na vzdělání, praxi apod. pro vedení NSÚ. Nová právní úprava by pak měla stanovit požadavky i na odbornou kvalifikaci ředitelů krajských stavebních úřadů a samotných pracovníků stavebních úřadů.</w:t>
      </w:r>
    </w:p>
    <w:p w:rsidR="00F24B03" w:rsidRDefault="00F24B03" w:rsidP="00F24B03">
      <w:pPr>
        <w:widowControl w:val="0"/>
      </w:pPr>
      <w:r w:rsidRPr="00D236A2">
        <w:t>V procesním (instančním) smyslu bude řízení v prvním stupni zajišťovat příslušné detašované pracoviště krajského stavebního úřadu. O opravných prostředcích ve druhém stupni bude rozhodovat tentýž krajský stavební úřad (z krajského „ústředí“).</w:t>
      </w:r>
    </w:p>
    <w:p w:rsidR="00BD4BAE" w:rsidRDefault="00ED70BD" w:rsidP="003E4A5D">
      <w:pPr>
        <w:widowControl w:val="0"/>
      </w:pPr>
      <w:r>
        <w:lastRenderedPageBreak/>
        <w:t>DO</w:t>
      </w:r>
      <w:r w:rsidR="00F24B03" w:rsidRPr="00C90FA8">
        <w:t xml:space="preserve"> budou integrovány do stavebních úřadů a veřejné zájmy podle složkových zákonů (životní prostředí včetně EIA, IPPC, voda, vzduch, doprava, hygiena, památková ochrana, ZPF apod.) budou hájit přímo v rámci rozhodnutí stavebního úřadu, na jehož tvorbě se budou přímo podílet</w:t>
      </w:r>
      <w:r w:rsidR="00F24B03">
        <w:t>. P</w:t>
      </w:r>
      <w:r w:rsidR="00F24B03" w:rsidRPr="00C90FA8">
        <w:t xml:space="preserve">okud z výjimečných odůvodněných případů nedojde k integraci </w:t>
      </w:r>
      <w:r>
        <w:t>DO</w:t>
      </w:r>
      <w:r w:rsidR="00F24B03" w:rsidRPr="00C90FA8">
        <w:t>, dojde ke změně povahy jeho vyjadřování ze závazného stanoviska na běžné vyjádření (podklad pro rozhodnutí)</w:t>
      </w:r>
    </w:p>
    <w:p w:rsidR="00900923" w:rsidRDefault="00BD4BAE" w:rsidP="00BD4BAE">
      <w:pPr>
        <w:pStyle w:val="Nadpis20"/>
      </w:pPr>
      <w:bookmarkStart w:id="86" w:name="_Toc536553937"/>
      <w:r>
        <w:t>Změny v oblasti územního plánování</w:t>
      </w:r>
      <w:bookmarkEnd w:id="86"/>
    </w:p>
    <w:p w:rsidR="00900923" w:rsidRDefault="00BC5702" w:rsidP="003E4A5D">
      <w:pPr>
        <w:widowControl w:val="0"/>
      </w:pPr>
      <w:r>
        <w:t>Celostátní závazný nástroj územního plánování</w:t>
      </w:r>
      <w:r w:rsidRPr="00D236A2">
        <w:t xml:space="preserve"> </w:t>
      </w:r>
      <w:r w:rsidR="00D236A2" w:rsidRPr="00D236A2">
        <w:t>má nově předev</w:t>
      </w:r>
      <w:r w:rsidR="00A5107E">
        <w:t>ším podrobněji upravit plochy a </w:t>
      </w:r>
      <w:r w:rsidR="00D236A2" w:rsidRPr="00D236A2">
        <w:t>koridory, zejména v případě dopravní a technické</w:t>
      </w:r>
      <w:r w:rsidR="00A5107E">
        <w:t xml:space="preserve"> infrastruktury mezinárodního a </w:t>
      </w:r>
      <w:r w:rsidR="00D236A2" w:rsidRPr="00D236A2">
        <w:t xml:space="preserve">republikového významu, resp. plochy a koridory, které svým významem přesahují území jednoho kraje. </w:t>
      </w:r>
      <w:r>
        <w:t>Tento celostátní dokument</w:t>
      </w:r>
      <w:r w:rsidRPr="00D236A2">
        <w:t xml:space="preserve"> </w:t>
      </w:r>
      <w:r w:rsidR="00D236A2" w:rsidRPr="00D236A2">
        <w:t>může dále stan</w:t>
      </w:r>
      <w:r w:rsidR="00A5107E">
        <w:t xml:space="preserve">ovit podmínky pro </w:t>
      </w:r>
      <w:r w:rsidR="008B03BB">
        <w:t xml:space="preserve">pořizování nižších nástrojů územního plánování a </w:t>
      </w:r>
      <w:r w:rsidR="00A5107E">
        <w:t>rozhodování v </w:t>
      </w:r>
      <w:r w:rsidR="00D236A2" w:rsidRPr="00D236A2">
        <w:t>území, tj. zejména pro řízení</w:t>
      </w:r>
      <w:r>
        <w:t xml:space="preserve"> o povolení stavby</w:t>
      </w:r>
      <w:r w:rsidR="00D236A2" w:rsidRPr="00D236A2">
        <w:t xml:space="preserve">. Další důležitou funkcí </w:t>
      </w:r>
      <w:r>
        <w:t>celostátního dokumentu</w:t>
      </w:r>
      <w:r w:rsidRPr="00D236A2">
        <w:t xml:space="preserve"> </w:t>
      </w:r>
      <w:r w:rsidR="00D236A2" w:rsidRPr="00D236A2">
        <w:t>má být určení těch staveb a opatření, které jsou veřejně prospěš</w:t>
      </w:r>
      <w:r w:rsidR="00A5107E">
        <w:t>nými stavbami nebo opatřeními s </w:t>
      </w:r>
      <w:r w:rsidR="00D236A2" w:rsidRPr="00D236A2">
        <w:t xml:space="preserve">možností vyvlastnění. Svou podrobností může upravovat otázky až na úrovni podrobnosti dosud vymezené pouze pro krajské </w:t>
      </w:r>
      <w:r w:rsidR="00ED70BD">
        <w:t>ZÚR</w:t>
      </w:r>
      <w:r w:rsidR="00D236A2" w:rsidRPr="00D236A2">
        <w:t xml:space="preserve">. </w:t>
      </w:r>
      <w:r>
        <w:t>Celostátní nástroj územního plánování</w:t>
      </w:r>
      <w:r w:rsidRPr="00D236A2">
        <w:t xml:space="preserve"> </w:t>
      </w:r>
      <w:r w:rsidR="00D236A2" w:rsidRPr="00D236A2">
        <w:t>se má pořizovat pro území celého státu a vydávat jej má vláda formou nařízení. Způsob</w:t>
      </w:r>
      <w:r>
        <w:t xml:space="preserve"> jeho</w:t>
      </w:r>
      <w:r w:rsidR="00D236A2" w:rsidRPr="00D236A2">
        <w:t xml:space="preserve"> projednávání je do značné míry podobný projednávání </w:t>
      </w:r>
      <w:r w:rsidR="00ED70BD">
        <w:t>PÚR</w:t>
      </w:r>
      <w:r w:rsidR="00D236A2" w:rsidRPr="00D236A2">
        <w:t>.</w:t>
      </w:r>
    </w:p>
    <w:p w:rsidR="00D236A2" w:rsidRDefault="00D236A2" w:rsidP="003E4A5D">
      <w:pPr>
        <w:widowControl w:val="0"/>
      </w:pPr>
      <w:r w:rsidRPr="00D236A2">
        <w:t xml:space="preserve">Tento dokument bude obsahovat závaznou část, která bude především řešit umísťování konkrétních záměrů vymezením ploch a koridorů v podrobnosti přibližně odpovídající dnešním </w:t>
      </w:r>
      <w:r w:rsidR="00ED70BD">
        <w:t>ZÚR</w:t>
      </w:r>
      <w:r w:rsidRPr="00D236A2">
        <w:t>, respektive v novele stavebního zákona navrhovaného územního rozvojového plánu.</w:t>
      </w:r>
    </w:p>
    <w:p w:rsidR="00D236A2" w:rsidRDefault="00D236A2" w:rsidP="003E4A5D">
      <w:pPr>
        <w:widowControl w:val="0"/>
      </w:pPr>
      <w:r w:rsidRPr="00D236A2">
        <w:t>Druhá, strategická část bude závazná pro veřejnou správu, kte</w:t>
      </w:r>
      <w:r w:rsidR="00A5107E">
        <w:t>rá bude muset závěry obsažené v </w:t>
      </w:r>
      <w:r w:rsidRPr="00D236A2">
        <w:t>této části zohlednit v rámci svých činností dotýkajících se územního plánování. Zákon stanoví, že tato druhá, strategická část bude závazná pro pořizování nižší ÚPD na úrovni krajů a obcí.</w:t>
      </w:r>
    </w:p>
    <w:p w:rsidR="00A06010" w:rsidRDefault="00ED70BD" w:rsidP="003E4A5D">
      <w:pPr>
        <w:widowControl w:val="0"/>
      </w:pPr>
      <w:r>
        <w:t>ÚP</w:t>
      </w:r>
      <w:r w:rsidR="00A06010" w:rsidRPr="00874A18">
        <w:t xml:space="preserve"> krajů se budou přijímat pro celé území kraje a pro celé území hlavního města Prahy. </w:t>
      </w:r>
      <w:r>
        <w:t>ÚP</w:t>
      </w:r>
      <w:r w:rsidR="00A06010" w:rsidRPr="00874A18">
        <w:t xml:space="preserve"> krajů budou schvalovat krajská zastupitelstva a zastupitelstvo hlavního města Prahy. Předmětem </w:t>
      </w:r>
      <w:r>
        <w:t>ÚP</w:t>
      </w:r>
      <w:r w:rsidR="00A06010" w:rsidRPr="00874A18">
        <w:t xml:space="preserve"> kraje budou zásadně otázky nadmístního významu, </w:t>
      </w:r>
      <w:r w:rsidR="00A5107E">
        <w:t>tj. </w:t>
      </w:r>
      <w:r w:rsidR="00A06010" w:rsidRPr="00874A18">
        <w:t>otázky, které svým rozsahem nebo významem přesahují území jedné obce/městské části.</w:t>
      </w:r>
    </w:p>
    <w:p w:rsidR="00A06010" w:rsidRDefault="00ED70BD" w:rsidP="003E4A5D">
      <w:pPr>
        <w:widowControl w:val="0"/>
      </w:pPr>
      <w:r>
        <w:t>ÚP</w:t>
      </w:r>
      <w:r w:rsidR="00A06010" w:rsidRPr="00874A18">
        <w:t xml:space="preserve"> kraje bude přijímán ve formě </w:t>
      </w:r>
      <w:r>
        <w:t>OZV</w:t>
      </w:r>
      <w:r w:rsidR="00A06010" w:rsidRPr="00874A18">
        <w:t xml:space="preserve"> kraje</w:t>
      </w:r>
      <w:r>
        <w:t xml:space="preserve"> nebo OOP</w:t>
      </w:r>
      <w:r w:rsidR="00A06010" w:rsidRPr="00874A18">
        <w:t xml:space="preserve">. </w:t>
      </w:r>
      <w:r w:rsidR="00490902">
        <w:t>ÚP</w:t>
      </w:r>
      <w:r w:rsidR="00A06010" w:rsidRPr="00874A18">
        <w:t xml:space="preserve"> kraje bude obsahovat závaznou část, která bude především řešit umísťování konkrétníc</w:t>
      </w:r>
      <w:r w:rsidR="00A5107E">
        <w:t>h záměrů a </w:t>
      </w:r>
      <w:r w:rsidR="00A06010" w:rsidRPr="00874A18">
        <w:t>koridorů.</w:t>
      </w:r>
      <w:r w:rsidR="00A06010">
        <w:t xml:space="preserve"> </w:t>
      </w:r>
      <w:r w:rsidR="00A06010" w:rsidRPr="00874A18">
        <w:t>Strategická část bude závazná pro další orgány kraje a obcí na jeho území, které budou muset závěry obsažené v této části zohlednit v rámci svých činností dotýkajících se územního plánování.</w:t>
      </w:r>
    </w:p>
    <w:p w:rsidR="00A06010" w:rsidRDefault="00A06010" w:rsidP="003E4A5D">
      <w:pPr>
        <w:widowControl w:val="0"/>
      </w:pPr>
      <w:r w:rsidRPr="00874A18">
        <w:t xml:space="preserve">Na úrovni obecního územního plánování se navrhuje ponechat strukturu dvou vrstev: </w:t>
      </w:r>
      <w:r w:rsidR="00490902">
        <w:t>ÚP</w:t>
      </w:r>
      <w:r w:rsidRPr="00874A18">
        <w:t xml:space="preserve"> obce </w:t>
      </w:r>
      <w:r w:rsidR="00490902" w:rsidRPr="00874A18">
        <w:t>a</w:t>
      </w:r>
      <w:r w:rsidR="00490902">
        <w:t> RP</w:t>
      </w:r>
      <w:r w:rsidRPr="00874A18">
        <w:t>.</w:t>
      </w:r>
    </w:p>
    <w:p w:rsidR="000C3498" w:rsidRDefault="00A3474F" w:rsidP="003E4A5D">
      <w:pPr>
        <w:pStyle w:val="Textkomente"/>
        <w:widowControl w:val="0"/>
      </w:pPr>
      <w:bookmarkStart w:id="87" w:name="_Hlk533196158"/>
      <w:r w:rsidRPr="000C3498">
        <w:rPr>
          <w:sz w:val="24"/>
          <w:szCs w:val="22"/>
        </w:rPr>
        <w:t xml:space="preserve">Při přípravě paragrafového znění pak </w:t>
      </w:r>
      <w:r w:rsidR="00BA2D38">
        <w:rPr>
          <w:sz w:val="24"/>
          <w:szCs w:val="22"/>
        </w:rPr>
        <w:t>bude třeba zvážit zjednodušení procesu</w:t>
      </w:r>
      <w:r w:rsidRPr="000C3498">
        <w:rPr>
          <w:sz w:val="24"/>
          <w:szCs w:val="22"/>
        </w:rPr>
        <w:t xml:space="preserve"> pořizování a</w:t>
      </w:r>
      <w:r w:rsidR="00BA2D38">
        <w:rPr>
          <w:sz w:val="24"/>
          <w:szCs w:val="22"/>
        </w:rPr>
        <w:t> </w:t>
      </w:r>
      <w:r w:rsidRPr="000C3498">
        <w:rPr>
          <w:sz w:val="24"/>
          <w:szCs w:val="22"/>
        </w:rPr>
        <w:t xml:space="preserve">schvalování územního a regulačního plánu a </w:t>
      </w:r>
      <w:r w:rsidR="00686D84">
        <w:rPr>
          <w:sz w:val="24"/>
          <w:szCs w:val="22"/>
        </w:rPr>
        <w:t>například</w:t>
      </w:r>
      <w:r w:rsidRPr="000C3498">
        <w:rPr>
          <w:sz w:val="24"/>
          <w:szCs w:val="22"/>
        </w:rPr>
        <w:t xml:space="preserve"> </w:t>
      </w:r>
      <w:r w:rsidR="00490902">
        <w:rPr>
          <w:sz w:val="24"/>
          <w:szCs w:val="22"/>
        </w:rPr>
        <w:t xml:space="preserve">u jejich změn </w:t>
      </w:r>
      <w:r w:rsidRPr="000C3498">
        <w:rPr>
          <w:sz w:val="24"/>
          <w:szCs w:val="22"/>
        </w:rPr>
        <w:t>rozhodnutí o pořízení územního nebo regulačního plánu (či jeho změny) a schválení zadání sloučit do jednoho rozhodnu</w:t>
      </w:r>
      <w:r w:rsidR="00A5107E">
        <w:rPr>
          <w:sz w:val="24"/>
          <w:szCs w:val="22"/>
        </w:rPr>
        <w:t>tí zastupitelstva; stanovit, že </w:t>
      </w:r>
      <w:r w:rsidRPr="000C3498">
        <w:rPr>
          <w:sz w:val="24"/>
          <w:szCs w:val="22"/>
        </w:rPr>
        <w:t>předmětem společného projednání s </w:t>
      </w:r>
      <w:r w:rsidR="00490902">
        <w:rPr>
          <w:sz w:val="24"/>
          <w:szCs w:val="22"/>
        </w:rPr>
        <w:t>DO</w:t>
      </w:r>
      <w:r w:rsidRPr="000C3498">
        <w:rPr>
          <w:sz w:val="24"/>
          <w:szCs w:val="22"/>
        </w:rPr>
        <w:t xml:space="preserve"> a veřejného projednání s veřejností bude pouze samotný návrh, nikoli již samostatně jeho zadání či projednávat s veřejností a s </w:t>
      </w:r>
      <w:r w:rsidR="00490902">
        <w:rPr>
          <w:sz w:val="24"/>
          <w:szCs w:val="22"/>
        </w:rPr>
        <w:t>DO</w:t>
      </w:r>
      <w:r w:rsidRPr="000C3498">
        <w:rPr>
          <w:sz w:val="24"/>
          <w:szCs w:val="22"/>
        </w:rPr>
        <w:t xml:space="preserve"> </w:t>
      </w:r>
      <w:r w:rsidR="00ED33B7" w:rsidRPr="000C3498">
        <w:rPr>
          <w:sz w:val="24"/>
          <w:szCs w:val="22"/>
        </w:rPr>
        <w:t xml:space="preserve">časově </w:t>
      </w:r>
      <w:r w:rsidRPr="000C3498">
        <w:rPr>
          <w:sz w:val="24"/>
          <w:szCs w:val="22"/>
        </w:rPr>
        <w:t xml:space="preserve">souběžně, </w:t>
      </w:r>
      <w:r w:rsidR="00ED33B7" w:rsidRPr="000C3498">
        <w:rPr>
          <w:sz w:val="24"/>
          <w:szCs w:val="22"/>
        </w:rPr>
        <w:t>i když</w:t>
      </w:r>
      <w:r w:rsidRPr="000C3498">
        <w:rPr>
          <w:sz w:val="24"/>
          <w:szCs w:val="22"/>
        </w:rPr>
        <w:t xml:space="preserve"> procesně odděleně.</w:t>
      </w:r>
      <w:r w:rsidR="000C3498">
        <w:t xml:space="preserve"> </w:t>
      </w:r>
    </w:p>
    <w:bookmarkEnd w:id="87"/>
    <w:p w:rsidR="009F3ED9" w:rsidRDefault="00C75964" w:rsidP="007D31C3">
      <w:pPr>
        <w:widowControl w:val="0"/>
      </w:pPr>
      <w:r w:rsidRPr="00C75964">
        <w:t xml:space="preserve">Po vzoru stávající úpravy </w:t>
      </w:r>
      <w:r>
        <w:t xml:space="preserve">dále v návaznosti na identifikované problémy </w:t>
      </w:r>
      <w:r w:rsidR="00BA2D38">
        <w:t>zvážit úpravu</w:t>
      </w:r>
      <w:r w:rsidR="006F0716">
        <w:t xml:space="preserve"> </w:t>
      </w:r>
      <w:r w:rsidR="00BA2D38">
        <w:t xml:space="preserve">systému </w:t>
      </w:r>
      <w:r w:rsidRPr="00C75964">
        <w:t xml:space="preserve">náhrad za změnu v území vyvolanou použitím některých nástrojů územního plánování, zejména stavební uzávěrou a změnami v </w:t>
      </w:r>
      <w:r w:rsidR="00490902">
        <w:t>ÚPD</w:t>
      </w:r>
      <w:r>
        <w:t xml:space="preserve">, konkrétně </w:t>
      </w:r>
      <w:r w:rsidR="00686D84">
        <w:t>například</w:t>
      </w:r>
      <w:r>
        <w:t xml:space="preserve"> </w:t>
      </w:r>
      <w:r w:rsidRPr="00C75964">
        <w:t>stano</w:t>
      </w:r>
      <w:r>
        <w:t>vit</w:t>
      </w:r>
      <w:r w:rsidRPr="00C75964">
        <w:t xml:space="preserve"> přesnější procesní pravidla pro určení výše náhrady a způsobu jejího poskytnutí.</w:t>
      </w:r>
    </w:p>
    <w:p w:rsidR="00900923" w:rsidRDefault="00BD4BAE" w:rsidP="00BD4BAE">
      <w:pPr>
        <w:pStyle w:val="Nadpis20"/>
      </w:pPr>
      <w:bookmarkStart w:id="88" w:name="_Toc536553938"/>
      <w:r>
        <w:t>Procesní změny v povolovacím procesu – jedno rozhodnutí</w:t>
      </w:r>
      <w:bookmarkEnd w:id="88"/>
      <w:r>
        <w:t xml:space="preserve"> </w:t>
      </w:r>
      <w:r w:rsidR="00900923">
        <w:tab/>
      </w:r>
    </w:p>
    <w:p w:rsidR="00A06010" w:rsidRPr="00A06010" w:rsidRDefault="00A06010" w:rsidP="003E4A5D">
      <w:pPr>
        <w:widowControl w:val="0"/>
      </w:pPr>
      <w:r w:rsidRPr="00A06010">
        <w:t>Navrhovaná úprava má jako svou prioritu za cíl přinést jedno jedn</w:t>
      </w:r>
      <w:r w:rsidR="00A5107E">
        <w:t>otné správní řízení směřující k </w:t>
      </w:r>
      <w:r w:rsidRPr="00A06010">
        <w:t>vydání jediného rozhodnutí o povolení stavby</w:t>
      </w:r>
      <w:r>
        <w:t xml:space="preserve">. </w:t>
      </w:r>
      <w:r w:rsidRPr="00A06010">
        <w:t xml:space="preserve">Kladný výsledek jednotného řízení o povolení stavby v podobě vydaného rozhodnutí o povolení stavby bude pro žadatele znamenat oprávnění </w:t>
      </w:r>
      <w:r w:rsidRPr="00A06010">
        <w:lastRenderedPageBreak/>
        <w:t xml:space="preserve">k uskutečnění stavebního záměru. Žaloba ve správním soudnictví bude přípustná pouze proti tomuto pravomocnému rozhodnutí stavebního úřadu. Žádné jiné soudně přezkoumatelné správní rozhodnutí, než povolení stavby stavební úřad vydávat nebude. Jednotné řízení o povolení stavby </w:t>
      </w:r>
      <w:r>
        <w:t xml:space="preserve">nahradí a </w:t>
      </w:r>
      <w:r w:rsidR="00DD4DD8">
        <w:t>za</w:t>
      </w:r>
      <w:r>
        <w:t>integruje</w:t>
      </w:r>
      <w:r w:rsidRPr="00A06010">
        <w:t xml:space="preserve">: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dnešní proces posuzování EIA s výjimkou zjišťovacího řízení, které bude probíhat separátně;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územní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zjednodušené územní řízení;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stavební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územní řízení s posouzením vlivů na životní prostředí;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společné územní a stavební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společné územní a stavební řízení s posouzením vlivů na životní prostředí;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řízení o integrovaném povolení (podle zákona o integrované prevenci);</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řízení podle zákona o ochraně přírody a krajiny; a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všechna další řízení podle jednotlivých složkových zákonů, která vedou k vydávání </w:t>
      </w:r>
      <w:r w:rsidR="00D07D7A">
        <w:rPr>
          <w:rFonts w:ascii="Garamond" w:eastAsia="Calibri" w:hAnsi="Garamond"/>
          <w:color w:val="auto"/>
          <w:szCs w:val="22"/>
        </w:rPr>
        <w:t xml:space="preserve">rozhodnutí, </w:t>
      </w:r>
      <w:r w:rsidRPr="00A06010">
        <w:rPr>
          <w:rFonts w:ascii="Garamond" w:eastAsia="Calibri" w:hAnsi="Garamond"/>
          <w:color w:val="auto"/>
          <w:szCs w:val="22"/>
        </w:rPr>
        <w:t>závazných stanovisek,</w:t>
      </w:r>
      <w:r w:rsidR="00D07D7A">
        <w:rPr>
          <w:rFonts w:ascii="Garamond" w:eastAsia="Calibri" w:hAnsi="Garamond"/>
          <w:color w:val="auto"/>
          <w:szCs w:val="22"/>
        </w:rPr>
        <w:t xml:space="preserve"> stanovisek a vyjádření</w:t>
      </w:r>
      <w:r w:rsidRPr="00A06010">
        <w:rPr>
          <w:rFonts w:ascii="Garamond" w:eastAsia="Calibri" w:hAnsi="Garamond"/>
          <w:color w:val="auto"/>
          <w:szCs w:val="22"/>
        </w:rPr>
        <w:t xml:space="preserve"> </w:t>
      </w:r>
      <w:r w:rsidR="00D07D7A">
        <w:rPr>
          <w:rFonts w:ascii="Garamond" w:eastAsia="Calibri" w:hAnsi="Garamond"/>
          <w:color w:val="auto"/>
          <w:szCs w:val="22"/>
        </w:rPr>
        <w:t>(v těch případech, ve kterých dojde k integraci orgánu do nové soustavy státní stavební správy)</w:t>
      </w:r>
      <w:r w:rsidRPr="00A06010">
        <w:rPr>
          <w:rFonts w:ascii="Garamond" w:eastAsia="Calibri" w:hAnsi="Garamond"/>
          <w:color w:val="auto"/>
          <w:szCs w:val="22"/>
        </w:rPr>
        <w:t xml:space="preserve">. </w:t>
      </w:r>
    </w:p>
    <w:p w:rsidR="00BD4BAE" w:rsidRPr="00A06010" w:rsidRDefault="00F24B03" w:rsidP="003E4A5D">
      <w:pPr>
        <w:widowControl w:val="0"/>
      </w:pPr>
      <w:r w:rsidRPr="00A06010">
        <w:t>Celé řízení o povolení stavby povede pouze jeden stavební úřad, který bude sám provádět dokazování a vyhodnocovat nejen otázky samotného stave</w:t>
      </w:r>
      <w:r w:rsidR="00A5107E">
        <w:t>bního práva v užším smyslu, ale </w:t>
      </w:r>
      <w:r w:rsidRPr="00A06010">
        <w:t xml:space="preserve">i dalších veřejných zájmů dotčených při výstavbě podle složkových zákonů. </w:t>
      </w:r>
      <w:r>
        <w:t xml:space="preserve">Předpokládá se zavedení </w:t>
      </w:r>
      <w:r w:rsidRPr="00C90FA8">
        <w:t>závazných a reálně vymahatelných lhůt pro rozhodování stavebního úřadu (30 dnů s </w:t>
      </w:r>
      <w:r w:rsidRPr="00D07D7A">
        <w:t>možností prodloužení o dalších 30 dnů a s automatickým následkem vzniku fikce povolení stavby v 1. stupni v případě jejich nedodržení)</w:t>
      </w:r>
      <w:r w:rsidR="00D07D7A">
        <w:t>.</w:t>
      </w:r>
    </w:p>
    <w:p w:rsidR="00900923" w:rsidRDefault="00BD4BAE" w:rsidP="00BD4BAE">
      <w:pPr>
        <w:pStyle w:val="Nadpis20"/>
      </w:pPr>
      <w:bookmarkStart w:id="89" w:name="_Toc536553939"/>
      <w:r>
        <w:t>Změny v soudním přezkumu rozhodnut stavebních úřadů</w:t>
      </w:r>
      <w:bookmarkEnd w:id="89"/>
      <w:r w:rsidR="00900923">
        <w:tab/>
      </w:r>
    </w:p>
    <w:p w:rsidR="00900923" w:rsidRDefault="00874A18" w:rsidP="003E4A5D">
      <w:pPr>
        <w:widowControl w:val="0"/>
      </w:pPr>
      <w:r w:rsidRPr="00874A18">
        <w:t>Rekodifikace povede k zavedení velmi omezené apelace ve stavebních věcech v podobě možnosti správního soudu změnit rozhodnutí žalovaného stavebního úřadu.</w:t>
      </w:r>
      <w:r w:rsidR="00A5107E">
        <w:t xml:space="preserve"> Bude se tak dít ve věcech, kde </w:t>
      </w:r>
      <w:r w:rsidRPr="00874A18">
        <w:t>k takovému rozhodnutí bude mít správní soud d</w:t>
      </w:r>
      <w:r w:rsidR="00EB32FC">
        <w:t>ostatek podkladů a bude nade vší</w:t>
      </w:r>
      <w:r w:rsidRPr="00874A18">
        <w:t xml:space="preserve"> pochybnost zřejmé, že by například i po zrušení rozhodnutí a vrácení věci k novému rozhodnutí stavebního úřadu neexistovala jiná možnost, než rozhodnout o (ne)povolení stavby.</w:t>
      </w:r>
    </w:p>
    <w:p w:rsidR="006B145A" w:rsidRDefault="00F24B03" w:rsidP="003E4A5D">
      <w:pPr>
        <w:widowControl w:val="0"/>
      </w:pPr>
      <w:r>
        <w:t xml:space="preserve">Dále varianta volí </w:t>
      </w:r>
      <w:r w:rsidRPr="00874A18">
        <w:t xml:space="preserve">povinnost správního soudu projednat a vypořádat se se všemi žalobními </w:t>
      </w:r>
      <w:r>
        <w:t>body</w:t>
      </w:r>
      <w:r w:rsidRPr="00874A18">
        <w:t>. Vytvoření specializovaných senátů u vybraných správních úseků krajských soudů a jejich obligatorní místní příslušnost ve věcech stavebního práva</w:t>
      </w:r>
      <w:r>
        <w:t>.</w:t>
      </w:r>
    </w:p>
    <w:p w:rsidR="00900923" w:rsidRDefault="001D7237" w:rsidP="001D7237">
      <w:pPr>
        <w:widowControl w:val="0"/>
      </w:pPr>
      <w:r>
        <w:t>Věcný záměr</w:t>
      </w:r>
      <w:r w:rsidR="00874A18">
        <w:t xml:space="preserve"> počítá s řadou dalších dílčích změn</w:t>
      </w:r>
      <w:r w:rsidR="000D1431">
        <w:t xml:space="preserve"> </w:t>
      </w:r>
      <w:r w:rsidR="006B145A">
        <w:t>(úprava inst</w:t>
      </w:r>
      <w:r>
        <w:t>itutu náhrad za změnu v území</w:t>
      </w:r>
      <w:r>
        <w:tab/>
        <w:t xml:space="preserve">, </w:t>
      </w:r>
      <w:r w:rsidR="006B145A">
        <w:t>úprava lhůt a následků jejich nedodržení, úpravy v oblasti změn staveb před jejich dokončením, v oblasti kolaudace, z</w:t>
      </w:r>
      <w:r w:rsidR="00A5107E">
        <w:t>měny dokončené stavby / změny v </w:t>
      </w:r>
      <w:r w:rsidR="006B145A">
        <w:t>užívání stavby, či odstranění nepovolené stavby apod.).</w:t>
      </w:r>
      <w:r w:rsidR="00874A18">
        <w:t xml:space="preserve"> Protože </w:t>
      </w:r>
      <w:r w:rsidR="00B71978">
        <w:t xml:space="preserve">k dispozici není dostatek spolehlivých a detailních dat, hodnotí RIA především ty okruhy, </w:t>
      </w:r>
      <w:r w:rsidR="00A5107E">
        <w:t>které budou z pohledu nákladů a </w:t>
      </w:r>
      <w:r w:rsidR="00B71978">
        <w:t>přínosů nejvýznamnější. Volba těchto věcných okruhů pro RIA byla potvrzena i závěry konzultací.</w:t>
      </w:r>
    </w:p>
    <w:p w:rsidR="003709EB" w:rsidRDefault="00F24B03" w:rsidP="003E4A5D">
      <w:pPr>
        <w:widowControl w:val="0"/>
      </w:pPr>
      <w:r w:rsidRPr="00D862A5">
        <w:rPr>
          <w:b/>
        </w:rPr>
        <w:t xml:space="preserve">Při společné implementaci všech těchto kroků společně pak </w:t>
      </w:r>
      <w:r w:rsidR="0023265D">
        <w:rPr>
          <w:b/>
        </w:rPr>
        <w:t>lze předpokládat</w:t>
      </w:r>
      <w:r w:rsidRPr="00D862A5">
        <w:rPr>
          <w:b/>
        </w:rPr>
        <w:t xml:space="preserve">, že se povolovací proces zkrátí z průměrných 5,4 let </w:t>
      </w:r>
      <w:r w:rsidR="00D0045D">
        <w:rPr>
          <w:b/>
        </w:rPr>
        <w:t xml:space="preserve"> </w:t>
      </w:r>
      <w:r w:rsidRPr="00D862A5">
        <w:rPr>
          <w:b/>
        </w:rPr>
        <w:t xml:space="preserve">na maximálně </w:t>
      </w:r>
      <w:r>
        <w:rPr>
          <w:b/>
        </w:rPr>
        <w:t xml:space="preserve">průměrně </w:t>
      </w:r>
      <w:r w:rsidRPr="00D862A5">
        <w:rPr>
          <w:b/>
        </w:rPr>
        <w:t>1 rok</w:t>
      </w:r>
      <w:r>
        <w:rPr>
          <w:b/>
        </w:rPr>
        <w:t xml:space="preserve"> včetně soudního přezkumu</w:t>
      </w:r>
      <w:r w:rsidRPr="00D862A5">
        <w:rPr>
          <w:b/>
        </w:rPr>
        <w:t xml:space="preserve">. Odhadované dopady </w:t>
      </w:r>
      <w:r>
        <w:rPr>
          <w:b/>
        </w:rPr>
        <w:t xml:space="preserve">jsou </w:t>
      </w:r>
      <w:r w:rsidRPr="00D862A5">
        <w:rPr>
          <w:b/>
        </w:rPr>
        <w:t xml:space="preserve">pak </w:t>
      </w:r>
      <w:r>
        <w:rPr>
          <w:b/>
        </w:rPr>
        <w:t>uvedeny dále v závěrečném shrnutí.</w:t>
      </w:r>
    </w:p>
    <w:p w:rsidR="00D24CDE" w:rsidRDefault="00EC3868" w:rsidP="00BD4BAE">
      <w:pPr>
        <w:pStyle w:val="Nadpis20"/>
      </w:pPr>
      <w:bookmarkStart w:id="90" w:name="_Toc536553940"/>
      <w:r w:rsidRPr="00BD4BAE">
        <w:lastRenderedPageBreak/>
        <w:t>Závěrečné shrnutí</w:t>
      </w:r>
      <w:bookmarkEnd w:id="90"/>
      <w:r w:rsidR="000C3498" w:rsidRPr="00BD4BAE">
        <w:t xml:space="preserve"> </w:t>
      </w:r>
    </w:p>
    <w:p w:rsidR="00BD4BAE" w:rsidRPr="00BD4BAE" w:rsidRDefault="00BD4BAE" w:rsidP="00BD4BAE">
      <w:pPr>
        <w:widowControl w:val="0"/>
      </w:pPr>
      <w:r w:rsidRPr="00BD4BAE">
        <w:t xml:space="preserve">Následující </w:t>
      </w:r>
      <w:r>
        <w:t>tabulky shrnuje závěry uvedené v předchozích částech RIA.</w:t>
      </w:r>
    </w:p>
    <w:p w:rsidR="00EC3868" w:rsidRPr="00EC3868" w:rsidRDefault="00EC3868" w:rsidP="003E4A5D">
      <w:pPr>
        <w:pStyle w:val="Titulek"/>
      </w:pPr>
      <w:r w:rsidRPr="00EC3868">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32</w:t>
      </w:r>
      <w:r w:rsidR="00AB65E9">
        <w:rPr>
          <w:noProof/>
        </w:rPr>
        <w:fldChar w:fldCharType="end"/>
      </w:r>
      <w:r w:rsidRPr="00EC3868">
        <w:t>: Závěrečné shrnutí - relevantní ekonomické parametry související s realizací rekodifikace - kvantifikovatelné parametry</w:t>
      </w:r>
    </w:p>
    <w:tbl>
      <w:tblPr>
        <w:tblStyle w:val="Tabulkaseznamu21"/>
        <w:tblW w:w="9072" w:type="dxa"/>
        <w:tblInd w:w="108" w:type="dxa"/>
        <w:tblLayout w:type="fixed"/>
        <w:tblLook w:val="04A0" w:firstRow="1" w:lastRow="0" w:firstColumn="1" w:lastColumn="0" w:noHBand="0" w:noVBand="1"/>
      </w:tblPr>
      <w:tblGrid>
        <w:gridCol w:w="426"/>
        <w:gridCol w:w="2551"/>
        <w:gridCol w:w="3464"/>
        <w:gridCol w:w="2631"/>
      </w:tblGrid>
      <w:tr w:rsidR="00EC3868" w:rsidRPr="00EC3868" w:rsidTr="00F8285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b w:val="0"/>
                <w:bCs w:val="0"/>
                <w:i/>
                <w:iCs/>
                <w:color w:val="000000"/>
                <w:sz w:val="20"/>
                <w:szCs w:val="20"/>
                <w:lang w:eastAsia="cs-CZ"/>
              </w:rPr>
            </w:pPr>
          </w:p>
        </w:tc>
        <w:tc>
          <w:tcPr>
            <w:tcW w:w="2551" w:type="dxa"/>
            <w:noWrap/>
            <w:tcMar>
              <w:left w:w="28" w:type="dxa"/>
              <w:right w:w="28" w:type="dxa"/>
            </w:tcMar>
            <w:vAlign w:val="center"/>
          </w:tcPr>
          <w:p w:rsidR="00EC3868" w:rsidRPr="00EC3868" w:rsidRDefault="00EC3868"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i/>
                <w:iCs/>
                <w:color w:val="000000"/>
                <w:sz w:val="20"/>
                <w:szCs w:val="20"/>
                <w:lang w:eastAsia="cs-CZ"/>
              </w:rPr>
            </w:pPr>
          </w:p>
        </w:tc>
        <w:tc>
          <w:tcPr>
            <w:tcW w:w="3464" w:type="dxa"/>
            <w:noWrap/>
            <w:tcMar>
              <w:left w:w="28" w:type="dxa"/>
              <w:right w:w="28" w:type="dxa"/>
            </w:tcMar>
            <w:vAlign w:val="center"/>
          </w:tcPr>
          <w:p w:rsidR="00EC3868" w:rsidRPr="00EC3868" w:rsidRDefault="00EC3868" w:rsidP="001F2819">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000000"/>
                <w:sz w:val="20"/>
                <w:szCs w:val="20"/>
                <w:lang w:eastAsia="cs-CZ"/>
              </w:rPr>
            </w:pPr>
            <w:r w:rsidRPr="00EC3868">
              <w:rPr>
                <w:rFonts w:ascii="Calibri" w:eastAsia="Times New Roman" w:hAnsi="Calibri"/>
                <w:bCs w:val="0"/>
                <w:color w:val="000000"/>
                <w:sz w:val="20"/>
                <w:szCs w:val="20"/>
                <w:lang w:eastAsia="cs-CZ"/>
              </w:rPr>
              <w:t>Hodnota</w:t>
            </w:r>
          </w:p>
        </w:tc>
        <w:tc>
          <w:tcPr>
            <w:tcW w:w="2631" w:type="dxa"/>
            <w:noWrap/>
            <w:tcMar>
              <w:left w:w="28" w:type="dxa"/>
              <w:right w:w="28" w:type="dxa"/>
            </w:tcMar>
            <w:vAlign w:val="center"/>
          </w:tcPr>
          <w:p w:rsidR="00EC3868" w:rsidRPr="00EC3868" w:rsidRDefault="00EC3868" w:rsidP="001F2819">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000000"/>
                <w:sz w:val="20"/>
                <w:szCs w:val="20"/>
                <w:lang w:eastAsia="cs-CZ"/>
              </w:rPr>
            </w:pPr>
            <w:r w:rsidRPr="00EC3868">
              <w:rPr>
                <w:rFonts w:ascii="Calibri" w:eastAsia="Times New Roman" w:hAnsi="Calibri"/>
                <w:bCs w:val="0"/>
                <w:color w:val="000000"/>
                <w:sz w:val="20"/>
                <w:szCs w:val="20"/>
                <w:lang w:eastAsia="cs-CZ"/>
              </w:rPr>
              <w:t>Komentář</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 xml:space="preserve">A. </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Náklady jednorázové (zejména vznik NSÚ)</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zajištění a vybavení nových prostor, náklady na přesun zaměstnanců a na vybavení spojené s tvorbou nových pracovních míst</w:t>
            </w:r>
          </w:p>
        </w:tc>
        <w:tc>
          <w:tcPr>
            <w:tcW w:w="3464" w:type="dxa"/>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Řádově stovky mil. Kč</w:t>
            </w:r>
          </w:p>
        </w:tc>
        <w:tc>
          <w:tcPr>
            <w:tcW w:w="2631" w:type="dxa"/>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Část těchto nákladů bude v praxi objektivně přesunuta z nákladové části rozpočtů samospráv do nákladů státní správy, nicméně mělo by také dojít k alikvótnímu snížení příspěvku pro samosprávy a jeho transparentnějšímu a tím i účelovějšímu a efektivnějšímu využití, než je tomu doposud.</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(zejména na centrální evidenční systém)</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v případě jednoduššího řešení v řádech desítek mil. Kč. Mluvíme pouze o centrálním evidenční</w:t>
            </w:r>
            <w:r w:rsidR="00B7277D">
              <w:rPr>
                <w:rFonts w:ascii="Calibri" w:eastAsia="Times New Roman" w:hAnsi="Calibri"/>
                <w:color w:val="000000"/>
                <w:sz w:val="20"/>
                <w:szCs w:val="20"/>
                <w:lang w:eastAsia="cs-CZ"/>
              </w:rPr>
              <w:t>m</w:t>
            </w:r>
            <w:r w:rsidRPr="00EC3868">
              <w:rPr>
                <w:rFonts w:ascii="Calibri" w:eastAsia="Times New Roman" w:hAnsi="Calibri"/>
                <w:color w:val="000000"/>
                <w:sz w:val="20"/>
                <w:szCs w:val="20"/>
                <w:lang w:eastAsia="cs-CZ"/>
              </w:rPr>
              <w:t xml:space="preserve"> systému, náklady na digitalizaci agendy nejsou vyvolané rekodifikací.</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left"/>
              <w:rPr>
                <w:rFonts w:ascii="Calibri" w:eastAsia="Times New Roman" w:hAnsi="Calibri"/>
                <w:color w:val="000000"/>
                <w:sz w:val="20"/>
                <w:szCs w:val="20"/>
                <w:lang w:eastAsia="cs-CZ"/>
              </w:rPr>
            </w:pPr>
            <w:r w:rsidRPr="00EC3868">
              <w:rPr>
                <w:rFonts w:ascii="Calibri" w:eastAsia="Times New Roman" w:hAnsi="Calibri"/>
                <w:b w:val="0"/>
                <w:color w:val="000000"/>
                <w:sz w:val="20"/>
                <w:szCs w:val="20"/>
                <w:lang w:eastAsia="cs-CZ"/>
              </w:rPr>
              <w:t>3.</w:t>
            </w:r>
          </w:p>
        </w:tc>
        <w:tc>
          <w:tcPr>
            <w:tcW w:w="2551" w:type="dxa"/>
            <w:noWrap/>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Náklady na ICT v rámci digitalizace</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0 Kč</w:t>
            </w:r>
          </w:p>
        </w:tc>
        <w:tc>
          <w:tcPr>
            <w:tcW w:w="2631"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Náklady na digitalizaci agendy nejsou vyvolané rekodifikací.</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B.</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Roční provozní náklady</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Mzdové a ostatní provozní náklady související zejména se vznikem NSÚ</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Stovky mil. Kč (při předpokladech stanovených v RIA budou činit roční provozní náklady 1</w:t>
            </w:r>
            <w:r w:rsidR="00B47025">
              <w:rPr>
                <w:rFonts w:ascii="Calibri" w:eastAsia="Times New Roman" w:hAnsi="Calibri"/>
                <w:color w:val="000000"/>
                <w:sz w:val="20"/>
                <w:szCs w:val="20"/>
                <w:lang w:eastAsia="cs-CZ"/>
              </w:rPr>
              <w:t xml:space="preserve"> </w:t>
            </w:r>
            <w:r w:rsidRPr="00EC3868">
              <w:rPr>
                <w:rFonts w:ascii="Calibri" w:eastAsia="Times New Roman" w:hAnsi="Calibri"/>
                <w:color w:val="000000"/>
                <w:sz w:val="20"/>
                <w:szCs w:val="20"/>
                <w:lang w:eastAsia="cs-CZ"/>
              </w:rPr>
              <w:t>4</w:t>
            </w:r>
            <w:r w:rsidR="00B47025">
              <w:rPr>
                <w:rFonts w:ascii="Calibri" w:eastAsia="Times New Roman" w:hAnsi="Calibri"/>
                <w:color w:val="000000"/>
                <w:sz w:val="20"/>
                <w:szCs w:val="20"/>
                <w:lang w:eastAsia="cs-CZ"/>
              </w:rPr>
              <w:t>00</w:t>
            </w:r>
            <w:r w:rsidRPr="00EC3868">
              <w:rPr>
                <w:rFonts w:ascii="Calibri" w:eastAsia="Times New Roman" w:hAnsi="Calibri"/>
                <w:color w:val="000000"/>
                <w:sz w:val="20"/>
                <w:szCs w:val="20"/>
                <w:lang w:eastAsia="cs-CZ"/>
              </w:rPr>
              <w:t xml:space="preserve"> m</w:t>
            </w:r>
            <w:r w:rsidR="00B47025">
              <w:rPr>
                <w:rFonts w:ascii="Calibri" w:eastAsia="Times New Roman" w:hAnsi="Calibri"/>
                <w:color w:val="000000"/>
                <w:sz w:val="20"/>
                <w:szCs w:val="20"/>
                <w:lang w:eastAsia="cs-CZ"/>
              </w:rPr>
              <w:t>i</w:t>
            </w:r>
            <w:r w:rsidRPr="00EC3868">
              <w:rPr>
                <w:rFonts w:ascii="Calibri" w:eastAsia="Times New Roman" w:hAnsi="Calibri"/>
                <w:color w:val="000000"/>
                <w:sz w:val="20"/>
                <w:szCs w:val="20"/>
                <w:lang w:eastAsia="cs-CZ"/>
              </w:rPr>
              <w:t>l. Kč)</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(zejména na centrální evidenční systém)</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v případě jednoduššího řešení v řádech stovek tisíc Kč. Mluvíme pouze o centrálním evidenční</w:t>
            </w:r>
            <w:r w:rsidR="00B7277D">
              <w:rPr>
                <w:rFonts w:ascii="Calibri" w:eastAsia="Times New Roman" w:hAnsi="Calibri"/>
                <w:color w:val="000000"/>
                <w:sz w:val="20"/>
                <w:szCs w:val="20"/>
                <w:lang w:eastAsia="cs-CZ"/>
              </w:rPr>
              <w:t>m</w:t>
            </w:r>
            <w:r w:rsidRPr="00EC3868">
              <w:rPr>
                <w:rFonts w:ascii="Calibri" w:eastAsia="Times New Roman" w:hAnsi="Calibri"/>
                <w:color w:val="000000"/>
                <w:sz w:val="20"/>
                <w:szCs w:val="20"/>
                <w:lang w:eastAsia="cs-CZ"/>
              </w:rPr>
              <w:t xml:space="preserve"> systému, náklady na digitalizaci agendy nejsou vyvolané rekodifikací.</w:t>
            </w:r>
          </w:p>
        </w:tc>
        <w:tc>
          <w:tcPr>
            <w:tcW w:w="2631" w:type="dxa"/>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3.</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v rámci digitalizace</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0 Kč</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digitalizaci agendy nejsou vyvolané rekodifikací.</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4.</w:t>
            </w:r>
          </w:p>
        </w:tc>
        <w:tc>
          <w:tcPr>
            <w:tcW w:w="2551" w:type="dxa"/>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Ostatní náklady samosprávy a státní správy</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U ostatních nákladů samosprávy a státní správy předpokládáme, že se navzájem přibližně vykompenzují.</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C.</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Roční přínosy</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Předpokládané roční globální přínosy ze zkrácení povolovacích procesů </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6,88 mld. Kč</w:t>
            </w:r>
          </w:p>
        </w:tc>
        <w:tc>
          <w:tcPr>
            <w:tcW w:w="2631" w:type="dxa"/>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Jde o kvantifikovatelný velmi konzervativní odhad neobsahující veškeré další následné související pozitivní kvantifikovatelné i nekvantifikovatelné dopady.</w:t>
            </w: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Dopady na občany </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Ve variantě posunu SÚ z obcí se ZP a POÚ na ORP lze uvažovat o nákladech v řádu desítek miliónů Kč na dojezd.</w:t>
            </w:r>
          </w:p>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Na druhou stranu se náklady občanů na dopravu na úřad sníží, protože občan již </w:t>
            </w:r>
            <w:r w:rsidRPr="00EC3868">
              <w:rPr>
                <w:rFonts w:ascii="Calibri" w:eastAsia="Times New Roman" w:hAnsi="Calibri"/>
                <w:color w:val="000000"/>
                <w:sz w:val="20"/>
                <w:szCs w:val="20"/>
                <w:lang w:eastAsia="cs-CZ"/>
              </w:rPr>
              <w:lastRenderedPageBreak/>
              <w:t xml:space="preserve">nebude nucen před zahájením řízení samostatně zajišťovat veškerá vyjádření </w:t>
            </w:r>
            <w:r w:rsidR="0078162F">
              <w:rPr>
                <w:rFonts w:ascii="Calibri" w:eastAsia="Times New Roman" w:hAnsi="Calibri"/>
                <w:color w:val="000000"/>
                <w:sz w:val="20"/>
                <w:szCs w:val="20"/>
                <w:lang w:eastAsia="cs-CZ"/>
              </w:rPr>
              <w:t>DO</w:t>
            </w:r>
            <w:r w:rsidRPr="00EC3868">
              <w:rPr>
                <w:rFonts w:ascii="Calibri" w:eastAsia="Times New Roman" w:hAnsi="Calibri"/>
                <w:color w:val="000000"/>
                <w:sz w:val="20"/>
                <w:szCs w:val="20"/>
                <w:lang w:eastAsia="cs-CZ"/>
              </w:rPr>
              <w:t xml:space="preserve"> a stát převezme odpovědnost za výkon státní správy, kterou svou činností dosud zajišťoval občan, resp. investor.</w:t>
            </w:r>
          </w:p>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V konečném důsledku tak očekáváme pozitivní dopad.</w:t>
            </w:r>
          </w:p>
        </w:tc>
        <w:tc>
          <w:tcPr>
            <w:tcW w:w="2631" w:type="dxa"/>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p>
        </w:tc>
      </w:tr>
    </w:tbl>
    <w:p w:rsidR="00F8285F" w:rsidRDefault="00F8285F" w:rsidP="003E4A5D">
      <w:pPr>
        <w:widowControl w:val="0"/>
        <w:rPr>
          <w:b/>
          <w:highlight w:val="yellow"/>
          <w:u w:val="single"/>
        </w:rPr>
      </w:pPr>
    </w:p>
    <w:p w:rsidR="00E75C9C" w:rsidRDefault="00E75C9C" w:rsidP="003E4A5D">
      <w:pPr>
        <w:pStyle w:val="Titulek"/>
      </w:pPr>
      <w:r w:rsidRPr="000066CE">
        <w:t xml:space="preserve">Tabulka </w:t>
      </w:r>
      <w:r w:rsidR="00AB65E9" w:rsidRPr="000066CE">
        <w:rPr>
          <w:noProof/>
        </w:rPr>
        <w:fldChar w:fldCharType="begin"/>
      </w:r>
      <w:r w:rsidR="002F76C3" w:rsidRPr="000066CE">
        <w:rPr>
          <w:noProof/>
        </w:rPr>
        <w:instrText xml:space="preserve"> SEQ Tabulka \* ARABIC </w:instrText>
      </w:r>
      <w:r w:rsidR="00AB65E9" w:rsidRPr="000066CE">
        <w:rPr>
          <w:noProof/>
        </w:rPr>
        <w:fldChar w:fldCharType="separate"/>
      </w:r>
      <w:r w:rsidR="00263A1B">
        <w:rPr>
          <w:noProof/>
        </w:rPr>
        <w:t>33</w:t>
      </w:r>
      <w:r w:rsidR="00AB65E9" w:rsidRPr="000066CE">
        <w:rPr>
          <w:noProof/>
        </w:rPr>
        <w:fldChar w:fldCharType="end"/>
      </w:r>
      <w:r w:rsidRPr="000066CE">
        <w:t>: Závěrečné shrnutí – odhad zkrácení řízení - přehled</w:t>
      </w:r>
    </w:p>
    <w:tbl>
      <w:tblPr>
        <w:tblStyle w:val="Tabulkaseznamu21"/>
        <w:tblW w:w="9214" w:type="dxa"/>
        <w:tblInd w:w="108" w:type="dxa"/>
        <w:tblLayout w:type="fixed"/>
        <w:tblLook w:val="04A0" w:firstRow="1" w:lastRow="0" w:firstColumn="1" w:lastColumn="0" w:noHBand="0" w:noVBand="1"/>
      </w:tblPr>
      <w:tblGrid>
        <w:gridCol w:w="454"/>
        <w:gridCol w:w="3407"/>
        <w:gridCol w:w="1985"/>
        <w:gridCol w:w="3368"/>
      </w:tblGrid>
      <w:tr w:rsidR="00F86E73" w:rsidRPr="00F26F7B" w:rsidTr="00F8285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C93C0A" w:rsidRDefault="00F86E73"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Popis</w:t>
            </w:r>
          </w:p>
        </w:tc>
        <w:tc>
          <w:tcPr>
            <w:tcW w:w="1985" w:type="dxa"/>
            <w:noWrap/>
            <w:vAlign w:val="center"/>
            <w:hideMark/>
          </w:tcPr>
          <w:p w:rsidR="00F86E73" w:rsidRPr="00C93C0A" w:rsidRDefault="00F86E73"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Doba</w:t>
            </w:r>
          </w:p>
        </w:tc>
        <w:tc>
          <w:tcPr>
            <w:tcW w:w="3368" w:type="dxa"/>
            <w:noWrap/>
            <w:vAlign w:val="center"/>
            <w:hideMark/>
          </w:tcPr>
          <w:p w:rsidR="00F86E73" w:rsidRPr="00C93C0A" w:rsidRDefault="00F86E73"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Komentář</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1.</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Podání žádosti</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0 dní</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zahájení řízení</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2.</w:t>
            </w:r>
          </w:p>
        </w:tc>
        <w:tc>
          <w:tcPr>
            <w:tcW w:w="3407" w:type="dxa"/>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Studium elektronického spisu, zjištění nedostatku žádosti, stanovení okruhu účastníků řízení, uplatnění dalších požadavků</w:t>
            </w:r>
          </w:p>
        </w:tc>
        <w:tc>
          <w:tcPr>
            <w:tcW w:w="1985" w:type="dxa"/>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7-10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3.</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Přerušení řízení nebo výzva k odstranění nedostatků</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2 dny</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4.</w:t>
            </w:r>
          </w:p>
        </w:tc>
        <w:tc>
          <w:tcPr>
            <w:tcW w:w="3407" w:type="dxa"/>
            <w:noWrap/>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Kontrola odstranění nedostatků, doplnění</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5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5.</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Oznámení o zahájení řízení</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2 dny</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6.</w:t>
            </w:r>
          </w:p>
        </w:tc>
        <w:tc>
          <w:tcPr>
            <w:tcW w:w="3407" w:type="dxa"/>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xml:space="preserve">Doručení písemností vč. lhůt k uplatnění námitek, příprava rozhodnutí vč. zapracování požadavků a podmínek </w:t>
            </w:r>
            <w:r w:rsidR="0078162F">
              <w:rPr>
                <w:rFonts w:asciiTheme="minorHAnsi" w:hAnsiTheme="minorHAnsi" w:cstheme="minorHAnsi"/>
                <w:color w:val="000000"/>
                <w:sz w:val="20"/>
                <w:szCs w:val="20"/>
              </w:rPr>
              <w:t>DO</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30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7.</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V</w:t>
            </w:r>
            <w:r w:rsidRPr="00C93C0A">
              <w:rPr>
                <w:rFonts w:asciiTheme="minorHAnsi" w:hAnsiTheme="minorHAnsi" w:cstheme="minorHAnsi"/>
                <w:color w:val="000000"/>
                <w:sz w:val="20"/>
                <w:szCs w:val="20"/>
              </w:rPr>
              <w:t>ypořádání námitek, dokončení a vydání rozhodnutí</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5 - 10 dní</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 vydává NSÚ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F86E73"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 xml:space="preserve">Celkem </w:t>
            </w:r>
          </w:p>
        </w:tc>
        <w:tc>
          <w:tcPr>
            <w:tcW w:w="1985" w:type="dxa"/>
            <w:noWrap/>
            <w:vAlign w:val="center"/>
            <w:hideMark/>
          </w:tcPr>
          <w:p w:rsidR="00F86E73" w:rsidRPr="00F86E73"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51 - 59 dní</w:t>
            </w:r>
          </w:p>
        </w:tc>
        <w:tc>
          <w:tcPr>
            <w:tcW w:w="3368" w:type="dxa"/>
            <w:noWrap/>
            <w:vAlign w:val="center"/>
            <w:hideMark/>
          </w:tcPr>
          <w:p w:rsidR="00F86E73" w:rsidRPr="00F86E73"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bez doby přerušení</w:t>
            </w:r>
            <w:r w:rsidR="00B7277D">
              <w:rPr>
                <w:rFonts w:asciiTheme="minorHAnsi" w:hAnsiTheme="minorHAnsi" w:cstheme="minorHAnsi"/>
                <w:b/>
                <w:color w:val="000000"/>
                <w:sz w:val="20"/>
                <w:szCs w:val="20"/>
              </w:rPr>
              <w:t>, přezkumu</w:t>
            </w:r>
            <w:r w:rsidRPr="00F86E73">
              <w:rPr>
                <w:rFonts w:asciiTheme="minorHAnsi" w:hAnsiTheme="minorHAnsi" w:cstheme="minorHAnsi"/>
                <w:b/>
                <w:color w:val="000000"/>
                <w:sz w:val="20"/>
                <w:szCs w:val="20"/>
              </w:rPr>
              <w:t xml:space="preserve"> a bez soudních řízení </w:t>
            </w:r>
          </w:p>
        </w:tc>
      </w:tr>
    </w:tbl>
    <w:p w:rsidR="009C5EFF" w:rsidRDefault="009C5EFF" w:rsidP="003E4A5D">
      <w:pPr>
        <w:pStyle w:val="Normln-tun"/>
        <w:widowControl w:val="0"/>
        <w:rPr>
          <w:rFonts w:asciiTheme="minorHAnsi" w:hAnsiTheme="minorHAnsi" w:cstheme="minorHAnsi"/>
          <w:b/>
        </w:rPr>
      </w:pPr>
      <w:r w:rsidRPr="001F2819">
        <w:rPr>
          <w:rFonts w:asciiTheme="minorHAnsi" w:hAnsiTheme="minorHAnsi" w:cstheme="minorHAnsi"/>
          <w:b/>
          <w:u w:val="single"/>
        </w:rPr>
        <w:t xml:space="preserve">Celková předpokládaná doba řízení </w:t>
      </w:r>
      <w:r w:rsidR="00DC3CD4">
        <w:rPr>
          <w:rFonts w:asciiTheme="minorHAnsi" w:hAnsiTheme="minorHAnsi" w:cstheme="minorHAnsi"/>
          <w:b/>
          <w:u w:val="single"/>
        </w:rPr>
        <w:t xml:space="preserve">po změně </w:t>
      </w:r>
      <w:r w:rsidRPr="001F2819">
        <w:rPr>
          <w:rFonts w:asciiTheme="minorHAnsi" w:hAnsiTheme="minorHAnsi" w:cstheme="minorHAnsi"/>
          <w:b/>
          <w:u w:val="single"/>
        </w:rPr>
        <w:t>v průměru cca 1 rok</w:t>
      </w:r>
      <w:r>
        <w:rPr>
          <w:rFonts w:asciiTheme="minorHAnsi" w:hAnsiTheme="minorHAnsi" w:cstheme="minorHAnsi"/>
          <w:b/>
        </w:rPr>
        <w:t xml:space="preserve"> – </w:t>
      </w:r>
      <w:r w:rsidR="00F76ADF">
        <w:rPr>
          <w:rFonts w:asciiTheme="minorHAnsi" w:hAnsiTheme="minorHAnsi" w:cstheme="minorHAnsi"/>
          <w:b/>
        </w:rPr>
        <w:t>struktura</w:t>
      </w:r>
      <w:r>
        <w:rPr>
          <w:rFonts w:asciiTheme="minorHAnsi" w:hAnsiTheme="minorHAnsi" w:cstheme="minorHAnsi"/>
          <w:b/>
        </w:rPr>
        <w:t xml:space="preserve"> viz níže:</w:t>
      </w:r>
    </w:p>
    <w:p w:rsidR="001460F9" w:rsidRPr="001F2819" w:rsidRDefault="00DC3CD4" w:rsidP="003E4A5D">
      <w:pPr>
        <w:pStyle w:val="Normln-tun"/>
        <w:widowControl w:val="0"/>
        <w:rPr>
          <w:rFonts w:asciiTheme="minorHAnsi" w:hAnsiTheme="minorHAnsi" w:cstheme="minorHAnsi"/>
          <w:b/>
          <w:i/>
        </w:rPr>
      </w:pPr>
      <w:r>
        <w:rPr>
          <w:rFonts w:asciiTheme="minorHAnsi" w:hAnsiTheme="minorHAnsi" w:cstheme="minorHAnsi"/>
          <w:b/>
          <w:i/>
        </w:rPr>
        <w:t>s</w:t>
      </w:r>
      <w:r w:rsidR="009C5EFF" w:rsidRPr="001F2819">
        <w:rPr>
          <w:rFonts w:asciiTheme="minorHAnsi" w:hAnsiTheme="minorHAnsi" w:cstheme="minorHAnsi"/>
          <w:b/>
          <w:i/>
        </w:rPr>
        <w:t xml:space="preserve">tavební řízení 51-59 dní </w:t>
      </w:r>
      <w:r w:rsidR="001460F9" w:rsidRPr="001F2819">
        <w:rPr>
          <w:rFonts w:asciiTheme="minorHAnsi" w:hAnsiTheme="minorHAnsi" w:cstheme="minorHAnsi"/>
          <w:b/>
          <w:i/>
        </w:rPr>
        <w:t xml:space="preserve">+ </w:t>
      </w:r>
      <w:r w:rsidR="009C5EFF">
        <w:rPr>
          <w:rFonts w:asciiTheme="minorHAnsi" w:hAnsiTheme="minorHAnsi" w:cstheme="minorHAnsi"/>
          <w:b/>
          <w:i/>
        </w:rPr>
        <w:t>expertní odhad přezkum a soudní řízení</w:t>
      </w:r>
      <w:r>
        <w:rPr>
          <w:rFonts w:asciiTheme="minorHAnsi" w:hAnsiTheme="minorHAnsi" w:cstheme="minorHAnsi"/>
          <w:b/>
          <w:i/>
        </w:rPr>
        <w:t xml:space="preserve"> 300 dní</w:t>
      </w:r>
      <w:r w:rsidR="009C5EFF">
        <w:rPr>
          <w:rFonts w:asciiTheme="minorHAnsi" w:hAnsiTheme="minorHAnsi" w:cstheme="minorHAnsi"/>
          <w:b/>
          <w:i/>
        </w:rPr>
        <w:t xml:space="preserve"> (</w:t>
      </w:r>
      <w:r w:rsidR="00B7277D" w:rsidRPr="001F2819">
        <w:rPr>
          <w:rFonts w:asciiTheme="minorHAnsi" w:hAnsiTheme="minorHAnsi" w:cstheme="minorHAnsi"/>
          <w:b/>
          <w:i/>
        </w:rPr>
        <w:t xml:space="preserve">přezkum </w:t>
      </w:r>
      <w:r w:rsidR="009C5EFF" w:rsidRPr="001F2819">
        <w:rPr>
          <w:rFonts w:asciiTheme="minorHAnsi" w:hAnsiTheme="minorHAnsi" w:cstheme="minorHAnsi"/>
          <w:b/>
          <w:i/>
        </w:rPr>
        <w:t>60 dní</w:t>
      </w:r>
      <w:r w:rsidR="009C5EFF">
        <w:rPr>
          <w:rFonts w:asciiTheme="minorHAnsi" w:hAnsiTheme="minorHAnsi" w:cstheme="minorHAnsi"/>
          <w:b/>
          <w:i/>
        </w:rPr>
        <w:t>,</w:t>
      </w:r>
      <w:r w:rsidR="009C5EFF" w:rsidRPr="001F2819">
        <w:rPr>
          <w:rFonts w:asciiTheme="minorHAnsi" w:hAnsiTheme="minorHAnsi" w:cstheme="minorHAnsi"/>
          <w:b/>
          <w:i/>
        </w:rPr>
        <w:t xml:space="preserve"> </w:t>
      </w:r>
      <w:r w:rsidR="001460F9" w:rsidRPr="001F2819">
        <w:rPr>
          <w:rFonts w:asciiTheme="minorHAnsi" w:hAnsiTheme="minorHAnsi" w:cstheme="minorHAnsi"/>
          <w:b/>
          <w:i/>
        </w:rPr>
        <w:t xml:space="preserve">případné soudní řízení </w:t>
      </w:r>
      <w:r w:rsidR="009C5EFF" w:rsidRPr="001F2819">
        <w:rPr>
          <w:rFonts w:asciiTheme="minorHAnsi" w:hAnsiTheme="minorHAnsi" w:cstheme="minorHAnsi"/>
          <w:b/>
          <w:i/>
        </w:rPr>
        <w:t>1. a 2.</w:t>
      </w:r>
      <w:r w:rsidR="009C5EFF">
        <w:rPr>
          <w:rFonts w:asciiTheme="minorHAnsi" w:hAnsiTheme="minorHAnsi" w:cstheme="minorHAnsi"/>
          <w:b/>
          <w:i/>
        </w:rPr>
        <w:t xml:space="preserve"> stupeň</w:t>
      </w:r>
      <w:r w:rsidR="009C5EFF" w:rsidRPr="001F2819">
        <w:rPr>
          <w:rFonts w:asciiTheme="minorHAnsi" w:hAnsiTheme="minorHAnsi" w:cstheme="minorHAnsi"/>
          <w:b/>
          <w:i/>
        </w:rPr>
        <w:t xml:space="preserve"> – 2*120 dní) </w:t>
      </w:r>
    </w:p>
    <w:p w:rsidR="00F86E73" w:rsidRDefault="00F86E73" w:rsidP="003E4A5D">
      <w:pPr>
        <w:pStyle w:val="Normln-tun"/>
        <w:widowControl w:val="0"/>
      </w:pPr>
    </w:p>
    <w:p w:rsidR="00D24CDE" w:rsidRPr="00D24CDE" w:rsidRDefault="00D24CDE" w:rsidP="003E4A5D">
      <w:pPr>
        <w:pStyle w:val="Normln-tun"/>
        <w:widowControl w:val="0"/>
      </w:pPr>
      <w:r w:rsidRPr="00D24CDE">
        <w:t xml:space="preserve">Odvětví stavebnictví je odvětvím s vysokými multiplikátory. Celkově má investovaný </w:t>
      </w:r>
      <w:r w:rsidR="00F86E73">
        <w:t>1 </w:t>
      </w:r>
      <w:r w:rsidRPr="00D24CDE">
        <w:t>mil</w:t>
      </w:r>
      <w:r w:rsidR="00F86E73">
        <w:t>. </w:t>
      </w:r>
      <w:r w:rsidRPr="00D24CDE">
        <w:t>Kč potenciál zvýšit produkci ČR až o 3,09 mil. Kč (</w:t>
      </w:r>
      <w:r w:rsidR="00F86E73">
        <w:t xml:space="preserve">díky </w:t>
      </w:r>
      <w:r w:rsidRPr="00D24CDE">
        <w:t>přím</w:t>
      </w:r>
      <w:r w:rsidR="00F86E73">
        <w:t xml:space="preserve">ému, </w:t>
      </w:r>
      <w:r w:rsidRPr="00D24CDE">
        <w:t>nepřím</w:t>
      </w:r>
      <w:r w:rsidR="00F86E73">
        <w:t>ému a</w:t>
      </w:r>
      <w:r w:rsidRPr="00D24CDE">
        <w:t xml:space="preserve"> indukovan</w:t>
      </w:r>
      <w:r w:rsidR="00F86E73">
        <w:t>ému</w:t>
      </w:r>
      <w:r w:rsidRPr="00D24CDE">
        <w:t xml:space="preserve"> efekt</w:t>
      </w:r>
      <w:r w:rsidR="00F86E73">
        <w:t>u</w:t>
      </w:r>
      <w:r w:rsidRPr="00D24CDE">
        <w:t>). Další přínosy národnímu hospodářství poplynou i po dokončení a uvedení stavby do užívání (dle</w:t>
      </w:r>
      <w:r w:rsidR="00F86E73">
        <w:t xml:space="preserve"> vypočteného vnitřního výnosového procenta projektu</w:t>
      </w:r>
      <w:r w:rsidRPr="00D24CDE">
        <w:t>)</w:t>
      </w:r>
      <w:r w:rsidR="00F86E73">
        <w:t xml:space="preserve">. </w:t>
      </w:r>
      <w:r w:rsidRPr="00D24CDE">
        <w:t>Podaří-li se zkrátit povolovací proces o jeden rok, očekáváme (na základě výpočtů a odhadů výše) roční přínosy 2,02 mld. Kč u silničních staveb a 1,66 mld. Kč u železničních staveb. U komerčních staveb tato hodnota činí 1,6 mld.</w:t>
      </w:r>
      <w:r w:rsidR="006F430A">
        <w:t xml:space="preserve"> Kč</w:t>
      </w:r>
      <w:r w:rsidRPr="00D24CDE">
        <w:t>, obdobné je to u developerské výstavby</w:t>
      </w:r>
      <w:r w:rsidR="0008069D">
        <w:t>.</w:t>
      </w:r>
      <w:r w:rsidRPr="00D24CDE">
        <w:t xml:space="preserve"> </w:t>
      </w:r>
      <w:r w:rsidR="0008069D">
        <w:t>C</w:t>
      </w:r>
      <w:r w:rsidRPr="00D24CDE">
        <w:t xml:space="preserve">elkem </w:t>
      </w:r>
      <w:r w:rsidR="00603082">
        <w:t>pak můžeme mluvit o </w:t>
      </w:r>
      <w:r w:rsidR="00DC3CD4">
        <w:t xml:space="preserve">konzervativních </w:t>
      </w:r>
      <w:r w:rsidRPr="00D24CDE">
        <w:t>6,88 mld. Kč</w:t>
      </w:r>
      <w:r w:rsidR="0008069D">
        <w:t xml:space="preserve"> za rok</w:t>
      </w:r>
      <w:r w:rsidRPr="00D24CDE">
        <w:t xml:space="preserve">. </w:t>
      </w:r>
    </w:p>
    <w:p w:rsidR="00D24CDE" w:rsidRPr="00D24CDE" w:rsidRDefault="00D24CDE" w:rsidP="003E4A5D">
      <w:pPr>
        <w:pStyle w:val="Normln-tun"/>
        <w:widowControl w:val="0"/>
      </w:pPr>
      <w:r w:rsidRPr="00D24CDE">
        <w:t xml:space="preserve">Oproti tomu mzdové a režijní náklady při variantě </w:t>
      </w:r>
      <w:r w:rsidR="0008069D">
        <w:t xml:space="preserve">přesunu příslušné části zaměstnanců odhadujeme </w:t>
      </w:r>
      <w:r w:rsidR="007866BE">
        <w:t>v řádech stovek miliónů Kč.</w:t>
      </w:r>
    </w:p>
    <w:p w:rsidR="00512C1E" w:rsidRPr="00F86E73" w:rsidRDefault="007866BE" w:rsidP="003E4A5D">
      <w:pPr>
        <w:pStyle w:val="Textkomente"/>
        <w:widowControl w:val="0"/>
        <w:rPr>
          <w:rFonts w:eastAsia="MS Mincho"/>
          <w:sz w:val="24"/>
          <w:szCs w:val="22"/>
        </w:rPr>
      </w:pPr>
      <w:r w:rsidRPr="00C74958">
        <w:rPr>
          <w:rFonts w:eastAsia="MS Mincho"/>
          <w:sz w:val="24"/>
          <w:szCs w:val="22"/>
        </w:rPr>
        <w:t>Lze tak konstatovat, že</w:t>
      </w:r>
      <w:r w:rsidR="00D24CDE" w:rsidRPr="00C74958">
        <w:rPr>
          <w:rFonts w:eastAsia="MS Mincho"/>
          <w:sz w:val="24"/>
          <w:szCs w:val="22"/>
        </w:rPr>
        <w:t xml:space="preserve"> </w:t>
      </w:r>
      <w:r w:rsidR="00F86E73">
        <w:rPr>
          <w:rFonts w:eastAsia="MS Mincho"/>
          <w:sz w:val="24"/>
          <w:szCs w:val="22"/>
        </w:rPr>
        <w:t xml:space="preserve">kvantifikovatelné </w:t>
      </w:r>
      <w:r w:rsidR="00D24CDE" w:rsidRPr="00C74958">
        <w:rPr>
          <w:rFonts w:eastAsia="MS Mincho"/>
          <w:sz w:val="24"/>
          <w:szCs w:val="22"/>
        </w:rPr>
        <w:t xml:space="preserve">přínosy návrhu </w:t>
      </w:r>
      <w:r w:rsidR="00804432">
        <w:rPr>
          <w:rFonts w:eastAsia="MS Mincho"/>
          <w:sz w:val="24"/>
          <w:szCs w:val="22"/>
        </w:rPr>
        <w:t xml:space="preserve">vždy </w:t>
      </w:r>
      <w:r w:rsidR="00D24CDE" w:rsidRPr="00C74958">
        <w:rPr>
          <w:rFonts w:eastAsia="MS Mincho"/>
          <w:sz w:val="24"/>
          <w:szCs w:val="22"/>
        </w:rPr>
        <w:t>výrazně převyšují náklady</w:t>
      </w:r>
      <w:r w:rsidR="00804432">
        <w:rPr>
          <w:rFonts w:eastAsia="MS Mincho"/>
          <w:sz w:val="24"/>
          <w:szCs w:val="22"/>
        </w:rPr>
        <w:t>, neboť k</w:t>
      </w:r>
      <w:r w:rsidR="00F86E73" w:rsidRPr="00F86E73">
        <w:rPr>
          <w:rFonts w:eastAsia="MS Mincho"/>
          <w:sz w:val="24"/>
          <w:szCs w:val="22"/>
        </w:rPr>
        <w:t xml:space="preserve"> těmto vyčíslitelným přínosům je třeba přičíst </w:t>
      </w:r>
      <w:r w:rsidR="00804432">
        <w:rPr>
          <w:rFonts w:eastAsia="MS Mincho"/>
          <w:sz w:val="24"/>
          <w:szCs w:val="22"/>
        </w:rPr>
        <w:t xml:space="preserve">i </w:t>
      </w:r>
      <w:r w:rsidR="00F86E73" w:rsidRPr="00F86E73">
        <w:rPr>
          <w:rFonts w:eastAsia="MS Mincho"/>
          <w:sz w:val="24"/>
          <w:szCs w:val="22"/>
        </w:rPr>
        <w:t>n</w:t>
      </w:r>
      <w:r w:rsidR="00512C1E" w:rsidRPr="00F86E73">
        <w:rPr>
          <w:rFonts w:eastAsia="MS Mincho"/>
          <w:sz w:val="24"/>
          <w:szCs w:val="22"/>
        </w:rPr>
        <w:t>ekvantifikova</w:t>
      </w:r>
      <w:r w:rsidR="00F86E73" w:rsidRPr="00F86E73">
        <w:rPr>
          <w:rFonts w:eastAsia="MS Mincho"/>
          <w:sz w:val="24"/>
          <w:szCs w:val="22"/>
        </w:rPr>
        <w:t>tel</w:t>
      </w:r>
      <w:r w:rsidR="00512C1E" w:rsidRPr="00F86E73">
        <w:rPr>
          <w:rFonts w:eastAsia="MS Mincho"/>
          <w:sz w:val="24"/>
          <w:szCs w:val="22"/>
        </w:rPr>
        <w:t>né přínosy:</w:t>
      </w:r>
    </w:p>
    <w:p w:rsidR="00F24B03" w:rsidRPr="00F86E73" w:rsidRDefault="00F24B03"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vyšší efektivita zaměstnanců státní správy (</w:t>
      </w:r>
      <w:r>
        <w:rPr>
          <w:rFonts w:eastAsia="MS Mincho"/>
        </w:rPr>
        <w:t xml:space="preserve">koncentrace činností, </w:t>
      </w:r>
      <w:r w:rsidRPr="00F86E73">
        <w:rPr>
          <w:rFonts w:eastAsia="MS Mincho"/>
        </w:rPr>
        <w:t>závazné lhůty)</w:t>
      </w:r>
    </w:p>
    <w:p w:rsidR="00F24B03" w:rsidRPr="00F86E73" w:rsidRDefault="00F24B03"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cesta k odstranění obav z přijmutí/vydání rozhodnutí, zahájení procesu dekriminaliz</w:t>
      </w:r>
      <w:r>
        <w:rPr>
          <w:rFonts w:eastAsia="MS Mincho"/>
        </w:rPr>
        <w:t>a</w:t>
      </w:r>
      <w:r w:rsidRPr="00F86E73">
        <w:rPr>
          <w:rFonts w:eastAsia="MS Mincho"/>
        </w:rPr>
        <w:t xml:space="preserve">ce </w:t>
      </w:r>
      <w:r w:rsidRPr="00F86E73">
        <w:rPr>
          <w:rFonts w:eastAsia="MS Mincho"/>
        </w:rPr>
        <w:lastRenderedPageBreak/>
        <w:t xml:space="preserve">přijatého/vydaného rozhodnutí (jasně daná pravidla, mantinely, </w:t>
      </w:r>
      <w:r>
        <w:rPr>
          <w:rFonts w:eastAsia="MS Mincho"/>
        </w:rPr>
        <w:t xml:space="preserve">nezávislost, odbornost, jednotné metodické řízení, </w:t>
      </w:r>
      <w:r w:rsidRPr="00F86E73">
        <w:rPr>
          <w:rFonts w:eastAsia="MS Mincho"/>
        </w:rPr>
        <w:t xml:space="preserve">profesionalita) </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vyšší transparentnost použití finančních prostředků státní správy (konkretizace účelovosti s menší možností zneužití pro jiný účel v rámci činnosti samospráv)</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aktivní a kvalifikovanější rozhodování s odpovědnostním do</w:t>
      </w:r>
      <w:r w:rsidR="00603082">
        <w:rPr>
          <w:rFonts w:eastAsia="MS Mincho"/>
        </w:rPr>
        <w:t>padem (zrychlení, neodkládání a </w:t>
      </w:r>
      <w:r w:rsidRPr="00F86E73">
        <w:rPr>
          <w:rFonts w:eastAsia="MS Mincho"/>
        </w:rPr>
        <w:t>nepřesouvání odpovědnosti ve stylu kdo nic nedělá, nic nezkazí, není odpovědný)</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 xml:space="preserve">další nezbytný krok v rámci digitalizace státní správy, která musí probíhat i bez případné souvislosti s procesem rekodifikace </w:t>
      </w:r>
      <w:r w:rsidR="00DC3CD4">
        <w:rPr>
          <w:rFonts w:eastAsia="MS Mincho"/>
        </w:rPr>
        <w:t xml:space="preserve">veřejného </w:t>
      </w:r>
      <w:r w:rsidRPr="00F86E73">
        <w:rPr>
          <w:rFonts w:eastAsia="MS Mincho"/>
        </w:rPr>
        <w:t xml:space="preserve">stavebního </w:t>
      </w:r>
      <w:r w:rsidR="00DC3CD4">
        <w:rPr>
          <w:rFonts w:eastAsia="MS Mincho"/>
        </w:rPr>
        <w:t>práva</w:t>
      </w:r>
      <w:r w:rsidRPr="00F86E73">
        <w:rPr>
          <w:rFonts w:eastAsia="MS Mincho"/>
        </w:rPr>
        <w:t xml:space="preserve"> (cesta k nápravě snížení zaostávání za „světem“, dohnání skluzu)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snížení byrokracie, zvýšení srozumitelnosti, přehlednosti</w:t>
      </w:r>
      <w:r w:rsidR="00603082">
        <w:rPr>
          <w:rFonts w:eastAsia="MS Mincho"/>
        </w:rPr>
        <w:t xml:space="preserve"> procesu a jistoty pro občany i </w:t>
      </w:r>
      <w:r w:rsidRPr="00F86E73">
        <w:rPr>
          <w:rFonts w:eastAsia="MS Mincho"/>
        </w:rPr>
        <w:t>ostatní účastníky řízení</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snížení vynucených nákladů občanů na zajištění jejich právní ochrany a násobné potřeby využití externích odborných subjektů</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usnadnění přístupu k informacím v jednotné srozumitelné neměnné podobě vč. přístupu k datovému archivu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vytvoření jednotného systému územního plánování (vč. mapového) provázaného z centrální úrovně až na úroveň jednotlivých obcí se zajištění ochrany zájmů státu i dotčených osob (jednoznačné vymezení využití území pro strategické záměry státu i zájmy jednotlivců s ohledem na jejich výsostná vlastnická práva)</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významný makroekonomický prorůstový faktor s pozitivním dopadem do příjmů státního rozpočtu (výběr daní, násobné otočení „DPH“…) a tak</w:t>
      </w:r>
      <w:r w:rsidR="00603082">
        <w:rPr>
          <w:rFonts w:eastAsia="MS Mincho"/>
        </w:rPr>
        <w:t>é umožňující vyšší efektivitu a </w:t>
      </w:r>
      <w:r w:rsidRPr="00F86E73">
        <w:rPr>
          <w:rFonts w:eastAsia="MS Mincho"/>
        </w:rPr>
        <w:t>kontrolu čerpání dotací, a to i ze zdrojů EU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zvýšení ochoty investorů uvolnit investiční prostředky na realizaci projektů na území ČR a to jak tuzemských, tak zahraničních (vytvoření příznivého a stabilního podnikatelského klimatu)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 xml:space="preserve">usnadnění rozvoje státem preferovaných lokalit a cesty k zajištění zejména strategických záměrů státu za pevně daných podmínek i pro dotčené vlastníky   </w:t>
      </w:r>
    </w:p>
    <w:p w:rsidR="00EE4C03" w:rsidRPr="008712FB"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zjednodušení a zkrácení soudních řízení</w:t>
      </w:r>
      <w:r w:rsidR="00F86E73" w:rsidRPr="00F86E73">
        <w:rPr>
          <w:rFonts w:eastAsia="MS Mincho"/>
        </w:rPr>
        <w:t>.</w:t>
      </w:r>
    </w:p>
    <w:p w:rsidR="002D3B15" w:rsidRDefault="002D3B15" w:rsidP="003E4A5D">
      <w:pPr>
        <w:pStyle w:val="Nadpis1"/>
        <w:numPr>
          <w:ilvl w:val="0"/>
          <w:numId w:val="16"/>
        </w:numPr>
        <w:rPr>
          <w:rFonts w:eastAsia="Calibri"/>
        </w:rPr>
      </w:pPr>
      <w:bookmarkStart w:id="91" w:name="_Toc536553941"/>
      <w:bookmarkEnd w:id="82"/>
      <w:r w:rsidRPr="00F23969">
        <w:rPr>
          <w:rFonts w:eastAsia="Calibri"/>
        </w:rPr>
        <w:t>Implementace doporučené varianty a vynucování</w:t>
      </w:r>
      <w:bookmarkEnd w:id="91"/>
      <w:r w:rsidRPr="00F23969">
        <w:rPr>
          <w:rFonts w:eastAsia="Calibri"/>
        </w:rPr>
        <w:t xml:space="preserve"> </w:t>
      </w:r>
    </w:p>
    <w:p w:rsidR="00077AFF" w:rsidRDefault="00B71978" w:rsidP="003E4A5D">
      <w:pPr>
        <w:pStyle w:val="Normln-tun"/>
        <w:widowControl w:val="0"/>
      </w:pPr>
      <w:r>
        <w:t xml:space="preserve">Při implementaci se počítá se stanovením přechodných období tak, aby byla </w:t>
      </w:r>
      <w:r w:rsidR="00686D84">
        <w:t>například</w:t>
      </w:r>
      <w:r>
        <w:t xml:space="preserve"> zajištěna hladká transformace SÚ a výkon agendy nebyl ohrožen. </w:t>
      </w:r>
    </w:p>
    <w:p w:rsidR="00C75964" w:rsidRDefault="00AC3193" w:rsidP="003E4A5D">
      <w:pPr>
        <w:pStyle w:val="Normln-tun"/>
        <w:widowControl w:val="0"/>
      </w:pPr>
      <w:r>
        <w:t>V závislosti na vybrané variantě p</w:t>
      </w:r>
      <w:r w:rsidR="00C75964">
        <w:t xml:space="preserve">ro celostátní závazný nástroj územního plánování a pro územní plány krajů je navrhováno stanovit lhůtu, v jejímž rámci mají být </w:t>
      </w:r>
      <w:r w:rsidR="006F430A">
        <w:t xml:space="preserve">územní plány </w:t>
      </w:r>
      <w:r w:rsidR="00C75964">
        <w:t xml:space="preserve">transformovány do formy odpovídající nové právní úpravě. Do doby přijetí této nové státní a krajské dokumentace zůstane stávající </w:t>
      </w:r>
      <w:r>
        <w:t>PÚR</w:t>
      </w:r>
      <w:r w:rsidR="00C75964">
        <w:t xml:space="preserve"> (případně územní rozvojový plán, bude-li již přijat) a ÚPD platná a závazná podle stávající právní úpravy. Transformace, která neznamená změnu věcného řešení, nebude předmětem vyhodnocení vlivů na udržitelný rozvoj území, nového projednání ani nebude nově přezkoumatelná podle správního řádu nebo soudního řádu správního.</w:t>
      </w:r>
    </w:p>
    <w:p w:rsidR="00C75964" w:rsidRDefault="00C75964" w:rsidP="003E4A5D">
      <w:pPr>
        <w:pStyle w:val="Normln-tun"/>
        <w:widowControl w:val="0"/>
      </w:pPr>
      <w:r>
        <w:t xml:space="preserve">Pokud bude u </w:t>
      </w:r>
      <w:r w:rsidR="00AC3193">
        <w:t>ÚP</w:t>
      </w:r>
      <w:r>
        <w:t xml:space="preserve"> kraje přijata změna právní formy na </w:t>
      </w:r>
      <w:r w:rsidR="00AC3193">
        <w:t>OZV</w:t>
      </w:r>
      <w:r>
        <w:t xml:space="preserve">, dojde nabytím účinnosti nového zákona ex lege ke změně právní formy z </w:t>
      </w:r>
      <w:r w:rsidR="00AC3193">
        <w:t>OOP</w:t>
      </w:r>
      <w:r>
        <w:t xml:space="preserve"> na </w:t>
      </w:r>
      <w:r w:rsidR="00AC3193">
        <w:t>OZV</w:t>
      </w:r>
      <w:r>
        <w:t xml:space="preserve"> kraje. </w:t>
      </w:r>
    </w:p>
    <w:p w:rsidR="00C75964" w:rsidRDefault="00C75964" w:rsidP="003E4A5D">
      <w:pPr>
        <w:pStyle w:val="Normln-tun"/>
        <w:widowControl w:val="0"/>
      </w:pPr>
      <w:r>
        <w:t>Pro územní a regulační plány obcí se nenavrhuje stanovit lhů</w:t>
      </w:r>
      <w:r w:rsidR="00603082">
        <w:t>tu pro provedení jejich úprav v </w:t>
      </w:r>
      <w:r>
        <w:t xml:space="preserve">souladu s novou právní úpravou. Obce nebudou mít obecnou povinnost přijmout ÚPD v nově upravené podobě. Stávající obecní ÚPD zůstane po nabytí účinnosti zákona platná a závazná. Úprava, která nebude znamenat změnu věcného řešení, nebude předmětem vyhodnocení vlivů na udržitelný rozvoj území, nového projednání ani nebude nově přezkoumatelná podle správního řádu nebo soudního řádu správního. </w:t>
      </w:r>
    </w:p>
    <w:p w:rsidR="00C75964" w:rsidRDefault="00C75964" w:rsidP="003E4A5D">
      <w:pPr>
        <w:pStyle w:val="Normln-tun"/>
        <w:widowControl w:val="0"/>
      </w:pPr>
      <w:r>
        <w:lastRenderedPageBreak/>
        <w:t>Rozsah navrhovaných změn v obsahových náležitostech a</w:t>
      </w:r>
      <w:r w:rsidR="00603082">
        <w:t xml:space="preserve"> podobě ÚPD je značně omezený a </w:t>
      </w:r>
      <w:r>
        <w:t xml:space="preserve">nebude vyžadovat přílišné zásahy do stávající podoby ÚPD. Proto </w:t>
      </w:r>
      <w:r w:rsidR="00AC3193">
        <w:t>bude zvážena možnost</w:t>
      </w:r>
      <w:r>
        <w:t>, aby vznikla povinnost obce upravit stávající ÚPD do souladu s novou právní úpravou při první změně ÚPD, kterou se vymezuje nová zastavitelná plocha. Zákon stanoví, že části ÚPD, které se budou i do úplně nové ÚPD přebírat beze změny, bude</w:t>
      </w:r>
      <w:r w:rsidR="00603082">
        <w:t xml:space="preserve"> možné vyloučit ze společného i </w:t>
      </w:r>
      <w:r>
        <w:t>veřejného projednání. Shodu přebíraných částí potvrdí svým stanoviskem pořizovatel</w:t>
      </w:r>
      <w:r w:rsidR="00E615E1" w:rsidRPr="00E615E1">
        <w:t xml:space="preserve"> </w:t>
      </w:r>
      <w:r w:rsidR="00E615E1">
        <w:t>(</w:t>
      </w:r>
      <w:r w:rsidR="00E615E1" w:rsidRPr="00E615E1">
        <w:t xml:space="preserve">pořizovatelem </w:t>
      </w:r>
      <w:r w:rsidR="002D1C84">
        <w:t>ÚP</w:t>
      </w:r>
      <w:r w:rsidR="00E615E1" w:rsidRPr="00E615E1">
        <w:t xml:space="preserve"> kraje bude krajský stavební úřad, stejně jako v případě </w:t>
      </w:r>
      <w:r w:rsidR="002D1C84">
        <w:t>ÚPD</w:t>
      </w:r>
      <w:r w:rsidR="00E615E1" w:rsidRPr="00E615E1">
        <w:t xml:space="preserve"> obcí, kde bude tato agenda zajišťována </w:t>
      </w:r>
      <w:r w:rsidR="000D021D">
        <w:t>územními</w:t>
      </w:r>
      <w:r w:rsidR="00E615E1" w:rsidRPr="00E615E1">
        <w:t xml:space="preserve"> pracovišti příslušných krajských stavebních úřadů</w:t>
      </w:r>
      <w:r w:rsidR="00E615E1">
        <w:t xml:space="preserve">; </w:t>
      </w:r>
      <w:r w:rsidR="00E615E1" w:rsidRPr="00E615E1">
        <w:t xml:space="preserve">pořizovatelem celostátní dokumentace bude </w:t>
      </w:r>
      <w:r w:rsidR="002D1C84">
        <w:t>NSÚ</w:t>
      </w:r>
      <w:r w:rsidR="00E615E1">
        <w:t>).</w:t>
      </w:r>
    </w:p>
    <w:p w:rsidR="00A3474F" w:rsidRDefault="00C75964" w:rsidP="003E4A5D">
      <w:pPr>
        <w:pStyle w:val="Normln-tun"/>
        <w:widowControl w:val="0"/>
      </w:pPr>
      <w:r>
        <w:t xml:space="preserve">Obce, které v souladu se stávající právní úpravou nemají </w:t>
      </w:r>
      <w:r w:rsidR="002D1C84">
        <w:t>ÚP</w:t>
      </w:r>
      <w:r>
        <w:t xml:space="preserve">, nebudou muset mít </w:t>
      </w:r>
      <w:r w:rsidR="002D1C84">
        <w:t>ÚP</w:t>
      </w:r>
      <w:r>
        <w:t xml:space="preserve"> ani podle nové právní úpravy</w:t>
      </w:r>
      <w:r w:rsidR="002D1C84">
        <w:t>, ale jejich rozvoj bude omezen</w:t>
      </w:r>
      <w:r>
        <w:t xml:space="preserve">. </w:t>
      </w:r>
      <w:r w:rsidR="002D1C84">
        <w:t>Obce</w:t>
      </w:r>
      <w:r>
        <w:t xml:space="preserve"> </w:t>
      </w:r>
      <w:r w:rsidR="002D1C84">
        <w:t xml:space="preserve">bez ÚP </w:t>
      </w:r>
      <w:r>
        <w:t xml:space="preserve">budou moci přijmout </w:t>
      </w:r>
      <w:r w:rsidR="002D1C84">
        <w:t>RP</w:t>
      </w:r>
      <w:r>
        <w:t>.</w:t>
      </w:r>
    </w:p>
    <w:p w:rsidR="002D3B15" w:rsidRPr="00F23969" w:rsidRDefault="002D3B15" w:rsidP="003E4A5D">
      <w:pPr>
        <w:pStyle w:val="Nadpis2"/>
        <w:keepNext w:val="0"/>
        <w:widowControl w:val="0"/>
        <w:rPr>
          <w:rFonts w:eastAsia="Calibri"/>
        </w:rPr>
      </w:pPr>
      <w:bookmarkStart w:id="92" w:name="_Toc536553942"/>
      <w:r w:rsidRPr="00F23969">
        <w:rPr>
          <w:rFonts w:eastAsia="Calibri"/>
        </w:rPr>
        <w:t>Vynucování</w:t>
      </w:r>
      <w:bookmarkEnd w:id="92"/>
      <w:r w:rsidRPr="00F23969">
        <w:rPr>
          <w:rFonts w:eastAsia="Calibri"/>
        </w:rPr>
        <w:t xml:space="preserve"> </w:t>
      </w:r>
    </w:p>
    <w:p w:rsidR="00B71978" w:rsidRDefault="00B71978" w:rsidP="003E4A5D">
      <w:pPr>
        <w:pStyle w:val="Normln-tun"/>
        <w:widowControl w:val="0"/>
      </w:pPr>
      <w:r>
        <w:t xml:space="preserve">V procesním (instančním) smyslu bude řízení v prvním stupni zajišťovat příslušné </w:t>
      </w:r>
      <w:r w:rsidR="000D021D">
        <w:t>územní</w:t>
      </w:r>
      <w:r>
        <w:t xml:space="preserve"> pracoviště krajského stavebního úřadu. O opravných prostředcích ve druhém stupni bude rozhodovat tentýž krajský stavební úřad (z krajského „ústředí“). </w:t>
      </w:r>
    </w:p>
    <w:p w:rsidR="00D0045D" w:rsidRDefault="00D0045D" w:rsidP="003E4A5D">
      <w:pPr>
        <w:pStyle w:val="Normln-tun"/>
        <w:widowControl w:val="0"/>
      </w:pPr>
    </w:p>
    <w:p w:rsidR="006303AC" w:rsidRPr="00C041E0" w:rsidRDefault="006303AC" w:rsidP="003E4A5D">
      <w:pPr>
        <w:pStyle w:val="Normln-tun"/>
        <w:widowControl w:val="0"/>
      </w:pPr>
      <w:r>
        <w:t xml:space="preserve">Důležitým vynucovacím prostředkem, který navrhovaná úprava obsahuje, je </w:t>
      </w:r>
      <w:r w:rsidRPr="006303AC">
        <w:t>stanovení závazných lhůt pro vydání rozhodnutí s jasnými důsledky jejich nedodržení</w:t>
      </w:r>
      <w:r w:rsidRPr="00C041E0">
        <w:t>.</w:t>
      </w:r>
      <w:r>
        <w:t xml:space="preserve"> </w:t>
      </w:r>
      <w:bookmarkStart w:id="93" w:name="_Hlk533192802"/>
      <w:r w:rsidRPr="006303AC">
        <w:t>Pro vydání rozhodnutí o povolení stavby</w:t>
      </w:r>
      <w:r w:rsidRPr="00C041E0">
        <w:t xml:space="preserve"> (pro meritorní rozhodnutí) bude stanovena novým stavebním zákonem </w:t>
      </w:r>
      <w:r w:rsidRPr="006303AC">
        <w:t>přiměřená závazná lhůta</w:t>
      </w:r>
      <w:r w:rsidRPr="00C041E0">
        <w:t xml:space="preserve"> </w:t>
      </w:r>
      <w:r>
        <w:t>(</w:t>
      </w:r>
      <w:r w:rsidRPr="00C041E0">
        <w:t xml:space="preserve">v trvání například </w:t>
      </w:r>
      <w:r w:rsidRPr="00F31B13">
        <w:t>45 dnů</w:t>
      </w:r>
      <w:r>
        <w:t>).</w:t>
      </w:r>
      <w:r w:rsidRPr="00C041E0">
        <w:t xml:space="preserve"> </w:t>
      </w:r>
      <w:r>
        <w:t>K</w:t>
      </w:r>
      <w:r w:rsidRPr="00C041E0">
        <w:t xml:space="preserve">onkrétní délka této </w:t>
      </w:r>
      <w:r>
        <w:t xml:space="preserve">závazné </w:t>
      </w:r>
      <w:r w:rsidRPr="00C041E0">
        <w:t xml:space="preserve">lhůty bude v novém stavebním zákoně </w:t>
      </w:r>
      <w:r>
        <w:t>vymezena</w:t>
      </w:r>
      <w:r w:rsidRPr="00C041E0">
        <w:t xml:space="preserve"> tak, aby reálně odpovídala procesním postupům stavebních úřadů a</w:t>
      </w:r>
      <w:r>
        <w:t> </w:t>
      </w:r>
      <w:r w:rsidRPr="00C041E0">
        <w:t>úpravě doručování.</w:t>
      </w:r>
      <w:r>
        <w:t xml:space="preserve"> </w:t>
      </w:r>
      <w:r w:rsidRPr="006303AC">
        <w:t>Závazná lhůta</w:t>
      </w:r>
      <w:r w:rsidRPr="00C041E0">
        <w:t xml:space="preserve"> bude stanovena nejen pro</w:t>
      </w:r>
      <w:r>
        <w:t> </w:t>
      </w:r>
      <w:r w:rsidRPr="006303AC">
        <w:t>prvostupňové řízení</w:t>
      </w:r>
      <w:r w:rsidRPr="00C041E0">
        <w:t xml:space="preserve">, </w:t>
      </w:r>
      <w:r w:rsidRPr="00F15A08">
        <w:t>ale</w:t>
      </w:r>
      <w:r w:rsidRPr="006303AC">
        <w:t xml:space="preserve"> i pro řízení odvolací</w:t>
      </w:r>
      <w:r w:rsidRPr="00C041E0">
        <w:t xml:space="preserve">, ve kterém bude odvolací orgán povinen také rozhodnout v závazné lhůtě. </w:t>
      </w:r>
    </w:p>
    <w:p w:rsidR="006303AC" w:rsidRDefault="006303AC" w:rsidP="003E4A5D">
      <w:pPr>
        <w:pStyle w:val="Normln-tun"/>
        <w:widowControl w:val="0"/>
      </w:pPr>
      <w:r>
        <w:t xml:space="preserve">Co se týče prvostupňové lhůty, je navrhováno, aby v případě, že </w:t>
      </w:r>
      <w:r w:rsidRPr="00C041E0">
        <w:t>stavební úřad v</w:t>
      </w:r>
      <w:r>
        <w:t> </w:t>
      </w:r>
      <w:r w:rsidRPr="00C041E0">
        <w:t xml:space="preserve">závazné lhůtě </w:t>
      </w:r>
      <w:r>
        <w:t xml:space="preserve">meritorně </w:t>
      </w:r>
      <w:r w:rsidRPr="00C041E0">
        <w:t>nerozhodne</w:t>
      </w:r>
      <w:r>
        <w:t xml:space="preserve"> (nevydá rozhodnutí o povolení stavby, nebo žádost nezamítne)</w:t>
      </w:r>
      <w:r w:rsidRPr="00C041E0">
        <w:t xml:space="preserve">, případně </w:t>
      </w:r>
      <w:r w:rsidRPr="002935D4">
        <w:t>řízení nepřeruší z důvodu formálních nedostatků žádosti/věcných nedostatků návrhu stavby, informační systém automaticky vygener</w:t>
      </w:r>
      <w:r w:rsidR="00A061DC" w:rsidRPr="002935D4">
        <w:t>oval</w:t>
      </w:r>
      <w:r w:rsidRPr="002935D4">
        <w:t xml:space="preserve"> rozhodnutí o povolení stavby.</w:t>
      </w:r>
      <w:r w:rsidRPr="00D50717">
        <w:t xml:space="preserve"> </w:t>
      </w:r>
      <w:bookmarkEnd w:id="93"/>
      <w:r w:rsidRPr="006303AC">
        <w:t>Základní náležitosti</w:t>
      </w:r>
      <w:r w:rsidRPr="00C041E0">
        <w:t xml:space="preserve"> pro rozhodnutí o</w:t>
      </w:r>
      <w:r>
        <w:t> </w:t>
      </w:r>
      <w:r w:rsidRPr="00C041E0">
        <w:t xml:space="preserve">povolení stavby (identifikace stavebníka, specifikace stavby, identifikace </w:t>
      </w:r>
      <w:r w:rsidRPr="002935D4">
        <w:t>DPS</w:t>
      </w:r>
      <w:r w:rsidRPr="00C041E0">
        <w:t xml:space="preserve"> atd.) by byly automaticky převzaty </w:t>
      </w:r>
      <w:r>
        <w:t xml:space="preserve">informačním systémem </w:t>
      </w:r>
      <w:r w:rsidRPr="00C041E0">
        <w:t>z informací uvedených žadatelem v žádosti o</w:t>
      </w:r>
      <w:r>
        <w:t> </w:t>
      </w:r>
      <w:r w:rsidRPr="00C041E0">
        <w:t>povolení stavby.</w:t>
      </w:r>
      <w:r w:rsidRPr="00B46A66">
        <w:t xml:space="preserve"> </w:t>
      </w:r>
      <w:r>
        <w:t>Stejně tak i </w:t>
      </w:r>
      <w:r w:rsidRPr="006303AC">
        <w:t>obecné podmínky pro provádění stavby</w:t>
      </w:r>
      <w:r>
        <w:t>, které musí být dodrženy vždy u každé prováděné stavby (</w:t>
      </w:r>
      <w:r w:rsidR="00686D84">
        <w:t>například</w:t>
      </w:r>
      <w:r>
        <w:t xml:space="preserve"> povinnost oznámit stavebnímu úřadu zahájení stavby, vyhotovit dokumentaci pro provádění stavby atd.), </w:t>
      </w:r>
      <w:r w:rsidRPr="002935D4">
        <w:t xml:space="preserve">budou v rozhodnutí o povolení stavby rovněž vygenerovány automaticky informačním systémem, který </w:t>
      </w:r>
      <w:r w:rsidR="00603082" w:rsidRPr="002935D4">
        <w:t>je převezme ze své databáze, do </w:t>
      </w:r>
      <w:r w:rsidRPr="002935D4">
        <w:t>níž budou vloženy při jejím zřizování.</w:t>
      </w:r>
      <w:r w:rsidR="00A061DC" w:rsidRPr="002935D4">
        <w:t xml:space="preserve"> </w:t>
      </w:r>
      <w:r w:rsidRPr="002935D4">
        <w:t>Takto automaticky vygenerované rozhodnutí o povolení stavby bude individuálně doručováno všem účastníkům řízení o povolení stavby. Proti rozhodnutí o povolení stavby bude možné podat odvolání, přičemž v odvolacím řízení bude odvolací orgán povinen rozhodnout také v závazné lhůtě.</w:t>
      </w:r>
      <w:r w:rsidRPr="00C041E0">
        <w:t xml:space="preserve"> </w:t>
      </w:r>
    </w:p>
    <w:p w:rsidR="006303AC" w:rsidRPr="00C041E0" w:rsidRDefault="006303AC" w:rsidP="003E4A5D">
      <w:pPr>
        <w:pStyle w:val="Normln-tun"/>
        <w:widowControl w:val="0"/>
      </w:pPr>
      <w:r>
        <w:t xml:space="preserve">V případě </w:t>
      </w:r>
      <w:r w:rsidRPr="006303AC">
        <w:t>přerušení řízení</w:t>
      </w:r>
      <w:r>
        <w:t xml:space="preserve"> stavebním úřadem </w:t>
      </w:r>
      <w:r w:rsidRPr="00C041E0">
        <w:t>z důvodu formálních nedostatků žádosti/věcných nedostatků návrhu stavby</w:t>
      </w:r>
      <w:r>
        <w:t xml:space="preserve"> se</w:t>
      </w:r>
      <w:r w:rsidRPr="006303AC">
        <w:t xml:space="preserve"> závazná lhůta</w:t>
      </w:r>
      <w:r>
        <w:t xml:space="preserve"> pro vydání rozhodnutí o povolení stavby </w:t>
      </w:r>
      <w:r w:rsidRPr="006303AC">
        <w:t>přerušuje</w:t>
      </w:r>
      <w:r>
        <w:t xml:space="preserve"> a </w:t>
      </w:r>
      <w:r w:rsidRPr="006303AC">
        <w:t>počne běžet znovu</w:t>
      </w:r>
      <w:r>
        <w:t xml:space="preserve"> od doplnění žádosti žadatelem dle výzvy stavebního úřadu. Nový stavební zákon bude obsahovat další speciální důvody pro přerušení řízení, se kterými bude spojeno </w:t>
      </w:r>
      <w:r w:rsidRPr="006303AC">
        <w:t>přerušení/stavění běhu závazné lhůty</w:t>
      </w:r>
      <w:r>
        <w:t xml:space="preserve"> pro vydání rozhodnutí o povolení stavby. </w:t>
      </w:r>
    </w:p>
    <w:p w:rsidR="006303AC" w:rsidRPr="00400FB1" w:rsidRDefault="00A061DC" w:rsidP="003E4A5D">
      <w:pPr>
        <w:pStyle w:val="Normln-tun"/>
        <w:widowControl w:val="0"/>
      </w:pPr>
      <w:r>
        <w:t>Aby nedošlo k</w:t>
      </w:r>
      <w:r w:rsidR="006303AC">
        <w:t xml:space="preserve"> zahlcení odvolacích orgánů ani soudů</w:t>
      </w:r>
      <w:r>
        <w:t>, a</w:t>
      </w:r>
      <w:r w:rsidR="006303AC">
        <w:t xml:space="preserve">utomatické vygenerování rozhodnutí o povolení stavby bude nová právní úprava připouštět jenom ve vymezených případech (nebyly podány námitky a stavbou nebudou dotčeny veřejné zájmy). Ve všech ostatních případech půjde o postup stavebního úřadu v rozporu se zákonem, jelikož je stavební úřad nečinný a dopustí automatické vygenerování rozhodnutí o povolení stavby, aniž by proto byly splněny zákonné </w:t>
      </w:r>
      <w:r w:rsidR="006303AC">
        <w:lastRenderedPageBreak/>
        <w:t>podmínky. Kvůli odpovědnosti stavebního úřadu za takové nezákonné rozhodnutí a kvůli možnému vyvození kárné odpovědnosti úředních osob bude v zájmu stavebních úřadů, aby postupovaly v souladu se zákonem a rozhodovaly v zákonných lhůtách.</w:t>
      </w:r>
      <w:r>
        <w:t xml:space="preserve"> I z tohoto důvodu neočekáváme výrazné negativní dopady, které by mohl tento nástroj přinést. </w:t>
      </w:r>
    </w:p>
    <w:p w:rsidR="006303AC" w:rsidRDefault="00A061DC" w:rsidP="003E4A5D">
      <w:pPr>
        <w:pStyle w:val="Normln-tun"/>
        <w:widowControl w:val="0"/>
      </w:pPr>
      <w:r w:rsidRPr="00C041E0">
        <w:t xml:space="preserve">Závazné lhůty pro </w:t>
      </w:r>
      <w:r>
        <w:t xml:space="preserve">učinění </w:t>
      </w:r>
      <w:r w:rsidRPr="00C041E0">
        <w:t>vyjádření</w:t>
      </w:r>
      <w:r w:rsidRPr="006303AC">
        <w:t xml:space="preserve"> </w:t>
      </w:r>
      <w:r w:rsidRPr="00F31B13">
        <w:t>se</w:t>
      </w:r>
      <w:r w:rsidRPr="006303AC">
        <w:t xml:space="preserve"> </w:t>
      </w:r>
      <w:r w:rsidRPr="00C041E0">
        <w:t xml:space="preserve">budou </w:t>
      </w:r>
      <w:r>
        <w:t>vztahovat</w:t>
      </w:r>
      <w:r w:rsidRPr="006303AC">
        <w:t xml:space="preserve"> </w:t>
      </w:r>
      <w:r w:rsidRPr="00C041E0">
        <w:t>i</w:t>
      </w:r>
      <w:r>
        <w:t> </w:t>
      </w:r>
      <w:r w:rsidRPr="00C041E0">
        <w:t>na</w:t>
      </w:r>
      <w:r w:rsidRPr="006303AC">
        <w:t xml:space="preserve"> </w:t>
      </w:r>
      <w:r w:rsidR="003C5643">
        <w:t>DO</w:t>
      </w:r>
      <w:r>
        <w:t>, které nebudou integrovány do nové</w:t>
      </w:r>
      <w:r w:rsidRPr="00C041E0">
        <w:t xml:space="preserve"> soustavy stavební správy</w:t>
      </w:r>
      <w:r w:rsidRPr="00BC219A">
        <w:t>.</w:t>
      </w:r>
      <w:r w:rsidRPr="00C041E0">
        <w:t xml:space="preserve"> V případě jejich nesplnění a</w:t>
      </w:r>
      <w:r>
        <w:t> </w:t>
      </w:r>
      <w:r w:rsidRPr="00C041E0">
        <w:t xml:space="preserve">nevyjádření se </w:t>
      </w:r>
      <w:r w:rsidRPr="006303AC">
        <w:t xml:space="preserve">bude platit, že je stanovisko </w:t>
      </w:r>
      <w:r w:rsidR="003C5643">
        <w:t>DO</w:t>
      </w:r>
      <w:r w:rsidRPr="006303AC">
        <w:t xml:space="preserve"> souhlasné</w:t>
      </w:r>
      <w:r w:rsidR="00D579FC">
        <w:t>.</w:t>
      </w:r>
      <w:r w:rsidR="00D0045D">
        <w:t>.</w:t>
      </w:r>
    </w:p>
    <w:p w:rsidR="002D3B15" w:rsidRPr="00F23969" w:rsidRDefault="002D3B15" w:rsidP="003E4A5D">
      <w:pPr>
        <w:pStyle w:val="Nadpis1"/>
        <w:rPr>
          <w:rFonts w:eastAsia="Calibri"/>
        </w:rPr>
      </w:pPr>
      <w:bookmarkStart w:id="94" w:name="_Toc536553943"/>
      <w:r w:rsidRPr="00F23969">
        <w:rPr>
          <w:rFonts w:eastAsia="Calibri"/>
        </w:rPr>
        <w:t>Přezkum účinnosti regulace</w:t>
      </w:r>
      <w:bookmarkEnd w:id="94"/>
      <w:r w:rsidRPr="00F23969">
        <w:rPr>
          <w:rFonts w:eastAsia="Calibri"/>
        </w:rPr>
        <w:t xml:space="preserve"> </w:t>
      </w:r>
    </w:p>
    <w:p w:rsidR="00D00D88" w:rsidRPr="00416CE5" w:rsidRDefault="00D00D88" w:rsidP="000066CE">
      <w:pPr>
        <w:widowControl w:val="0"/>
        <w:spacing w:before="100" w:after="100"/>
      </w:pPr>
      <w:r w:rsidRPr="00416CE5">
        <w:t xml:space="preserve">Jako perioda přiměřená pro přezkum účinnosti implementovaných opatření a pro zhodnocení pokroku při dosahování cílů novelizace se doporučuje doba 3 let. Tato perioda je dostatečně dlouhá pro shromáždění dostatečného objemu dat relevantních pro přezkum účinnosti a podnětů od dotčených subjektů a zároveň dostatečně krátká tak, aby nedošlo k přehlcení velkým objemem podnětů a navrhovaných změn. </w:t>
      </w:r>
    </w:p>
    <w:p w:rsidR="00D00D88" w:rsidRPr="00416CE5" w:rsidRDefault="00D00D88" w:rsidP="000066CE">
      <w:pPr>
        <w:widowControl w:val="0"/>
        <w:spacing w:before="100" w:after="100"/>
      </w:pPr>
      <w:r w:rsidRPr="00416CE5">
        <w:t xml:space="preserve">Pro přezkum účinnosti dopadu je doporučena především oblast délky přípravné fáze výstavby staveb. </w:t>
      </w:r>
      <w:r w:rsidR="00D0045D" w:rsidRPr="00D0045D">
        <w:t xml:space="preserve"> </w:t>
      </w:r>
      <w:r w:rsidR="00D0045D">
        <w:t>D</w:t>
      </w:r>
      <w:r w:rsidR="00D0045D" w:rsidRPr="00416CE5">
        <w:t xml:space="preserve">oporučuje </w:t>
      </w:r>
      <w:r w:rsidR="00D0045D">
        <w:t>se</w:t>
      </w:r>
      <w:r w:rsidR="00D579FC">
        <w:t xml:space="preserve"> </w:t>
      </w:r>
      <w:r w:rsidRPr="00416CE5">
        <w:t>sledovat následující ukazatele:</w:t>
      </w:r>
    </w:p>
    <w:p w:rsidR="00D00D88" w:rsidRPr="00416CE5" w:rsidRDefault="00D00D88" w:rsidP="000066CE">
      <w:pPr>
        <w:pStyle w:val="Odstavecseseznamem"/>
        <w:widowControl w:val="0"/>
        <w:numPr>
          <w:ilvl w:val="0"/>
          <w:numId w:val="50"/>
        </w:numPr>
        <w:spacing w:before="100" w:after="100"/>
      </w:pPr>
      <w:r w:rsidRPr="00416CE5">
        <w:t>délku integrovaného povolovacího řízení (na základě dat o podání žádosti a vydání rozhodnutí);</w:t>
      </w:r>
    </w:p>
    <w:p w:rsidR="00D00D88" w:rsidRPr="00416CE5" w:rsidRDefault="00D00D88" w:rsidP="000066CE">
      <w:pPr>
        <w:pStyle w:val="Odstavecseseznamem"/>
        <w:widowControl w:val="0"/>
        <w:numPr>
          <w:ilvl w:val="0"/>
          <w:numId w:val="50"/>
        </w:numPr>
        <w:spacing w:before="100" w:after="100"/>
      </w:pPr>
      <w:r w:rsidRPr="00416CE5">
        <w:t>počet úspěšných odvolání a délku odvolacího řízení v případě zachování této možnosti ochrany před správním rozhodnutím;</w:t>
      </w:r>
    </w:p>
    <w:p w:rsidR="00D00D88" w:rsidRPr="00416CE5" w:rsidRDefault="00D00D88" w:rsidP="000066CE">
      <w:pPr>
        <w:pStyle w:val="Odstavecseseznamem"/>
        <w:widowControl w:val="0"/>
        <w:numPr>
          <w:ilvl w:val="0"/>
          <w:numId w:val="50"/>
        </w:numPr>
        <w:spacing w:before="100" w:after="100"/>
      </w:pPr>
      <w:r w:rsidRPr="00416CE5">
        <w:t>délku soudních řízení;</w:t>
      </w:r>
    </w:p>
    <w:p w:rsidR="00D00D88" w:rsidRPr="00416CE5" w:rsidRDefault="00D00D88" w:rsidP="000066CE">
      <w:pPr>
        <w:pStyle w:val="Odstavecseseznamem"/>
        <w:widowControl w:val="0"/>
        <w:numPr>
          <w:ilvl w:val="0"/>
          <w:numId w:val="50"/>
        </w:numPr>
        <w:spacing w:before="100" w:after="100"/>
      </w:pPr>
      <w:r w:rsidRPr="00416CE5">
        <w:t>reálnou dobu nezbytnou pro vydání závazných stanovisek dle jednotlivých vydávajících orgánů;</w:t>
      </w:r>
    </w:p>
    <w:p w:rsidR="00D00D88" w:rsidRPr="00416CE5" w:rsidRDefault="00D00D88" w:rsidP="000066CE">
      <w:pPr>
        <w:pStyle w:val="Odstavecseseznamem"/>
        <w:widowControl w:val="0"/>
        <w:numPr>
          <w:ilvl w:val="0"/>
          <w:numId w:val="50"/>
        </w:numPr>
        <w:spacing w:before="100" w:after="100"/>
      </w:pPr>
      <w:r w:rsidRPr="00416CE5">
        <w:t>stabilitu záměrů apod.</w:t>
      </w:r>
    </w:p>
    <w:p w:rsidR="00486BB0" w:rsidRDefault="00D00D88" w:rsidP="000066CE">
      <w:pPr>
        <w:widowControl w:val="0"/>
        <w:spacing w:before="100" w:after="100"/>
      </w:pPr>
      <w:r w:rsidRPr="00416CE5">
        <w:t xml:space="preserve">Posuzováno by mělo být také to, zda je </w:t>
      </w:r>
      <w:r w:rsidR="00B71978">
        <w:t>fungování</w:t>
      </w:r>
      <w:r w:rsidRPr="00416CE5">
        <w:t xml:space="preserve"> </w:t>
      </w:r>
      <w:r w:rsidR="00B71978">
        <w:t>NSÚ</w:t>
      </w:r>
      <w:r w:rsidRPr="00416CE5">
        <w:t xml:space="preserve"> účinné, tj. zda dochází k minimalizaci důsledků identifikovaných problémů. Obdobně v případě integrace je třeba sledovat, zda přínosy z tohoto opatření nejsou převáženy náklady ve formě značné rozsáhlosti vydávaného rozhodnutí a odtud plynoucí zvýšené pravděpodobnosti vzniku procesních chyb.</w:t>
      </w:r>
    </w:p>
    <w:p w:rsidR="002D3B15" w:rsidRPr="00F23969" w:rsidRDefault="002D3B15" w:rsidP="000066CE">
      <w:pPr>
        <w:pStyle w:val="Nadpis1"/>
        <w:spacing w:before="100" w:after="100"/>
        <w:rPr>
          <w:rFonts w:eastAsia="Calibri"/>
        </w:rPr>
      </w:pPr>
      <w:bookmarkStart w:id="95" w:name="_Toc536553944"/>
      <w:r w:rsidRPr="00F23969">
        <w:rPr>
          <w:rFonts w:eastAsia="Calibri"/>
        </w:rPr>
        <w:t>Konzultace a zdroje dat</w:t>
      </w:r>
      <w:bookmarkEnd w:id="95"/>
      <w:r w:rsidRPr="00F23969">
        <w:rPr>
          <w:rFonts w:eastAsia="Calibri"/>
        </w:rPr>
        <w:t xml:space="preserve"> </w:t>
      </w:r>
    </w:p>
    <w:p w:rsidR="00B71978" w:rsidRDefault="00B71978" w:rsidP="000066CE">
      <w:pPr>
        <w:widowControl w:val="0"/>
        <w:spacing w:before="100" w:after="100"/>
      </w:pPr>
      <w:r>
        <w:t>Diskuze nad návrhem probíhala v následujících kruzích:</w:t>
      </w:r>
    </w:p>
    <w:p w:rsidR="007E5107" w:rsidRDefault="00D17DDE" w:rsidP="000066CE">
      <w:pPr>
        <w:pStyle w:val="Odstavecseseznamem"/>
        <w:widowControl w:val="0"/>
        <w:numPr>
          <w:ilvl w:val="0"/>
          <w:numId w:val="63"/>
        </w:numPr>
        <w:spacing w:before="100" w:after="100"/>
        <w:ind w:left="426" w:hanging="426"/>
      </w:pPr>
      <w:r>
        <w:t>k</w:t>
      </w:r>
      <w:r w:rsidR="007E5107">
        <w:t>olegium ministryně pro místní rozvoj k rekodifikaci veřejného stavebního práva (doposud se sešlo 4x)</w:t>
      </w:r>
    </w:p>
    <w:p w:rsidR="007E5107" w:rsidRDefault="00D17DDE" w:rsidP="009D4B5F">
      <w:pPr>
        <w:pStyle w:val="Odstavecseseznamem"/>
        <w:widowControl w:val="0"/>
        <w:numPr>
          <w:ilvl w:val="0"/>
          <w:numId w:val="63"/>
        </w:numPr>
        <w:ind w:left="426" w:hanging="426"/>
      </w:pPr>
      <w:r>
        <w:t>p</w:t>
      </w:r>
      <w:r w:rsidR="007E5107">
        <w:t xml:space="preserve">racovní skupiny zaměřené na jednotlivé oblasti: </w:t>
      </w:r>
    </w:p>
    <w:p w:rsidR="007E5107" w:rsidRDefault="007E5107" w:rsidP="009D4B5F">
      <w:pPr>
        <w:pStyle w:val="Odstavecseseznamem"/>
        <w:widowControl w:val="0"/>
        <w:numPr>
          <w:ilvl w:val="0"/>
          <w:numId w:val="63"/>
        </w:numPr>
        <w:ind w:left="426" w:hanging="426"/>
      </w:pPr>
      <w:r>
        <w:t>pracovní skupina pro veřejnou správu</w:t>
      </w:r>
    </w:p>
    <w:p w:rsidR="007E5107" w:rsidRDefault="007E5107" w:rsidP="009D4B5F">
      <w:pPr>
        <w:pStyle w:val="Odstavecseseznamem"/>
        <w:widowControl w:val="0"/>
        <w:numPr>
          <w:ilvl w:val="0"/>
          <w:numId w:val="63"/>
        </w:numPr>
        <w:ind w:left="426" w:hanging="426"/>
      </w:pPr>
      <w:r>
        <w:t>pracovní skupina pro územní plánování</w:t>
      </w:r>
    </w:p>
    <w:p w:rsidR="007E5107" w:rsidRDefault="007E5107" w:rsidP="009D4B5F">
      <w:pPr>
        <w:pStyle w:val="Odstavecseseznamem"/>
        <w:widowControl w:val="0"/>
        <w:numPr>
          <w:ilvl w:val="0"/>
          <w:numId w:val="63"/>
        </w:numPr>
        <w:ind w:left="426" w:hanging="426"/>
      </w:pPr>
      <w:r>
        <w:t>pracovní skupina pro digitalizaci</w:t>
      </w:r>
    </w:p>
    <w:p w:rsidR="007E5107" w:rsidRDefault="007E5107" w:rsidP="009D4B5F">
      <w:pPr>
        <w:pStyle w:val="Odstavecseseznamem"/>
        <w:widowControl w:val="0"/>
        <w:numPr>
          <w:ilvl w:val="0"/>
          <w:numId w:val="63"/>
        </w:numPr>
        <w:ind w:left="426" w:hanging="426"/>
      </w:pPr>
      <w:r>
        <w:t>pracovní skupina pro oblast stavebního práva procesního</w:t>
      </w:r>
    </w:p>
    <w:p w:rsidR="007E5107" w:rsidRDefault="007E5107" w:rsidP="009D4B5F">
      <w:pPr>
        <w:pStyle w:val="Odstavecseseznamem"/>
        <w:widowControl w:val="0"/>
        <w:numPr>
          <w:ilvl w:val="0"/>
          <w:numId w:val="63"/>
        </w:numPr>
        <w:ind w:left="426" w:hanging="426"/>
      </w:pPr>
      <w:r>
        <w:t>pracovní skupina pro oblast stavebního práva hmotného</w:t>
      </w:r>
      <w:r w:rsidR="00475B1D">
        <w:t>.</w:t>
      </w:r>
    </w:p>
    <w:p w:rsidR="00B22276" w:rsidRDefault="005A24BC" w:rsidP="00B22276">
      <w:pPr>
        <w:widowControl w:val="0"/>
      </w:pPr>
      <w:r w:rsidRPr="005A24BC">
        <w:t xml:space="preserve">Účastníky pracovních komisí byli zástupci z řad </w:t>
      </w:r>
      <w:r w:rsidR="00B22276" w:rsidRPr="005A24BC">
        <w:t>předkladatel</w:t>
      </w:r>
      <w:r w:rsidRPr="005A24BC">
        <w:t>e</w:t>
      </w:r>
      <w:r w:rsidR="00B22276" w:rsidRPr="005A24BC">
        <w:t xml:space="preserve">, </w:t>
      </w:r>
      <w:r w:rsidRPr="005A24BC">
        <w:t xml:space="preserve">dotčených </w:t>
      </w:r>
      <w:r w:rsidR="00B22276" w:rsidRPr="005A24BC">
        <w:t xml:space="preserve">rezortů, </w:t>
      </w:r>
      <w:r w:rsidR="0078162F">
        <w:t>DO</w:t>
      </w:r>
      <w:r w:rsidR="00603082">
        <w:t xml:space="preserve"> i </w:t>
      </w:r>
      <w:r w:rsidRPr="005A24BC">
        <w:t xml:space="preserve">reprezentanti </w:t>
      </w:r>
      <w:r w:rsidR="00B22276" w:rsidRPr="005A24BC">
        <w:t xml:space="preserve">HK </w:t>
      </w:r>
      <w:r w:rsidR="00D236AD">
        <w:t xml:space="preserve">ČR </w:t>
      </w:r>
      <w:r w:rsidR="00B22276" w:rsidRPr="005A24BC">
        <w:t>zastupující</w:t>
      </w:r>
      <w:r w:rsidRPr="005A24BC">
        <w:t xml:space="preserve"> své</w:t>
      </w:r>
      <w:r w:rsidR="00B22276" w:rsidRPr="005A24BC">
        <w:t xml:space="preserve"> členy.</w:t>
      </w:r>
    </w:p>
    <w:p w:rsidR="005A24BC" w:rsidRPr="004051D9" w:rsidRDefault="005A24BC" w:rsidP="005A24BC">
      <w:pPr>
        <w:pStyle w:val="Nadpis10"/>
      </w:pPr>
      <w:bookmarkStart w:id="96" w:name="_Toc461105417"/>
      <w:bookmarkStart w:id="97" w:name="_Toc536553945"/>
      <w:r w:rsidRPr="004051D9">
        <w:t xml:space="preserve">Hodnocení korupčních rizik </w:t>
      </w:r>
      <w:r>
        <w:t>zvoleného řešení</w:t>
      </w:r>
      <w:bookmarkEnd w:id="96"/>
      <w:bookmarkEnd w:id="97"/>
    </w:p>
    <w:p w:rsidR="005A24BC" w:rsidRPr="004051D9" w:rsidRDefault="005A24BC" w:rsidP="005A24BC">
      <w:pPr>
        <w:pStyle w:val="Nadpis20"/>
      </w:pPr>
      <w:bookmarkStart w:id="98" w:name="_Toc443851739"/>
      <w:bookmarkStart w:id="99" w:name="_Toc536553946"/>
      <w:r w:rsidRPr="004051D9">
        <w:t>Posouzení stanovených kritérií</w:t>
      </w:r>
      <w:bookmarkStart w:id="100" w:name="_Toc443851740"/>
      <w:bookmarkEnd w:id="98"/>
      <w:bookmarkEnd w:id="99"/>
    </w:p>
    <w:p w:rsidR="005A24BC" w:rsidRPr="004051D9" w:rsidRDefault="005A24BC" w:rsidP="005A24BC">
      <w:pPr>
        <w:pStyle w:val="Nadpis30"/>
        <w:ind w:left="709" w:hanging="709"/>
      </w:pPr>
      <w:bookmarkStart w:id="101" w:name="_Toc536553947"/>
      <w:r w:rsidRPr="004051D9">
        <w:t>Přiměřenost</w:t>
      </w:r>
      <w:bookmarkEnd w:id="100"/>
      <w:bookmarkEnd w:id="101"/>
    </w:p>
    <w:p w:rsidR="005A24BC" w:rsidRPr="005A24BC" w:rsidRDefault="005A24BC" w:rsidP="005A24BC">
      <w:pPr>
        <w:pStyle w:val="Normln-tun"/>
        <w:widowControl w:val="0"/>
      </w:pPr>
      <w:r w:rsidRPr="005A24BC">
        <w:t xml:space="preserve">České veřejné stavební právo zahrnuje územní plánování, </w:t>
      </w:r>
      <w:r w:rsidR="003C5643">
        <w:t xml:space="preserve">územní rozhodování, stavební řád </w:t>
      </w:r>
      <w:r w:rsidRPr="005A24BC">
        <w:lastRenderedPageBreak/>
        <w:t xml:space="preserve">a složkové předpisy chránící dílčí veřejné zájmy aplikované při výstavbě. I více než 10 let po přijetí </w:t>
      </w:r>
      <w:r w:rsidR="00570732">
        <w:t xml:space="preserve">stávajícího </w:t>
      </w:r>
      <w:r w:rsidRPr="005A24BC">
        <w:t>stavebního zákona, kterého se dotklo již více než 20 novel, včetně poslední z kategorie tzv. velkých novel provedené na základě zákona č. 225/2017 Sb</w:t>
      </w:r>
      <w:r w:rsidRPr="00CA6A16">
        <w:t>.</w:t>
      </w:r>
      <w:r w:rsidRPr="00E26030">
        <w:rPr>
          <w:rStyle w:val="Znakapoznpodarou"/>
          <w:color w:val="000000" w:themeColor="text1"/>
          <w:sz w:val="20"/>
          <w:szCs w:val="20"/>
        </w:rPr>
        <w:footnoteReference w:id="14"/>
      </w:r>
      <w:r w:rsidRPr="005A24BC">
        <w:t xml:space="preserve"> však má stále daleko k ideálnímu stavu.</w:t>
      </w:r>
    </w:p>
    <w:p w:rsidR="005A24BC" w:rsidRPr="005A24BC" w:rsidRDefault="005A24BC" w:rsidP="005A24BC">
      <w:pPr>
        <w:pStyle w:val="Normln-tun"/>
        <w:widowControl w:val="0"/>
      </w:pPr>
      <w:r w:rsidRPr="005A24BC">
        <w:t>Jde nejen o převažující závěry odborníků na české stavební právo a dotčených osob ze stavební praxe. Tento závěr plyne i z celosvětových srovnávacích dat, které publikuje Světová banka ve studiích Doing Business. Podle studie Doing Business 2019 je proces povolování staveb v </w:t>
      </w:r>
      <w:r w:rsidR="0097207F" w:rsidRPr="0097207F">
        <w:t>ČR</w:t>
      </w:r>
      <w:r w:rsidRPr="005A24BC">
        <w:t xml:space="preserve"> jeden z nejpomalejších na světě. Podle délky standardizovaného stavebního řízení se Česká republika umístila na 156. místě ze 190 posuzovaných zemí s délkou 246 dnů.</w:t>
      </w:r>
      <w:r w:rsidR="00CC3866" w:rsidRPr="00CC3866">
        <w:rPr>
          <w:rStyle w:val="Znakapoznpodarou"/>
          <w:color w:val="000000" w:themeColor="text1"/>
          <w:sz w:val="20"/>
          <w:szCs w:val="20"/>
        </w:rPr>
        <w:t xml:space="preserve"> </w:t>
      </w:r>
      <w:r w:rsidR="00CC3866" w:rsidRPr="00FB334D">
        <w:rPr>
          <w:rStyle w:val="Znakapoznpodarou"/>
          <w:color w:val="000000" w:themeColor="text1"/>
          <w:sz w:val="20"/>
          <w:szCs w:val="20"/>
        </w:rPr>
        <w:footnoteRef/>
      </w:r>
      <w:r w:rsidR="00CC3866">
        <w:rPr>
          <w:rStyle w:val="Znakapoznpodarou"/>
          <w:color w:val="000000" w:themeColor="text1"/>
          <w:sz w:val="20"/>
          <w:szCs w:val="20"/>
        </w:rPr>
        <w:t>8</w:t>
      </w:r>
      <w:r w:rsidRPr="005A24BC">
        <w:t xml:space="preserve"> </w:t>
      </w:r>
    </w:p>
    <w:p w:rsidR="005A24BC" w:rsidRPr="005A24BC" w:rsidRDefault="005A24BC" w:rsidP="005A24BC">
      <w:pPr>
        <w:pStyle w:val="Normln-tun"/>
        <w:widowControl w:val="0"/>
      </w:pPr>
      <w:r w:rsidRPr="005A24BC">
        <w:t>Na výše uvedené aspekty reagovala v programovém prohlášení vláda, která se kromě jiného zavázala, že podpoří a zrychlí výstavbu v </w:t>
      </w:r>
      <w:r w:rsidR="0097207F" w:rsidRPr="0097207F">
        <w:t>ČR</w:t>
      </w:r>
      <w:r w:rsidRPr="005A24BC">
        <w:t>, prosadí rekodifikaci veřejného stavebního práva a zjednoduší a zkrátí přípravu staveb pro zvýšení konkurenceschopnosti.</w:t>
      </w:r>
    </w:p>
    <w:p w:rsidR="005A24BC" w:rsidRPr="005A24BC" w:rsidRDefault="005A24BC" w:rsidP="005A24BC">
      <w:pPr>
        <w:pStyle w:val="Normln-tun"/>
        <w:widowControl w:val="0"/>
      </w:pPr>
      <w:r w:rsidRPr="005A24BC">
        <w:t>A i když se rekodifikace dotkne vedle stavebního zákona i desítek dalších souvisejících zákonů, české stavební právo dospělo do stavu, ve kterém už nestačí pouhá další novelizace stavebního zákona.</w:t>
      </w:r>
      <w:r w:rsidR="00570732">
        <w:t xml:space="preserve"> </w:t>
      </w:r>
      <w:r w:rsidRPr="005A24BC">
        <w:t>V posledních letech bylo přijato hned několik tzv. velkých</w:t>
      </w:r>
      <w:r w:rsidR="00570732" w:rsidRPr="00570732">
        <w:t xml:space="preserve"> </w:t>
      </w:r>
      <w:r w:rsidRPr="005A24BC">
        <w:t>novel stavebního zákona a souvisejících předpisů. Ty však nedosáhly zamýšlených cílů. Dílčím novelizacím stavebního zákona chyběla hlubší systémová koncepce i odvaha dotknout se samotných základů stávajícího stavebního práva. Tyto změny byly jen řešením některých nejakutnějších dílčích problémů a</w:t>
      </w:r>
      <w:r w:rsidR="00DB07B5">
        <w:t> </w:t>
      </w:r>
      <w:r w:rsidRPr="005A24BC">
        <w:t>neřešily problémy systémové. Zároveň změny indukovaly problémy nové a nezamýšlené.</w:t>
      </w:r>
      <w:r w:rsidR="00DB07B5">
        <w:t xml:space="preserve"> </w:t>
      </w:r>
      <w:r w:rsidRPr="005A24BC">
        <w:t>Českému veřejnému stavebnímu právu je proto třeba konečně dát novou ucelenou koncepci. Bez zásadní změny veřejného stavebního práva, která by přinesla úplně novou právní úpravu, nezatíženou stavebně-právními problémy dneška, nelze současné problémy stavebního sektoru a navazujících segmentů vyřešit.</w:t>
      </w:r>
    </w:p>
    <w:p w:rsidR="005A24BC" w:rsidRPr="005A24BC" w:rsidRDefault="005A24BC" w:rsidP="005A24BC">
      <w:pPr>
        <w:pStyle w:val="Normln-tun"/>
        <w:widowControl w:val="0"/>
      </w:pPr>
      <w:r w:rsidRPr="005A24BC">
        <w:t xml:space="preserve">Proto </w:t>
      </w:r>
      <w:r w:rsidR="00570732">
        <w:t>je třeba</w:t>
      </w:r>
      <w:r w:rsidR="00DB07B5">
        <w:t xml:space="preserve"> </w:t>
      </w:r>
      <w:r w:rsidRPr="005A24BC">
        <w:t xml:space="preserve">rozsah změn a zvolené varianty v RIA </w:t>
      </w:r>
      <w:r w:rsidR="00570732">
        <w:t>považovat</w:t>
      </w:r>
      <w:r w:rsidR="00570732" w:rsidRPr="005A24BC">
        <w:t xml:space="preserve"> </w:t>
      </w:r>
      <w:r w:rsidRPr="005A24BC">
        <w:t xml:space="preserve">za přiměřené množině vztahů, které mají upravovat. I když na základě zvolených variant dochází k významným systematickým změnám, návrh celkově neúměrně nerozšiřuje kompetence orgánů veřejné správy. Dochází pouze k jejich přesunům. Do samotného rozhodovacího procesu nevstupuje nový aktér. Mění se pouze začlenění správních orgánů v rámci veřejné správy, které však </w:t>
      </w:r>
      <w:r w:rsidR="00CC3866">
        <w:t xml:space="preserve">rozhodně </w:t>
      </w:r>
      <w:r w:rsidRPr="005A24BC">
        <w:t xml:space="preserve">neznamená zvýšení korupčního potenciálu. </w:t>
      </w:r>
    </w:p>
    <w:p w:rsidR="005A24BC" w:rsidRPr="004051D9" w:rsidRDefault="005A24BC" w:rsidP="005A24BC">
      <w:pPr>
        <w:pStyle w:val="Nadpis30"/>
        <w:ind w:left="709" w:hanging="709"/>
      </w:pPr>
      <w:bookmarkStart w:id="102" w:name="_Toc443851741"/>
      <w:bookmarkStart w:id="103" w:name="_Toc536553948"/>
      <w:r w:rsidRPr="004051D9">
        <w:t>Efektivita</w:t>
      </w:r>
      <w:bookmarkEnd w:id="102"/>
      <w:bookmarkEnd w:id="103"/>
    </w:p>
    <w:p w:rsidR="005A24BC" w:rsidRDefault="005A24BC" w:rsidP="005A24BC">
      <w:pPr>
        <w:pStyle w:val="Normln-tun"/>
        <w:widowControl w:val="0"/>
      </w:pPr>
      <w:r w:rsidRPr="004051D9">
        <w:t xml:space="preserve">Protože na základě zvolených </w:t>
      </w:r>
      <w:r w:rsidR="00570732">
        <w:t>v</w:t>
      </w:r>
      <w:r w:rsidR="00570732" w:rsidRPr="004051D9">
        <w:t xml:space="preserve">ariant </w:t>
      </w:r>
      <w:r w:rsidRPr="004051D9">
        <w:t xml:space="preserve">dochází k významným systematickým změnám, </w:t>
      </w:r>
      <w:r>
        <w:t xml:space="preserve">jejichž samotným cílem je posílení efektivity systému, </w:t>
      </w:r>
      <w:r w:rsidR="00570732">
        <w:t>lze předpokládat</w:t>
      </w:r>
      <w:r>
        <w:t>, že rekodifikací bude tohoto cíle dosaženo. Z tohoto titulu RIA navrhuje set indikátorů, které bude třeba sledovat, příp. na jejich základě model dolaďovat tak, aby dosažená míra úspor oproti současnému stavu byla maximální.</w:t>
      </w:r>
      <w:r w:rsidRPr="004051D9">
        <w:t xml:space="preserve"> </w:t>
      </w:r>
    </w:p>
    <w:p w:rsidR="005A24BC" w:rsidRPr="005A24BC" w:rsidRDefault="005A24BC" w:rsidP="005A24BC">
      <w:pPr>
        <w:pStyle w:val="Normln-tun"/>
        <w:widowControl w:val="0"/>
      </w:pPr>
      <w:r>
        <w:t>Jedním z klíčových aspektů rekodifikace bude vytvořen</w:t>
      </w:r>
      <w:r w:rsidR="00603082">
        <w:t xml:space="preserve">í </w:t>
      </w:r>
      <w:r w:rsidR="00BF4B2F">
        <w:t>NSÚ</w:t>
      </w:r>
      <w:r w:rsidR="00603082">
        <w:t xml:space="preserve"> a </w:t>
      </w:r>
      <w:r>
        <w:t>delimitace zaměstnanců. Korupční potenciál zde může být spojen pouze s procesem jmenováním</w:t>
      </w:r>
      <w:r w:rsidR="003025AA" w:rsidRPr="003025AA" w:rsidDel="003025AA">
        <w:t xml:space="preserve"> </w:t>
      </w:r>
      <w:r w:rsidR="003025AA">
        <w:t>ředitele tohoto úřady.</w:t>
      </w:r>
      <w:r w:rsidR="003025AA" w:rsidRPr="005A24BC">
        <w:t xml:space="preserve"> </w:t>
      </w:r>
      <w:r w:rsidR="003025AA">
        <w:t>Tento model je navržen tak, aby se korupční potenciál v porovnání se současným stavem snížil a model tak vykazoval vyšší efektivitu</w:t>
      </w:r>
      <w:r>
        <w:t>.</w:t>
      </w:r>
      <w:r w:rsidR="00BF4B2F">
        <w:t xml:space="preserve"> </w:t>
      </w:r>
    </w:p>
    <w:p w:rsidR="005A24BC" w:rsidRPr="004051D9" w:rsidRDefault="005A24BC" w:rsidP="005A24BC">
      <w:pPr>
        <w:pStyle w:val="Normln-tun"/>
        <w:widowControl w:val="0"/>
      </w:pPr>
      <w:r>
        <w:t xml:space="preserve">Díky nové struktuře dojde k eliminaci současné fragmentace stavebních úřadů, zlepšení metodického vedení podřízených úřadů a </w:t>
      </w:r>
      <w:r w:rsidR="000D021D">
        <w:t>územní</w:t>
      </w:r>
      <w:r>
        <w:t xml:space="preserve">ch pracovišť, zvýšení koordinace a zlepšení komunikace mezi stavebními úřady a </w:t>
      </w:r>
      <w:r w:rsidR="0078162F">
        <w:t>DO</w:t>
      </w:r>
      <w:r>
        <w:t xml:space="preserve"> či posílení k</w:t>
      </w:r>
      <w:r w:rsidRPr="004051D9">
        <w:t>ontrolní</w:t>
      </w:r>
      <w:r>
        <w:t>ch</w:t>
      </w:r>
      <w:r w:rsidRPr="004051D9">
        <w:t xml:space="preserve"> mechanizm</w:t>
      </w:r>
      <w:r>
        <w:t>ů.</w:t>
      </w:r>
      <w:r w:rsidRPr="004051D9">
        <w:t xml:space="preserve"> </w:t>
      </w:r>
      <w:r>
        <w:t>M</w:t>
      </w:r>
      <w:r w:rsidRPr="004051D9">
        <w:t xml:space="preserve">íra vynutitelnosti plnění povinností daných regulací </w:t>
      </w:r>
      <w:r>
        <w:t xml:space="preserve">správním orgánům by se proto </w:t>
      </w:r>
      <w:r w:rsidRPr="004051D9">
        <w:t xml:space="preserve">měla </w:t>
      </w:r>
      <w:r>
        <w:t>zvýšit</w:t>
      </w:r>
      <w:r w:rsidRPr="004051D9">
        <w:t>.</w:t>
      </w:r>
    </w:p>
    <w:p w:rsidR="005A24BC" w:rsidRPr="004051D9" w:rsidRDefault="005A24BC" w:rsidP="005A24BC">
      <w:pPr>
        <w:pStyle w:val="Nadpis30"/>
        <w:ind w:left="709" w:hanging="709"/>
      </w:pPr>
      <w:bookmarkStart w:id="104" w:name="_Toc443851742"/>
      <w:bookmarkStart w:id="105" w:name="_Toc536553949"/>
      <w:r w:rsidRPr="004051D9">
        <w:lastRenderedPageBreak/>
        <w:t>Odpovědnost</w:t>
      </w:r>
      <w:bookmarkEnd w:id="104"/>
      <w:bookmarkEnd w:id="105"/>
    </w:p>
    <w:p w:rsidR="005A24BC" w:rsidRDefault="005A24BC" w:rsidP="005A24BC">
      <w:pPr>
        <w:pStyle w:val="Normln-tun"/>
        <w:widowControl w:val="0"/>
      </w:pPr>
      <w:bookmarkStart w:id="106" w:name="_Toc443851743"/>
      <w:r>
        <w:t xml:space="preserve">Zvolené varianty se výrazně pozitivně promítnou v oblasti odpovědnosti úřadů a úředních osob za škodu způsobenou nezákonným rozhodnutím nebo úředním postupem. Na činnost stavebních úřadů bude nadále dopadat právní úprava a režim zákona č. 82/1998 Sb. V této souvislosti lze očekávat snížení počtu opodstatněných nároků na náhradu škody z důvodu odstranění rizik systémové podjatosti úředních osob s ohledem na vyjmutí předmětné agendy ze spojeného modelu veřejné správy. </w:t>
      </w:r>
    </w:p>
    <w:p w:rsidR="005A24BC" w:rsidRDefault="005A24BC" w:rsidP="005A24BC">
      <w:pPr>
        <w:pStyle w:val="Normln-tun"/>
        <w:widowControl w:val="0"/>
      </w:pPr>
      <w:r>
        <w:t>Vedle toho se očekává i zjednodušení a zefektivnění aplika</w:t>
      </w:r>
      <w:r w:rsidR="00603082">
        <w:t>ční praxe, a to jednak rovněž s </w:t>
      </w:r>
      <w:r>
        <w:t xml:space="preserve">ohledem na vyjmutí agendy stavební správy ze spojeného modelu veřejné správy (v důsledku čehož odpadne mj. proces regresního vymáhání škody po </w:t>
      </w:r>
      <w:r w:rsidR="00603082">
        <w:t>územním samosprávném celku), a </w:t>
      </w:r>
      <w:r>
        <w:t xml:space="preserve">jednak i vzhledem k principu integrace vybraných agend </w:t>
      </w:r>
      <w:r w:rsidR="0078162F">
        <w:t>DO</w:t>
      </w:r>
      <w:r>
        <w:t xml:space="preserve"> do činnosti stavebních úřadů (při současné roztříštěnosti těchto agend, zajišťovaných velkým množstvím různých správních orgánů, může být komplikované určit už jen „původce“ škody, tzn. správný orgán, jehož pochybením byla škoda způsobena).  </w:t>
      </w:r>
    </w:p>
    <w:p w:rsidR="005A24BC" w:rsidRDefault="005A24BC" w:rsidP="005A24BC">
      <w:pPr>
        <w:pStyle w:val="Normln-tun"/>
        <w:widowControl w:val="0"/>
      </w:pPr>
      <w:r>
        <w:t>Z hlediska osobní odpovědnosti jednotlivých úředních osob vůči jejich zaměstnavateli bude nadále plně aplikovatelný režim zákoníku práce (kterým se řídí i odpovědnost státních zaměstnanců za škodu), nadto však bude (nově) jednotně aplikována i kárná odpovědnost v</w:t>
      </w:r>
      <w:r w:rsidR="00603082">
        <w:t> </w:t>
      </w:r>
      <w:r>
        <w:t>režimu zákona o státní službě. I tato skutečnost může přispět k posílení důrazu na odpovědný výkon dané agendy.</w:t>
      </w:r>
    </w:p>
    <w:p w:rsidR="005A24BC" w:rsidRPr="004051D9" w:rsidRDefault="005A24BC" w:rsidP="005A24BC">
      <w:pPr>
        <w:pStyle w:val="Nadpis30"/>
        <w:ind w:left="709" w:hanging="709"/>
      </w:pPr>
      <w:bookmarkStart w:id="107" w:name="_Toc536553950"/>
      <w:r w:rsidRPr="004051D9">
        <w:t>Opravné prostředky</w:t>
      </w:r>
      <w:bookmarkEnd w:id="106"/>
      <w:bookmarkEnd w:id="107"/>
    </w:p>
    <w:p w:rsidR="005A24BC" w:rsidRDefault="005A24BC" w:rsidP="005A24BC">
      <w:pPr>
        <w:pStyle w:val="Normln-tun"/>
        <w:widowControl w:val="0"/>
      </w:pPr>
      <w:r w:rsidRPr="004051D9">
        <w:t xml:space="preserve">Na základě zvolených </w:t>
      </w:r>
      <w:r w:rsidR="003025AA">
        <w:t>v</w:t>
      </w:r>
      <w:r w:rsidR="003025AA" w:rsidRPr="004051D9">
        <w:t xml:space="preserve">ariant </w:t>
      </w:r>
      <w:r w:rsidRPr="004051D9">
        <w:t>nedochází k</w:t>
      </w:r>
      <w:r>
        <w:t>e</w:t>
      </w:r>
      <w:r w:rsidRPr="004051D9">
        <w:t xml:space="preserve"> změnám, které by vyžadovaly zakotvení nových opravných prostředků. </w:t>
      </w:r>
      <w:r>
        <w:t xml:space="preserve">Navrhován je systém dvojinstančního správního řízení v rámci jednoho správního orgánu (ústředí rozhoduje o opravném prostředku proti rozhodnutí </w:t>
      </w:r>
      <w:r w:rsidR="000D021D">
        <w:t>územní</w:t>
      </w:r>
      <w:r>
        <w:t xml:space="preserve">ho pracoviště). Tato procesní konstrukce je sice výjimkou z obecného principu, avšak výjimkou ústavně plně konformní. Podle konstantní správní judikatury ostatně není </w:t>
      </w:r>
      <w:r w:rsidR="002B5CF2">
        <w:t>dvouinstančnost</w:t>
      </w:r>
      <w:r>
        <w:t xml:space="preserve"> správního řízení ústavním principem ani základní zásadou správního řízení a lze ji proto vyloučit. Tím spíše není ústavním deficitem, rozhoduje-li správní orgán o opravném prostředku proti rozhodnutí vydanému organizační jednotkou téhož správního orgánu. Kromě toho podobnou konstrukci český právní řád již zná, aniž ji judikatura dosud jakkoli zpochybnila. Zmínit lze v této souvislosti </w:t>
      </w:r>
      <w:r w:rsidR="00686D84">
        <w:t>například</w:t>
      </w:r>
      <w:r>
        <w:t xml:space="preserve"> organizaci a rozhodování České obchodní i</w:t>
      </w:r>
      <w:r w:rsidR="00603082">
        <w:t>nspekce (§ 1 odst. 5 zákona č. </w:t>
      </w:r>
      <w:r>
        <w:t xml:space="preserve">64/1986 Sb.), Státní zemědělské a potravinářské inspekce (§ 1 odst. 6 zákona č. 146/2002 Sb.), Státního pozemkového úřadu (§ 2 odst. 4 zákona č. 503/2012 Sb.) aj. Všem zmíněným případům je společné, že v prvním stupni rozhoduje vnitřní organizační jednotka úřadu a o odvolání pak „ústředí“ téhož úřadu. </w:t>
      </w:r>
      <w:r w:rsidRPr="009A195D">
        <w:t>K případným námitkám, že toto řešení (dvě instance v rámci jednoho správního orgánu) je problematické z hlediska rizika podjatosti úředních osob a</w:t>
      </w:r>
      <w:r>
        <w:t> </w:t>
      </w:r>
      <w:r w:rsidRPr="009A195D">
        <w:t xml:space="preserve">ohrožení nestrannosti přezkoumávání rozhodnutí (pokud </w:t>
      </w:r>
      <w:r w:rsidR="00686D84">
        <w:t>například</w:t>
      </w:r>
      <w:r w:rsidRPr="009A195D">
        <w:t xml:space="preserve"> pracovník ústředí poskytne konzultace vyřizující úřední osobě </w:t>
      </w:r>
      <w:r w:rsidR="000D021D">
        <w:t>územní</w:t>
      </w:r>
      <w:r w:rsidRPr="009A195D">
        <w:t>ho pracoviště</w:t>
      </w:r>
      <w:r w:rsidR="00CD6E7F" w:rsidRPr="00FB334D">
        <w:rPr>
          <w:rStyle w:val="Znakapoznpodarou"/>
          <w:color w:val="000000" w:themeColor="text1"/>
          <w:sz w:val="20"/>
          <w:szCs w:val="20"/>
        </w:rPr>
        <w:footnoteRef/>
      </w:r>
      <w:r w:rsidR="00CD6E7F">
        <w:rPr>
          <w:rStyle w:val="Znakapoznpodarou"/>
          <w:color w:val="000000" w:themeColor="text1"/>
          <w:sz w:val="20"/>
          <w:szCs w:val="20"/>
        </w:rPr>
        <w:t>9</w:t>
      </w:r>
      <w:r w:rsidRPr="009A195D">
        <w:t xml:space="preserve">), </w:t>
      </w:r>
      <w:r>
        <w:t>lze</w:t>
      </w:r>
      <w:r w:rsidRPr="009A195D">
        <w:t xml:space="preserve"> uvést, že</w:t>
      </w:r>
      <w:r>
        <w:t> </w:t>
      </w:r>
      <w:r w:rsidRPr="009A195D">
        <w:t>navržená konstrukce neznamená v tomto ohledu žádn</w:t>
      </w:r>
      <w:r>
        <w:t>ý</w:t>
      </w:r>
      <w:r w:rsidRPr="009A195D">
        <w:t xml:space="preserve"> posun </w:t>
      </w:r>
      <w:r>
        <w:t>oproti</w:t>
      </w:r>
      <w:r w:rsidRPr="009A195D">
        <w:t xml:space="preserve"> současnému systému (ve kterém může pracovník nadřízeného správního orgánu rovněž poskytnout konzultaci pracovníku orgánu prvního stupně, jak se ostatně v praxi děje)</w:t>
      </w:r>
      <w:r>
        <w:t xml:space="preserve"> a především </w:t>
      </w:r>
      <w:r w:rsidRPr="00C6648F">
        <w:t xml:space="preserve">nijak nesnižuje procesní standard ochrany před podjatostí úředních osob v intencích § 14 správního řádu </w:t>
      </w:r>
      <w:r>
        <w:t>(</w:t>
      </w:r>
      <w:r w:rsidR="00CD6E7F">
        <w:t>c</w:t>
      </w:r>
      <w:r>
        <w:t>ož nelze říci ve vztahu k systémové podjatosti pracovníků územních samosprávných celků, kde novelizované ustanovení správního řádu § 14 odst. 2 tento standard potenciálně naopak snižuje).</w:t>
      </w:r>
    </w:p>
    <w:p w:rsidR="005A24BC" w:rsidRPr="004051D9" w:rsidRDefault="005A24BC" w:rsidP="00C42FC4">
      <w:pPr>
        <w:pStyle w:val="Normln-tun"/>
      </w:pPr>
      <w:r>
        <w:t>Na základě výše uvedeného lze říci, že</w:t>
      </w:r>
      <w:r w:rsidR="003025AA" w:rsidRPr="003025AA">
        <w:t xml:space="preserve"> </w:t>
      </w:r>
      <w:r w:rsidR="003025AA">
        <w:t>nelze očekávat</w:t>
      </w:r>
      <w:r>
        <w:t>, že rekodifikací dojde</w:t>
      </w:r>
      <w:r w:rsidRPr="004051D9">
        <w:t xml:space="preserve"> k </w:t>
      </w:r>
      <w:r w:rsidR="00CD6E7F">
        <w:t xml:space="preserve">negativní </w:t>
      </w:r>
      <w:r w:rsidRPr="004051D9">
        <w:t>změně korupčních rizik.</w:t>
      </w:r>
    </w:p>
    <w:p w:rsidR="005A24BC" w:rsidRPr="004051D9" w:rsidRDefault="005A24BC" w:rsidP="005A24BC">
      <w:pPr>
        <w:pStyle w:val="Nadpis30"/>
        <w:ind w:left="709" w:hanging="709"/>
      </w:pPr>
      <w:bookmarkStart w:id="108" w:name="_Toc443851744"/>
      <w:bookmarkStart w:id="109" w:name="_Toc536553951"/>
      <w:r w:rsidRPr="004051D9">
        <w:t>Kontrolní mechanismy</w:t>
      </w:r>
      <w:bookmarkEnd w:id="108"/>
      <w:bookmarkEnd w:id="109"/>
      <w:r w:rsidRPr="004051D9">
        <w:t xml:space="preserve"> </w:t>
      </w:r>
    </w:p>
    <w:p w:rsidR="005A24BC" w:rsidRDefault="00D00936" w:rsidP="005A24BC">
      <w:pPr>
        <w:pStyle w:val="Normln-tun"/>
        <w:widowControl w:val="0"/>
      </w:pPr>
      <w:bookmarkStart w:id="110" w:name="_Toc443851745"/>
      <w:r>
        <w:t>Předpokládá se</w:t>
      </w:r>
      <w:r w:rsidR="005A24BC">
        <w:t xml:space="preserve">, že rekodifikací dojde k </w:t>
      </w:r>
      <w:r w:rsidR="005A24BC" w:rsidRPr="00610EB9">
        <w:t xml:space="preserve">posílení kontrolních mechanizmů. </w:t>
      </w:r>
      <w:r w:rsidR="005A24BC">
        <w:t>Korupční potenciál by se měl proto snížit</w:t>
      </w:r>
      <w:r w:rsidR="005A24BC" w:rsidRPr="00610EB9">
        <w:t>.</w:t>
      </w:r>
    </w:p>
    <w:p w:rsidR="005A24BC" w:rsidRPr="004051D9" w:rsidRDefault="005A24BC" w:rsidP="005A24BC">
      <w:pPr>
        <w:pStyle w:val="Nadpis20"/>
      </w:pPr>
      <w:bookmarkStart w:id="111" w:name="_Toc536553952"/>
      <w:r w:rsidRPr="004051D9">
        <w:lastRenderedPageBreak/>
        <w:t>Specifické podmínky vyplývající z charakteru korupčních příležitostí a jejich dopad</w:t>
      </w:r>
      <w:bookmarkEnd w:id="110"/>
      <w:bookmarkEnd w:id="111"/>
      <w:r w:rsidRPr="004051D9">
        <w:t xml:space="preserve"> </w:t>
      </w:r>
    </w:p>
    <w:p w:rsidR="005A24BC" w:rsidRPr="004051D9" w:rsidRDefault="005A24BC" w:rsidP="005A24BC">
      <w:pPr>
        <w:pStyle w:val="Nadpis30"/>
        <w:ind w:left="709" w:hanging="709"/>
      </w:pPr>
      <w:bookmarkStart w:id="112" w:name="_Toc443851746"/>
      <w:bookmarkStart w:id="113" w:name="_Toc536553953"/>
      <w:r>
        <w:t>„</w:t>
      </w:r>
      <w:r w:rsidRPr="004051D9">
        <w:t>Poptávková</w:t>
      </w:r>
      <w:r>
        <w:t>“</w:t>
      </w:r>
      <w:r w:rsidRPr="004051D9">
        <w:t xml:space="preserve"> strana</w:t>
      </w:r>
      <w:bookmarkEnd w:id="112"/>
      <w:bookmarkEnd w:id="113"/>
    </w:p>
    <w:p w:rsidR="005A24BC" w:rsidRPr="004051D9" w:rsidRDefault="005A24BC" w:rsidP="005A24BC">
      <w:pPr>
        <w:pStyle w:val="Normln-tun"/>
        <w:widowControl w:val="0"/>
      </w:pPr>
      <w:r w:rsidRPr="004051D9">
        <w:t xml:space="preserve">Specifika poptávkové strany vyplývají především z počtu </w:t>
      </w:r>
      <w:r w:rsidR="00DC5A5C">
        <w:t>stupňů/subjektů rozhodujících o </w:t>
      </w:r>
      <w:r w:rsidRPr="004051D9">
        <w:t>konkrétní věci.</w:t>
      </w:r>
      <w:r w:rsidRPr="00CA793B">
        <w:t xml:space="preserve"> </w:t>
      </w:r>
      <w:r>
        <w:t>V případě vztahu žadatelů a orgánů státní správy nejsou o</w:t>
      </w:r>
      <w:r w:rsidRPr="00CA793B">
        <w:t>soby zpracovávající podklady známy široké veřejnosti</w:t>
      </w:r>
      <w:r>
        <w:t>, vybrané p</w:t>
      </w:r>
      <w:r w:rsidRPr="00CA793B">
        <w:t xml:space="preserve">odklady jsou </w:t>
      </w:r>
      <w:r>
        <w:t>jen zpřístupňovány (elektronické) úřední desce</w:t>
      </w:r>
      <w:r w:rsidRPr="00CA793B">
        <w:t>.</w:t>
      </w:r>
      <w:r>
        <w:t xml:space="preserve"> Předpis nově nastavuje vztahy mezi jednotlivými aktéry „poptávkové“ strany (vytvoření NSÚ, integrace příslušných </w:t>
      </w:r>
      <w:r w:rsidR="0078162F">
        <w:t>DO</w:t>
      </w:r>
      <w:r>
        <w:t xml:space="preserve"> pod NSÚ). Navíc je v rámci rekodifikace požadována realizace digitalizace.</w:t>
      </w:r>
      <w:r w:rsidR="00D00936" w:rsidRPr="00D00936">
        <w:t xml:space="preserve"> </w:t>
      </w:r>
      <w:r w:rsidR="00D00936">
        <w:t>Předpokládá se, že</w:t>
      </w:r>
      <w:r w:rsidR="00D00936" w:rsidRPr="004051D9">
        <w:t xml:space="preserve"> </w:t>
      </w:r>
      <w:r w:rsidR="00D00936">
        <w:t>po rekodifikaci</w:t>
      </w:r>
      <w:r w:rsidR="00D00936" w:rsidRPr="004051D9">
        <w:t xml:space="preserve"> </w:t>
      </w:r>
      <w:r w:rsidR="00D00936">
        <w:t xml:space="preserve">dojde k </w:t>
      </w:r>
      <w:r w:rsidR="00D00936" w:rsidRPr="004051D9">
        <w:t>výrazné</w:t>
      </w:r>
      <w:r w:rsidR="003025AA">
        <w:t>mu</w:t>
      </w:r>
      <w:r w:rsidR="00D00936" w:rsidRPr="004051D9">
        <w:t xml:space="preserve"> </w:t>
      </w:r>
      <w:r w:rsidR="00D00936">
        <w:t>snížení</w:t>
      </w:r>
      <w:r w:rsidR="00D00936" w:rsidRPr="004051D9">
        <w:t xml:space="preserve"> korupčních rizik</w:t>
      </w:r>
      <w:r w:rsidRPr="004051D9">
        <w:t>.</w:t>
      </w:r>
      <w:r w:rsidRPr="00D37C13">
        <w:t xml:space="preserve"> </w:t>
      </w:r>
    </w:p>
    <w:p w:rsidR="005A24BC" w:rsidRPr="005A24BC" w:rsidRDefault="005A24BC" w:rsidP="005A24BC">
      <w:pPr>
        <w:pStyle w:val="Nadpis30"/>
        <w:ind w:left="709" w:hanging="709"/>
      </w:pPr>
      <w:bookmarkStart w:id="114" w:name="_Toc443851747"/>
      <w:bookmarkStart w:id="115" w:name="_Toc536553954"/>
      <w:r w:rsidRPr="005A24BC">
        <w:t>Nabídková strana</w:t>
      </w:r>
      <w:bookmarkEnd w:id="114"/>
      <w:bookmarkEnd w:id="115"/>
    </w:p>
    <w:p w:rsidR="005A24BC" w:rsidRPr="005A24BC" w:rsidRDefault="005A24BC" w:rsidP="005A24BC">
      <w:pPr>
        <w:pStyle w:val="Normln-tun"/>
        <w:widowControl w:val="0"/>
      </w:pPr>
      <w:r w:rsidRPr="00D22308">
        <w:t xml:space="preserve">Nabídková strana zahrnuje </w:t>
      </w:r>
      <w:r>
        <w:t xml:space="preserve">žadatele či další dotčené fyzické či právnické osoby. </w:t>
      </w:r>
      <w:r w:rsidR="00BF4B2F">
        <w:t>Případnou z</w:t>
      </w:r>
      <w:r>
        <w:t xml:space="preserve">měnou OOP na OZV </w:t>
      </w:r>
      <w:r w:rsidR="00BF4B2F">
        <w:t xml:space="preserve">nebo úpravou stávajícího OOP </w:t>
      </w:r>
      <w:r>
        <w:t xml:space="preserve">dojde k omezení okruhu subjektů, které mohou do povolovacího procesu zasáhnout. Obdobný vliv může mít instrument vydávání pouze jednoho rozhodnutí. Z tohoto titulu by se mohl korupční potenciál zvýšit. Tento potenciál je možné redukovat vhodnými kontrolními mechanizmy či instrumenty samoregulace (etický kodex apod.).   </w:t>
      </w:r>
      <w:r w:rsidRPr="004051D9">
        <w:t xml:space="preserve"> </w:t>
      </w:r>
    </w:p>
    <w:p w:rsidR="005A24BC" w:rsidRPr="00CF33E7" w:rsidRDefault="005A24BC" w:rsidP="005A24BC">
      <w:pPr>
        <w:pStyle w:val="Nadpis20"/>
      </w:pPr>
      <w:bookmarkStart w:id="116" w:name="_Toc443851748"/>
      <w:bookmarkStart w:id="117" w:name="_Toc536553955"/>
      <w:r w:rsidRPr="00CF33E7">
        <w:t>Transparence a otevřená data</w:t>
      </w:r>
      <w:bookmarkEnd w:id="116"/>
      <w:bookmarkEnd w:id="117"/>
      <w:r w:rsidRPr="00CF33E7">
        <w:t xml:space="preserve"> </w:t>
      </w:r>
    </w:p>
    <w:p w:rsidR="005A24BC" w:rsidRDefault="005A24BC" w:rsidP="005A24BC">
      <w:pPr>
        <w:pStyle w:val="Normln-tun"/>
        <w:widowControl w:val="0"/>
      </w:pPr>
      <w:r>
        <w:t>Pokud bude v rámci rekodifikace posílena digitalizace tak, jak je v RIA požadováno, bude mít rekodifikace výrazný pozitivní vliv na možnou míru korupce</w:t>
      </w:r>
      <w:r w:rsidRPr="004051D9">
        <w:t xml:space="preserve">. </w:t>
      </w:r>
    </w:p>
    <w:p w:rsidR="005A24BC" w:rsidRPr="00CF33E7" w:rsidRDefault="005A24BC" w:rsidP="005A24BC">
      <w:pPr>
        <w:pStyle w:val="Nadpis20"/>
      </w:pPr>
      <w:bookmarkStart w:id="118" w:name="_Toc443851749"/>
      <w:bookmarkStart w:id="119" w:name="_Toc536553956"/>
      <w:r w:rsidRPr="00CF33E7">
        <w:t>Shoda s dobrou praxí, přiměřenost ke stávající legislativě</w:t>
      </w:r>
      <w:bookmarkEnd w:id="118"/>
      <w:bookmarkEnd w:id="119"/>
    </w:p>
    <w:p w:rsidR="005A24BC" w:rsidRDefault="005A24BC" w:rsidP="008712FB">
      <w:pPr>
        <w:pStyle w:val="Normln-tun"/>
        <w:widowControl w:val="0"/>
        <w:rPr>
          <w:b/>
        </w:rPr>
      </w:pPr>
      <w:r w:rsidRPr="004051D9">
        <w:t xml:space="preserve">Navrhované změny jsou v souladu se známou praxí. Postupy a procesy v ní obsažené odpovídají stávajícím právním předpisům upravujícím srovnatelné vztahy a mechanizmy. Zvolené varianty přináší nové, inovativní postupy, </w:t>
      </w:r>
      <w:r>
        <w:t>které jsou však plně v souladu s Ústavou a možnými</w:t>
      </w:r>
      <w:r w:rsidR="00CD6E7F">
        <w:t xml:space="preserve"> zákonnými</w:t>
      </w:r>
      <w:r>
        <w:t xml:space="preserve"> </w:t>
      </w:r>
      <w:r w:rsidRPr="004051D9">
        <w:t>postup</w:t>
      </w:r>
      <w:r>
        <w:t>y</w:t>
      </w:r>
      <w:r w:rsidRPr="004051D9">
        <w:t>.</w:t>
      </w:r>
      <w:r w:rsidR="00630CFE">
        <w:rPr>
          <w:b/>
        </w:rPr>
        <w:tab/>
      </w:r>
    </w:p>
    <w:p w:rsidR="00CA6A16" w:rsidRPr="00CA6A16" w:rsidRDefault="00CA6A16" w:rsidP="00CA6A16">
      <w:pPr>
        <w:pStyle w:val="Nadpis10"/>
      </w:pPr>
      <w:bookmarkStart w:id="120" w:name="_Toc536553957"/>
      <w:r>
        <w:t>Seznam zkratek</w:t>
      </w:r>
      <w:bookmarkEnd w:id="120"/>
    </w:p>
    <w:tbl>
      <w:tblPr>
        <w:tblStyle w:val="Mkatabulky"/>
        <w:tblW w:w="9072" w:type="dxa"/>
        <w:tblInd w:w="108" w:type="dxa"/>
        <w:tblLook w:val="04A0" w:firstRow="1" w:lastRow="0" w:firstColumn="1" w:lastColumn="0" w:noHBand="0" w:noVBand="1"/>
      </w:tblPr>
      <w:tblGrid>
        <w:gridCol w:w="1276"/>
        <w:gridCol w:w="7796"/>
      </w:tblGrid>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AIS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agendový informační systém</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APV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aplikační programové vybavení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BD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bytový dům</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ČAS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Česká agentura pro standardizaci </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ČKA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komora architektů</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ČKAIT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komora autorizovaných inženýrů a techniků činných ve výstavbě</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republika</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ČSN</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české technické normy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ČÚZK</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Český úřad zeměměřický a katastrální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DO</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dotčený orgán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DPH</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daň z přidané hodnoty</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DPS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dotčený právní subjekt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DÚR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dokumentace pro územní řízení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EIA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vyhodnocení vlivů na životní prostředí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EU</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Evropské unie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E05DA4">
              <w:rPr>
                <w:rFonts w:cs="Arial"/>
                <w:szCs w:val="24"/>
              </w:rPr>
              <w:t>GFŘ</w:t>
            </w:r>
          </w:p>
        </w:tc>
        <w:tc>
          <w:tcPr>
            <w:tcW w:w="7796" w:type="dxa"/>
            <w:vAlign w:val="center"/>
          </w:tcPr>
          <w:p w:rsidR="00533FC0" w:rsidRPr="00CA6A16" w:rsidRDefault="00533FC0" w:rsidP="00CA6A16">
            <w:pPr>
              <w:spacing w:before="0" w:after="0"/>
              <w:jc w:val="left"/>
              <w:rPr>
                <w:rFonts w:cs="Arial"/>
                <w:noProof/>
                <w:szCs w:val="24"/>
              </w:rPr>
            </w:pPr>
            <w:r>
              <w:rPr>
                <w:rFonts w:cs="Arial"/>
                <w:noProof/>
                <w:szCs w:val="24"/>
              </w:rPr>
              <w:t>generální finanční ředitelství</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GIS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geografický informační systém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HDP</w:t>
            </w:r>
          </w:p>
        </w:tc>
        <w:tc>
          <w:tcPr>
            <w:tcW w:w="7796" w:type="dxa"/>
            <w:vAlign w:val="center"/>
          </w:tcPr>
          <w:p w:rsidR="00533FC0" w:rsidRPr="00CA6A16" w:rsidRDefault="00533FC0">
            <w:pPr>
              <w:spacing w:before="0" w:after="0"/>
              <w:jc w:val="left"/>
              <w:rPr>
                <w:rFonts w:cs="Arial"/>
                <w:szCs w:val="24"/>
              </w:rPr>
            </w:pPr>
            <w:r>
              <w:rPr>
                <w:rFonts w:cs="Arial"/>
                <w:szCs w:val="24"/>
              </w:rPr>
              <w:t>hrubý domácí produkt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HK ČR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Hospodářská komora České republiky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lastRenderedPageBreak/>
              <w:t>HPH</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hrubá přidaná hodnota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HW</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fyzická výpočetní a jiná technika využívaná v rámci ICT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ICT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informační a komunikační technologie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ICTU</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ICT unie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IPPC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integrovaná prevence a omezování znečištění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IROP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integrovaný regionální operační program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IRR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vnitřní výnosové procento (Internal Rate of Return)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informační systém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dopravy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mil.</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milion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MK</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kultury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mld.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miliarda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MMR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pro místní rozvoj</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MPO</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průmyslu a obchodu</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spravedlnosti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MSP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malý a střední podnikatelé</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vnitra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MZe</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zemědělství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MŽP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životního prostředí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NIPOS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Národní informační a poradenské středisko pro kulturu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NKÚ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Nejvyšší kontrolní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NSS</w:t>
            </w:r>
          </w:p>
        </w:tc>
        <w:tc>
          <w:tcPr>
            <w:tcW w:w="7796" w:type="dxa"/>
            <w:vAlign w:val="center"/>
          </w:tcPr>
          <w:p w:rsidR="00533FC0" w:rsidRPr="00CA6A16" w:rsidRDefault="00533FC0" w:rsidP="00CA6A16">
            <w:pPr>
              <w:spacing w:before="0" w:after="0"/>
              <w:jc w:val="left"/>
              <w:rPr>
                <w:rFonts w:cs="Arial"/>
                <w:szCs w:val="24"/>
              </w:rPr>
            </w:pPr>
            <w:r>
              <w:rPr>
                <w:rFonts w:cs="Arial"/>
                <w:szCs w:val="24"/>
              </w:rPr>
              <w:t>Nejvyšší správní soud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Nejvyšší stavební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OOP</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opatření obecné povahy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1D3B77">
              <w:rPr>
                <w:rFonts w:cs="Arial"/>
                <w:szCs w:val="24"/>
              </w:rPr>
              <w:t>ORP</w:t>
            </w:r>
          </w:p>
        </w:tc>
        <w:tc>
          <w:tcPr>
            <w:tcW w:w="7796" w:type="dxa"/>
            <w:vAlign w:val="center"/>
          </w:tcPr>
          <w:p w:rsidR="00533FC0" w:rsidRPr="00CA6A16" w:rsidRDefault="00533FC0" w:rsidP="00CA6A16">
            <w:pPr>
              <w:spacing w:before="0" w:after="0"/>
              <w:jc w:val="left"/>
              <w:rPr>
                <w:rFonts w:cs="Arial"/>
                <w:szCs w:val="24"/>
              </w:rPr>
            </w:pPr>
            <w:r w:rsidRPr="001D3B77">
              <w:rPr>
                <w:rFonts w:cs="Arial"/>
                <w:szCs w:val="24"/>
              </w:rPr>
              <w:t>obec s rozšířenou působností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obecný stavební úřad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 xml:space="preserve">OÚ </w:t>
            </w:r>
            <w:r w:rsidRPr="00CA6A16">
              <w:rPr>
                <w:rFonts w:cs="Arial"/>
                <w:szCs w:val="24"/>
              </w:rPr>
              <w:t>ORP</w:t>
            </w:r>
          </w:p>
        </w:tc>
        <w:tc>
          <w:tcPr>
            <w:tcW w:w="7796" w:type="dxa"/>
            <w:vAlign w:val="center"/>
          </w:tcPr>
          <w:p w:rsidR="00533FC0" w:rsidRPr="00CA6A16" w:rsidRDefault="00533FC0" w:rsidP="00CA6A16">
            <w:pPr>
              <w:spacing w:before="0" w:after="0"/>
              <w:jc w:val="left"/>
              <w:rPr>
                <w:rFonts w:cs="Arial"/>
                <w:szCs w:val="24"/>
              </w:rPr>
            </w:pPr>
            <w:r>
              <w:rPr>
                <w:rFonts w:cs="Arial"/>
                <w:szCs w:val="24"/>
              </w:rPr>
              <w:t xml:space="preserve">obecní úřad </w:t>
            </w:r>
            <w:r w:rsidRPr="00CA6A16">
              <w:rPr>
                <w:rFonts w:cs="Arial"/>
                <w:szCs w:val="24"/>
              </w:rPr>
              <w:t>obec s rozšířenou působností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OVV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ostatní věcné výdaje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OZV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obecně závazná vyhláška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PI</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Památková inspekce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POÚ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pověřený obecní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přenesená působnost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památkové rezervace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platová třída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PÚR</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Ppolitika územního rozvoje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památkové zóny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RD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rodinný dům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RIA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hodnocení dopadů regulace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RP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regulační plán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ŘSD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Ředitelství silnic a dálnic ČR</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SFDI</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Státní fond dopravní infrastruktury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samostatná působnost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 – 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 pro stavby pozemních komunikací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 – 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 pro stavby vodních děl</w:t>
            </w:r>
          </w:p>
        </w:tc>
      </w:tr>
      <w:tr w:rsidR="00533FC0" w:rsidRPr="004155BD" w:rsidTr="00BA30EC">
        <w:tc>
          <w:tcPr>
            <w:tcW w:w="1276" w:type="dxa"/>
            <w:vAlign w:val="center"/>
          </w:tcPr>
          <w:p w:rsidR="00533FC0" w:rsidRPr="00CA6A16" w:rsidRDefault="00533FC0" w:rsidP="00BA30EC">
            <w:pPr>
              <w:spacing w:before="0" w:after="0"/>
              <w:jc w:val="left"/>
              <w:rPr>
                <w:rFonts w:cs="Arial"/>
                <w:szCs w:val="24"/>
              </w:rPr>
            </w:pPr>
            <w:r>
              <w:rPr>
                <w:rFonts w:cs="Arial"/>
                <w:szCs w:val="24"/>
              </w:rPr>
              <w:t xml:space="preserve">stávající stavební zákon nebo </w:t>
            </w:r>
            <w:r w:rsidRPr="00CA6A16">
              <w:rPr>
                <w:rFonts w:cs="Arial"/>
                <w:szCs w:val="24"/>
              </w:rPr>
              <w:t>SZ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zákona č. 183/2006 Sb., o územním plánování a stavebním řádu (stavební zákon), ve znění pozdějších předpisů</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SŽDC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Správa železniční dopravní cesty, státní organizace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lastRenderedPageBreak/>
              <w:t>ÚNMZ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Úřadem pro technickou normalizaci, metrologii a státní zkušebnictví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ÚPD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územně plánovací dokumentace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ÚS</w:t>
            </w:r>
          </w:p>
        </w:tc>
        <w:tc>
          <w:tcPr>
            <w:tcW w:w="7796" w:type="dxa"/>
            <w:vAlign w:val="center"/>
          </w:tcPr>
          <w:p w:rsidR="00533FC0" w:rsidRPr="00CA6A16" w:rsidRDefault="00533FC0" w:rsidP="00CA6A16">
            <w:pPr>
              <w:spacing w:before="0" w:after="0"/>
              <w:jc w:val="left"/>
              <w:rPr>
                <w:rFonts w:cs="Arial"/>
                <w:szCs w:val="24"/>
              </w:rPr>
            </w:pPr>
            <w:r>
              <w:rPr>
                <w:rFonts w:cs="Arial"/>
                <w:szCs w:val="24"/>
              </w:rPr>
              <w:t>ústavní soud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ÚÚP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úřad územního plánování na obecním úřadu ORP</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ÚÚR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Ústav územního rozvoje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VHD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veřejná hromadná doprava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VRT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vysokorychlostní tratě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vodoprávní úřad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WACC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průměrné náklady kapitálu (Weighted Average Cost of Capital)</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základní působností (obce I. typu)</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ZPF</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zemědělský půdní fond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ZÚR</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zásady územního rozvoje</w:t>
            </w:r>
          </w:p>
        </w:tc>
      </w:tr>
    </w:tbl>
    <w:p w:rsidR="005A24BC" w:rsidRDefault="005A24BC" w:rsidP="00B22276">
      <w:pPr>
        <w:widowControl w:val="0"/>
      </w:pPr>
    </w:p>
    <w:p w:rsidR="008D1952" w:rsidRPr="00CA6A16" w:rsidRDefault="008D1952" w:rsidP="008D1952">
      <w:pPr>
        <w:pStyle w:val="Nadpis10"/>
      </w:pPr>
      <w:bookmarkStart w:id="121" w:name="_Toc536553958"/>
      <w:r>
        <w:t>Kontakt na zpracovatele RIA</w:t>
      </w:r>
      <w:bookmarkEnd w:id="121"/>
    </w:p>
    <w:p w:rsidR="0018122C" w:rsidRDefault="0018122C" w:rsidP="0018122C">
      <w:pPr>
        <w:widowControl w:val="0"/>
        <w:spacing w:before="0" w:after="0"/>
      </w:pPr>
      <w:r w:rsidRPr="0018122C">
        <w:t>PhDr. Dita Tesárková</w:t>
      </w:r>
    </w:p>
    <w:p w:rsidR="00B22276" w:rsidRDefault="008D1952" w:rsidP="0018122C">
      <w:pPr>
        <w:widowControl w:val="0"/>
        <w:spacing w:before="0" w:after="0"/>
      </w:pPr>
      <w:r>
        <w:t>EEIP, a. s.</w:t>
      </w:r>
    </w:p>
    <w:p w:rsidR="0018122C" w:rsidRDefault="0018122C" w:rsidP="0018122C">
      <w:pPr>
        <w:widowControl w:val="0"/>
        <w:spacing w:before="0" w:after="0"/>
      </w:pPr>
      <w:r w:rsidRPr="0018122C">
        <w:t>tel</w:t>
      </w:r>
      <w:r>
        <w:t>.</w:t>
      </w:r>
      <w:r w:rsidRPr="0018122C">
        <w:t>: +420 257 222</w:t>
      </w:r>
      <w:r>
        <w:t> </w:t>
      </w:r>
      <w:r w:rsidRPr="0018122C">
        <w:t>406</w:t>
      </w:r>
    </w:p>
    <w:p w:rsidR="0018122C" w:rsidRPr="00B22276" w:rsidRDefault="0018122C" w:rsidP="0018122C">
      <w:pPr>
        <w:widowControl w:val="0"/>
        <w:spacing w:before="0" w:after="0"/>
      </w:pPr>
      <w:r w:rsidRPr="0018122C">
        <w:t>e-mail: dita.tesarkova@eeip.cz</w:t>
      </w:r>
    </w:p>
    <w:sectPr w:rsidR="0018122C" w:rsidRPr="00B22276" w:rsidSect="00E42312">
      <w:footerReference w:type="default" r:id="rId57"/>
      <w:type w:val="continuous"/>
      <w:pgSz w:w="11906" w:h="16838" w:code="9"/>
      <w:pgMar w:top="1843"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0E9" w:rsidRDefault="007750E9" w:rsidP="0030783E">
      <w:r>
        <w:separator/>
      </w:r>
    </w:p>
  </w:endnote>
  <w:endnote w:type="continuationSeparator" w:id="0">
    <w:p w:rsidR="007750E9" w:rsidRDefault="007750E9" w:rsidP="0030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T*Switzerland">
    <w:altName w:val="Times New Roman"/>
    <w:charset w:val="00"/>
    <w:family w:val="auto"/>
    <w:pitch w:val="variable"/>
    <w:sig w:usb0="00000003" w:usb1="00000000" w:usb2="00000000" w:usb3="00000000" w:csb0="00000001"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Roman">
    <w:altName w:val="MS Mincho"/>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632468219"/>
      <w:docPartObj>
        <w:docPartGallery w:val="Page Numbers (Bottom of Page)"/>
        <w:docPartUnique/>
      </w:docPartObj>
    </w:sdtPr>
    <w:sdtEndPr/>
    <w:sdtContent>
      <w:p w:rsidR="00CE3723" w:rsidRPr="00D46380" w:rsidRDefault="00CE3723">
        <w:pPr>
          <w:pStyle w:val="Zpat"/>
          <w:jc w:val="center"/>
          <w:rPr>
            <w:rFonts w:ascii="Arial" w:hAnsi="Arial" w:cs="Arial"/>
            <w:sz w:val="16"/>
            <w:szCs w:val="16"/>
          </w:rPr>
        </w:pPr>
        <w:r w:rsidRPr="00D46380">
          <w:rPr>
            <w:rFonts w:ascii="Arial" w:hAnsi="Arial" w:cs="Arial"/>
            <w:sz w:val="16"/>
            <w:szCs w:val="16"/>
          </w:rPr>
          <w:t xml:space="preserve">str. </w:t>
        </w:r>
        <w:r w:rsidRPr="00D46380">
          <w:rPr>
            <w:rFonts w:ascii="Arial" w:hAnsi="Arial" w:cs="Arial"/>
            <w:sz w:val="16"/>
            <w:szCs w:val="16"/>
          </w:rPr>
          <w:fldChar w:fldCharType="begin"/>
        </w:r>
        <w:r w:rsidRPr="00D46380">
          <w:rPr>
            <w:rFonts w:ascii="Arial" w:hAnsi="Arial" w:cs="Arial"/>
            <w:sz w:val="16"/>
            <w:szCs w:val="16"/>
          </w:rPr>
          <w:instrText xml:space="preserve"> PAGE   \* MERGEFORMAT </w:instrText>
        </w:r>
        <w:r w:rsidRPr="00D46380">
          <w:rPr>
            <w:rFonts w:ascii="Arial" w:hAnsi="Arial" w:cs="Arial"/>
            <w:sz w:val="16"/>
            <w:szCs w:val="16"/>
          </w:rPr>
          <w:fldChar w:fldCharType="separate"/>
        </w:r>
        <w:r w:rsidR="000E21C9">
          <w:rPr>
            <w:rFonts w:ascii="Arial" w:hAnsi="Arial" w:cs="Arial"/>
            <w:noProof/>
            <w:sz w:val="16"/>
            <w:szCs w:val="16"/>
          </w:rPr>
          <w:t>1</w:t>
        </w:r>
        <w:r w:rsidRPr="00D46380">
          <w:rPr>
            <w:rFonts w:ascii="Arial" w:hAnsi="Arial" w:cs="Arial"/>
            <w:noProof/>
            <w:sz w:val="16"/>
            <w:szCs w:val="16"/>
          </w:rPr>
          <w:fldChar w:fldCharType="end"/>
        </w:r>
        <w:r w:rsidRPr="00D46380">
          <w:rPr>
            <w:rFonts w:ascii="Arial" w:hAnsi="Arial" w:cs="Arial"/>
            <w:noProof/>
            <w:sz w:val="16"/>
            <w:szCs w:val="16"/>
          </w:rPr>
          <w:t>/</w:t>
        </w:r>
        <w:r w:rsidRPr="00D46380">
          <w:rPr>
            <w:rFonts w:ascii="Arial" w:hAnsi="Arial" w:cs="Arial"/>
            <w:noProof/>
            <w:sz w:val="16"/>
            <w:szCs w:val="16"/>
          </w:rPr>
          <w:fldChar w:fldCharType="begin"/>
        </w:r>
        <w:r w:rsidRPr="00D46380">
          <w:rPr>
            <w:rFonts w:ascii="Arial" w:hAnsi="Arial" w:cs="Arial"/>
            <w:noProof/>
            <w:sz w:val="16"/>
            <w:szCs w:val="16"/>
          </w:rPr>
          <w:instrText xml:space="preserve"> NUMPAGES   \* MERGEFORMAT </w:instrText>
        </w:r>
        <w:r w:rsidRPr="00D46380">
          <w:rPr>
            <w:rFonts w:ascii="Arial" w:hAnsi="Arial" w:cs="Arial"/>
            <w:noProof/>
            <w:sz w:val="16"/>
            <w:szCs w:val="16"/>
          </w:rPr>
          <w:fldChar w:fldCharType="separate"/>
        </w:r>
        <w:r w:rsidR="000E21C9">
          <w:rPr>
            <w:rFonts w:ascii="Arial" w:hAnsi="Arial" w:cs="Arial"/>
            <w:noProof/>
            <w:sz w:val="16"/>
            <w:szCs w:val="16"/>
          </w:rPr>
          <w:t>107</w:t>
        </w:r>
        <w:r w:rsidRPr="00D46380">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0E9" w:rsidRDefault="007750E9" w:rsidP="0030783E">
      <w:r>
        <w:separator/>
      </w:r>
    </w:p>
  </w:footnote>
  <w:footnote w:type="continuationSeparator" w:id="0">
    <w:p w:rsidR="007750E9" w:rsidRDefault="007750E9" w:rsidP="0030783E">
      <w:r>
        <w:continuationSeparator/>
      </w:r>
    </w:p>
  </w:footnote>
  <w:footnote w:id="1">
    <w:p w:rsidR="00CE3723" w:rsidRDefault="00CE3723">
      <w:pPr>
        <w:pStyle w:val="Textpoznpodarou"/>
      </w:pPr>
      <w:r>
        <w:rPr>
          <w:rStyle w:val="Znakapoznpodarou"/>
        </w:rPr>
        <w:footnoteRef/>
      </w:r>
      <w:r>
        <w:t xml:space="preserve"> </w:t>
      </w:r>
      <w:r w:rsidRPr="006F13D5">
        <w:t>http://www.statistikaamy.cz/2018/06/pocet-stavebnich-povoleni-dosahl-urovne-roku-2013/</w:t>
      </w:r>
      <w:r>
        <w:t>.</w:t>
      </w:r>
    </w:p>
  </w:footnote>
  <w:footnote w:id="2">
    <w:p w:rsidR="00CE3723" w:rsidRDefault="00CE3723" w:rsidP="006F13D5">
      <w:pPr>
        <w:pStyle w:val="Textpoznpodarou"/>
      </w:pPr>
      <w:r>
        <w:rPr>
          <w:rStyle w:val="Znakapoznpodarou"/>
        </w:rPr>
        <w:footnoteRef/>
      </w:r>
      <w:r>
        <w:t xml:space="preserve"> </w:t>
      </w:r>
      <w:r w:rsidRPr="006F13D5">
        <w:t>http://www.statistikaamy.cz/2018/06/pocet-stavebnich-povoleni-dosahl-urovne-roku-2013/</w:t>
      </w:r>
    </w:p>
  </w:footnote>
  <w:footnote w:id="3">
    <w:p w:rsidR="00CE3723" w:rsidRDefault="00CE3723" w:rsidP="006F13D5">
      <w:pPr>
        <w:pStyle w:val="Textpoznpodarou"/>
      </w:pPr>
      <w:r>
        <w:rPr>
          <w:rStyle w:val="Znakapoznpodarou"/>
        </w:rPr>
        <w:footnoteRef/>
      </w:r>
      <w:r>
        <w:t xml:space="preserve"> </w:t>
      </w:r>
      <w:r w:rsidRPr="006F13D5">
        <w:t>http://www.statistikaamy.cz/2018/06/pocet-stavebnich-povoleni-dosahl-urovne-roku-2013/</w:t>
      </w:r>
    </w:p>
  </w:footnote>
  <w:footnote w:id="4">
    <w:p w:rsidR="00CE3723" w:rsidRDefault="00CE3723">
      <w:pPr>
        <w:pStyle w:val="Textpoznpodarou"/>
      </w:pPr>
      <w:r>
        <w:rPr>
          <w:rStyle w:val="Znakapoznpodarou"/>
        </w:rPr>
        <w:footnoteRef/>
      </w:r>
      <w:r>
        <w:t xml:space="preserve"> V následující části budou používány především dva termíny popisující multiplikaci efektů stavebnictví v národní ekonomice – tj. transakční a fiskální multiplikátor. </w:t>
      </w:r>
      <w:r w:rsidRPr="003C2587">
        <w:t xml:space="preserve">Často bývá při kvantifikaci a interpretaci chybně zaměňován multiplikátor fiskální za multiplikátor transakční, který ukazuje nárůst produkce včetně veškeré mezispotřeby jednotlivých odvětví, čímž celkový ekonomický dopad nadhodnocuje. </w:t>
      </w:r>
      <w:r>
        <w:t>T</w:t>
      </w:r>
      <w:r w:rsidRPr="003C2587">
        <w:t>ransakční multiplikátor vypočítaný z input-output tabulek obsahuje jen nárůst produkce v</w:t>
      </w:r>
      <w:r>
        <w:t> </w:t>
      </w:r>
      <w:r w:rsidRPr="003C2587">
        <w:t>důsledku prvotního navýšení poptávky a následných poptávek jednotlivých odvětví po vstupech nutných k realizování produkce. Neobsahuje již nárůst spotřeby v důsledku zvýšených čistých příjmů domácností a</w:t>
      </w:r>
      <w:r>
        <w:t> </w:t>
      </w:r>
      <w:r w:rsidRPr="003C2587">
        <w:t>investice z provozních přebytků jednotlivých odvětví.</w:t>
      </w:r>
    </w:p>
  </w:footnote>
  <w:footnote w:id="5">
    <w:p w:rsidR="00CE3723" w:rsidRDefault="00CE3723" w:rsidP="00BB7844">
      <w:pPr>
        <w:pStyle w:val="Textpoznpodarou"/>
      </w:pPr>
      <w:r>
        <w:rPr>
          <w:rStyle w:val="Znakapoznpodarou"/>
        </w:rPr>
        <w:footnoteRef/>
      </w:r>
      <w:r>
        <w:t xml:space="preserve"> </w:t>
      </w:r>
      <w:r w:rsidRPr="00BB7844">
        <w:rPr>
          <w:u w:val="single"/>
        </w:rPr>
        <w:t>přímý dopad</w:t>
      </w:r>
      <w:r>
        <w:t xml:space="preserve"> - změna v produkci, přidané hodnotě, zaměstnanosti průmyslu; </w:t>
      </w:r>
      <w:r w:rsidRPr="00BB7844">
        <w:rPr>
          <w:u w:val="single"/>
        </w:rPr>
        <w:t>nepřímý dopad</w:t>
      </w:r>
      <w:r>
        <w:t xml:space="preserve"> - vliv změněné poptávky po produktech průmyslu na produkci, přidanou hodnotu, zaměstnanost apod. jiných odvětví a jejich dalších subdodavatelů atd. až na samotný začátek hodnotového řetězce; </w:t>
      </w:r>
      <w:r w:rsidRPr="00BB7844">
        <w:rPr>
          <w:u w:val="single"/>
        </w:rPr>
        <w:t>indukovaný dopad</w:t>
      </w:r>
      <w:r>
        <w:t xml:space="preserve"> - produkce vyvolaná přímým a nepřímým dopadem automaticky představuje zvýšený příjem domácností; z tohoto příjmu domácnosti část uspoří a část utratí - částečně za zahraniční zboží, částečně za české, což vyvolá další zvýšenou produkci, přidanou hodnotu atd. a tento efekt je indukovaným dopadem; </w:t>
      </w:r>
      <w:r w:rsidRPr="00BB7844">
        <w:rPr>
          <w:u w:val="single"/>
        </w:rPr>
        <w:t>spillover efekty</w:t>
      </w:r>
      <w:r>
        <w:t xml:space="preserve"> - ekonomické dopady, které nejsou nijak zobrazeny v odvětvových statistikách, jde o parametry, které lze obtížně kvantifikovat</w:t>
      </w:r>
    </w:p>
  </w:footnote>
  <w:footnote w:id="6">
    <w:p w:rsidR="00CE3723" w:rsidRDefault="00CE3723" w:rsidP="002E3F08">
      <w:pPr>
        <w:pStyle w:val="Textpoznpodarou"/>
      </w:pPr>
      <w:r>
        <w:rPr>
          <w:rStyle w:val="Znakapoznpodarou"/>
        </w:rPr>
        <w:footnoteRef/>
      </w:r>
      <w:r>
        <w:t xml:space="preserve"> Předpokládáme stejný poměr spotřeby domácností pro nárůst spotřeby jako je v celkové spotřebě domácností jednotlivých statků. Dále předpokládáme průměrný mezní sklon ke spotřebě ve výši 90 % (vychází z konzervativního předpokladu předchozích studií), průměrný poměr mezi čistým příjmem zaměstnanců a osobními náklady ve výši 60 % a část zisků převedených do zahraničí ve výši 19,5 % (vychází z bilance výnosů, HDP a provozních přebytků).</w:t>
      </w:r>
    </w:p>
  </w:footnote>
  <w:footnote w:id="7">
    <w:p w:rsidR="00CE3723" w:rsidRDefault="00CE3723" w:rsidP="002E3F08">
      <w:pPr>
        <w:pStyle w:val="Textpoznpodarou"/>
      </w:pPr>
      <w:r>
        <w:rPr>
          <w:rStyle w:val="Znakapoznpodarou"/>
        </w:rPr>
        <w:footnoteRef/>
      </w:r>
      <w:r>
        <w:t xml:space="preserve"> Přibližně 10 % investičních nákladů tvoří příprava, dokumentace, náklady </w:t>
      </w:r>
      <w:r w:rsidRPr="0039256C">
        <w:t>povolovací</w:t>
      </w:r>
      <w:r>
        <w:t>ho řízení, příp. výkupy pozemků aj. Zbývajících 90 % tvoří náklady na stavební práce.</w:t>
      </w:r>
    </w:p>
  </w:footnote>
  <w:footnote w:id="8">
    <w:p w:rsidR="00CE3723" w:rsidRDefault="00CE3723" w:rsidP="00F16D67">
      <w:pPr>
        <w:pStyle w:val="Textpoznpodarou"/>
      </w:pPr>
      <w:r>
        <w:rPr>
          <w:rStyle w:val="Znakapoznpodarou"/>
        </w:rPr>
        <w:footnoteRef/>
      </w:r>
      <w:r>
        <w:t xml:space="preserve"> Mimoúrovňová křižovatka</w:t>
      </w:r>
    </w:p>
  </w:footnote>
  <w:footnote w:id="9">
    <w:p w:rsidR="00CE3723" w:rsidRDefault="00CE3723" w:rsidP="007E62EE">
      <w:pPr>
        <w:pStyle w:val="Textpoznpodarou"/>
      </w:pPr>
      <w:r>
        <w:rPr>
          <w:rStyle w:val="Znakapoznpodarou"/>
        </w:rPr>
        <w:footnoteRef/>
      </w:r>
      <w:r>
        <w:t xml:space="preserve"> Zařazení do 15. platové třídy odpovídá platnému zařazení předsedy ČÚZK stanovenému vládou ČR a současně i charakteristice platových tříd uvedené v příloze č. 1 k zákonu č. 234/2014 Sb., o státní službě, kterou je stanovena charakteristika platových tříd státních zaměstnanců. Odpovídá cca 50 000,- Kč měsíčně při 12. platovém stupni (2018).</w:t>
      </w:r>
    </w:p>
  </w:footnote>
  <w:footnote w:id="10">
    <w:p w:rsidR="00CE3723" w:rsidRDefault="00CE3723" w:rsidP="00F33442">
      <w:pPr>
        <w:pStyle w:val="Textpoznpodarou"/>
      </w:pPr>
      <w:r>
        <w:rPr>
          <w:rStyle w:val="Znakapoznpodarou"/>
        </w:rPr>
        <w:footnoteRef/>
      </w:r>
      <w:r>
        <w:t xml:space="preserve"> </w:t>
      </w:r>
      <w:r w:rsidRPr="00F33442">
        <w:t>Analýzy financování výkonu státní správy a samosprávy územních samosprávných celků, která poskytne relevantní množství dat pro přípravu nového zákona o RUD, VŠE, 2009)</w:t>
      </w:r>
    </w:p>
  </w:footnote>
  <w:footnote w:id="11">
    <w:p w:rsidR="00CE3723" w:rsidRDefault="00CE3723" w:rsidP="007E62EE">
      <w:pPr>
        <w:pStyle w:val="Textpoznpodarou"/>
      </w:pPr>
      <w:r>
        <w:rPr>
          <w:rStyle w:val="Znakapoznpodarou"/>
        </w:rPr>
        <w:footnoteRef/>
      </w:r>
      <w:r>
        <w:t xml:space="preserve"> Odhad administrativních nákladů ušetřených díky zefektivnění a elektronizaci procesů v rámci výkonu veřejné správy bude vycházet z průměrné časové náročnosti úkonu a ceny práce (včetně režijních nákladů). Pro výpočet osobních a režijních nákladů vycházíme z Obecných zásad hodnocení dopadů regulace a rovněž z metodiky Ministerstva vnitra (2007) pro výpočet mzdových a režijních nákladů viz kapitola „</w:t>
      </w:r>
      <w:r w:rsidRPr="00B50F2B">
        <w:t>2 - 3 Návrh variant řešení, vyhodnocení nákladů a přínosů - hodnocení dopadů opatření jednotlivých věcně souvisejících okruhů</w:t>
      </w:r>
      <w:r>
        <w:t xml:space="preserve">“. </w:t>
      </w:r>
    </w:p>
  </w:footnote>
  <w:footnote w:id="12">
    <w:p w:rsidR="00CE3723" w:rsidRDefault="00CE3723" w:rsidP="00A15323">
      <w:pPr>
        <w:pStyle w:val="Textpoznpodarou"/>
      </w:pPr>
      <w:r>
        <w:rPr>
          <w:rStyle w:val="Znakapoznpodarou"/>
        </w:rPr>
        <w:footnoteRef/>
      </w:r>
      <w:r>
        <w:t xml:space="preserve"> </w:t>
      </w:r>
      <w:r w:rsidRPr="00FB380D">
        <w:t>HRUŠKA, L.; HRUŠKOVÁ, A.; FOLDYNOVÁ, I.; a kol. Analýza vybraných prostorových aspektů veřejné správy a zlepšení dostupnosti jejích služeb. Ostrava: PROCES – Centrum pro rozvoj obcí a regionů, s.r.o., 2018.</w:t>
      </w:r>
    </w:p>
  </w:footnote>
  <w:footnote w:id="13">
    <w:p w:rsidR="00CE3723" w:rsidRDefault="00CE3723" w:rsidP="001F5FD6">
      <w:pPr>
        <w:pStyle w:val="Textpoznpodarou"/>
      </w:pPr>
      <w:r>
        <w:rPr>
          <w:rStyle w:val="Znakapoznpodarou"/>
        </w:rPr>
        <w:footnoteRef/>
      </w:r>
      <w:r>
        <w:t xml:space="preserve"> Společnost eNovation s.r.o. v dubnu 2015 zpracovala pro ČTÚ </w:t>
      </w:r>
      <w:r w:rsidRPr="00560D8B">
        <w:t>Projekt studie Registru pasivní infrastruktury – Výstup II Studie proveditelnosti.</w:t>
      </w:r>
    </w:p>
  </w:footnote>
  <w:footnote w:id="14">
    <w:p w:rsidR="00CE3723" w:rsidRPr="00FB334D" w:rsidRDefault="00CE3723" w:rsidP="005A24BC">
      <w:pPr>
        <w:pStyle w:val="Textpoznpodarou"/>
        <w:rPr>
          <w:color w:val="000000" w:themeColor="text1"/>
          <w:sz w:val="20"/>
        </w:rPr>
      </w:pPr>
      <w:r w:rsidRPr="00FB334D">
        <w:rPr>
          <w:rStyle w:val="Znakapoznpodarou"/>
          <w:color w:val="000000" w:themeColor="text1"/>
          <w:sz w:val="20"/>
        </w:rPr>
        <w:footnoteRef/>
      </w:r>
      <w:r w:rsidRPr="00FB334D">
        <w:rPr>
          <w:color w:val="000000" w:themeColor="text1"/>
          <w:sz w:val="20"/>
        </w:rPr>
        <w:t xml:space="preserve"> Tato novela nabyla účinnosti dne 1. 1. 2018. Poslední novela byla provedena zákonem č. 169/2018 Sb. s účinností od 1. 9.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nsid w:val="0296507A"/>
    <w:multiLevelType w:val="hybridMultilevel"/>
    <w:tmpl w:val="20A263BC"/>
    <w:lvl w:ilvl="0" w:tplc="E2461A9A">
      <w:start w:val="1"/>
      <w:numFmt w:val="bullet"/>
      <w:lvlText w:val="→"/>
      <w:lvlJc w:val="left"/>
      <w:pPr>
        <w:ind w:left="710" w:hanging="360"/>
      </w:pPr>
      <w:rPr>
        <w:rFonts w:ascii="Garamond" w:hAnsi="Garamond" w:hint="default"/>
      </w:rPr>
    </w:lvl>
    <w:lvl w:ilvl="1" w:tplc="04050003" w:tentative="1">
      <w:start w:val="1"/>
      <w:numFmt w:val="bullet"/>
      <w:lvlText w:val="o"/>
      <w:lvlJc w:val="left"/>
      <w:pPr>
        <w:ind w:left="1430" w:hanging="360"/>
      </w:pPr>
      <w:rPr>
        <w:rFonts w:ascii="Courier New" w:hAnsi="Courier New" w:cs="Courier New" w:hint="default"/>
      </w:rPr>
    </w:lvl>
    <w:lvl w:ilvl="2" w:tplc="04050005" w:tentative="1">
      <w:start w:val="1"/>
      <w:numFmt w:val="bullet"/>
      <w:lvlText w:val=""/>
      <w:lvlJc w:val="left"/>
      <w:pPr>
        <w:ind w:left="2150" w:hanging="360"/>
      </w:pPr>
      <w:rPr>
        <w:rFonts w:ascii="Wingdings" w:hAnsi="Wingdings" w:hint="default"/>
      </w:rPr>
    </w:lvl>
    <w:lvl w:ilvl="3" w:tplc="04050001" w:tentative="1">
      <w:start w:val="1"/>
      <w:numFmt w:val="bullet"/>
      <w:lvlText w:val=""/>
      <w:lvlJc w:val="left"/>
      <w:pPr>
        <w:ind w:left="2870" w:hanging="360"/>
      </w:pPr>
      <w:rPr>
        <w:rFonts w:ascii="Symbol" w:hAnsi="Symbol" w:hint="default"/>
      </w:rPr>
    </w:lvl>
    <w:lvl w:ilvl="4" w:tplc="04050003" w:tentative="1">
      <w:start w:val="1"/>
      <w:numFmt w:val="bullet"/>
      <w:lvlText w:val="o"/>
      <w:lvlJc w:val="left"/>
      <w:pPr>
        <w:ind w:left="3590" w:hanging="360"/>
      </w:pPr>
      <w:rPr>
        <w:rFonts w:ascii="Courier New" w:hAnsi="Courier New" w:cs="Courier New" w:hint="default"/>
      </w:rPr>
    </w:lvl>
    <w:lvl w:ilvl="5" w:tplc="04050005" w:tentative="1">
      <w:start w:val="1"/>
      <w:numFmt w:val="bullet"/>
      <w:lvlText w:val=""/>
      <w:lvlJc w:val="left"/>
      <w:pPr>
        <w:ind w:left="4310" w:hanging="360"/>
      </w:pPr>
      <w:rPr>
        <w:rFonts w:ascii="Wingdings" w:hAnsi="Wingdings" w:hint="default"/>
      </w:rPr>
    </w:lvl>
    <w:lvl w:ilvl="6" w:tplc="04050001" w:tentative="1">
      <w:start w:val="1"/>
      <w:numFmt w:val="bullet"/>
      <w:lvlText w:val=""/>
      <w:lvlJc w:val="left"/>
      <w:pPr>
        <w:ind w:left="5030" w:hanging="360"/>
      </w:pPr>
      <w:rPr>
        <w:rFonts w:ascii="Symbol" w:hAnsi="Symbol" w:hint="default"/>
      </w:rPr>
    </w:lvl>
    <w:lvl w:ilvl="7" w:tplc="04050003" w:tentative="1">
      <w:start w:val="1"/>
      <w:numFmt w:val="bullet"/>
      <w:lvlText w:val="o"/>
      <w:lvlJc w:val="left"/>
      <w:pPr>
        <w:ind w:left="5750" w:hanging="360"/>
      </w:pPr>
      <w:rPr>
        <w:rFonts w:ascii="Courier New" w:hAnsi="Courier New" w:cs="Courier New" w:hint="default"/>
      </w:rPr>
    </w:lvl>
    <w:lvl w:ilvl="8" w:tplc="04050005" w:tentative="1">
      <w:start w:val="1"/>
      <w:numFmt w:val="bullet"/>
      <w:lvlText w:val=""/>
      <w:lvlJc w:val="left"/>
      <w:pPr>
        <w:ind w:left="6470" w:hanging="360"/>
      </w:pPr>
      <w:rPr>
        <w:rFonts w:ascii="Wingdings" w:hAnsi="Wingdings" w:hint="default"/>
      </w:rPr>
    </w:lvl>
  </w:abstractNum>
  <w:abstractNum w:abstractNumId="3">
    <w:nsid w:val="02DA14B6"/>
    <w:multiLevelType w:val="hybridMultilevel"/>
    <w:tmpl w:val="59A8EA46"/>
    <w:lvl w:ilvl="0" w:tplc="A532135E">
      <w:start w:val="1"/>
      <w:numFmt w:val="bullet"/>
      <w:lvlText w:val=""/>
      <w:lvlJc w:val="left"/>
      <w:pPr>
        <w:ind w:left="717" w:hanging="360"/>
      </w:pPr>
      <w:rPr>
        <w:rFonts w:ascii="Symbol" w:hAnsi="Symbol" w:hint="default"/>
      </w:rPr>
    </w:lvl>
    <w:lvl w:ilvl="1" w:tplc="04050003">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4">
    <w:nsid w:val="04490D73"/>
    <w:multiLevelType w:val="hybridMultilevel"/>
    <w:tmpl w:val="512ED764"/>
    <w:lvl w:ilvl="0" w:tplc="04050017">
      <w:start w:val="1"/>
      <w:numFmt w:val="lowerLetter"/>
      <w:lvlText w:val="%1)"/>
      <w:lvlJc w:val="left"/>
      <w:pPr>
        <w:ind w:left="718" w:hanging="360"/>
      </w:pPr>
    </w:lvl>
    <w:lvl w:ilvl="1" w:tplc="04050019" w:tentative="1">
      <w:start w:val="1"/>
      <w:numFmt w:val="lowerLetter"/>
      <w:lvlText w:val="%2."/>
      <w:lvlJc w:val="left"/>
      <w:pPr>
        <w:ind w:left="1438" w:hanging="360"/>
      </w:pPr>
    </w:lvl>
    <w:lvl w:ilvl="2" w:tplc="0405001B" w:tentative="1">
      <w:start w:val="1"/>
      <w:numFmt w:val="lowerRoman"/>
      <w:lvlText w:val="%3."/>
      <w:lvlJc w:val="right"/>
      <w:pPr>
        <w:ind w:left="2158" w:hanging="180"/>
      </w:pPr>
    </w:lvl>
    <w:lvl w:ilvl="3" w:tplc="0405000F" w:tentative="1">
      <w:start w:val="1"/>
      <w:numFmt w:val="decimal"/>
      <w:lvlText w:val="%4."/>
      <w:lvlJc w:val="left"/>
      <w:pPr>
        <w:ind w:left="2878" w:hanging="360"/>
      </w:pPr>
    </w:lvl>
    <w:lvl w:ilvl="4" w:tplc="04050019" w:tentative="1">
      <w:start w:val="1"/>
      <w:numFmt w:val="lowerLetter"/>
      <w:lvlText w:val="%5."/>
      <w:lvlJc w:val="left"/>
      <w:pPr>
        <w:ind w:left="3598" w:hanging="360"/>
      </w:pPr>
    </w:lvl>
    <w:lvl w:ilvl="5" w:tplc="0405001B" w:tentative="1">
      <w:start w:val="1"/>
      <w:numFmt w:val="lowerRoman"/>
      <w:lvlText w:val="%6."/>
      <w:lvlJc w:val="right"/>
      <w:pPr>
        <w:ind w:left="4318" w:hanging="180"/>
      </w:pPr>
    </w:lvl>
    <w:lvl w:ilvl="6" w:tplc="0405000F" w:tentative="1">
      <w:start w:val="1"/>
      <w:numFmt w:val="decimal"/>
      <w:lvlText w:val="%7."/>
      <w:lvlJc w:val="left"/>
      <w:pPr>
        <w:ind w:left="5038" w:hanging="360"/>
      </w:pPr>
    </w:lvl>
    <w:lvl w:ilvl="7" w:tplc="04050019" w:tentative="1">
      <w:start w:val="1"/>
      <w:numFmt w:val="lowerLetter"/>
      <w:lvlText w:val="%8."/>
      <w:lvlJc w:val="left"/>
      <w:pPr>
        <w:ind w:left="5758" w:hanging="360"/>
      </w:pPr>
    </w:lvl>
    <w:lvl w:ilvl="8" w:tplc="0405001B" w:tentative="1">
      <w:start w:val="1"/>
      <w:numFmt w:val="lowerRoman"/>
      <w:lvlText w:val="%9."/>
      <w:lvlJc w:val="right"/>
      <w:pPr>
        <w:ind w:left="6478" w:hanging="180"/>
      </w:pPr>
    </w:lvl>
  </w:abstractNum>
  <w:abstractNum w:abstractNumId="5">
    <w:nsid w:val="049E608E"/>
    <w:multiLevelType w:val="hybridMultilevel"/>
    <w:tmpl w:val="93B4EDA4"/>
    <w:lvl w:ilvl="0" w:tplc="2AF09662">
      <w:numFmt w:val="bullet"/>
      <w:pStyle w:val="Seznamsodrkami"/>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4BD6D2A"/>
    <w:multiLevelType w:val="hybridMultilevel"/>
    <w:tmpl w:val="EEDC0ADA"/>
    <w:lvl w:ilvl="0" w:tplc="A2BA41CE">
      <w:start w:val="1"/>
      <w:numFmt w:val="bullet"/>
      <w:pStyle w:val="odrazka"/>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7">
    <w:nsid w:val="07021736"/>
    <w:multiLevelType w:val="hybridMultilevel"/>
    <w:tmpl w:val="2676E64A"/>
    <w:lvl w:ilvl="0" w:tplc="606EF93C">
      <w:start w:val="1"/>
      <w:numFmt w:val="bullet"/>
      <w:pStyle w:val="Odrazka11"/>
      <w:lvlText w:val="-"/>
      <w:lvlJc w:val="left"/>
      <w:pPr>
        <w:ind w:left="149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
    <w:nsid w:val="093A295A"/>
    <w:multiLevelType w:val="hybridMultilevel"/>
    <w:tmpl w:val="1E224C96"/>
    <w:lvl w:ilvl="0" w:tplc="A532135E">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9">
    <w:nsid w:val="09470B2E"/>
    <w:multiLevelType w:val="hybridMultilevel"/>
    <w:tmpl w:val="3BBAA4B2"/>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10">
    <w:nsid w:val="0A4700C8"/>
    <w:multiLevelType w:val="hybridMultilevel"/>
    <w:tmpl w:val="4DBA360C"/>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A963DEA"/>
    <w:multiLevelType w:val="hybridMultilevel"/>
    <w:tmpl w:val="F8E61B5E"/>
    <w:lvl w:ilvl="0" w:tplc="04050017">
      <w:start w:val="1"/>
      <w:numFmt w:val="lowerLetter"/>
      <w:lvlText w:val="%1)"/>
      <w:lvlJc w:val="left"/>
      <w:pPr>
        <w:ind w:left="718" w:hanging="360"/>
      </w:pPr>
    </w:lvl>
    <w:lvl w:ilvl="1" w:tplc="04050019" w:tentative="1">
      <w:start w:val="1"/>
      <w:numFmt w:val="lowerLetter"/>
      <w:lvlText w:val="%2."/>
      <w:lvlJc w:val="left"/>
      <w:pPr>
        <w:ind w:left="1438" w:hanging="360"/>
      </w:pPr>
    </w:lvl>
    <w:lvl w:ilvl="2" w:tplc="0405001B" w:tentative="1">
      <w:start w:val="1"/>
      <w:numFmt w:val="lowerRoman"/>
      <w:lvlText w:val="%3."/>
      <w:lvlJc w:val="right"/>
      <w:pPr>
        <w:ind w:left="2158" w:hanging="180"/>
      </w:pPr>
    </w:lvl>
    <w:lvl w:ilvl="3" w:tplc="0405000F" w:tentative="1">
      <w:start w:val="1"/>
      <w:numFmt w:val="decimal"/>
      <w:lvlText w:val="%4."/>
      <w:lvlJc w:val="left"/>
      <w:pPr>
        <w:ind w:left="2878" w:hanging="360"/>
      </w:pPr>
    </w:lvl>
    <w:lvl w:ilvl="4" w:tplc="04050019" w:tentative="1">
      <w:start w:val="1"/>
      <w:numFmt w:val="lowerLetter"/>
      <w:lvlText w:val="%5."/>
      <w:lvlJc w:val="left"/>
      <w:pPr>
        <w:ind w:left="3598" w:hanging="360"/>
      </w:pPr>
    </w:lvl>
    <w:lvl w:ilvl="5" w:tplc="0405001B" w:tentative="1">
      <w:start w:val="1"/>
      <w:numFmt w:val="lowerRoman"/>
      <w:lvlText w:val="%6."/>
      <w:lvlJc w:val="right"/>
      <w:pPr>
        <w:ind w:left="4318" w:hanging="180"/>
      </w:pPr>
    </w:lvl>
    <w:lvl w:ilvl="6" w:tplc="0405000F" w:tentative="1">
      <w:start w:val="1"/>
      <w:numFmt w:val="decimal"/>
      <w:lvlText w:val="%7."/>
      <w:lvlJc w:val="left"/>
      <w:pPr>
        <w:ind w:left="5038" w:hanging="360"/>
      </w:pPr>
    </w:lvl>
    <w:lvl w:ilvl="7" w:tplc="04050019" w:tentative="1">
      <w:start w:val="1"/>
      <w:numFmt w:val="lowerLetter"/>
      <w:lvlText w:val="%8."/>
      <w:lvlJc w:val="left"/>
      <w:pPr>
        <w:ind w:left="5758" w:hanging="360"/>
      </w:pPr>
    </w:lvl>
    <w:lvl w:ilvl="8" w:tplc="0405001B" w:tentative="1">
      <w:start w:val="1"/>
      <w:numFmt w:val="lowerRoman"/>
      <w:lvlText w:val="%9."/>
      <w:lvlJc w:val="right"/>
      <w:pPr>
        <w:ind w:left="6478" w:hanging="180"/>
      </w:pPr>
    </w:lvl>
  </w:abstractNum>
  <w:abstractNum w:abstractNumId="12">
    <w:nsid w:val="0C473890"/>
    <w:multiLevelType w:val="hybridMultilevel"/>
    <w:tmpl w:val="51104BE6"/>
    <w:lvl w:ilvl="0" w:tplc="E098CFEC">
      <w:start w:val="1"/>
      <w:numFmt w:val="upperLetter"/>
      <w:pStyle w:val="slovanseznam4"/>
      <w:lvlText w:val="%1."/>
      <w:lvlJc w:val="left"/>
      <w:pPr>
        <w:tabs>
          <w:tab w:val="num" w:pos="1429"/>
        </w:tabs>
        <w:ind w:left="1429"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0DE54D0F"/>
    <w:multiLevelType w:val="hybridMultilevel"/>
    <w:tmpl w:val="7EF03348"/>
    <w:lvl w:ilvl="0" w:tplc="BCCA24F2">
      <w:start w:val="1"/>
      <w:numFmt w:val="decimal"/>
      <w:pStyle w:val="vpis"/>
      <w:lvlText w:val="%1."/>
      <w:lvlJc w:val="left"/>
      <w:pPr>
        <w:ind w:left="720" w:hanging="360"/>
      </w:pPr>
      <w:rPr>
        <w:rFonts w:hint="default"/>
      </w:rPr>
    </w:lvl>
    <w:lvl w:ilvl="1" w:tplc="E3222E40" w:tentative="1">
      <w:start w:val="1"/>
      <w:numFmt w:val="lowerLetter"/>
      <w:lvlText w:val="%2."/>
      <w:lvlJc w:val="left"/>
      <w:pPr>
        <w:ind w:left="1440" w:hanging="360"/>
      </w:pPr>
    </w:lvl>
    <w:lvl w:ilvl="2" w:tplc="C944BB86" w:tentative="1">
      <w:start w:val="1"/>
      <w:numFmt w:val="lowerRoman"/>
      <w:lvlText w:val="%3."/>
      <w:lvlJc w:val="right"/>
      <w:pPr>
        <w:ind w:left="2160" w:hanging="180"/>
      </w:pPr>
    </w:lvl>
    <w:lvl w:ilvl="3" w:tplc="7DDCC8E6" w:tentative="1">
      <w:start w:val="1"/>
      <w:numFmt w:val="decimal"/>
      <w:lvlText w:val="%4."/>
      <w:lvlJc w:val="left"/>
      <w:pPr>
        <w:ind w:left="2880" w:hanging="360"/>
      </w:pPr>
    </w:lvl>
    <w:lvl w:ilvl="4" w:tplc="9C0E2D0E" w:tentative="1">
      <w:start w:val="1"/>
      <w:numFmt w:val="lowerLetter"/>
      <w:lvlText w:val="%5."/>
      <w:lvlJc w:val="left"/>
      <w:pPr>
        <w:ind w:left="3600" w:hanging="360"/>
      </w:pPr>
    </w:lvl>
    <w:lvl w:ilvl="5" w:tplc="F884A804" w:tentative="1">
      <w:start w:val="1"/>
      <w:numFmt w:val="lowerRoman"/>
      <w:lvlText w:val="%6."/>
      <w:lvlJc w:val="right"/>
      <w:pPr>
        <w:ind w:left="4320" w:hanging="180"/>
      </w:pPr>
    </w:lvl>
    <w:lvl w:ilvl="6" w:tplc="1C425342" w:tentative="1">
      <w:start w:val="1"/>
      <w:numFmt w:val="decimal"/>
      <w:lvlText w:val="%7."/>
      <w:lvlJc w:val="left"/>
      <w:pPr>
        <w:ind w:left="5040" w:hanging="360"/>
      </w:pPr>
    </w:lvl>
    <w:lvl w:ilvl="7" w:tplc="8728853C" w:tentative="1">
      <w:start w:val="1"/>
      <w:numFmt w:val="lowerLetter"/>
      <w:lvlText w:val="%8."/>
      <w:lvlJc w:val="left"/>
      <w:pPr>
        <w:ind w:left="5760" w:hanging="360"/>
      </w:pPr>
    </w:lvl>
    <w:lvl w:ilvl="8" w:tplc="B464E53A" w:tentative="1">
      <w:start w:val="1"/>
      <w:numFmt w:val="lowerRoman"/>
      <w:lvlText w:val="%9."/>
      <w:lvlJc w:val="right"/>
      <w:pPr>
        <w:ind w:left="6480" w:hanging="180"/>
      </w:pPr>
    </w:lvl>
  </w:abstractNum>
  <w:abstractNum w:abstractNumId="14">
    <w:nsid w:val="0DF06F3F"/>
    <w:multiLevelType w:val="hybridMultilevel"/>
    <w:tmpl w:val="37CE37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0EDE1D2A"/>
    <w:multiLevelType w:val="hybridMultilevel"/>
    <w:tmpl w:val="1646B8D0"/>
    <w:lvl w:ilvl="0" w:tplc="A532135E">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6">
    <w:nsid w:val="123B1BF3"/>
    <w:multiLevelType w:val="hybridMultilevel"/>
    <w:tmpl w:val="D57A52D6"/>
    <w:lvl w:ilvl="0" w:tplc="A802CEAA">
      <w:start w:val="1"/>
      <w:numFmt w:val="bullet"/>
      <w:pStyle w:val="neslovanseznam2"/>
      <w:lvlText w:val="o"/>
      <w:lvlJc w:val="left"/>
      <w:pPr>
        <w:tabs>
          <w:tab w:val="num" w:pos="717"/>
        </w:tabs>
        <w:ind w:left="717" w:hanging="360"/>
      </w:pPr>
      <w:rPr>
        <w:rFonts w:ascii="Courier New" w:hAnsi="Courier New" w:hint="default"/>
      </w:rPr>
    </w:lvl>
    <w:lvl w:ilvl="1" w:tplc="04050019">
      <w:start w:val="1"/>
      <w:numFmt w:val="lowerLetter"/>
      <w:lvlText w:val="%2."/>
      <w:lvlJc w:val="left"/>
      <w:pPr>
        <w:tabs>
          <w:tab w:val="num" w:pos="1428"/>
        </w:tabs>
        <w:ind w:left="1428" w:hanging="360"/>
      </w:pPr>
    </w:lvl>
    <w:lvl w:ilvl="2" w:tplc="0405001B">
      <w:start w:val="1"/>
      <w:numFmt w:val="lowerRoman"/>
      <w:lvlText w:val="%3."/>
      <w:lvlJc w:val="right"/>
      <w:pPr>
        <w:tabs>
          <w:tab w:val="num" w:pos="2148"/>
        </w:tabs>
        <w:ind w:left="2148" w:hanging="180"/>
      </w:pPr>
    </w:lvl>
    <w:lvl w:ilvl="3" w:tplc="0405000F" w:tentative="1">
      <w:start w:val="1"/>
      <w:numFmt w:val="decimal"/>
      <w:lvlText w:val="%4."/>
      <w:lvlJc w:val="left"/>
      <w:pPr>
        <w:tabs>
          <w:tab w:val="num" w:pos="2868"/>
        </w:tabs>
        <w:ind w:left="2868" w:hanging="360"/>
      </w:pPr>
    </w:lvl>
    <w:lvl w:ilvl="4" w:tplc="04050019" w:tentative="1">
      <w:start w:val="1"/>
      <w:numFmt w:val="lowerLetter"/>
      <w:lvlText w:val="%5."/>
      <w:lvlJc w:val="left"/>
      <w:pPr>
        <w:tabs>
          <w:tab w:val="num" w:pos="3588"/>
        </w:tabs>
        <w:ind w:left="3588" w:hanging="360"/>
      </w:pPr>
    </w:lvl>
    <w:lvl w:ilvl="5" w:tplc="0405001B" w:tentative="1">
      <w:start w:val="1"/>
      <w:numFmt w:val="lowerRoman"/>
      <w:lvlText w:val="%6."/>
      <w:lvlJc w:val="right"/>
      <w:pPr>
        <w:tabs>
          <w:tab w:val="num" w:pos="4308"/>
        </w:tabs>
        <w:ind w:left="4308" w:hanging="180"/>
      </w:pPr>
    </w:lvl>
    <w:lvl w:ilvl="6" w:tplc="0405000F" w:tentative="1">
      <w:start w:val="1"/>
      <w:numFmt w:val="decimal"/>
      <w:lvlText w:val="%7."/>
      <w:lvlJc w:val="left"/>
      <w:pPr>
        <w:tabs>
          <w:tab w:val="num" w:pos="5028"/>
        </w:tabs>
        <w:ind w:left="5028" w:hanging="360"/>
      </w:pPr>
    </w:lvl>
    <w:lvl w:ilvl="7" w:tplc="04050019" w:tentative="1">
      <w:start w:val="1"/>
      <w:numFmt w:val="lowerLetter"/>
      <w:lvlText w:val="%8."/>
      <w:lvlJc w:val="left"/>
      <w:pPr>
        <w:tabs>
          <w:tab w:val="num" w:pos="5748"/>
        </w:tabs>
        <w:ind w:left="5748" w:hanging="360"/>
      </w:pPr>
    </w:lvl>
    <w:lvl w:ilvl="8" w:tplc="0405001B" w:tentative="1">
      <w:start w:val="1"/>
      <w:numFmt w:val="lowerRoman"/>
      <w:lvlText w:val="%9."/>
      <w:lvlJc w:val="right"/>
      <w:pPr>
        <w:tabs>
          <w:tab w:val="num" w:pos="6468"/>
        </w:tabs>
        <w:ind w:left="6468" w:hanging="180"/>
      </w:pPr>
    </w:lvl>
  </w:abstractNum>
  <w:abstractNum w:abstractNumId="17">
    <w:nsid w:val="19906D64"/>
    <w:multiLevelType w:val="singleLevel"/>
    <w:tmpl w:val="E9028870"/>
    <w:lvl w:ilvl="0">
      <w:start w:val="1"/>
      <w:numFmt w:val="upperRoman"/>
      <w:pStyle w:val="Podtitul"/>
      <w:lvlText w:val="%1."/>
      <w:lvlJc w:val="left"/>
      <w:pPr>
        <w:tabs>
          <w:tab w:val="num" w:pos="720"/>
        </w:tabs>
        <w:ind w:left="720" w:hanging="720"/>
      </w:pPr>
      <w:rPr>
        <w:rFonts w:hint="default"/>
      </w:rPr>
    </w:lvl>
  </w:abstractNum>
  <w:abstractNum w:abstractNumId="18">
    <w:nsid w:val="1C5B108A"/>
    <w:multiLevelType w:val="hybridMultilevel"/>
    <w:tmpl w:val="9F62EDE8"/>
    <w:lvl w:ilvl="0" w:tplc="82E280E8">
      <w:start w:val="1"/>
      <w:numFmt w:val="bullet"/>
      <w:pStyle w:val="Bullet2"/>
      <w:lvlText w:val="o"/>
      <w:lvlJc w:val="left"/>
      <w:pPr>
        <w:tabs>
          <w:tab w:val="num" w:pos="720"/>
        </w:tabs>
        <w:ind w:left="720" w:hanging="360"/>
      </w:pPr>
      <w:rPr>
        <w:rFonts w:ascii="Courier New" w:hAnsi="Courier New" w:hint="default"/>
      </w:rPr>
    </w:lvl>
    <w:lvl w:ilvl="1" w:tplc="CC7C4B5C" w:tentative="1">
      <w:start w:val="1"/>
      <w:numFmt w:val="bullet"/>
      <w:lvlText w:val="o"/>
      <w:lvlJc w:val="left"/>
      <w:pPr>
        <w:tabs>
          <w:tab w:val="num" w:pos="1440"/>
        </w:tabs>
        <w:ind w:left="1440" w:hanging="360"/>
      </w:pPr>
      <w:rPr>
        <w:rFonts w:ascii="Courier New" w:hAnsi="Courier New" w:hint="default"/>
      </w:rPr>
    </w:lvl>
    <w:lvl w:ilvl="2" w:tplc="77F6998E" w:tentative="1">
      <w:start w:val="1"/>
      <w:numFmt w:val="bullet"/>
      <w:lvlText w:val=""/>
      <w:lvlJc w:val="left"/>
      <w:pPr>
        <w:tabs>
          <w:tab w:val="num" w:pos="2160"/>
        </w:tabs>
        <w:ind w:left="2160" w:hanging="360"/>
      </w:pPr>
      <w:rPr>
        <w:rFonts w:ascii="Wingdings" w:hAnsi="Wingdings" w:hint="default"/>
      </w:rPr>
    </w:lvl>
    <w:lvl w:ilvl="3" w:tplc="61CA0874" w:tentative="1">
      <w:start w:val="1"/>
      <w:numFmt w:val="bullet"/>
      <w:lvlText w:val=""/>
      <w:lvlJc w:val="left"/>
      <w:pPr>
        <w:tabs>
          <w:tab w:val="num" w:pos="2880"/>
        </w:tabs>
        <w:ind w:left="2880" w:hanging="360"/>
      </w:pPr>
      <w:rPr>
        <w:rFonts w:ascii="Symbol" w:hAnsi="Symbol" w:hint="default"/>
      </w:rPr>
    </w:lvl>
    <w:lvl w:ilvl="4" w:tplc="A58C6D90" w:tentative="1">
      <w:start w:val="1"/>
      <w:numFmt w:val="bullet"/>
      <w:lvlText w:val="o"/>
      <w:lvlJc w:val="left"/>
      <w:pPr>
        <w:tabs>
          <w:tab w:val="num" w:pos="3600"/>
        </w:tabs>
        <w:ind w:left="3600" w:hanging="360"/>
      </w:pPr>
      <w:rPr>
        <w:rFonts w:ascii="Courier New" w:hAnsi="Courier New" w:hint="default"/>
      </w:rPr>
    </w:lvl>
    <w:lvl w:ilvl="5" w:tplc="CF8A61F0" w:tentative="1">
      <w:start w:val="1"/>
      <w:numFmt w:val="bullet"/>
      <w:lvlText w:val=""/>
      <w:lvlJc w:val="left"/>
      <w:pPr>
        <w:tabs>
          <w:tab w:val="num" w:pos="4320"/>
        </w:tabs>
        <w:ind w:left="4320" w:hanging="360"/>
      </w:pPr>
      <w:rPr>
        <w:rFonts w:ascii="Wingdings" w:hAnsi="Wingdings" w:hint="default"/>
      </w:rPr>
    </w:lvl>
    <w:lvl w:ilvl="6" w:tplc="B978A902" w:tentative="1">
      <w:start w:val="1"/>
      <w:numFmt w:val="bullet"/>
      <w:lvlText w:val=""/>
      <w:lvlJc w:val="left"/>
      <w:pPr>
        <w:tabs>
          <w:tab w:val="num" w:pos="5040"/>
        </w:tabs>
        <w:ind w:left="5040" w:hanging="360"/>
      </w:pPr>
      <w:rPr>
        <w:rFonts w:ascii="Symbol" w:hAnsi="Symbol" w:hint="default"/>
      </w:rPr>
    </w:lvl>
    <w:lvl w:ilvl="7" w:tplc="23F01EC6" w:tentative="1">
      <w:start w:val="1"/>
      <w:numFmt w:val="bullet"/>
      <w:lvlText w:val="o"/>
      <w:lvlJc w:val="left"/>
      <w:pPr>
        <w:tabs>
          <w:tab w:val="num" w:pos="5760"/>
        </w:tabs>
        <w:ind w:left="5760" w:hanging="360"/>
      </w:pPr>
      <w:rPr>
        <w:rFonts w:ascii="Courier New" w:hAnsi="Courier New" w:hint="default"/>
      </w:rPr>
    </w:lvl>
    <w:lvl w:ilvl="8" w:tplc="0A54AD8E" w:tentative="1">
      <w:start w:val="1"/>
      <w:numFmt w:val="bullet"/>
      <w:lvlText w:val=""/>
      <w:lvlJc w:val="left"/>
      <w:pPr>
        <w:tabs>
          <w:tab w:val="num" w:pos="6480"/>
        </w:tabs>
        <w:ind w:left="6480" w:hanging="360"/>
      </w:pPr>
      <w:rPr>
        <w:rFonts w:ascii="Wingdings" w:hAnsi="Wingdings" w:hint="default"/>
      </w:rPr>
    </w:lvl>
  </w:abstractNum>
  <w:abstractNum w:abstractNumId="19">
    <w:nsid w:val="1E96271C"/>
    <w:multiLevelType w:val="hybridMultilevel"/>
    <w:tmpl w:val="4046303C"/>
    <w:lvl w:ilvl="0" w:tplc="A532135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0">
    <w:nsid w:val="1FBC14F1"/>
    <w:multiLevelType w:val="hybridMultilevel"/>
    <w:tmpl w:val="46545F54"/>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22124EB6"/>
    <w:multiLevelType w:val="hybridMultilevel"/>
    <w:tmpl w:val="ABD8EDF4"/>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2">
    <w:nsid w:val="251D13B3"/>
    <w:multiLevelType w:val="hybridMultilevel"/>
    <w:tmpl w:val="F652400E"/>
    <w:lvl w:ilvl="0" w:tplc="54526206">
      <w:numFmt w:val="bullet"/>
      <w:lvlText w:val=""/>
      <w:lvlJc w:val="left"/>
      <w:pPr>
        <w:ind w:left="360" w:hanging="360"/>
      </w:pPr>
      <w:rPr>
        <w:rFonts w:ascii="Symbol" w:eastAsia="Calibri" w:hAnsi="Symbol"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2C8E04D9"/>
    <w:multiLevelType w:val="hybridMultilevel"/>
    <w:tmpl w:val="501EF664"/>
    <w:lvl w:ilvl="0" w:tplc="A532135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30F431A3"/>
    <w:multiLevelType w:val="hybridMultilevel"/>
    <w:tmpl w:val="CBC82E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329A7890"/>
    <w:multiLevelType w:val="multilevel"/>
    <w:tmpl w:val="F178159A"/>
    <w:lvl w:ilvl="0">
      <w:start w:val="1"/>
      <w:numFmt w:val="decimal"/>
      <w:pStyle w:val="Nadpis1"/>
      <w:lvlText w:val="%1"/>
      <w:lvlJc w:val="left"/>
      <w:pPr>
        <w:ind w:left="432" w:hanging="432"/>
      </w:pPr>
      <w:rPr>
        <w:rFonts w:asciiTheme="majorHAnsi" w:hAnsiTheme="majorHAnsi"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3981"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nsid w:val="33086958"/>
    <w:multiLevelType w:val="hybridMultilevel"/>
    <w:tmpl w:val="2730C5C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3935683"/>
    <w:multiLevelType w:val="hybridMultilevel"/>
    <w:tmpl w:val="73C24F16"/>
    <w:lvl w:ilvl="0" w:tplc="C51E8EC8">
      <w:start w:val="1"/>
      <w:numFmt w:val="bullet"/>
      <w:pStyle w:val="odrky1"/>
      <w:lvlText w:val=""/>
      <w:lvlJc w:val="left"/>
      <w:pPr>
        <w:ind w:left="360" w:hanging="360"/>
      </w:pPr>
      <w:rPr>
        <w:rFonts w:ascii="Wingdings" w:hAnsi="Wingdings" w:hint="default"/>
      </w:rPr>
    </w:lvl>
    <w:lvl w:ilvl="1" w:tplc="388A59D6">
      <w:start w:val="1"/>
      <w:numFmt w:val="bullet"/>
      <w:lvlText w:val="o"/>
      <w:lvlJc w:val="left"/>
      <w:pPr>
        <w:tabs>
          <w:tab w:val="num" w:pos="1440"/>
        </w:tabs>
        <w:ind w:left="1440" w:hanging="360"/>
      </w:pPr>
      <w:rPr>
        <w:rFonts w:ascii="Courier New" w:hAnsi="Courier New" w:hint="default"/>
      </w:rPr>
    </w:lvl>
    <w:lvl w:ilvl="2" w:tplc="EF065FE4">
      <w:start w:val="1"/>
      <w:numFmt w:val="bullet"/>
      <w:lvlText w:val=""/>
      <w:lvlJc w:val="left"/>
      <w:pPr>
        <w:tabs>
          <w:tab w:val="num" w:pos="2160"/>
        </w:tabs>
        <w:ind w:left="2160" w:hanging="360"/>
      </w:pPr>
      <w:rPr>
        <w:rFonts w:ascii="Wingdings" w:hAnsi="Wingdings" w:hint="default"/>
      </w:rPr>
    </w:lvl>
    <w:lvl w:ilvl="3" w:tplc="073604AC">
      <w:start w:val="1"/>
      <w:numFmt w:val="bullet"/>
      <w:lvlText w:val=""/>
      <w:lvlJc w:val="left"/>
      <w:pPr>
        <w:tabs>
          <w:tab w:val="num" w:pos="2880"/>
        </w:tabs>
        <w:ind w:left="2880" w:hanging="360"/>
      </w:pPr>
      <w:rPr>
        <w:rFonts w:ascii="Symbol" w:hAnsi="Symbol" w:hint="default"/>
      </w:rPr>
    </w:lvl>
    <w:lvl w:ilvl="4" w:tplc="AC5CD714">
      <w:start w:val="1"/>
      <w:numFmt w:val="bullet"/>
      <w:lvlText w:val="o"/>
      <w:lvlJc w:val="left"/>
      <w:pPr>
        <w:tabs>
          <w:tab w:val="num" w:pos="3600"/>
        </w:tabs>
        <w:ind w:left="3600" w:hanging="360"/>
      </w:pPr>
      <w:rPr>
        <w:rFonts w:ascii="Courier New" w:hAnsi="Courier New" w:hint="default"/>
      </w:rPr>
    </w:lvl>
    <w:lvl w:ilvl="5" w:tplc="C09A72AC">
      <w:start w:val="1"/>
      <w:numFmt w:val="bullet"/>
      <w:lvlText w:val=""/>
      <w:lvlJc w:val="left"/>
      <w:pPr>
        <w:tabs>
          <w:tab w:val="num" w:pos="4320"/>
        </w:tabs>
        <w:ind w:left="4320" w:hanging="360"/>
      </w:pPr>
      <w:rPr>
        <w:rFonts w:ascii="Wingdings" w:hAnsi="Wingdings" w:hint="default"/>
      </w:rPr>
    </w:lvl>
    <w:lvl w:ilvl="6" w:tplc="8BD4D9AE">
      <w:start w:val="1"/>
      <w:numFmt w:val="bullet"/>
      <w:lvlText w:val=""/>
      <w:lvlJc w:val="left"/>
      <w:pPr>
        <w:tabs>
          <w:tab w:val="num" w:pos="5040"/>
        </w:tabs>
        <w:ind w:left="5040" w:hanging="360"/>
      </w:pPr>
      <w:rPr>
        <w:rFonts w:ascii="Symbol" w:hAnsi="Symbol" w:hint="default"/>
      </w:rPr>
    </w:lvl>
    <w:lvl w:ilvl="7" w:tplc="7F9E43D0">
      <w:start w:val="1"/>
      <w:numFmt w:val="bullet"/>
      <w:lvlText w:val="o"/>
      <w:lvlJc w:val="left"/>
      <w:pPr>
        <w:tabs>
          <w:tab w:val="num" w:pos="5760"/>
        </w:tabs>
        <w:ind w:left="5760" w:hanging="360"/>
      </w:pPr>
      <w:rPr>
        <w:rFonts w:ascii="Courier New" w:hAnsi="Courier New" w:hint="default"/>
      </w:rPr>
    </w:lvl>
    <w:lvl w:ilvl="8" w:tplc="D28241EC">
      <w:start w:val="1"/>
      <w:numFmt w:val="bullet"/>
      <w:lvlText w:val=""/>
      <w:lvlJc w:val="left"/>
      <w:pPr>
        <w:tabs>
          <w:tab w:val="num" w:pos="6480"/>
        </w:tabs>
        <w:ind w:left="6480" w:hanging="360"/>
      </w:pPr>
      <w:rPr>
        <w:rFonts w:ascii="Wingdings" w:hAnsi="Wingdings" w:hint="default"/>
      </w:rPr>
    </w:lvl>
  </w:abstractNum>
  <w:abstractNum w:abstractNumId="28">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36534455"/>
    <w:multiLevelType w:val="hybridMultilevel"/>
    <w:tmpl w:val="43C8E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37A571CA"/>
    <w:multiLevelType w:val="hybridMultilevel"/>
    <w:tmpl w:val="5D5E61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3F207B55"/>
    <w:multiLevelType w:val="hybridMultilevel"/>
    <w:tmpl w:val="CF52265C"/>
    <w:lvl w:ilvl="0" w:tplc="D432FB6A">
      <w:start w:val="1"/>
      <w:numFmt w:val="bullet"/>
      <w:pStyle w:val="neslovanseznam3"/>
      <w:lvlText w:val=""/>
      <w:lvlJc w:val="left"/>
      <w:pPr>
        <w:tabs>
          <w:tab w:val="num" w:pos="1074"/>
        </w:tabs>
        <w:ind w:left="1074"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1977E2B"/>
    <w:multiLevelType w:val="hybridMultilevel"/>
    <w:tmpl w:val="EF121946"/>
    <w:lvl w:ilvl="0" w:tplc="04050017">
      <w:start w:val="1"/>
      <w:numFmt w:val="lowerLetter"/>
      <w:lvlText w:val="%1)"/>
      <w:lvlJc w:val="left"/>
      <w:pPr>
        <w:ind w:left="360" w:hanging="360"/>
      </w:pPr>
      <w:rPr>
        <w:rFonts w:hint="default"/>
      </w:rPr>
    </w:lvl>
    <w:lvl w:ilvl="1" w:tplc="DAB88324">
      <w:start w:val="1"/>
      <w:numFmt w:val="low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43391C9E"/>
    <w:multiLevelType w:val="multilevel"/>
    <w:tmpl w:val="45344E96"/>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438C1AAD"/>
    <w:multiLevelType w:val="hybridMultilevel"/>
    <w:tmpl w:val="26C0D99C"/>
    <w:lvl w:ilvl="0" w:tplc="A532135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43B4034D"/>
    <w:multiLevelType w:val="hybridMultilevel"/>
    <w:tmpl w:val="AAA63F98"/>
    <w:lvl w:ilvl="0" w:tplc="A532135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6">
    <w:nsid w:val="444C6C4F"/>
    <w:multiLevelType w:val="hybridMultilevel"/>
    <w:tmpl w:val="C2361FAE"/>
    <w:lvl w:ilvl="0" w:tplc="8CFE4CA4">
      <w:start w:val="1"/>
      <w:numFmt w:val="bullet"/>
      <w:pStyle w:val="neslovanseznam4"/>
      <w:lvlText w:val="◊"/>
      <w:lvlJc w:val="left"/>
      <w:pPr>
        <w:tabs>
          <w:tab w:val="num" w:pos="1432"/>
        </w:tabs>
        <w:ind w:left="1432" w:hanging="360"/>
      </w:pPr>
      <w:rPr>
        <w:rFonts w:ascii="Courier New" w:hAnsi="Courier New" w:hint="default"/>
      </w:rPr>
    </w:lvl>
    <w:lvl w:ilvl="1" w:tplc="04050019" w:tentative="1">
      <w:start w:val="1"/>
      <w:numFmt w:val="lowerLetter"/>
      <w:lvlText w:val="%2."/>
      <w:lvlJc w:val="left"/>
      <w:pPr>
        <w:tabs>
          <w:tab w:val="num" w:pos="2869"/>
        </w:tabs>
        <w:ind w:left="2869" w:hanging="360"/>
      </w:pPr>
    </w:lvl>
    <w:lvl w:ilvl="2" w:tplc="0405001B" w:tentative="1">
      <w:start w:val="1"/>
      <w:numFmt w:val="lowerRoman"/>
      <w:lvlText w:val="%3."/>
      <w:lvlJc w:val="right"/>
      <w:pPr>
        <w:tabs>
          <w:tab w:val="num" w:pos="3589"/>
        </w:tabs>
        <w:ind w:left="3589" w:hanging="180"/>
      </w:pPr>
    </w:lvl>
    <w:lvl w:ilvl="3" w:tplc="0405000F" w:tentative="1">
      <w:start w:val="1"/>
      <w:numFmt w:val="decimal"/>
      <w:lvlText w:val="%4."/>
      <w:lvlJc w:val="left"/>
      <w:pPr>
        <w:tabs>
          <w:tab w:val="num" w:pos="4309"/>
        </w:tabs>
        <w:ind w:left="4309" w:hanging="360"/>
      </w:pPr>
    </w:lvl>
    <w:lvl w:ilvl="4" w:tplc="04050019" w:tentative="1">
      <w:start w:val="1"/>
      <w:numFmt w:val="lowerLetter"/>
      <w:lvlText w:val="%5."/>
      <w:lvlJc w:val="left"/>
      <w:pPr>
        <w:tabs>
          <w:tab w:val="num" w:pos="5029"/>
        </w:tabs>
        <w:ind w:left="5029" w:hanging="360"/>
      </w:pPr>
    </w:lvl>
    <w:lvl w:ilvl="5" w:tplc="0405001B" w:tentative="1">
      <w:start w:val="1"/>
      <w:numFmt w:val="lowerRoman"/>
      <w:lvlText w:val="%6."/>
      <w:lvlJc w:val="right"/>
      <w:pPr>
        <w:tabs>
          <w:tab w:val="num" w:pos="5749"/>
        </w:tabs>
        <w:ind w:left="5749" w:hanging="180"/>
      </w:pPr>
    </w:lvl>
    <w:lvl w:ilvl="6" w:tplc="0405000F" w:tentative="1">
      <w:start w:val="1"/>
      <w:numFmt w:val="decimal"/>
      <w:lvlText w:val="%7."/>
      <w:lvlJc w:val="left"/>
      <w:pPr>
        <w:tabs>
          <w:tab w:val="num" w:pos="6469"/>
        </w:tabs>
        <w:ind w:left="6469" w:hanging="360"/>
      </w:pPr>
    </w:lvl>
    <w:lvl w:ilvl="7" w:tplc="04050019" w:tentative="1">
      <w:start w:val="1"/>
      <w:numFmt w:val="lowerLetter"/>
      <w:lvlText w:val="%8."/>
      <w:lvlJc w:val="left"/>
      <w:pPr>
        <w:tabs>
          <w:tab w:val="num" w:pos="7189"/>
        </w:tabs>
        <w:ind w:left="7189" w:hanging="360"/>
      </w:pPr>
    </w:lvl>
    <w:lvl w:ilvl="8" w:tplc="0405001B" w:tentative="1">
      <w:start w:val="1"/>
      <w:numFmt w:val="lowerRoman"/>
      <w:lvlText w:val="%9."/>
      <w:lvlJc w:val="right"/>
      <w:pPr>
        <w:tabs>
          <w:tab w:val="num" w:pos="7909"/>
        </w:tabs>
        <w:ind w:left="7909" w:hanging="180"/>
      </w:pPr>
    </w:lvl>
  </w:abstractNum>
  <w:abstractNum w:abstractNumId="37">
    <w:nsid w:val="44E55798"/>
    <w:multiLevelType w:val="multilevel"/>
    <w:tmpl w:val="2C949522"/>
    <w:styleLink w:val="seznamliteratury"/>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456B50DB"/>
    <w:multiLevelType w:val="hybridMultilevel"/>
    <w:tmpl w:val="4AB430C4"/>
    <w:lvl w:ilvl="0" w:tplc="28A8273A">
      <w:start w:val="1"/>
      <w:numFmt w:val="bullet"/>
      <w:pStyle w:val="Odraky2"/>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459811CB"/>
    <w:multiLevelType w:val="hybridMultilevel"/>
    <w:tmpl w:val="8B7C9718"/>
    <w:lvl w:ilvl="0" w:tplc="D6147BFA">
      <w:start w:val="1"/>
      <w:numFmt w:val="lowerRoman"/>
      <w:pStyle w:val="slovanseznam30"/>
      <w:lvlText w:val="%1."/>
      <w:lvlJc w:val="left"/>
      <w:pPr>
        <w:tabs>
          <w:tab w:val="num" w:pos="1072"/>
        </w:tabs>
        <w:ind w:left="1074"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49BF7390"/>
    <w:multiLevelType w:val="hybridMultilevel"/>
    <w:tmpl w:val="50DEE52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1">
    <w:nsid w:val="4B024D5A"/>
    <w:multiLevelType w:val="hybridMultilevel"/>
    <w:tmpl w:val="5F84CED4"/>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42">
    <w:nsid w:val="4CB4640A"/>
    <w:multiLevelType w:val="hybridMultilevel"/>
    <w:tmpl w:val="2C90E5CC"/>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43">
    <w:nsid w:val="4F610EF2"/>
    <w:multiLevelType w:val="hybridMultilevel"/>
    <w:tmpl w:val="F2C07988"/>
    <w:lvl w:ilvl="0" w:tplc="04050011">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F0301E40">
      <w:start w:val="1"/>
      <w:numFmt w:val="lowerLetter"/>
      <w:lvlText w:val="%3)"/>
      <w:lvlJc w:val="left"/>
      <w:pPr>
        <w:ind w:left="1800" w:hanging="360"/>
      </w:pPr>
      <w:rPr>
        <w:rFont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51F26F75"/>
    <w:multiLevelType w:val="hybridMultilevel"/>
    <w:tmpl w:val="71AAFF04"/>
    <w:lvl w:ilvl="0" w:tplc="04050001">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535230BA"/>
    <w:multiLevelType w:val="hybridMultilevel"/>
    <w:tmpl w:val="01F6AC8A"/>
    <w:lvl w:ilvl="0" w:tplc="C76ACC00">
      <w:start w:val="1"/>
      <w:numFmt w:val="lowerLetter"/>
      <w:pStyle w:val="slovanseznam2"/>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546C73DE"/>
    <w:multiLevelType w:val="hybridMultilevel"/>
    <w:tmpl w:val="C2560ABC"/>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nsid w:val="57995F18"/>
    <w:multiLevelType w:val="hybridMultilevel"/>
    <w:tmpl w:val="B2C4B87E"/>
    <w:lvl w:ilvl="0" w:tplc="04050017">
      <w:start w:val="1"/>
      <w:numFmt w:val="lowerLetter"/>
      <w:lvlText w:val="%1)"/>
      <w:lvlJc w:val="left"/>
      <w:pPr>
        <w:ind w:left="719" w:hanging="360"/>
      </w:pPr>
    </w:lvl>
    <w:lvl w:ilvl="1" w:tplc="04050019">
      <w:start w:val="1"/>
      <w:numFmt w:val="lowerLetter"/>
      <w:lvlText w:val="%2."/>
      <w:lvlJc w:val="left"/>
      <w:pPr>
        <w:ind w:left="1439" w:hanging="360"/>
      </w:pPr>
    </w:lvl>
    <w:lvl w:ilvl="2" w:tplc="04050017">
      <w:start w:val="1"/>
      <w:numFmt w:val="lowerLetter"/>
      <w:lvlText w:val="%3)"/>
      <w:lvlJc w:val="left"/>
      <w:pPr>
        <w:ind w:left="2159" w:hanging="180"/>
      </w:pPr>
    </w:lvl>
    <w:lvl w:ilvl="3" w:tplc="0405000F" w:tentative="1">
      <w:start w:val="1"/>
      <w:numFmt w:val="decimal"/>
      <w:lvlText w:val="%4."/>
      <w:lvlJc w:val="left"/>
      <w:pPr>
        <w:ind w:left="2879" w:hanging="360"/>
      </w:pPr>
    </w:lvl>
    <w:lvl w:ilvl="4" w:tplc="04050019" w:tentative="1">
      <w:start w:val="1"/>
      <w:numFmt w:val="lowerLetter"/>
      <w:lvlText w:val="%5."/>
      <w:lvlJc w:val="left"/>
      <w:pPr>
        <w:ind w:left="3599" w:hanging="360"/>
      </w:pPr>
    </w:lvl>
    <w:lvl w:ilvl="5" w:tplc="0405001B" w:tentative="1">
      <w:start w:val="1"/>
      <w:numFmt w:val="lowerRoman"/>
      <w:lvlText w:val="%6."/>
      <w:lvlJc w:val="right"/>
      <w:pPr>
        <w:ind w:left="4319" w:hanging="180"/>
      </w:pPr>
    </w:lvl>
    <w:lvl w:ilvl="6" w:tplc="0405000F" w:tentative="1">
      <w:start w:val="1"/>
      <w:numFmt w:val="decimal"/>
      <w:lvlText w:val="%7."/>
      <w:lvlJc w:val="left"/>
      <w:pPr>
        <w:ind w:left="5039" w:hanging="360"/>
      </w:pPr>
    </w:lvl>
    <w:lvl w:ilvl="7" w:tplc="04050019" w:tentative="1">
      <w:start w:val="1"/>
      <w:numFmt w:val="lowerLetter"/>
      <w:lvlText w:val="%8."/>
      <w:lvlJc w:val="left"/>
      <w:pPr>
        <w:ind w:left="5759" w:hanging="360"/>
      </w:pPr>
    </w:lvl>
    <w:lvl w:ilvl="8" w:tplc="0405001B" w:tentative="1">
      <w:start w:val="1"/>
      <w:numFmt w:val="lowerRoman"/>
      <w:lvlText w:val="%9."/>
      <w:lvlJc w:val="right"/>
      <w:pPr>
        <w:ind w:left="6479" w:hanging="180"/>
      </w:pPr>
    </w:lvl>
  </w:abstractNum>
  <w:abstractNum w:abstractNumId="48">
    <w:nsid w:val="59D86FB7"/>
    <w:multiLevelType w:val="hybridMultilevel"/>
    <w:tmpl w:val="3976D3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5B57623B"/>
    <w:multiLevelType w:val="hybridMultilevel"/>
    <w:tmpl w:val="86C0D7F6"/>
    <w:lvl w:ilvl="0" w:tplc="D6AC1F7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nsid w:val="5C381702"/>
    <w:multiLevelType w:val="hybridMultilevel"/>
    <w:tmpl w:val="2730C5C2"/>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nsid w:val="5C7006B0"/>
    <w:multiLevelType w:val="hybridMultilevel"/>
    <w:tmpl w:val="F91672DA"/>
    <w:lvl w:ilvl="0" w:tplc="AFA49EF6">
      <w:start w:val="1"/>
      <w:numFmt w:val="bullet"/>
      <w:pStyle w:val="Odraky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FBA3BC8"/>
    <w:multiLevelType w:val="hybridMultilevel"/>
    <w:tmpl w:val="2730C5C2"/>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nsid w:val="60346EDA"/>
    <w:multiLevelType w:val="hybridMultilevel"/>
    <w:tmpl w:val="2730C5C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60DB06D2"/>
    <w:multiLevelType w:val="hybridMultilevel"/>
    <w:tmpl w:val="A9FA6DB8"/>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nsid w:val="61B818E1"/>
    <w:multiLevelType w:val="hybridMultilevel"/>
    <w:tmpl w:val="5842344A"/>
    <w:lvl w:ilvl="0" w:tplc="04050011">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nsid w:val="62C850AC"/>
    <w:multiLevelType w:val="hybridMultilevel"/>
    <w:tmpl w:val="A1D61B1E"/>
    <w:lvl w:ilvl="0" w:tplc="0409000F">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04090019">
      <w:start w:val="6"/>
      <w:numFmt w:val="bullet"/>
      <w:lvlText w:val="-"/>
      <w:lvlJc w:val="left"/>
      <w:pPr>
        <w:tabs>
          <w:tab w:val="num" w:pos="1108"/>
        </w:tabs>
        <w:ind w:left="1108" w:hanging="360"/>
      </w:pPr>
      <w:rPr>
        <w:rFonts w:ascii="Arial" w:eastAsia="Times New Roman" w:hAnsi="Arial" w:cs="Times New Roman" w:hint="default"/>
      </w:rPr>
    </w:lvl>
    <w:lvl w:ilvl="2" w:tplc="0409001B">
      <w:start w:val="1"/>
      <w:numFmt w:val="bullet"/>
      <w:lvlText w:val=""/>
      <w:lvlJc w:val="left"/>
      <w:pPr>
        <w:tabs>
          <w:tab w:val="num" w:pos="1828"/>
        </w:tabs>
        <w:ind w:left="1828" w:hanging="360"/>
      </w:pPr>
      <w:rPr>
        <w:rFonts w:ascii="Wingdings" w:hAnsi="Wingdings" w:cs="Wingdings" w:hint="default"/>
      </w:rPr>
    </w:lvl>
    <w:lvl w:ilvl="3" w:tplc="0409000F">
      <w:start w:val="1"/>
      <w:numFmt w:val="bullet"/>
      <w:lvlText w:val=""/>
      <w:lvlJc w:val="left"/>
      <w:pPr>
        <w:tabs>
          <w:tab w:val="num" w:pos="2548"/>
        </w:tabs>
        <w:ind w:left="2548" w:hanging="360"/>
      </w:pPr>
      <w:rPr>
        <w:rFonts w:ascii="Symbol" w:hAnsi="Symbol" w:cs="Symbol" w:hint="default"/>
      </w:rPr>
    </w:lvl>
    <w:lvl w:ilvl="4" w:tplc="04090019">
      <w:start w:val="1"/>
      <w:numFmt w:val="bullet"/>
      <w:lvlText w:val="o"/>
      <w:lvlJc w:val="left"/>
      <w:pPr>
        <w:tabs>
          <w:tab w:val="num" w:pos="3268"/>
        </w:tabs>
        <w:ind w:left="3268" w:hanging="360"/>
      </w:pPr>
      <w:rPr>
        <w:rFonts w:ascii="Courier New" w:hAnsi="Courier New" w:cs="Courier New" w:hint="default"/>
      </w:rPr>
    </w:lvl>
    <w:lvl w:ilvl="5" w:tplc="0409001B">
      <w:start w:val="1"/>
      <w:numFmt w:val="bullet"/>
      <w:lvlText w:val=""/>
      <w:lvlJc w:val="left"/>
      <w:pPr>
        <w:tabs>
          <w:tab w:val="num" w:pos="3988"/>
        </w:tabs>
        <w:ind w:left="3988" w:hanging="360"/>
      </w:pPr>
      <w:rPr>
        <w:rFonts w:ascii="Wingdings" w:hAnsi="Wingdings" w:cs="Wingdings" w:hint="default"/>
      </w:rPr>
    </w:lvl>
    <w:lvl w:ilvl="6" w:tplc="0409000F">
      <w:start w:val="1"/>
      <w:numFmt w:val="bullet"/>
      <w:lvlText w:val=""/>
      <w:lvlJc w:val="left"/>
      <w:pPr>
        <w:tabs>
          <w:tab w:val="num" w:pos="4708"/>
        </w:tabs>
        <w:ind w:left="4708" w:hanging="360"/>
      </w:pPr>
      <w:rPr>
        <w:rFonts w:ascii="Symbol" w:hAnsi="Symbol" w:cs="Symbol" w:hint="default"/>
      </w:rPr>
    </w:lvl>
    <w:lvl w:ilvl="7" w:tplc="04090019">
      <w:start w:val="1"/>
      <w:numFmt w:val="bullet"/>
      <w:lvlText w:val="o"/>
      <w:lvlJc w:val="left"/>
      <w:pPr>
        <w:tabs>
          <w:tab w:val="num" w:pos="5428"/>
        </w:tabs>
        <w:ind w:left="5428" w:hanging="360"/>
      </w:pPr>
      <w:rPr>
        <w:rFonts w:ascii="Courier New" w:hAnsi="Courier New" w:cs="Courier New" w:hint="default"/>
      </w:rPr>
    </w:lvl>
    <w:lvl w:ilvl="8" w:tplc="0409001B">
      <w:start w:val="1"/>
      <w:numFmt w:val="bullet"/>
      <w:lvlText w:val=""/>
      <w:lvlJc w:val="left"/>
      <w:pPr>
        <w:tabs>
          <w:tab w:val="num" w:pos="6148"/>
        </w:tabs>
        <w:ind w:left="6148" w:hanging="360"/>
      </w:pPr>
      <w:rPr>
        <w:rFonts w:ascii="Wingdings" w:hAnsi="Wingdings" w:cs="Wingdings" w:hint="default"/>
      </w:rPr>
    </w:lvl>
  </w:abstractNum>
  <w:abstractNum w:abstractNumId="57">
    <w:nsid w:val="6578686E"/>
    <w:multiLevelType w:val="hybridMultilevel"/>
    <w:tmpl w:val="016AA782"/>
    <w:lvl w:ilvl="0" w:tplc="9594D6F4">
      <w:start w:val="1"/>
      <w:numFmt w:val="decimal"/>
      <w:pStyle w:val="slovanseznam"/>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658B4263"/>
    <w:multiLevelType w:val="hybridMultilevel"/>
    <w:tmpl w:val="1BF4C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60">
    <w:nsid w:val="6C815FAF"/>
    <w:multiLevelType w:val="hybridMultilevel"/>
    <w:tmpl w:val="B98805AA"/>
    <w:lvl w:ilvl="0" w:tplc="955A081E">
      <w:start w:val="1"/>
      <w:numFmt w:val="upperLetter"/>
      <w:pStyle w:val="zelen"/>
      <w:lvlText w:val="%1."/>
      <w:lvlJc w:val="left"/>
      <w:pPr>
        <w:ind w:left="360" w:hanging="360"/>
      </w:pPr>
      <w:rPr>
        <w:rFonts w:ascii="Cambria" w:hAnsi="Cambria" w:hint="default"/>
        <w:u w:val="single"/>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9FE0E356">
      <w:numFmt w:val="bullet"/>
      <w:lvlText w:val="•"/>
      <w:lvlJc w:val="left"/>
      <w:pPr>
        <w:ind w:left="2865" w:hanging="705"/>
      </w:pPr>
      <w:rPr>
        <w:rFonts w:ascii="Garamond" w:eastAsia="Calibri" w:hAnsi="Garamond" w:cs="Times New Roman"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nsid w:val="6F19583B"/>
    <w:multiLevelType w:val="singleLevel"/>
    <w:tmpl w:val="FC060CD6"/>
    <w:lvl w:ilvl="0">
      <w:start w:val="1"/>
      <w:numFmt w:val="bullet"/>
      <w:pStyle w:val="odrky"/>
      <w:lvlText w:val=""/>
      <w:lvlJc w:val="left"/>
      <w:pPr>
        <w:tabs>
          <w:tab w:val="num" w:pos="644"/>
        </w:tabs>
        <w:ind w:left="624" w:hanging="340"/>
      </w:pPr>
      <w:rPr>
        <w:rFonts w:ascii="Symbol" w:hAnsi="Symbol" w:hint="default"/>
      </w:rPr>
    </w:lvl>
  </w:abstractNum>
  <w:abstractNum w:abstractNumId="62">
    <w:nsid w:val="6F1D0374"/>
    <w:multiLevelType w:val="hybridMultilevel"/>
    <w:tmpl w:val="4E48BA1A"/>
    <w:lvl w:ilvl="0" w:tplc="A532135E">
      <w:start w:val="1"/>
      <w:numFmt w:val="bullet"/>
      <w:lvlText w:val=""/>
      <w:lvlJc w:val="left"/>
      <w:pPr>
        <w:ind w:left="712" w:hanging="360"/>
      </w:pPr>
      <w:rPr>
        <w:rFonts w:ascii="Symbol" w:hAnsi="Symbol" w:hint="default"/>
      </w:rPr>
    </w:lvl>
    <w:lvl w:ilvl="1" w:tplc="04050003">
      <w:start w:val="1"/>
      <w:numFmt w:val="bullet"/>
      <w:lvlText w:val="o"/>
      <w:lvlJc w:val="left"/>
      <w:pPr>
        <w:ind w:left="1432" w:hanging="360"/>
      </w:pPr>
      <w:rPr>
        <w:rFonts w:ascii="Courier New" w:hAnsi="Courier New" w:cs="Courier New" w:hint="default"/>
      </w:rPr>
    </w:lvl>
    <w:lvl w:ilvl="2" w:tplc="04050005" w:tentative="1">
      <w:start w:val="1"/>
      <w:numFmt w:val="bullet"/>
      <w:lvlText w:val=""/>
      <w:lvlJc w:val="left"/>
      <w:pPr>
        <w:ind w:left="2152" w:hanging="360"/>
      </w:pPr>
      <w:rPr>
        <w:rFonts w:ascii="Wingdings" w:hAnsi="Wingdings" w:hint="default"/>
      </w:rPr>
    </w:lvl>
    <w:lvl w:ilvl="3" w:tplc="04050001" w:tentative="1">
      <w:start w:val="1"/>
      <w:numFmt w:val="bullet"/>
      <w:lvlText w:val=""/>
      <w:lvlJc w:val="left"/>
      <w:pPr>
        <w:ind w:left="2872" w:hanging="360"/>
      </w:pPr>
      <w:rPr>
        <w:rFonts w:ascii="Symbol" w:hAnsi="Symbol" w:hint="default"/>
      </w:rPr>
    </w:lvl>
    <w:lvl w:ilvl="4" w:tplc="04050003" w:tentative="1">
      <w:start w:val="1"/>
      <w:numFmt w:val="bullet"/>
      <w:lvlText w:val="o"/>
      <w:lvlJc w:val="left"/>
      <w:pPr>
        <w:ind w:left="3592" w:hanging="360"/>
      </w:pPr>
      <w:rPr>
        <w:rFonts w:ascii="Courier New" w:hAnsi="Courier New" w:cs="Courier New" w:hint="default"/>
      </w:rPr>
    </w:lvl>
    <w:lvl w:ilvl="5" w:tplc="04050005" w:tentative="1">
      <w:start w:val="1"/>
      <w:numFmt w:val="bullet"/>
      <w:lvlText w:val=""/>
      <w:lvlJc w:val="left"/>
      <w:pPr>
        <w:ind w:left="4312" w:hanging="360"/>
      </w:pPr>
      <w:rPr>
        <w:rFonts w:ascii="Wingdings" w:hAnsi="Wingdings" w:hint="default"/>
      </w:rPr>
    </w:lvl>
    <w:lvl w:ilvl="6" w:tplc="04050001" w:tentative="1">
      <w:start w:val="1"/>
      <w:numFmt w:val="bullet"/>
      <w:lvlText w:val=""/>
      <w:lvlJc w:val="left"/>
      <w:pPr>
        <w:ind w:left="5032" w:hanging="360"/>
      </w:pPr>
      <w:rPr>
        <w:rFonts w:ascii="Symbol" w:hAnsi="Symbol" w:hint="default"/>
      </w:rPr>
    </w:lvl>
    <w:lvl w:ilvl="7" w:tplc="04050003" w:tentative="1">
      <w:start w:val="1"/>
      <w:numFmt w:val="bullet"/>
      <w:lvlText w:val="o"/>
      <w:lvlJc w:val="left"/>
      <w:pPr>
        <w:ind w:left="5752" w:hanging="360"/>
      </w:pPr>
      <w:rPr>
        <w:rFonts w:ascii="Courier New" w:hAnsi="Courier New" w:cs="Courier New" w:hint="default"/>
      </w:rPr>
    </w:lvl>
    <w:lvl w:ilvl="8" w:tplc="04050005" w:tentative="1">
      <w:start w:val="1"/>
      <w:numFmt w:val="bullet"/>
      <w:lvlText w:val=""/>
      <w:lvlJc w:val="left"/>
      <w:pPr>
        <w:ind w:left="6472" w:hanging="360"/>
      </w:pPr>
      <w:rPr>
        <w:rFonts w:ascii="Wingdings" w:hAnsi="Wingdings" w:hint="default"/>
      </w:rPr>
    </w:lvl>
  </w:abstractNum>
  <w:abstractNum w:abstractNumId="63">
    <w:nsid w:val="6F431EEB"/>
    <w:multiLevelType w:val="hybridMultilevel"/>
    <w:tmpl w:val="BE405066"/>
    <w:lvl w:ilvl="0" w:tplc="A532135E">
      <w:start w:val="1"/>
      <w:numFmt w:val="bullet"/>
      <w:lvlText w:val=""/>
      <w:lvlJc w:val="left"/>
      <w:pPr>
        <w:ind w:left="1990" w:hanging="360"/>
      </w:pPr>
      <w:rPr>
        <w:rFonts w:ascii="Symbol" w:hAnsi="Symbol" w:hint="default"/>
      </w:rPr>
    </w:lvl>
    <w:lvl w:ilvl="1" w:tplc="04050003" w:tentative="1">
      <w:start w:val="1"/>
      <w:numFmt w:val="bullet"/>
      <w:lvlText w:val="o"/>
      <w:lvlJc w:val="left"/>
      <w:pPr>
        <w:ind w:left="2710" w:hanging="360"/>
      </w:pPr>
      <w:rPr>
        <w:rFonts w:ascii="Courier New" w:hAnsi="Courier New" w:cs="Courier New" w:hint="default"/>
      </w:rPr>
    </w:lvl>
    <w:lvl w:ilvl="2" w:tplc="04050005" w:tentative="1">
      <w:start w:val="1"/>
      <w:numFmt w:val="bullet"/>
      <w:lvlText w:val=""/>
      <w:lvlJc w:val="left"/>
      <w:pPr>
        <w:ind w:left="3430" w:hanging="360"/>
      </w:pPr>
      <w:rPr>
        <w:rFonts w:ascii="Wingdings" w:hAnsi="Wingdings" w:hint="default"/>
      </w:rPr>
    </w:lvl>
    <w:lvl w:ilvl="3" w:tplc="04050001" w:tentative="1">
      <w:start w:val="1"/>
      <w:numFmt w:val="bullet"/>
      <w:lvlText w:val=""/>
      <w:lvlJc w:val="left"/>
      <w:pPr>
        <w:ind w:left="4150" w:hanging="360"/>
      </w:pPr>
      <w:rPr>
        <w:rFonts w:ascii="Symbol" w:hAnsi="Symbol" w:hint="default"/>
      </w:rPr>
    </w:lvl>
    <w:lvl w:ilvl="4" w:tplc="04050003" w:tentative="1">
      <w:start w:val="1"/>
      <w:numFmt w:val="bullet"/>
      <w:lvlText w:val="o"/>
      <w:lvlJc w:val="left"/>
      <w:pPr>
        <w:ind w:left="4870" w:hanging="360"/>
      </w:pPr>
      <w:rPr>
        <w:rFonts w:ascii="Courier New" w:hAnsi="Courier New" w:cs="Courier New" w:hint="default"/>
      </w:rPr>
    </w:lvl>
    <w:lvl w:ilvl="5" w:tplc="04050005" w:tentative="1">
      <w:start w:val="1"/>
      <w:numFmt w:val="bullet"/>
      <w:lvlText w:val=""/>
      <w:lvlJc w:val="left"/>
      <w:pPr>
        <w:ind w:left="5590" w:hanging="360"/>
      </w:pPr>
      <w:rPr>
        <w:rFonts w:ascii="Wingdings" w:hAnsi="Wingdings" w:hint="default"/>
      </w:rPr>
    </w:lvl>
    <w:lvl w:ilvl="6" w:tplc="04050001" w:tentative="1">
      <w:start w:val="1"/>
      <w:numFmt w:val="bullet"/>
      <w:lvlText w:val=""/>
      <w:lvlJc w:val="left"/>
      <w:pPr>
        <w:ind w:left="6310" w:hanging="360"/>
      </w:pPr>
      <w:rPr>
        <w:rFonts w:ascii="Symbol" w:hAnsi="Symbol" w:hint="default"/>
      </w:rPr>
    </w:lvl>
    <w:lvl w:ilvl="7" w:tplc="04050003" w:tentative="1">
      <w:start w:val="1"/>
      <w:numFmt w:val="bullet"/>
      <w:lvlText w:val="o"/>
      <w:lvlJc w:val="left"/>
      <w:pPr>
        <w:ind w:left="7030" w:hanging="360"/>
      </w:pPr>
      <w:rPr>
        <w:rFonts w:ascii="Courier New" w:hAnsi="Courier New" w:cs="Courier New" w:hint="default"/>
      </w:rPr>
    </w:lvl>
    <w:lvl w:ilvl="8" w:tplc="04050005" w:tentative="1">
      <w:start w:val="1"/>
      <w:numFmt w:val="bullet"/>
      <w:lvlText w:val=""/>
      <w:lvlJc w:val="left"/>
      <w:pPr>
        <w:ind w:left="7750" w:hanging="360"/>
      </w:pPr>
      <w:rPr>
        <w:rFonts w:ascii="Wingdings" w:hAnsi="Wingdings" w:hint="default"/>
      </w:rPr>
    </w:lvl>
  </w:abstractNum>
  <w:abstractNum w:abstractNumId="64">
    <w:nsid w:val="6F586521"/>
    <w:multiLevelType w:val="hybridMultilevel"/>
    <w:tmpl w:val="BAE2E418"/>
    <w:lvl w:ilvl="0" w:tplc="D6AC1F7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5">
    <w:nsid w:val="765C00EB"/>
    <w:multiLevelType w:val="hybridMultilevel"/>
    <w:tmpl w:val="D868A8F0"/>
    <w:lvl w:ilvl="0" w:tplc="A532135E">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66">
    <w:nsid w:val="76794AAF"/>
    <w:multiLevelType w:val="hybridMultilevel"/>
    <w:tmpl w:val="C6680386"/>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nsid w:val="78C57569"/>
    <w:multiLevelType w:val="hybridMultilevel"/>
    <w:tmpl w:val="2DB4D57E"/>
    <w:lvl w:ilvl="0" w:tplc="DAB88324">
      <w:start w:val="1"/>
      <w:numFmt w:val="lowerRoman"/>
      <w:lvlText w:val="(%1)"/>
      <w:lvlJc w:val="left"/>
      <w:pPr>
        <w:ind w:left="360" w:hanging="360"/>
      </w:pPr>
      <w:rPr>
        <w:rFonts w:hint="default"/>
      </w:rPr>
    </w:lvl>
    <w:lvl w:ilvl="1" w:tplc="DAB88324">
      <w:start w:val="1"/>
      <w:numFmt w:val="low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nsid w:val="7A625691"/>
    <w:multiLevelType w:val="hybridMultilevel"/>
    <w:tmpl w:val="7C8CA11C"/>
    <w:lvl w:ilvl="0" w:tplc="3ECC643A">
      <w:start w:val="1"/>
      <w:numFmt w:val="bullet"/>
      <w:pStyle w:val="Odstavecseseznamem1"/>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69">
    <w:nsid w:val="7AED3648"/>
    <w:multiLevelType w:val="multilevel"/>
    <w:tmpl w:val="AA96D182"/>
    <w:lvl w:ilvl="0">
      <w:start w:val="1"/>
      <w:numFmt w:val="decimal"/>
      <w:lvlText w:val="%1"/>
      <w:lvlJc w:val="left"/>
      <w:pPr>
        <w:ind w:left="432" w:hanging="432"/>
      </w:pPr>
      <w:rPr>
        <w:rFonts w:asciiTheme="majorHAnsi" w:hAnsiTheme="majorHAnsi" w:hint="default"/>
      </w:rPr>
    </w:lvl>
    <w:lvl w:ilvl="1">
      <w:start w:val="1"/>
      <w:numFmt w:val="upperLetter"/>
      <w:pStyle w:val="Nadpis2a"/>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7B8609CC"/>
    <w:multiLevelType w:val="multilevel"/>
    <w:tmpl w:val="09426706"/>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7BC5078C"/>
    <w:multiLevelType w:val="hybridMultilevel"/>
    <w:tmpl w:val="8B78FFB6"/>
    <w:lvl w:ilvl="0" w:tplc="A532135E">
      <w:start w:val="1"/>
      <w:numFmt w:val="bullet"/>
      <w:lvlText w:val=""/>
      <w:lvlJc w:val="left"/>
      <w:pPr>
        <w:ind w:left="719" w:hanging="360"/>
      </w:pPr>
      <w:rPr>
        <w:rFonts w:ascii="Symbol" w:hAnsi="Symbol" w:hint="default"/>
      </w:rPr>
    </w:lvl>
    <w:lvl w:ilvl="1" w:tplc="04050003">
      <w:start w:val="1"/>
      <w:numFmt w:val="bullet"/>
      <w:lvlText w:val="o"/>
      <w:lvlJc w:val="left"/>
      <w:pPr>
        <w:ind w:left="1439" w:hanging="360"/>
      </w:pPr>
      <w:rPr>
        <w:rFonts w:ascii="Courier New" w:hAnsi="Courier New" w:cs="Courier New" w:hint="default"/>
      </w:rPr>
    </w:lvl>
    <w:lvl w:ilvl="2" w:tplc="04050005">
      <w:start w:val="1"/>
      <w:numFmt w:val="bullet"/>
      <w:lvlText w:val=""/>
      <w:lvlJc w:val="left"/>
      <w:pPr>
        <w:ind w:left="2159" w:hanging="360"/>
      </w:pPr>
      <w:rPr>
        <w:rFonts w:ascii="Wingdings" w:hAnsi="Wingdings" w:hint="default"/>
      </w:rPr>
    </w:lvl>
    <w:lvl w:ilvl="3" w:tplc="04050001">
      <w:start w:val="1"/>
      <w:numFmt w:val="bullet"/>
      <w:lvlText w:val=""/>
      <w:lvlJc w:val="left"/>
      <w:pPr>
        <w:ind w:left="2879" w:hanging="360"/>
      </w:pPr>
      <w:rPr>
        <w:rFonts w:ascii="Symbol" w:hAnsi="Symbol" w:hint="default"/>
      </w:rPr>
    </w:lvl>
    <w:lvl w:ilvl="4" w:tplc="04050003">
      <w:start w:val="1"/>
      <w:numFmt w:val="bullet"/>
      <w:lvlText w:val="o"/>
      <w:lvlJc w:val="left"/>
      <w:pPr>
        <w:ind w:left="3599" w:hanging="360"/>
      </w:pPr>
      <w:rPr>
        <w:rFonts w:ascii="Courier New" w:hAnsi="Courier New" w:cs="Courier New" w:hint="default"/>
      </w:rPr>
    </w:lvl>
    <w:lvl w:ilvl="5" w:tplc="04050005">
      <w:start w:val="1"/>
      <w:numFmt w:val="bullet"/>
      <w:lvlText w:val=""/>
      <w:lvlJc w:val="left"/>
      <w:pPr>
        <w:ind w:left="4319" w:hanging="360"/>
      </w:pPr>
      <w:rPr>
        <w:rFonts w:ascii="Wingdings" w:hAnsi="Wingdings" w:hint="default"/>
      </w:rPr>
    </w:lvl>
    <w:lvl w:ilvl="6" w:tplc="04050001">
      <w:start w:val="1"/>
      <w:numFmt w:val="bullet"/>
      <w:lvlText w:val=""/>
      <w:lvlJc w:val="left"/>
      <w:pPr>
        <w:ind w:left="5039" w:hanging="360"/>
      </w:pPr>
      <w:rPr>
        <w:rFonts w:ascii="Symbol" w:hAnsi="Symbol" w:hint="default"/>
      </w:rPr>
    </w:lvl>
    <w:lvl w:ilvl="7" w:tplc="04050003">
      <w:start w:val="1"/>
      <w:numFmt w:val="bullet"/>
      <w:lvlText w:val="o"/>
      <w:lvlJc w:val="left"/>
      <w:pPr>
        <w:ind w:left="5759" w:hanging="360"/>
      </w:pPr>
      <w:rPr>
        <w:rFonts w:ascii="Courier New" w:hAnsi="Courier New" w:cs="Courier New" w:hint="default"/>
      </w:rPr>
    </w:lvl>
    <w:lvl w:ilvl="8" w:tplc="04050005">
      <w:start w:val="1"/>
      <w:numFmt w:val="bullet"/>
      <w:lvlText w:val=""/>
      <w:lvlJc w:val="left"/>
      <w:pPr>
        <w:ind w:left="6479" w:hanging="360"/>
      </w:pPr>
      <w:rPr>
        <w:rFonts w:ascii="Wingdings" w:hAnsi="Wingdings" w:hint="default"/>
      </w:rPr>
    </w:lvl>
  </w:abstractNum>
  <w:abstractNum w:abstractNumId="72">
    <w:nsid w:val="7DE93192"/>
    <w:multiLevelType w:val="multilevel"/>
    <w:tmpl w:val="646C230A"/>
    <w:lvl w:ilvl="0">
      <w:start w:val="1"/>
      <w:numFmt w:val="decimal"/>
      <w:pStyle w:val="Literatura"/>
      <w:lvlText w:val="[%1]"/>
      <w:lvlJc w:val="left"/>
      <w:pPr>
        <w:tabs>
          <w:tab w:val="num" w:pos="652"/>
        </w:tabs>
        <w:ind w:left="624" w:hanging="397"/>
      </w:pPr>
      <w:rPr>
        <w:b w:val="0"/>
      </w:rPr>
    </w:lvl>
    <w:lvl w:ilvl="1">
      <w:start w:val="1"/>
      <w:numFmt w:val="lowerLetter"/>
      <w:lvlText w:val="%2."/>
      <w:lvlJc w:val="left"/>
      <w:pPr>
        <w:tabs>
          <w:tab w:val="num" w:pos="1667"/>
        </w:tabs>
        <w:ind w:left="1667" w:hanging="360"/>
      </w:pPr>
    </w:lvl>
    <w:lvl w:ilvl="2">
      <w:start w:val="1"/>
      <w:numFmt w:val="lowerRoman"/>
      <w:lvlText w:val="%3."/>
      <w:lvlJc w:val="right"/>
      <w:pPr>
        <w:tabs>
          <w:tab w:val="num" w:pos="2387"/>
        </w:tabs>
        <w:ind w:left="2387" w:hanging="180"/>
      </w:pPr>
    </w:lvl>
    <w:lvl w:ilvl="3">
      <w:start w:val="1"/>
      <w:numFmt w:val="decimal"/>
      <w:lvlText w:val="%4."/>
      <w:lvlJc w:val="left"/>
      <w:pPr>
        <w:tabs>
          <w:tab w:val="num" w:pos="3107"/>
        </w:tabs>
        <w:ind w:left="3107" w:hanging="360"/>
      </w:pPr>
    </w:lvl>
    <w:lvl w:ilvl="4">
      <w:start w:val="1"/>
      <w:numFmt w:val="lowerLetter"/>
      <w:lvlText w:val="%5."/>
      <w:lvlJc w:val="left"/>
      <w:pPr>
        <w:tabs>
          <w:tab w:val="num" w:pos="3827"/>
        </w:tabs>
        <w:ind w:left="3827" w:hanging="360"/>
      </w:pPr>
    </w:lvl>
    <w:lvl w:ilvl="5">
      <w:start w:val="1"/>
      <w:numFmt w:val="lowerRoman"/>
      <w:lvlText w:val="%6."/>
      <w:lvlJc w:val="right"/>
      <w:pPr>
        <w:tabs>
          <w:tab w:val="num" w:pos="4547"/>
        </w:tabs>
        <w:ind w:left="4547" w:hanging="180"/>
      </w:pPr>
    </w:lvl>
    <w:lvl w:ilvl="6">
      <w:start w:val="1"/>
      <w:numFmt w:val="decimal"/>
      <w:lvlText w:val="%7."/>
      <w:lvlJc w:val="left"/>
      <w:pPr>
        <w:tabs>
          <w:tab w:val="num" w:pos="5267"/>
        </w:tabs>
        <w:ind w:left="5267" w:hanging="360"/>
      </w:pPr>
    </w:lvl>
    <w:lvl w:ilvl="7">
      <w:start w:val="1"/>
      <w:numFmt w:val="lowerLetter"/>
      <w:lvlText w:val="%8."/>
      <w:lvlJc w:val="left"/>
      <w:pPr>
        <w:tabs>
          <w:tab w:val="num" w:pos="5987"/>
        </w:tabs>
        <w:ind w:left="5987" w:hanging="360"/>
      </w:pPr>
    </w:lvl>
    <w:lvl w:ilvl="8">
      <w:start w:val="1"/>
      <w:numFmt w:val="lowerRoman"/>
      <w:lvlText w:val="%9."/>
      <w:lvlJc w:val="right"/>
      <w:pPr>
        <w:tabs>
          <w:tab w:val="num" w:pos="6707"/>
        </w:tabs>
        <w:ind w:left="6707" w:hanging="180"/>
      </w:pPr>
    </w:lvl>
  </w:abstractNum>
  <w:abstractNum w:abstractNumId="73">
    <w:nsid w:val="7E084B59"/>
    <w:multiLevelType w:val="hybridMultilevel"/>
    <w:tmpl w:val="A1E09356"/>
    <w:lvl w:ilvl="0" w:tplc="0718937C">
      <w:start w:val="1"/>
      <w:numFmt w:val="bullet"/>
      <w:pStyle w:val="neslovanseznam1"/>
      <w:lvlText w:val=""/>
      <w:lvlJc w:val="left"/>
      <w:pPr>
        <w:tabs>
          <w:tab w:val="num" w:pos="360"/>
        </w:tabs>
        <w:ind w:left="360"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17"/>
  </w:num>
  <w:num w:numId="3">
    <w:abstractNumId w:val="59"/>
  </w:num>
  <w:num w:numId="4">
    <w:abstractNumId w:val="74"/>
  </w:num>
  <w:num w:numId="5">
    <w:abstractNumId w:val="28"/>
  </w:num>
  <w:num w:numId="6">
    <w:abstractNumId w:val="44"/>
  </w:num>
  <w:num w:numId="7">
    <w:abstractNumId w:val="18"/>
  </w:num>
  <w:num w:numId="8">
    <w:abstractNumId w:val="56"/>
  </w:num>
  <w:num w:numId="9">
    <w:abstractNumId w:val="68"/>
  </w:num>
  <w:num w:numId="10">
    <w:abstractNumId w:val="13"/>
  </w:num>
  <w:num w:numId="11">
    <w:abstractNumId w:val="38"/>
  </w:num>
  <w:num w:numId="12">
    <w:abstractNumId w:val="27"/>
  </w:num>
  <w:num w:numId="13">
    <w:abstractNumId w:val="51"/>
  </w:num>
  <w:num w:numId="14">
    <w:abstractNumId w:val="69"/>
  </w:num>
  <w:num w:numId="15">
    <w:abstractNumId w:val="33"/>
  </w:num>
  <w:num w:numId="1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16"/>
  </w:num>
  <w:num w:numId="19">
    <w:abstractNumId w:val="31"/>
  </w:num>
  <w:num w:numId="20">
    <w:abstractNumId w:val="36"/>
  </w:num>
  <w:num w:numId="21">
    <w:abstractNumId w:val="57"/>
  </w:num>
  <w:num w:numId="22">
    <w:abstractNumId w:val="45"/>
  </w:num>
  <w:num w:numId="23">
    <w:abstractNumId w:val="39"/>
  </w:num>
  <w:num w:numId="24">
    <w:abstractNumId w:val="12"/>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60"/>
  </w:num>
  <w:num w:numId="28">
    <w:abstractNumId w:val="49"/>
  </w:num>
  <w:num w:numId="29">
    <w:abstractNumId w:val="26"/>
  </w:num>
  <w:num w:numId="30">
    <w:abstractNumId w:val="5"/>
  </w:num>
  <w:num w:numId="31">
    <w:abstractNumId w:val="32"/>
  </w:num>
  <w:num w:numId="32">
    <w:abstractNumId w:val="53"/>
  </w:num>
  <w:num w:numId="33">
    <w:abstractNumId w:val="50"/>
  </w:num>
  <w:num w:numId="34">
    <w:abstractNumId w:val="52"/>
  </w:num>
  <w:num w:numId="35">
    <w:abstractNumId w:val="67"/>
  </w:num>
  <w:num w:numId="36">
    <w:abstractNumId w:val="64"/>
  </w:num>
  <w:num w:numId="37">
    <w:abstractNumId w:val="58"/>
  </w:num>
  <w:num w:numId="38">
    <w:abstractNumId w:val="55"/>
  </w:num>
  <w:num w:numId="39">
    <w:abstractNumId w:val="66"/>
  </w:num>
  <w:num w:numId="40">
    <w:abstractNumId w:val="22"/>
  </w:num>
  <w:num w:numId="41">
    <w:abstractNumId w:val="0"/>
  </w:num>
  <w:num w:numId="42">
    <w:abstractNumId w:val="61"/>
  </w:num>
  <w:num w:numId="43">
    <w:abstractNumId w:val="1"/>
  </w:num>
  <w:num w:numId="44">
    <w:abstractNumId w:val="37"/>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num>
  <w:num w:numId="47">
    <w:abstractNumId w:val="6"/>
  </w:num>
  <w:num w:numId="48">
    <w:abstractNumId w:val="46"/>
  </w:num>
  <w:num w:numId="49">
    <w:abstractNumId w:val="43"/>
  </w:num>
  <w:num w:numId="50">
    <w:abstractNumId w:val="29"/>
  </w:num>
  <w:num w:numId="51">
    <w:abstractNumId w:val="10"/>
  </w:num>
  <w:num w:numId="52">
    <w:abstractNumId w:val="20"/>
  </w:num>
  <w:num w:numId="53">
    <w:abstractNumId w:val="54"/>
  </w:num>
  <w:num w:numId="54">
    <w:abstractNumId w:val="41"/>
  </w:num>
  <w:num w:numId="55">
    <w:abstractNumId w:val="30"/>
  </w:num>
  <w:num w:numId="56">
    <w:abstractNumId w:val="3"/>
  </w:num>
  <w:num w:numId="57">
    <w:abstractNumId w:val="15"/>
  </w:num>
  <w:num w:numId="58">
    <w:abstractNumId w:val="9"/>
  </w:num>
  <w:num w:numId="59">
    <w:abstractNumId w:val="24"/>
  </w:num>
  <w:num w:numId="60">
    <w:abstractNumId w:val="48"/>
  </w:num>
  <w:num w:numId="61">
    <w:abstractNumId w:val="7"/>
  </w:num>
  <w:num w:numId="62">
    <w:abstractNumId w:val="63"/>
  </w:num>
  <w:num w:numId="63">
    <w:abstractNumId w:val="21"/>
  </w:num>
  <w:num w:numId="64">
    <w:abstractNumId w:val="8"/>
  </w:num>
  <w:num w:numId="65">
    <w:abstractNumId w:val="42"/>
  </w:num>
  <w:num w:numId="66">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35"/>
  </w:num>
  <w:num w:numId="69">
    <w:abstractNumId w:val="8"/>
  </w:num>
  <w:num w:numId="70">
    <w:abstractNumId w:val="49"/>
  </w:num>
  <w:num w:numId="71">
    <w:abstractNumId w:val="65"/>
  </w:num>
  <w:num w:numId="72">
    <w:abstractNumId w:val="47"/>
  </w:num>
  <w:num w:numId="73">
    <w:abstractNumId w:val="19"/>
  </w:num>
  <w:num w:numId="74">
    <w:abstractNumId w:val="62"/>
  </w:num>
  <w:num w:numId="75">
    <w:abstractNumId w:val="2"/>
  </w:num>
  <w:num w:numId="76">
    <w:abstractNumId w:val="11"/>
  </w:num>
  <w:num w:numId="77">
    <w:abstractNumId w:val="4"/>
  </w:num>
  <w:num w:numId="78">
    <w:abstractNumId w:val="14"/>
  </w:num>
  <w:num w:numId="79">
    <w:abstractNumId w:val="34"/>
  </w:num>
  <w:num w:numId="80">
    <w:abstractNumId w:val="2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20"/>
  <w:displayHorizontalDrawingGridEvery w:val="2"/>
  <w:characterSpacingControl w:val="doNotCompress"/>
  <w:hdrShapeDefaults>
    <o:shapedefaults v:ext="edit" spidmax="2049" fill="f" fillcolor="white" strokecolor="red">
      <v:fill color="white" on="f"/>
      <v:stroke dashstyle="1 1" color="red"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05"/>
    <w:rsid w:val="000003D9"/>
    <w:rsid w:val="000003F2"/>
    <w:rsid w:val="000006EE"/>
    <w:rsid w:val="0000079A"/>
    <w:rsid w:val="00000845"/>
    <w:rsid w:val="00000992"/>
    <w:rsid w:val="00001864"/>
    <w:rsid w:val="00001BD2"/>
    <w:rsid w:val="0000224A"/>
    <w:rsid w:val="000022FD"/>
    <w:rsid w:val="000023A3"/>
    <w:rsid w:val="000023BC"/>
    <w:rsid w:val="00002475"/>
    <w:rsid w:val="0000287D"/>
    <w:rsid w:val="00002926"/>
    <w:rsid w:val="00002979"/>
    <w:rsid w:val="00002BBB"/>
    <w:rsid w:val="00002E6E"/>
    <w:rsid w:val="00002E84"/>
    <w:rsid w:val="00002E96"/>
    <w:rsid w:val="000036DD"/>
    <w:rsid w:val="0000386D"/>
    <w:rsid w:val="00003953"/>
    <w:rsid w:val="00003979"/>
    <w:rsid w:val="00003AC0"/>
    <w:rsid w:val="00003B16"/>
    <w:rsid w:val="00003C04"/>
    <w:rsid w:val="0000411E"/>
    <w:rsid w:val="0000422D"/>
    <w:rsid w:val="000046F8"/>
    <w:rsid w:val="0000477D"/>
    <w:rsid w:val="000048FF"/>
    <w:rsid w:val="000049A8"/>
    <w:rsid w:val="00004B32"/>
    <w:rsid w:val="00004CBE"/>
    <w:rsid w:val="00004CC4"/>
    <w:rsid w:val="00004DCF"/>
    <w:rsid w:val="0000519A"/>
    <w:rsid w:val="00005B47"/>
    <w:rsid w:val="00005F27"/>
    <w:rsid w:val="000061A1"/>
    <w:rsid w:val="0000647A"/>
    <w:rsid w:val="000066AF"/>
    <w:rsid w:val="000066CE"/>
    <w:rsid w:val="00006722"/>
    <w:rsid w:val="00006E0B"/>
    <w:rsid w:val="00007188"/>
    <w:rsid w:val="000073B1"/>
    <w:rsid w:val="0000782F"/>
    <w:rsid w:val="00007FBC"/>
    <w:rsid w:val="00010034"/>
    <w:rsid w:val="000100CE"/>
    <w:rsid w:val="000101A8"/>
    <w:rsid w:val="0001021A"/>
    <w:rsid w:val="00010DEA"/>
    <w:rsid w:val="00010E39"/>
    <w:rsid w:val="00010ED5"/>
    <w:rsid w:val="000111F8"/>
    <w:rsid w:val="0001170A"/>
    <w:rsid w:val="000118B7"/>
    <w:rsid w:val="00011EE8"/>
    <w:rsid w:val="00012186"/>
    <w:rsid w:val="00012257"/>
    <w:rsid w:val="0001271F"/>
    <w:rsid w:val="00012791"/>
    <w:rsid w:val="000128A0"/>
    <w:rsid w:val="00012D24"/>
    <w:rsid w:val="00012D31"/>
    <w:rsid w:val="00012E31"/>
    <w:rsid w:val="00013246"/>
    <w:rsid w:val="00013616"/>
    <w:rsid w:val="0001387D"/>
    <w:rsid w:val="000139E4"/>
    <w:rsid w:val="00013B26"/>
    <w:rsid w:val="000140D2"/>
    <w:rsid w:val="000141C9"/>
    <w:rsid w:val="00014685"/>
    <w:rsid w:val="00014D16"/>
    <w:rsid w:val="00014E8A"/>
    <w:rsid w:val="00015210"/>
    <w:rsid w:val="0001525E"/>
    <w:rsid w:val="0001547C"/>
    <w:rsid w:val="00015A7F"/>
    <w:rsid w:val="00015D84"/>
    <w:rsid w:val="00015E21"/>
    <w:rsid w:val="00015F1A"/>
    <w:rsid w:val="0001616A"/>
    <w:rsid w:val="00016339"/>
    <w:rsid w:val="000165B8"/>
    <w:rsid w:val="00016999"/>
    <w:rsid w:val="00017255"/>
    <w:rsid w:val="000172E1"/>
    <w:rsid w:val="00017355"/>
    <w:rsid w:val="00017479"/>
    <w:rsid w:val="00017BEC"/>
    <w:rsid w:val="00017FC8"/>
    <w:rsid w:val="000200BB"/>
    <w:rsid w:val="00020385"/>
    <w:rsid w:val="000203AE"/>
    <w:rsid w:val="00020455"/>
    <w:rsid w:val="000204E7"/>
    <w:rsid w:val="000206C8"/>
    <w:rsid w:val="00020819"/>
    <w:rsid w:val="00020C96"/>
    <w:rsid w:val="00020EE0"/>
    <w:rsid w:val="00021046"/>
    <w:rsid w:val="000210BC"/>
    <w:rsid w:val="00021481"/>
    <w:rsid w:val="0002170F"/>
    <w:rsid w:val="00021B32"/>
    <w:rsid w:val="00021D77"/>
    <w:rsid w:val="00021E9F"/>
    <w:rsid w:val="00021F34"/>
    <w:rsid w:val="000222EB"/>
    <w:rsid w:val="00022374"/>
    <w:rsid w:val="000223F2"/>
    <w:rsid w:val="00022484"/>
    <w:rsid w:val="0002266A"/>
    <w:rsid w:val="00022672"/>
    <w:rsid w:val="000229CE"/>
    <w:rsid w:val="00023071"/>
    <w:rsid w:val="000230F5"/>
    <w:rsid w:val="00023120"/>
    <w:rsid w:val="000231FC"/>
    <w:rsid w:val="0002325A"/>
    <w:rsid w:val="000233B2"/>
    <w:rsid w:val="000234AE"/>
    <w:rsid w:val="000235E6"/>
    <w:rsid w:val="0002361E"/>
    <w:rsid w:val="00023911"/>
    <w:rsid w:val="00023A5A"/>
    <w:rsid w:val="00023D89"/>
    <w:rsid w:val="0002405F"/>
    <w:rsid w:val="000241C6"/>
    <w:rsid w:val="00024377"/>
    <w:rsid w:val="000245EE"/>
    <w:rsid w:val="000247D8"/>
    <w:rsid w:val="00024D4F"/>
    <w:rsid w:val="00024D90"/>
    <w:rsid w:val="00024E55"/>
    <w:rsid w:val="00025001"/>
    <w:rsid w:val="0002506E"/>
    <w:rsid w:val="000250C8"/>
    <w:rsid w:val="00025275"/>
    <w:rsid w:val="000253D8"/>
    <w:rsid w:val="000254F1"/>
    <w:rsid w:val="0002559A"/>
    <w:rsid w:val="00025AA5"/>
    <w:rsid w:val="00025D6B"/>
    <w:rsid w:val="00026645"/>
    <w:rsid w:val="00026A5E"/>
    <w:rsid w:val="00026B3D"/>
    <w:rsid w:val="00026FAF"/>
    <w:rsid w:val="00027505"/>
    <w:rsid w:val="00027A09"/>
    <w:rsid w:val="00027E9C"/>
    <w:rsid w:val="000303D0"/>
    <w:rsid w:val="0003086D"/>
    <w:rsid w:val="00030997"/>
    <w:rsid w:val="00030CC4"/>
    <w:rsid w:val="00030CEC"/>
    <w:rsid w:val="00030E7C"/>
    <w:rsid w:val="00030E84"/>
    <w:rsid w:val="000312A7"/>
    <w:rsid w:val="0003153E"/>
    <w:rsid w:val="00031557"/>
    <w:rsid w:val="00031AA3"/>
    <w:rsid w:val="00031DFC"/>
    <w:rsid w:val="00032201"/>
    <w:rsid w:val="000322D0"/>
    <w:rsid w:val="00032840"/>
    <w:rsid w:val="000332A8"/>
    <w:rsid w:val="000336BC"/>
    <w:rsid w:val="00033A2C"/>
    <w:rsid w:val="00033A86"/>
    <w:rsid w:val="00033C63"/>
    <w:rsid w:val="00033D75"/>
    <w:rsid w:val="00033EA4"/>
    <w:rsid w:val="00033F74"/>
    <w:rsid w:val="000344D6"/>
    <w:rsid w:val="00034527"/>
    <w:rsid w:val="000346B2"/>
    <w:rsid w:val="00034A3B"/>
    <w:rsid w:val="00034BD9"/>
    <w:rsid w:val="00034E9D"/>
    <w:rsid w:val="0003512D"/>
    <w:rsid w:val="00035636"/>
    <w:rsid w:val="00035AB0"/>
    <w:rsid w:val="00035B3B"/>
    <w:rsid w:val="00035C0B"/>
    <w:rsid w:val="000363AC"/>
    <w:rsid w:val="00036D8B"/>
    <w:rsid w:val="00036D9B"/>
    <w:rsid w:val="0003767C"/>
    <w:rsid w:val="000378A6"/>
    <w:rsid w:val="000379C3"/>
    <w:rsid w:val="000403A7"/>
    <w:rsid w:val="000406E5"/>
    <w:rsid w:val="00040DC5"/>
    <w:rsid w:val="00040F55"/>
    <w:rsid w:val="000410C9"/>
    <w:rsid w:val="0004147F"/>
    <w:rsid w:val="000414A4"/>
    <w:rsid w:val="00041A24"/>
    <w:rsid w:val="00041B6B"/>
    <w:rsid w:val="00041D2C"/>
    <w:rsid w:val="00041DDF"/>
    <w:rsid w:val="00041E6F"/>
    <w:rsid w:val="00042376"/>
    <w:rsid w:val="00042702"/>
    <w:rsid w:val="000428C2"/>
    <w:rsid w:val="00042BCA"/>
    <w:rsid w:val="00042C51"/>
    <w:rsid w:val="00042EEC"/>
    <w:rsid w:val="00043179"/>
    <w:rsid w:val="000435FB"/>
    <w:rsid w:val="00043613"/>
    <w:rsid w:val="00043D33"/>
    <w:rsid w:val="00044369"/>
    <w:rsid w:val="000443FA"/>
    <w:rsid w:val="0004479C"/>
    <w:rsid w:val="00044831"/>
    <w:rsid w:val="00044B50"/>
    <w:rsid w:val="00044C5E"/>
    <w:rsid w:val="00044D43"/>
    <w:rsid w:val="00044D91"/>
    <w:rsid w:val="00045035"/>
    <w:rsid w:val="000456BB"/>
    <w:rsid w:val="0004576A"/>
    <w:rsid w:val="0004576B"/>
    <w:rsid w:val="00045929"/>
    <w:rsid w:val="00045B10"/>
    <w:rsid w:val="00045F48"/>
    <w:rsid w:val="00046299"/>
    <w:rsid w:val="000462F8"/>
    <w:rsid w:val="0004634C"/>
    <w:rsid w:val="0004645E"/>
    <w:rsid w:val="000467E4"/>
    <w:rsid w:val="000469C4"/>
    <w:rsid w:val="0004770E"/>
    <w:rsid w:val="000477E1"/>
    <w:rsid w:val="00047B1A"/>
    <w:rsid w:val="00047C25"/>
    <w:rsid w:val="00050001"/>
    <w:rsid w:val="0005009F"/>
    <w:rsid w:val="000501F5"/>
    <w:rsid w:val="00050349"/>
    <w:rsid w:val="00050665"/>
    <w:rsid w:val="000506A1"/>
    <w:rsid w:val="00050A2A"/>
    <w:rsid w:val="00050B98"/>
    <w:rsid w:val="00050C4B"/>
    <w:rsid w:val="00050E00"/>
    <w:rsid w:val="00050E1E"/>
    <w:rsid w:val="00051393"/>
    <w:rsid w:val="000519F1"/>
    <w:rsid w:val="00051CC4"/>
    <w:rsid w:val="00051D97"/>
    <w:rsid w:val="0005229E"/>
    <w:rsid w:val="000523AC"/>
    <w:rsid w:val="000525CB"/>
    <w:rsid w:val="0005287C"/>
    <w:rsid w:val="00052986"/>
    <w:rsid w:val="00052C1A"/>
    <w:rsid w:val="00052C4D"/>
    <w:rsid w:val="00052C78"/>
    <w:rsid w:val="00052FC0"/>
    <w:rsid w:val="0005367F"/>
    <w:rsid w:val="00053688"/>
    <w:rsid w:val="00053B15"/>
    <w:rsid w:val="00053B5D"/>
    <w:rsid w:val="000540C7"/>
    <w:rsid w:val="000545DF"/>
    <w:rsid w:val="00054767"/>
    <w:rsid w:val="00054780"/>
    <w:rsid w:val="00054984"/>
    <w:rsid w:val="00054B39"/>
    <w:rsid w:val="00054B4F"/>
    <w:rsid w:val="00054DC5"/>
    <w:rsid w:val="00054DF0"/>
    <w:rsid w:val="00054E4E"/>
    <w:rsid w:val="00055062"/>
    <w:rsid w:val="0005519D"/>
    <w:rsid w:val="00055508"/>
    <w:rsid w:val="000555AD"/>
    <w:rsid w:val="00055A1A"/>
    <w:rsid w:val="00055B69"/>
    <w:rsid w:val="00055B6E"/>
    <w:rsid w:val="00055D32"/>
    <w:rsid w:val="00055DE6"/>
    <w:rsid w:val="000562DF"/>
    <w:rsid w:val="00056573"/>
    <w:rsid w:val="0005670E"/>
    <w:rsid w:val="00056C03"/>
    <w:rsid w:val="00056CAD"/>
    <w:rsid w:val="00057590"/>
    <w:rsid w:val="000575D5"/>
    <w:rsid w:val="00057868"/>
    <w:rsid w:val="000579CD"/>
    <w:rsid w:val="00057BCF"/>
    <w:rsid w:val="00057D97"/>
    <w:rsid w:val="00060CB6"/>
    <w:rsid w:val="00060EE3"/>
    <w:rsid w:val="00061220"/>
    <w:rsid w:val="00061395"/>
    <w:rsid w:val="0006162F"/>
    <w:rsid w:val="00061739"/>
    <w:rsid w:val="00061870"/>
    <w:rsid w:val="000618EC"/>
    <w:rsid w:val="00061C13"/>
    <w:rsid w:val="00061CB1"/>
    <w:rsid w:val="00061CB4"/>
    <w:rsid w:val="00061D26"/>
    <w:rsid w:val="00061E14"/>
    <w:rsid w:val="00062286"/>
    <w:rsid w:val="00062589"/>
    <w:rsid w:val="00062A35"/>
    <w:rsid w:val="00062F7A"/>
    <w:rsid w:val="000630B8"/>
    <w:rsid w:val="000630DD"/>
    <w:rsid w:val="000634D5"/>
    <w:rsid w:val="000635A5"/>
    <w:rsid w:val="0006377A"/>
    <w:rsid w:val="000637BD"/>
    <w:rsid w:val="000638FC"/>
    <w:rsid w:val="00063B26"/>
    <w:rsid w:val="00063B6F"/>
    <w:rsid w:val="00063C15"/>
    <w:rsid w:val="00063F7C"/>
    <w:rsid w:val="0006431F"/>
    <w:rsid w:val="000649C3"/>
    <w:rsid w:val="00065179"/>
    <w:rsid w:val="000654AE"/>
    <w:rsid w:val="0006588D"/>
    <w:rsid w:val="00066320"/>
    <w:rsid w:val="00066537"/>
    <w:rsid w:val="00066D6C"/>
    <w:rsid w:val="00066E0D"/>
    <w:rsid w:val="00066ED3"/>
    <w:rsid w:val="00067968"/>
    <w:rsid w:val="00067A17"/>
    <w:rsid w:val="00067D9F"/>
    <w:rsid w:val="00067E3E"/>
    <w:rsid w:val="000701D1"/>
    <w:rsid w:val="00070257"/>
    <w:rsid w:val="000702A4"/>
    <w:rsid w:val="00070744"/>
    <w:rsid w:val="00070AF3"/>
    <w:rsid w:val="00070CDC"/>
    <w:rsid w:val="00070E1F"/>
    <w:rsid w:val="00070F11"/>
    <w:rsid w:val="00070FB9"/>
    <w:rsid w:val="000712BE"/>
    <w:rsid w:val="0007178A"/>
    <w:rsid w:val="0007180B"/>
    <w:rsid w:val="00071A5F"/>
    <w:rsid w:val="00071DA7"/>
    <w:rsid w:val="00071EE4"/>
    <w:rsid w:val="00072429"/>
    <w:rsid w:val="000724D8"/>
    <w:rsid w:val="0007278D"/>
    <w:rsid w:val="00072AE1"/>
    <w:rsid w:val="00072D58"/>
    <w:rsid w:val="000730D4"/>
    <w:rsid w:val="000730E5"/>
    <w:rsid w:val="000731C9"/>
    <w:rsid w:val="00073230"/>
    <w:rsid w:val="0007325B"/>
    <w:rsid w:val="000733A7"/>
    <w:rsid w:val="00073713"/>
    <w:rsid w:val="00073C1F"/>
    <w:rsid w:val="00073EF3"/>
    <w:rsid w:val="000740EB"/>
    <w:rsid w:val="00074474"/>
    <w:rsid w:val="000745E0"/>
    <w:rsid w:val="00074668"/>
    <w:rsid w:val="00074876"/>
    <w:rsid w:val="000748B2"/>
    <w:rsid w:val="00074DC0"/>
    <w:rsid w:val="00074FB0"/>
    <w:rsid w:val="000753FF"/>
    <w:rsid w:val="0007592A"/>
    <w:rsid w:val="00075977"/>
    <w:rsid w:val="000759A1"/>
    <w:rsid w:val="00075B43"/>
    <w:rsid w:val="00075B6F"/>
    <w:rsid w:val="00075E62"/>
    <w:rsid w:val="00076029"/>
    <w:rsid w:val="000761A4"/>
    <w:rsid w:val="0007666E"/>
    <w:rsid w:val="00076859"/>
    <w:rsid w:val="00076AB9"/>
    <w:rsid w:val="00076B0E"/>
    <w:rsid w:val="00076F9B"/>
    <w:rsid w:val="00077150"/>
    <w:rsid w:val="000773A4"/>
    <w:rsid w:val="000773A6"/>
    <w:rsid w:val="000775C7"/>
    <w:rsid w:val="000777D7"/>
    <w:rsid w:val="0007786B"/>
    <w:rsid w:val="00077890"/>
    <w:rsid w:val="000779EE"/>
    <w:rsid w:val="00077A2A"/>
    <w:rsid w:val="00077A36"/>
    <w:rsid w:val="00077AFF"/>
    <w:rsid w:val="00077D02"/>
    <w:rsid w:val="00077FDC"/>
    <w:rsid w:val="000802E8"/>
    <w:rsid w:val="0008064D"/>
    <w:rsid w:val="0008069D"/>
    <w:rsid w:val="000807F3"/>
    <w:rsid w:val="00080A2A"/>
    <w:rsid w:val="00080B65"/>
    <w:rsid w:val="00080BFB"/>
    <w:rsid w:val="00080F72"/>
    <w:rsid w:val="0008114F"/>
    <w:rsid w:val="00081595"/>
    <w:rsid w:val="0008164B"/>
    <w:rsid w:val="00082168"/>
    <w:rsid w:val="00082188"/>
    <w:rsid w:val="000822D7"/>
    <w:rsid w:val="0008243B"/>
    <w:rsid w:val="000824E4"/>
    <w:rsid w:val="00082863"/>
    <w:rsid w:val="00083194"/>
    <w:rsid w:val="00083582"/>
    <w:rsid w:val="00083A52"/>
    <w:rsid w:val="00083CF6"/>
    <w:rsid w:val="00083E58"/>
    <w:rsid w:val="0008400A"/>
    <w:rsid w:val="00084265"/>
    <w:rsid w:val="00084556"/>
    <w:rsid w:val="000845B0"/>
    <w:rsid w:val="0008505F"/>
    <w:rsid w:val="000855AB"/>
    <w:rsid w:val="00085680"/>
    <w:rsid w:val="00085CE1"/>
    <w:rsid w:val="000863CA"/>
    <w:rsid w:val="00086456"/>
    <w:rsid w:val="00086487"/>
    <w:rsid w:val="00086641"/>
    <w:rsid w:val="000866E3"/>
    <w:rsid w:val="000869BF"/>
    <w:rsid w:val="00086A53"/>
    <w:rsid w:val="00086AF3"/>
    <w:rsid w:val="00086B70"/>
    <w:rsid w:val="00086C05"/>
    <w:rsid w:val="00086E1C"/>
    <w:rsid w:val="00086E5C"/>
    <w:rsid w:val="00087003"/>
    <w:rsid w:val="00087279"/>
    <w:rsid w:val="00087735"/>
    <w:rsid w:val="00087751"/>
    <w:rsid w:val="00087A33"/>
    <w:rsid w:val="00087AF2"/>
    <w:rsid w:val="00087D65"/>
    <w:rsid w:val="00087F01"/>
    <w:rsid w:val="0009011E"/>
    <w:rsid w:val="00090171"/>
    <w:rsid w:val="00090765"/>
    <w:rsid w:val="00090B2E"/>
    <w:rsid w:val="00090B9F"/>
    <w:rsid w:val="00090DF8"/>
    <w:rsid w:val="00090EA0"/>
    <w:rsid w:val="00090EE9"/>
    <w:rsid w:val="00090EEE"/>
    <w:rsid w:val="00091883"/>
    <w:rsid w:val="000918B3"/>
    <w:rsid w:val="0009234F"/>
    <w:rsid w:val="0009260E"/>
    <w:rsid w:val="00092662"/>
    <w:rsid w:val="00092C20"/>
    <w:rsid w:val="00092CEA"/>
    <w:rsid w:val="000931DB"/>
    <w:rsid w:val="000933AA"/>
    <w:rsid w:val="0009348A"/>
    <w:rsid w:val="00093542"/>
    <w:rsid w:val="000935C9"/>
    <w:rsid w:val="0009370C"/>
    <w:rsid w:val="00093C24"/>
    <w:rsid w:val="00093EC2"/>
    <w:rsid w:val="00093F3D"/>
    <w:rsid w:val="00094120"/>
    <w:rsid w:val="0009426E"/>
    <w:rsid w:val="00094A74"/>
    <w:rsid w:val="00094E05"/>
    <w:rsid w:val="0009550C"/>
    <w:rsid w:val="000956FA"/>
    <w:rsid w:val="00095A64"/>
    <w:rsid w:val="00095A8E"/>
    <w:rsid w:val="00095AC6"/>
    <w:rsid w:val="000961A5"/>
    <w:rsid w:val="00096627"/>
    <w:rsid w:val="00096A17"/>
    <w:rsid w:val="00096E37"/>
    <w:rsid w:val="00096EE3"/>
    <w:rsid w:val="0009736B"/>
    <w:rsid w:val="0009736F"/>
    <w:rsid w:val="0009760C"/>
    <w:rsid w:val="00097955"/>
    <w:rsid w:val="00097BD0"/>
    <w:rsid w:val="00097BE8"/>
    <w:rsid w:val="000A0009"/>
    <w:rsid w:val="000A010E"/>
    <w:rsid w:val="000A036B"/>
    <w:rsid w:val="000A0674"/>
    <w:rsid w:val="000A06CF"/>
    <w:rsid w:val="000A076B"/>
    <w:rsid w:val="000A0B9F"/>
    <w:rsid w:val="000A0D2A"/>
    <w:rsid w:val="000A0F84"/>
    <w:rsid w:val="000A10A8"/>
    <w:rsid w:val="000A16A1"/>
    <w:rsid w:val="000A1823"/>
    <w:rsid w:val="000A1ABE"/>
    <w:rsid w:val="000A1D88"/>
    <w:rsid w:val="000A1F85"/>
    <w:rsid w:val="000A2918"/>
    <w:rsid w:val="000A2ACB"/>
    <w:rsid w:val="000A2B2B"/>
    <w:rsid w:val="000A2F0D"/>
    <w:rsid w:val="000A30AF"/>
    <w:rsid w:val="000A33B8"/>
    <w:rsid w:val="000A3462"/>
    <w:rsid w:val="000A37BB"/>
    <w:rsid w:val="000A37DC"/>
    <w:rsid w:val="000A387E"/>
    <w:rsid w:val="000A3A47"/>
    <w:rsid w:val="000A3E92"/>
    <w:rsid w:val="000A3F21"/>
    <w:rsid w:val="000A4055"/>
    <w:rsid w:val="000A42A6"/>
    <w:rsid w:val="000A46A1"/>
    <w:rsid w:val="000A499D"/>
    <w:rsid w:val="000A5037"/>
    <w:rsid w:val="000A524A"/>
    <w:rsid w:val="000A5433"/>
    <w:rsid w:val="000A56CF"/>
    <w:rsid w:val="000A590C"/>
    <w:rsid w:val="000A594D"/>
    <w:rsid w:val="000A5965"/>
    <w:rsid w:val="000A5C0B"/>
    <w:rsid w:val="000A5CF7"/>
    <w:rsid w:val="000A612D"/>
    <w:rsid w:val="000A633A"/>
    <w:rsid w:val="000A6398"/>
    <w:rsid w:val="000A64B6"/>
    <w:rsid w:val="000A65A2"/>
    <w:rsid w:val="000A6E5C"/>
    <w:rsid w:val="000A7331"/>
    <w:rsid w:val="000A785E"/>
    <w:rsid w:val="000A7BBC"/>
    <w:rsid w:val="000A7EBE"/>
    <w:rsid w:val="000A7FCC"/>
    <w:rsid w:val="000B0061"/>
    <w:rsid w:val="000B02BF"/>
    <w:rsid w:val="000B0327"/>
    <w:rsid w:val="000B06BD"/>
    <w:rsid w:val="000B070A"/>
    <w:rsid w:val="000B0945"/>
    <w:rsid w:val="000B09F7"/>
    <w:rsid w:val="000B0C7B"/>
    <w:rsid w:val="000B0DC1"/>
    <w:rsid w:val="000B1430"/>
    <w:rsid w:val="000B159C"/>
    <w:rsid w:val="000B1BD2"/>
    <w:rsid w:val="000B210D"/>
    <w:rsid w:val="000B3214"/>
    <w:rsid w:val="000B33F6"/>
    <w:rsid w:val="000B3597"/>
    <w:rsid w:val="000B3792"/>
    <w:rsid w:val="000B3835"/>
    <w:rsid w:val="000B399F"/>
    <w:rsid w:val="000B3CE9"/>
    <w:rsid w:val="000B408B"/>
    <w:rsid w:val="000B4367"/>
    <w:rsid w:val="000B453F"/>
    <w:rsid w:val="000B4CFB"/>
    <w:rsid w:val="000B4F34"/>
    <w:rsid w:val="000B5151"/>
    <w:rsid w:val="000B546B"/>
    <w:rsid w:val="000B5822"/>
    <w:rsid w:val="000B5837"/>
    <w:rsid w:val="000B5A03"/>
    <w:rsid w:val="000B5B18"/>
    <w:rsid w:val="000B5D3A"/>
    <w:rsid w:val="000B5D64"/>
    <w:rsid w:val="000B61C0"/>
    <w:rsid w:val="000B633C"/>
    <w:rsid w:val="000B63CA"/>
    <w:rsid w:val="000B6455"/>
    <w:rsid w:val="000B64D9"/>
    <w:rsid w:val="000B6527"/>
    <w:rsid w:val="000B67E8"/>
    <w:rsid w:val="000B6B70"/>
    <w:rsid w:val="000B6C61"/>
    <w:rsid w:val="000B720C"/>
    <w:rsid w:val="000B72B0"/>
    <w:rsid w:val="000B7FE7"/>
    <w:rsid w:val="000C016D"/>
    <w:rsid w:val="000C034B"/>
    <w:rsid w:val="000C0701"/>
    <w:rsid w:val="000C09D2"/>
    <w:rsid w:val="000C0A7E"/>
    <w:rsid w:val="000C0AAE"/>
    <w:rsid w:val="000C0DF9"/>
    <w:rsid w:val="000C13AD"/>
    <w:rsid w:val="000C178B"/>
    <w:rsid w:val="000C17C0"/>
    <w:rsid w:val="000C18A8"/>
    <w:rsid w:val="000C1F0E"/>
    <w:rsid w:val="000C2018"/>
    <w:rsid w:val="000C20A6"/>
    <w:rsid w:val="000C20FF"/>
    <w:rsid w:val="000C2109"/>
    <w:rsid w:val="000C234B"/>
    <w:rsid w:val="000C28C0"/>
    <w:rsid w:val="000C2B31"/>
    <w:rsid w:val="000C2C5B"/>
    <w:rsid w:val="000C2D6B"/>
    <w:rsid w:val="000C2E83"/>
    <w:rsid w:val="000C3203"/>
    <w:rsid w:val="000C3498"/>
    <w:rsid w:val="000C35B4"/>
    <w:rsid w:val="000C3904"/>
    <w:rsid w:val="000C3B90"/>
    <w:rsid w:val="000C4151"/>
    <w:rsid w:val="000C4C86"/>
    <w:rsid w:val="000C4EE9"/>
    <w:rsid w:val="000C4FD3"/>
    <w:rsid w:val="000C5455"/>
    <w:rsid w:val="000C548A"/>
    <w:rsid w:val="000C5520"/>
    <w:rsid w:val="000C5607"/>
    <w:rsid w:val="000C56BD"/>
    <w:rsid w:val="000C58DB"/>
    <w:rsid w:val="000C5A61"/>
    <w:rsid w:val="000C5BB4"/>
    <w:rsid w:val="000C5C07"/>
    <w:rsid w:val="000C5D5D"/>
    <w:rsid w:val="000C5D86"/>
    <w:rsid w:val="000C62C9"/>
    <w:rsid w:val="000C6885"/>
    <w:rsid w:val="000C68C3"/>
    <w:rsid w:val="000C69D5"/>
    <w:rsid w:val="000C6A86"/>
    <w:rsid w:val="000C6AC2"/>
    <w:rsid w:val="000C7019"/>
    <w:rsid w:val="000C7843"/>
    <w:rsid w:val="000C7AC9"/>
    <w:rsid w:val="000D01B7"/>
    <w:rsid w:val="000D020A"/>
    <w:rsid w:val="000D021D"/>
    <w:rsid w:val="000D0575"/>
    <w:rsid w:val="000D0693"/>
    <w:rsid w:val="000D0C02"/>
    <w:rsid w:val="000D0C32"/>
    <w:rsid w:val="000D0D40"/>
    <w:rsid w:val="000D0E0E"/>
    <w:rsid w:val="000D0EF4"/>
    <w:rsid w:val="000D1102"/>
    <w:rsid w:val="000D113D"/>
    <w:rsid w:val="000D1174"/>
    <w:rsid w:val="000D139A"/>
    <w:rsid w:val="000D1431"/>
    <w:rsid w:val="000D1535"/>
    <w:rsid w:val="000D15D7"/>
    <w:rsid w:val="000D17AE"/>
    <w:rsid w:val="000D1BE9"/>
    <w:rsid w:val="000D1E11"/>
    <w:rsid w:val="000D1EDB"/>
    <w:rsid w:val="000D2379"/>
    <w:rsid w:val="000D254F"/>
    <w:rsid w:val="000D2600"/>
    <w:rsid w:val="000D2AE2"/>
    <w:rsid w:val="000D2EBA"/>
    <w:rsid w:val="000D30C4"/>
    <w:rsid w:val="000D3F0C"/>
    <w:rsid w:val="000D4154"/>
    <w:rsid w:val="000D4199"/>
    <w:rsid w:val="000D41DA"/>
    <w:rsid w:val="000D45A9"/>
    <w:rsid w:val="000D46B4"/>
    <w:rsid w:val="000D473E"/>
    <w:rsid w:val="000D48A5"/>
    <w:rsid w:val="000D4A60"/>
    <w:rsid w:val="000D4DC3"/>
    <w:rsid w:val="000D527C"/>
    <w:rsid w:val="000D5708"/>
    <w:rsid w:val="000D5990"/>
    <w:rsid w:val="000D5DE3"/>
    <w:rsid w:val="000D60D6"/>
    <w:rsid w:val="000D63D8"/>
    <w:rsid w:val="000D63ED"/>
    <w:rsid w:val="000D6E2D"/>
    <w:rsid w:val="000D6EF0"/>
    <w:rsid w:val="000D755C"/>
    <w:rsid w:val="000D7D99"/>
    <w:rsid w:val="000E00E2"/>
    <w:rsid w:val="000E00EF"/>
    <w:rsid w:val="000E0113"/>
    <w:rsid w:val="000E0459"/>
    <w:rsid w:val="000E06D0"/>
    <w:rsid w:val="000E090A"/>
    <w:rsid w:val="000E0915"/>
    <w:rsid w:val="000E0AA9"/>
    <w:rsid w:val="000E0EE6"/>
    <w:rsid w:val="000E1360"/>
    <w:rsid w:val="000E14B3"/>
    <w:rsid w:val="000E1579"/>
    <w:rsid w:val="000E1595"/>
    <w:rsid w:val="000E1EC3"/>
    <w:rsid w:val="000E21C9"/>
    <w:rsid w:val="000E21F6"/>
    <w:rsid w:val="000E28B7"/>
    <w:rsid w:val="000E2A8D"/>
    <w:rsid w:val="000E2E10"/>
    <w:rsid w:val="000E2FEE"/>
    <w:rsid w:val="000E31E3"/>
    <w:rsid w:val="000E35E9"/>
    <w:rsid w:val="000E37B5"/>
    <w:rsid w:val="000E39A9"/>
    <w:rsid w:val="000E3A87"/>
    <w:rsid w:val="000E3AE5"/>
    <w:rsid w:val="000E41C3"/>
    <w:rsid w:val="000E42EA"/>
    <w:rsid w:val="000E44AB"/>
    <w:rsid w:val="000E45AE"/>
    <w:rsid w:val="000E48E2"/>
    <w:rsid w:val="000E4AB4"/>
    <w:rsid w:val="000E4BA0"/>
    <w:rsid w:val="000E4F51"/>
    <w:rsid w:val="000E5177"/>
    <w:rsid w:val="000E5416"/>
    <w:rsid w:val="000E54F4"/>
    <w:rsid w:val="000E56A2"/>
    <w:rsid w:val="000E5885"/>
    <w:rsid w:val="000E5924"/>
    <w:rsid w:val="000E5AC0"/>
    <w:rsid w:val="000E6276"/>
    <w:rsid w:val="000E635F"/>
    <w:rsid w:val="000E645F"/>
    <w:rsid w:val="000E655A"/>
    <w:rsid w:val="000E6A6B"/>
    <w:rsid w:val="000E6AEE"/>
    <w:rsid w:val="000E6B0E"/>
    <w:rsid w:val="000E7682"/>
    <w:rsid w:val="000E76F8"/>
    <w:rsid w:val="000F060F"/>
    <w:rsid w:val="000F061E"/>
    <w:rsid w:val="000F0675"/>
    <w:rsid w:val="000F0930"/>
    <w:rsid w:val="000F09AB"/>
    <w:rsid w:val="000F0ACA"/>
    <w:rsid w:val="000F0BA0"/>
    <w:rsid w:val="000F12BD"/>
    <w:rsid w:val="000F1302"/>
    <w:rsid w:val="000F144C"/>
    <w:rsid w:val="000F159D"/>
    <w:rsid w:val="000F1C21"/>
    <w:rsid w:val="000F1E75"/>
    <w:rsid w:val="000F20DE"/>
    <w:rsid w:val="000F20EC"/>
    <w:rsid w:val="000F2695"/>
    <w:rsid w:val="000F27A6"/>
    <w:rsid w:val="000F2E0B"/>
    <w:rsid w:val="000F2E60"/>
    <w:rsid w:val="000F2F05"/>
    <w:rsid w:val="000F3011"/>
    <w:rsid w:val="000F351F"/>
    <w:rsid w:val="000F3739"/>
    <w:rsid w:val="000F398A"/>
    <w:rsid w:val="000F39D6"/>
    <w:rsid w:val="000F3B59"/>
    <w:rsid w:val="000F3CE0"/>
    <w:rsid w:val="000F3E36"/>
    <w:rsid w:val="000F4604"/>
    <w:rsid w:val="000F48D8"/>
    <w:rsid w:val="000F4BB1"/>
    <w:rsid w:val="000F4E9D"/>
    <w:rsid w:val="000F5107"/>
    <w:rsid w:val="000F518D"/>
    <w:rsid w:val="000F574F"/>
    <w:rsid w:val="000F57C2"/>
    <w:rsid w:val="000F5F53"/>
    <w:rsid w:val="000F5F69"/>
    <w:rsid w:val="000F5F87"/>
    <w:rsid w:val="000F6208"/>
    <w:rsid w:val="000F62AB"/>
    <w:rsid w:val="000F6364"/>
    <w:rsid w:val="000F6722"/>
    <w:rsid w:val="000F68E7"/>
    <w:rsid w:val="000F6C94"/>
    <w:rsid w:val="000F71B8"/>
    <w:rsid w:val="000F7230"/>
    <w:rsid w:val="000F73A7"/>
    <w:rsid w:val="000F7588"/>
    <w:rsid w:val="000F7598"/>
    <w:rsid w:val="000F7869"/>
    <w:rsid w:val="000F7870"/>
    <w:rsid w:val="000F7A8D"/>
    <w:rsid w:val="000F7B87"/>
    <w:rsid w:val="000F7B8B"/>
    <w:rsid w:val="000F7C6C"/>
    <w:rsid w:val="000F7C88"/>
    <w:rsid w:val="000F7DA9"/>
    <w:rsid w:val="00100050"/>
    <w:rsid w:val="00100393"/>
    <w:rsid w:val="001009A4"/>
    <w:rsid w:val="00101196"/>
    <w:rsid w:val="0010119E"/>
    <w:rsid w:val="00101606"/>
    <w:rsid w:val="00101895"/>
    <w:rsid w:val="00101B3B"/>
    <w:rsid w:val="00101CFA"/>
    <w:rsid w:val="00101E0F"/>
    <w:rsid w:val="00101EDC"/>
    <w:rsid w:val="001021F9"/>
    <w:rsid w:val="0010294C"/>
    <w:rsid w:val="001036B5"/>
    <w:rsid w:val="00103730"/>
    <w:rsid w:val="0010398D"/>
    <w:rsid w:val="00103CEA"/>
    <w:rsid w:val="00104179"/>
    <w:rsid w:val="00104295"/>
    <w:rsid w:val="00104341"/>
    <w:rsid w:val="00104437"/>
    <w:rsid w:val="00104476"/>
    <w:rsid w:val="001046D1"/>
    <w:rsid w:val="0010473B"/>
    <w:rsid w:val="00104783"/>
    <w:rsid w:val="00104913"/>
    <w:rsid w:val="0010504A"/>
    <w:rsid w:val="00105059"/>
    <w:rsid w:val="00105475"/>
    <w:rsid w:val="00105478"/>
    <w:rsid w:val="001054DB"/>
    <w:rsid w:val="00105A5C"/>
    <w:rsid w:val="00105B53"/>
    <w:rsid w:val="00105B83"/>
    <w:rsid w:val="00105B98"/>
    <w:rsid w:val="00105E11"/>
    <w:rsid w:val="00106023"/>
    <w:rsid w:val="00106560"/>
    <w:rsid w:val="00106658"/>
    <w:rsid w:val="00106BC1"/>
    <w:rsid w:val="00107306"/>
    <w:rsid w:val="00107477"/>
    <w:rsid w:val="001076E9"/>
    <w:rsid w:val="001078C3"/>
    <w:rsid w:val="00107921"/>
    <w:rsid w:val="001079ED"/>
    <w:rsid w:val="00107EDD"/>
    <w:rsid w:val="001100F7"/>
    <w:rsid w:val="00110616"/>
    <w:rsid w:val="00110849"/>
    <w:rsid w:val="00110B23"/>
    <w:rsid w:val="001110E5"/>
    <w:rsid w:val="00111346"/>
    <w:rsid w:val="001114AA"/>
    <w:rsid w:val="00111544"/>
    <w:rsid w:val="001115B7"/>
    <w:rsid w:val="00111988"/>
    <w:rsid w:val="00111BF2"/>
    <w:rsid w:val="00111F32"/>
    <w:rsid w:val="00112099"/>
    <w:rsid w:val="00112233"/>
    <w:rsid w:val="0011226B"/>
    <w:rsid w:val="0011247F"/>
    <w:rsid w:val="0011291D"/>
    <w:rsid w:val="00112962"/>
    <w:rsid w:val="00112BD5"/>
    <w:rsid w:val="00112CA4"/>
    <w:rsid w:val="0011321F"/>
    <w:rsid w:val="0011354C"/>
    <w:rsid w:val="0011355D"/>
    <w:rsid w:val="0011357C"/>
    <w:rsid w:val="0011360C"/>
    <w:rsid w:val="00113A5E"/>
    <w:rsid w:val="00113AEB"/>
    <w:rsid w:val="00113B5C"/>
    <w:rsid w:val="0011409E"/>
    <w:rsid w:val="001145EC"/>
    <w:rsid w:val="00114697"/>
    <w:rsid w:val="001147F7"/>
    <w:rsid w:val="001148D2"/>
    <w:rsid w:val="00114B5D"/>
    <w:rsid w:val="00114C9A"/>
    <w:rsid w:val="00114E42"/>
    <w:rsid w:val="00114F8D"/>
    <w:rsid w:val="00115052"/>
    <w:rsid w:val="001152B9"/>
    <w:rsid w:val="00115611"/>
    <w:rsid w:val="00115918"/>
    <w:rsid w:val="00115FCD"/>
    <w:rsid w:val="001160EB"/>
    <w:rsid w:val="00116563"/>
    <w:rsid w:val="0011667B"/>
    <w:rsid w:val="00116682"/>
    <w:rsid w:val="001166F7"/>
    <w:rsid w:val="00116818"/>
    <w:rsid w:val="00116863"/>
    <w:rsid w:val="00116877"/>
    <w:rsid w:val="00116D1D"/>
    <w:rsid w:val="00116D73"/>
    <w:rsid w:val="00117069"/>
    <w:rsid w:val="0011727A"/>
    <w:rsid w:val="001178ED"/>
    <w:rsid w:val="0011793A"/>
    <w:rsid w:val="0011797D"/>
    <w:rsid w:val="00117A19"/>
    <w:rsid w:val="00117C26"/>
    <w:rsid w:val="00117CDA"/>
    <w:rsid w:val="0012010C"/>
    <w:rsid w:val="00120472"/>
    <w:rsid w:val="001205F2"/>
    <w:rsid w:val="00120866"/>
    <w:rsid w:val="0012086F"/>
    <w:rsid w:val="00120987"/>
    <w:rsid w:val="00120D56"/>
    <w:rsid w:val="00120F8D"/>
    <w:rsid w:val="00120FF5"/>
    <w:rsid w:val="00121028"/>
    <w:rsid w:val="0012152B"/>
    <w:rsid w:val="001217E6"/>
    <w:rsid w:val="00121C62"/>
    <w:rsid w:val="00121EC0"/>
    <w:rsid w:val="00121FA8"/>
    <w:rsid w:val="001220B5"/>
    <w:rsid w:val="001221FC"/>
    <w:rsid w:val="00122243"/>
    <w:rsid w:val="00122290"/>
    <w:rsid w:val="001226C2"/>
    <w:rsid w:val="00122843"/>
    <w:rsid w:val="00122B1F"/>
    <w:rsid w:val="00122E80"/>
    <w:rsid w:val="0012301E"/>
    <w:rsid w:val="001230B9"/>
    <w:rsid w:val="0012335B"/>
    <w:rsid w:val="001234EA"/>
    <w:rsid w:val="0012354B"/>
    <w:rsid w:val="0012376E"/>
    <w:rsid w:val="0012391E"/>
    <w:rsid w:val="00123A04"/>
    <w:rsid w:val="00123A62"/>
    <w:rsid w:val="00123A99"/>
    <w:rsid w:val="00123AF2"/>
    <w:rsid w:val="00123E17"/>
    <w:rsid w:val="00123F10"/>
    <w:rsid w:val="001240D1"/>
    <w:rsid w:val="00124258"/>
    <w:rsid w:val="00124511"/>
    <w:rsid w:val="001248DF"/>
    <w:rsid w:val="0012495C"/>
    <w:rsid w:val="00124DE0"/>
    <w:rsid w:val="00124E79"/>
    <w:rsid w:val="00124FA6"/>
    <w:rsid w:val="0012501E"/>
    <w:rsid w:val="00125057"/>
    <w:rsid w:val="0012507C"/>
    <w:rsid w:val="001253D1"/>
    <w:rsid w:val="0012548F"/>
    <w:rsid w:val="00125494"/>
    <w:rsid w:val="0012553B"/>
    <w:rsid w:val="001258EB"/>
    <w:rsid w:val="001259FE"/>
    <w:rsid w:val="00125C64"/>
    <w:rsid w:val="00125E26"/>
    <w:rsid w:val="0012659C"/>
    <w:rsid w:val="001266BB"/>
    <w:rsid w:val="0012675B"/>
    <w:rsid w:val="00126A8F"/>
    <w:rsid w:val="00126AAF"/>
    <w:rsid w:val="00126E7D"/>
    <w:rsid w:val="00126F0B"/>
    <w:rsid w:val="001273DC"/>
    <w:rsid w:val="0012744D"/>
    <w:rsid w:val="0012750F"/>
    <w:rsid w:val="00127B5C"/>
    <w:rsid w:val="00127B74"/>
    <w:rsid w:val="00127D02"/>
    <w:rsid w:val="00127DF9"/>
    <w:rsid w:val="00127EE4"/>
    <w:rsid w:val="001308A1"/>
    <w:rsid w:val="001309F9"/>
    <w:rsid w:val="00130B35"/>
    <w:rsid w:val="00130C22"/>
    <w:rsid w:val="00130C77"/>
    <w:rsid w:val="001311E9"/>
    <w:rsid w:val="0013142B"/>
    <w:rsid w:val="00131633"/>
    <w:rsid w:val="0013163E"/>
    <w:rsid w:val="001317EB"/>
    <w:rsid w:val="001318ED"/>
    <w:rsid w:val="0013296B"/>
    <w:rsid w:val="00132A1A"/>
    <w:rsid w:val="00132A83"/>
    <w:rsid w:val="00133058"/>
    <w:rsid w:val="00133522"/>
    <w:rsid w:val="00133580"/>
    <w:rsid w:val="001337CA"/>
    <w:rsid w:val="001339A9"/>
    <w:rsid w:val="00133A48"/>
    <w:rsid w:val="00133B05"/>
    <w:rsid w:val="00133B3B"/>
    <w:rsid w:val="00133DCF"/>
    <w:rsid w:val="00133FA0"/>
    <w:rsid w:val="00134617"/>
    <w:rsid w:val="00134DA2"/>
    <w:rsid w:val="00135847"/>
    <w:rsid w:val="00135CDC"/>
    <w:rsid w:val="00135D01"/>
    <w:rsid w:val="001360D2"/>
    <w:rsid w:val="0013620B"/>
    <w:rsid w:val="001368EE"/>
    <w:rsid w:val="00136A87"/>
    <w:rsid w:val="00136E59"/>
    <w:rsid w:val="00136E5B"/>
    <w:rsid w:val="00136E88"/>
    <w:rsid w:val="00137521"/>
    <w:rsid w:val="00137906"/>
    <w:rsid w:val="00137A87"/>
    <w:rsid w:val="00137E1C"/>
    <w:rsid w:val="00137EF4"/>
    <w:rsid w:val="0014017C"/>
    <w:rsid w:val="001401AD"/>
    <w:rsid w:val="001401C1"/>
    <w:rsid w:val="001401CD"/>
    <w:rsid w:val="001402AF"/>
    <w:rsid w:val="00140B0A"/>
    <w:rsid w:val="00140E0F"/>
    <w:rsid w:val="00140ED7"/>
    <w:rsid w:val="00141055"/>
    <w:rsid w:val="001411EF"/>
    <w:rsid w:val="001413B6"/>
    <w:rsid w:val="00141512"/>
    <w:rsid w:val="0014171C"/>
    <w:rsid w:val="0014178D"/>
    <w:rsid w:val="00141936"/>
    <w:rsid w:val="0014194A"/>
    <w:rsid w:val="001419C4"/>
    <w:rsid w:val="00141D37"/>
    <w:rsid w:val="00142034"/>
    <w:rsid w:val="00142233"/>
    <w:rsid w:val="001422EE"/>
    <w:rsid w:val="0014257F"/>
    <w:rsid w:val="00142968"/>
    <w:rsid w:val="00142971"/>
    <w:rsid w:val="001429E2"/>
    <w:rsid w:val="00142F6F"/>
    <w:rsid w:val="001430CA"/>
    <w:rsid w:val="001432B9"/>
    <w:rsid w:val="00143553"/>
    <w:rsid w:val="001436C8"/>
    <w:rsid w:val="001436F8"/>
    <w:rsid w:val="0014372A"/>
    <w:rsid w:val="001438A3"/>
    <w:rsid w:val="00143945"/>
    <w:rsid w:val="00143949"/>
    <w:rsid w:val="001439DB"/>
    <w:rsid w:val="00143B4F"/>
    <w:rsid w:val="00144557"/>
    <w:rsid w:val="0014465C"/>
    <w:rsid w:val="00144939"/>
    <w:rsid w:val="00144A19"/>
    <w:rsid w:val="00144E2B"/>
    <w:rsid w:val="00144EE0"/>
    <w:rsid w:val="00145247"/>
    <w:rsid w:val="001452F5"/>
    <w:rsid w:val="001454A9"/>
    <w:rsid w:val="001455D2"/>
    <w:rsid w:val="00145910"/>
    <w:rsid w:val="00145F80"/>
    <w:rsid w:val="001460F9"/>
    <w:rsid w:val="00146233"/>
    <w:rsid w:val="00146236"/>
    <w:rsid w:val="0014624E"/>
    <w:rsid w:val="0014651F"/>
    <w:rsid w:val="0014687C"/>
    <w:rsid w:val="001469DC"/>
    <w:rsid w:val="00146BEF"/>
    <w:rsid w:val="00146E63"/>
    <w:rsid w:val="00147059"/>
    <w:rsid w:val="00147208"/>
    <w:rsid w:val="00147209"/>
    <w:rsid w:val="0014756C"/>
    <w:rsid w:val="0014761B"/>
    <w:rsid w:val="00147BCF"/>
    <w:rsid w:val="00147CC5"/>
    <w:rsid w:val="00147FAF"/>
    <w:rsid w:val="0015000E"/>
    <w:rsid w:val="00150852"/>
    <w:rsid w:val="00150BA3"/>
    <w:rsid w:val="00150C1A"/>
    <w:rsid w:val="00150C4A"/>
    <w:rsid w:val="00150CDB"/>
    <w:rsid w:val="00150E3E"/>
    <w:rsid w:val="00151596"/>
    <w:rsid w:val="00151668"/>
    <w:rsid w:val="00151757"/>
    <w:rsid w:val="00151816"/>
    <w:rsid w:val="0015199B"/>
    <w:rsid w:val="00151B76"/>
    <w:rsid w:val="00151BE6"/>
    <w:rsid w:val="00151E36"/>
    <w:rsid w:val="00151F87"/>
    <w:rsid w:val="0015211F"/>
    <w:rsid w:val="00152154"/>
    <w:rsid w:val="00152331"/>
    <w:rsid w:val="00152590"/>
    <w:rsid w:val="00152597"/>
    <w:rsid w:val="0015275C"/>
    <w:rsid w:val="0015291C"/>
    <w:rsid w:val="00152AD0"/>
    <w:rsid w:val="001530CE"/>
    <w:rsid w:val="00153407"/>
    <w:rsid w:val="0015343A"/>
    <w:rsid w:val="0015375F"/>
    <w:rsid w:val="0015395B"/>
    <w:rsid w:val="00153CE7"/>
    <w:rsid w:val="00154010"/>
    <w:rsid w:val="001540B9"/>
    <w:rsid w:val="00154115"/>
    <w:rsid w:val="00154574"/>
    <w:rsid w:val="00154990"/>
    <w:rsid w:val="001549A7"/>
    <w:rsid w:val="00154B79"/>
    <w:rsid w:val="00155076"/>
    <w:rsid w:val="001552AA"/>
    <w:rsid w:val="0015537A"/>
    <w:rsid w:val="00155460"/>
    <w:rsid w:val="00155610"/>
    <w:rsid w:val="001557C9"/>
    <w:rsid w:val="00155AA0"/>
    <w:rsid w:val="00155BE2"/>
    <w:rsid w:val="00155C4C"/>
    <w:rsid w:val="00155CD3"/>
    <w:rsid w:val="00156156"/>
    <w:rsid w:val="00156258"/>
    <w:rsid w:val="00156275"/>
    <w:rsid w:val="0015628A"/>
    <w:rsid w:val="00156EA8"/>
    <w:rsid w:val="00156FFF"/>
    <w:rsid w:val="001571EC"/>
    <w:rsid w:val="0015726B"/>
    <w:rsid w:val="001573CD"/>
    <w:rsid w:val="00157477"/>
    <w:rsid w:val="001574B2"/>
    <w:rsid w:val="0015777E"/>
    <w:rsid w:val="00157A60"/>
    <w:rsid w:val="00157A61"/>
    <w:rsid w:val="00157D7B"/>
    <w:rsid w:val="00157F19"/>
    <w:rsid w:val="0016039F"/>
    <w:rsid w:val="001605FA"/>
    <w:rsid w:val="00160823"/>
    <w:rsid w:val="00160931"/>
    <w:rsid w:val="00160958"/>
    <w:rsid w:val="00160C45"/>
    <w:rsid w:val="00160D83"/>
    <w:rsid w:val="00161307"/>
    <w:rsid w:val="00161349"/>
    <w:rsid w:val="0016183B"/>
    <w:rsid w:val="001618B0"/>
    <w:rsid w:val="00161DC8"/>
    <w:rsid w:val="00161E81"/>
    <w:rsid w:val="0016200D"/>
    <w:rsid w:val="0016201E"/>
    <w:rsid w:val="0016206D"/>
    <w:rsid w:val="001624B8"/>
    <w:rsid w:val="001625AD"/>
    <w:rsid w:val="00162711"/>
    <w:rsid w:val="0016290F"/>
    <w:rsid w:val="00162B51"/>
    <w:rsid w:val="00162CB7"/>
    <w:rsid w:val="00162D38"/>
    <w:rsid w:val="00162F62"/>
    <w:rsid w:val="00162FF5"/>
    <w:rsid w:val="001635AA"/>
    <w:rsid w:val="001637AB"/>
    <w:rsid w:val="001638A7"/>
    <w:rsid w:val="001639EE"/>
    <w:rsid w:val="00163A1B"/>
    <w:rsid w:val="00163D1C"/>
    <w:rsid w:val="00163D9D"/>
    <w:rsid w:val="00163DF4"/>
    <w:rsid w:val="00163EEC"/>
    <w:rsid w:val="00164585"/>
    <w:rsid w:val="00164926"/>
    <w:rsid w:val="00164955"/>
    <w:rsid w:val="00164C97"/>
    <w:rsid w:val="00164DEF"/>
    <w:rsid w:val="00164F56"/>
    <w:rsid w:val="00164F62"/>
    <w:rsid w:val="00165117"/>
    <w:rsid w:val="0016523E"/>
    <w:rsid w:val="001652F4"/>
    <w:rsid w:val="0016546A"/>
    <w:rsid w:val="001655F1"/>
    <w:rsid w:val="001658D7"/>
    <w:rsid w:val="00165A1B"/>
    <w:rsid w:val="00165A48"/>
    <w:rsid w:val="00165A9F"/>
    <w:rsid w:val="00165F9B"/>
    <w:rsid w:val="00166086"/>
    <w:rsid w:val="0016614E"/>
    <w:rsid w:val="0016640E"/>
    <w:rsid w:val="00166704"/>
    <w:rsid w:val="001667B4"/>
    <w:rsid w:val="001668EE"/>
    <w:rsid w:val="00166B8A"/>
    <w:rsid w:val="00167068"/>
    <w:rsid w:val="001672F3"/>
    <w:rsid w:val="0016737F"/>
    <w:rsid w:val="0016740E"/>
    <w:rsid w:val="001679AD"/>
    <w:rsid w:val="00167A7C"/>
    <w:rsid w:val="00167EE6"/>
    <w:rsid w:val="00167EEF"/>
    <w:rsid w:val="001700EA"/>
    <w:rsid w:val="001701F0"/>
    <w:rsid w:val="001704C8"/>
    <w:rsid w:val="001705A3"/>
    <w:rsid w:val="00170629"/>
    <w:rsid w:val="00170795"/>
    <w:rsid w:val="00170797"/>
    <w:rsid w:val="001707A9"/>
    <w:rsid w:val="001707D5"/>
    <w:rsid w:val="00170C52"/>
    <w:rsid w:val="00170C8D"/>
    <w:rsid w:val="001710F0"/>
    <w:rsid w:val="0017118D"/>
    <w:rsid w:val="0017133E"/>
    <w:rsid w:val="001713AA"/>
    <w:rsid w:val="0017142A"/>
    <w:rsid w:val="00171534"/>
    <w:rsid w:val="0017158C"/>
    <w:rsid w:val="00171CC3"/>
    <w:rsid w:val="00171F06"/>
    <w:rsid w:val="00171F0D"/>
    <w:rsid w:val="001724AB"/>
    <w:rsid w:val="00172513"/>
    <w:rsid w:val="0017262D"/>
    <w:rsid w:val="0017271B"/>
    <w:rsid w:val="00172773"/>
    <w:rsid w:val="00172D17"/>
    <w:rsid w:val="00172D29"/>
    <w:rsid w:val="00172E6F"/>
    <w:rsid w:val="0017304B"/>
    <w:rsid w:val="001730C9"/>
    <w:rsid w:val="00173215"/>
    <w:rsid w:val="00173754"/>
    <w:rsid w:val="001738E3"/>
    <w:rsid w:val="00173A63"/>
    <w:rsid w:val="00173B16"/>
    <w:rsid w:val="00173C36"/>
    <w:rsid w:val="00173EC1"/>
    <w:rsid w:val="0017417D"/>
    <w:rsid w:val="00174201"/>
    <w:rsid w:val="001748F8"/>
    <w:rsid w:val="00174A84"/>
    <w:rsid w:val="00174B3C"/>
    <w:rsid w:val="00174EFA"/>
    <w:rsid w:val="00175025"/>
    <w:rsid w:val="00175422"/>
    <w:rsid w:val="00175806"/>
    <w:rsid w:val="001758F7"/>
    <w:rsid w:val="0017590F"/>
    <w:rsid w:val="00175D7E"/>
    <w:rsid w:val="00175FB9"/>
    <w:rsid w:val="00176219"/>
    <w:rsid w:val="001762A3"/>
    <w:rsid w:val="001763A2"/>
    <w:rsid w:val="00176EFE"/>
    <w:rsid w:val="00176F81"/>
    <w:rsid w:val="001770F7"/>
    <w:rsid w:val="001774A0"/>
    <w:rsid w:val="0017757D"/>
    <w:rsid w:val="001777AC"/>
    <w:rsid w:val="00177A37"/>
    <w:rsid w:val="00177A3C"/>
    <w:rsid w:val="00177D78"/>
    <w:rsid w:val="00177DC6"/>
    <w:rsid w:val="00177EA9"/>
    <w:rsid w:val="00177F10"/>
    <w:rsid w:val="0018034C"/>
    <w:rsid w:val="00180912"/>
    <w:rsid w:val="00180C63"/>
    <w:rsid w:val="00180F3C"/>
    <w:rsid w:val="0018122C"/>
    <w:rsid w:val="00181315"/>
    <w:rsid w:val="00181F4D"/>
    <w:rsid w:val="00182719"/>
    <w:rsid w:val="00182C77"/>
    <w:rsid w:val="00183312"/>
    <w:rsid w:val="001835C4"/>
    <w:rsid w:val="001836CC"/>
    <w:rsid w:val="001836FC"/>
    <w:rsid w:val="00183EB2"/>
    <w:rsid w:val="00183FDE"/>
    <w:rsid w:val="00184019"/>
    <w:rsid w:val="00184165"/>
    <w:rsid w:val="001845C9"/>
    <w:rsid w:val="001849D3"/>
    <w:rsid w:val="00184DC0"/>
    <w:rsid w:val="00184FA1"/>
    <w:rsid w:val="001855BD"/>
    <w:rsid w:val="00185A7D"/>
    <w:rsid w:val="00185A98"/>
    <w:rsid w:val="00185DFF"/>
    <w:rsid w:val="00186041"/>
    <w:rsid w:val="001862A4"/>
    <w:rsid w:val="001865D3"/>
    <w:rsid w:val="0018665C"/>
    <w:rsid w:val="0018679A"/>
    <w:rsid w:val="001867C9"/>
    <w:rsid w:val="001868D0"/>
    <w:rsid w:val="00186C4B"/>
    <w:rsid w:val="00186FC6"/>
    <w:rsid w:val="001870CB"/>
    <w:rsid w:val="001871E0"/>
    <w:rsid w:val="001873DA"/>
    <w:rsid w:val="001874A7"/>
    <w:rsid w:val="00187744"/>
    <w:rsid w:val="00187912"/>
    <w:rsid w:val="00187B9A"/>
    <w:rsid w:val="00187CE7"/>
    <w:rsid w:val="00187F38"/>
    <w:rsid w:val="00190405"/>
    <w:rsid w:val="001905AD"/>
    <w:rsid w:val="0019084F"/>
    <w:rsid w:val="00190AC0"/>
    <w:rsid w:val="00190C69"/>
    <w:rsid w:val="001911D9"/>
    <w:rsid w:val="001912D6"/>
    <w:rsid w:val="00191567"/>
    <w:rsid w:val="0019191F"/>
    <w:rsid w:val="0019194C"/>
    <w:rsid w:val="001919BA"/>
    <w:rsid w:val="00191ADA"/>
    <w:rsid w:val="00192039"/>
    <w:rsid w:val="00192348"/>
    <w:rsid w:val="0019240D"/>
    <w:rsid w:val="00192596"/>
    <w:rsid w:val="00192668"/>
    <w:rsid w:val="00192741"/>
    <w:rsid w:val="0019276F"/>
    <w:rsid w:val="00192A48"/>
    <w:rsid w:val="00192AA6"/>
    <w:rsid w:val="00192CFE"/>
    <w:rsid w:val="00193036"/>
    <w:rsid w:val="001930D6"/>
    <w:rsid w:val="00193185"/>
    <w:rsid w:val="001931A8"/>
    <w:rsid w:val="00193230"/>
    <w:rsid w:val="001932C8"/>
    <w:rsid w:val="00193333"/>
    <w:rsid w:val="00193782"/>
    <w:rsid w:val="00193947"/>
    <w:rsid w:val="00193C35"/>
    <w:rsid w:val="00193E60"/>
    <w:rsid w:val="00193ED2"/>
    <w:rsid w:val="00193F45"/>
    <w:rsid w:val="001946FB"/>
    <w:rsid w:val="00194994"/>
    <w:rsid w:val="00194CAA"/>
    <w:rsid w:val="0019555A"/>
    <w:rsid w:val="001956A0"/>
    <w:rsid w:val="001957EE"/>
    <w:rsid w:val="00195823"/>
    <w:rsid w:val="001959F1"/>
    <w:rsid w:val="00195EBF"/>
    <w:rsid w:val="0019626C"/>
    <w:rsid w:val="001962DD"/>
    <w:rsid w:val="00196347"/>
    <w:rsid w:val="00196551"/>
    <w:rsid w:val="001966E9"/>
    <w:rsid w:val="00196836"/>
    <w:rsid w:val="00196B51"/>
    <w:rsid w:val="00196B55"/>
    <w:rsid w:val="00196E5B"/>
    <w:rsid w:val="00196F45"/>
    <w:rsid w:val="00197042"/>
    <w:rsid w:val="00197117"/>
    <w:rsid w:val="001971B9"/>
    <w:rsid w:val="001972F1"/>
    <w:rsid w:val="001977E6"/>
    <w:rsid w:val="00197C09"/>
    <w:rsid w:val="00197F77"/>
    <w:rsid w:val="001A035F"/>
    <w:rsid w:val="001A0C29"/>
    <w:rsid w:val="001A0E7F"/>
    <w:rsid w:val="001A0F18"/>
    <w:rsid w:val="001A1012"/>
    <w:rsid w:val="001A1127"/>
    <w:rsid w:val="001A1B19"/>
    <w:rsid w:val="001A1D29"/>
    <w:rsid w:val="001A1EA4"/>
    <w:rsid w:val="001A22A5"/>
    <w:rsid w:val="001A2482"/>
    <w:rsid w:val="001A268C"/>
    <w:rsid w:val="001A29E2"/>
    <w:rsid w:val="001A2D13"/>
    <w:rsid w:val="001A305C"/>
    <w:rsid w:val="001A30B6"/>
    <w:rsid w:val="001A30E6"/>
    <w:rsid w:val="001A3562"/>
    <w:rsid w:val="001A3828"/>
    <w:rsid w:val="001A3A5D"/>
    <w:rsid w:val="001A3B0F"/>
    <w:rsid w:val="001A4A45"/>
    <w:rsid w:val="001A4B86"/>
    <w:rsid w:val="001A4BD7"/>
    <w:rsid w:val="001A503F"/>
    <w:rsid w:val="001A5317"/>
    <w:rsid w:val="001A5991"/>
    <w:rsid w:val="001A59DC"/>
    <w:rsid w:val="001A5BA1"/>
    <w:rsid w:val="001A6813"/>
    <w:rsid w:val="001A68E7"/>
    <w:rsid w:val="001A699E"/>
    <w:rsid w:val="001A6A07"/>
    <w:rsid w:val="001A6EE0"/>
    <w:rsid w:val="001A73C4"/>
    <w:rsid w:val="001A7975"/>
    <w:rsid w:val="001A7AFF"/>
    <w:rsid w:val="001A7B0A"/>
    <w:rsid w:val="001A7E5A"/>
    <w:rsid w:val="001A7EBE"/>
    <w:rsid w:val="001B0159"/>
    <w:rsid w:val="001B0754"/>
    <w:rsid w:val="001B0D56"/>
    <w:rsid w:val="001B1476"/>
    <w:rsid w:val="001B1489"/>
    <w:rsid w:val="001B155F"/>
    <w:rsid w:val="001B158E"/>
    <w:rsid w:val="001B1601"/>
    <w:rsid w:val="001B1627"/>
    <w:rsid w:val="001B18BC"/>
    <w:rsid w:val="001B1B5E"/>
    <w:rsid w:val="001B1BD5"/>
    <w:rsid w:val="001B1E88"/>
    <w:rsid w:val="001B1F3D"/>
    <w:rsid w:val="001B1F9F"/>
    <w:rsid w:val="001B2162"/>
    <w:rsid w:val="001B2817"/>
    <w:rsid w:val="001B2819"/>
    <w:rsid w:val="001B29A6"/>
    <w:rsid w:val="001B3136"/>
    <w:rsid w:val="001B33C6"/>
    <w:rsid w:val="001B393C"/>
    <w:rsid w:val="001B3A59"/>
    <w:rsid w:val="001B3C82"/>
    <w:rsid w:val="001B3CCC"/>
    <w:rsid w:val="001B4581"/>
    <w:rsid w:val="001B460E"/>
    <w:rsid w:val="001B4B7E"/>
    <w:rsid w:val="001B4C5B"/>
    <w:rsid w:val="001B5076"/>
    <w:rsid w:val="001B53DE"/>
    <w:rsid w:val="001B56B3"/>
    <w:rsid w:val="001B5819"/>
    <w:rsid w:val="001B5D00"/>
    <w:rsid w:val="001B6005"/>
    <w:rsid w:val="001B6084"/>
    <w:rsid w:val="001B636B"/>
    <w:rsid w:val="001B63B8"/>
    <w:rsid w:val="001B642D"/>
    <w:rsid w:val="001B64AD"/>
    <w:rsid w:val="001B657F"/>
    <w:rsid w:val="001B6783"/>
    <w:rsid w:val="001B67CE"/>
    <w:rsid w:val="001B6C65"/>
    <w:rsid w:val="001B6F5B"/>
    <w:rsid w:val="001B746F"/>
    <w:rsid w:val="001B7673"/>
    <w:rsid w:val="001B7847"/>
    <w:rsid w:val="001C0193"/>
    <w:rsid w:val="001C062D"/>
    <w:rsid w:val="001C0675"/>
    <w:rsid w:val="001C0C0A"/>
    <w:rsid w:val="001C0D89"/>
    <w:rsid w:val="001C0FFD"/>
    <w:rsid w:val="001C11A0"/>
    <w:rsid w:val="001C11EF"/>
    <w:rsid w:val="001C132E"/>
    <w:rsid w:val="001C16D8"/>
    <w:rsid w:val="001C1A7B"/>
    <w:rsid w:val="001C2BE8"/>
    <w:rsid w:val="001C2FF9"/>
    <w:rsid w:val="001C30B5"/>
    <w:rsid w:val="001C3162"/>
    <w:rsid w:val="001C3281"/>
    <w:rsid w:val="001C3520"/>
    <w:rsid w:val="001C4094"/>
    <w:rsid w:val="001C46D0"/>
    <w:rsid w:val="001C48BC"/>
    <w:rsid w:val="001C495E"/>
    <w:rsid w:val="001C4A4C"/>
    <w:rsid w:val="001C4BAB"/>
    <w:rsid w:val="001C4BBF"/>
    <w:rsid w:val="001C4CE2"/>
    <w:rsid w:val="001C4ED0"/>
    <w:rsid w:val="001C50CD"/>
    <w:rsid w:val="001C5163"/>
    <w:rsid w:val="001C5238"/>
    <w:rsid w:val="001C523D"/>
    <w:rsid w:val="001C52B6"/>
    <w:rsid w:val="001C532F"/>
    <w:rsid w:val="001C5434"/>
    <w:rsid w:val="001C5707"/>
    <w:rsid w:val="001C5B41"/>
    <w:rsid w:val="001C61F1"/>
    <w:rsid w:val="001C65E0"/>
    <w:rsid w:val="001C66E4"/>
    <w:rsid w:val="001C691D"/>
    <w:rsid w:val="001C6940"/>
    <w:rsid w:val="001C6A7D"/>
    <w:rsid w:val="001C6CA0"/>
    <w:rsid w:val="001C6DAA"/>
    <w:rsid w:val="001C6DD4"/>
    <w:rsid w:val="001C6F07"/>
    <w:rsid w:val="001C7079"/>
    <w:rsid w:val="001C70A2"/>
    <w:rsid w:val="001C70ED"/>
    <w:rsid w:val="001C7576"/>
    <w:rsid w:val="001C7666"/>
    <w:rsid w:val="001C773B"/>
    <w:rsid w:val="001C774E"/>
    <w:rsid w:val="001C7951"/>
    <w:rsid w:val="001C79F7"/>
    <w:rsid w:val="001D024C"/>
    <w:rsid w:val="001D0395"/>
    <w:rsid w:val="001D0990"/>
    <w:rsid w:val="001D0DA1"/>
    <w:rsid w:val="001D0DB4"/>
    <w:rsid w:val="001D109B"/>
    <w:rsid w:val="001D1392"/>
    <w:rsid w:val="001D1647"/>
    <w:rsid w:val="001D17F3"/>
    <w:rsid w:val="001D1899"/>
    <w:rsid w:val="001D194C"/>
    <w:rsid w:val="001D1CBE"/>
    <w:rsid w:val="001D1D02"/>
    <w:rsid w:val="001D1DF1"/>
    <w:rsid w:val="001D1F1A"/>
    <w:rsid w:val="001D266B"/>
    <w:rsid w:val="001D2E7F"/>
    <w:rsid w:val="001D32C5"/>
    <w:rsid w:val="001D3440"/>
    <w:rsid w:val="001D3949"/>
    <w:rsid w:val="001D3B77"/>
    <w:rsid w:val="001D3CDF"/>
    <w:rsid w:val="001D3E18"/>
    <w:rsid w:val="001D3F03"/>
    <w:rsid w:val="001D3F91"/>
    <w:rsid w:val="001D4530"/>
    <w:rsid w:val="001D4556"/>
    <w:rsid w:val="001D4573"/>
    <w:rsid w:val="001D46C8"/>
    <w:rsid w:val="001D473D"/>
    <w:rsid w:val="001D48AC"/>
    <w:rsid w:val="001D4B1D"/>
    <w:rsid w:val="001D4D9F"/>
    <w:rsid w:val="001D4EDC"/>
    <w:rsid w:val="001D500F"/>
    <w:rsid w:val="001D5119"/>
    <w:rsid w:val="001D53BB"/>
    <w:rsid w:val="001D55A5"/>
    <w:rsid w:val="001D55E2"/>
    <w:rsid w:val="001D579C"/>
    <w:rsid w:val="001D5839"/>
    <w:rsid w:val="001D5887"/>
    <w:rsid w:val="001D5E88"/>
    <w:rsid w:val="001D5F33"/>
    <w:rsid w:val="001D6135"/>
    <w:rsid w:val="001D620D"/>
    <w:rsid w:val="001D6285"/>
    <w:rsid w:val="001D629A"/>
    <w:rsid w:val="001D6D75"/>
    <w:rsid w:val="001D71F5"/>
    <w:rsid w:val="001D7237"/>
    <w:rsid w:val="001D7468"/>
    <w:rsid w:val="001D74FE"/>
    <w:rsid w:val="001D7540"/>
    <w:rsid w:val="001D78B1"/>
    <w:rsid w:val="001D7B73"/>
    <w:rsid w:val="001E006E"/>
    <w:rsid w:val="001E068A"/>
    <w:rsid w:val="001E07CE"/>
    <w:rsid w:val="001E0A0A"/>
    <w:rsid w:val="001E0E94"/>
    <w:rsid w:val="001E114D"/>
    <w:rsid w:val="001E1917"/>
    <w:rsid w:val="001E1C6E"/>
    <w:rsid w:val="001E1FF5"/>
    <w:rsid w:val="001E2308"/>
    <w:rsid w:val="001E259E"/>
    <w:rsid w:val="001E26D2"/>
    <w:rsid w:val="001E2BC6"/>
    <w:rsid w:val="001E2C49"/>
    <w:rsid w:val="001E2C94"/>
    <w:rsid w:val="001E2CEE"/>
    <w:rsid w:val="001E2D01"/>
    <w:rsid w:val="001E2D0D"/>
    <w:rsid w:val="001E2F75"/>
    <w:rsid w:val="001E2FDF"/>
    <w:rsid w:val="001E349A"/>
    <w:rsid w:val="001E34BF"/>
    <w:rsid w:val="001E353E"/>
    <w:rsid w:val="001E3893"/>
    <w:rsid w:val="001E3CDA"/>
    <w:rsid w:val="001E403B"/>
    <w:rsid w:val="001E40D1"/>
    <w:rsid w:val="001E4146"/>
    <w:rsid w:val="001E4944"/>
    <w:rsid w:val="001E4D7A"/>
    <w:rsid w:val="001E4F24"/>
    <w:rsid w:val="001E5213"/>
    <w:rsid w:val="001E55B9"/>
    <w:rsid w:val="001E5949"/>
    <w:rsid w:val="001E636C"/>
    <w:rsid w:val="001E655E"/>
    <w:rsid w:val="001E65EA"/>
    <w:rsid w:val="001E65FD"/>
    <w:rsid w:val="001E6970"/>
    <w:rsid w:val="001E6EDF"/>
    <w:rsid w:val="001E6FB6"/>
    <w:rsid w:val="001E788B"/>
    <w:rsid w:val="001E7B8E"/>
    <w:rsid w:val="001E7E33"/>
    <w:rsid w:val="001F030F"/>
    <w:rsid w:val="001F12E4"/>
    <w:rsid w:val="001F1631"/>
    <w:rsid w:val="001F17A8"/>
    <w:rsid w:val="001F224F"/>
    <w:rsid w:val="001F279B"/>
    <w:rsid w:val="001F2819"/>
    <w:rsid w:val="001F2AC8"/>
    <w:rsid w:val="001F2B72"/>
    <w:rsid w:val="001F2CE3"/>
    <w:rsid w:val="001F341B"/>
    <w:rsid w:val="001F3890"/>
    <w:rsid w:val="001F394F"/>
    <w:rsid w:val="001F3A3A"/>
    <w:rsid w:val="001F3A42"/>
    <w:rsid w:val="001F3FA8"/>
    <w:rsid w:val="001F412E"/>
    <w:rsid w:val="001F41A1"/>
    <w:rsid w:val="001F41B9"/>
    <w:rsid w:val="001F4675"/>
    <w:rsid w:val="001F4B1A"/>
    <w:rsid w:val="001F4BE5"/>
    <w:rsid w:val="001F4C3D"/>
    <w:rsid w:val="001F594C"/>
    <w:rsid w:val="001F59F2"/>
    <w:rsid w:val="001F5E65"/>
    <w:rsid w:val="001F5FD6"/>
    <w:rsid w:val="001F65F9"/>
    <w:rsid w:val="001F71F9"/>
    <w:rsid w:val="001F720F"/>
    <w:rsid w:val="001F761D"/>
    <w:rsid w:val="001F772F"/>
    <w:rsid w:val="001F7A95"/>
    <w:rsid w:val="001F7D1F"/>
    <w:rsid w:val="001F7E4B"/>
    <w:rsid w:val="001F7FAB"/>
    <w:rsid w:val="00200104"/>
    <w:rsid w:val="0020037F"/>
    <w:rsid w:val="00200A2B"/>
    <w:rsid w:val="00200A47"/>
    <w:rsid w:val="00200AAF"/>
    <w:rsid w:val="00200ABD"/>
    <w:rsid w:val="00200DEC"/>
    <w:rsid w:val="00200E98"/>
    <w:rsid w:val="00200FA0"/>
    <w:rsid w:val="002014A6"/>
    <w:rsid w:val="0020164D"/>
    <w:rsid w:val="002016AE"/>
    <w:rsid w:val="0020171B"/>
    <w:rsid w:val="00201969"/>
    <w:rsid w:val="002019EB"/>
    <w:rsid w:val="002022B2"/>
    <w:rsid w:val="002025E4"/>
    <w:rsid w:val="00202621"/>
    <w:rsid w:val="00202659"/>
    <w:rsid w:val="00202B05"/>
    <w:rsid w:val="00202BB5"/>
    <w:rsid w:val="00202BFF"/>
    <w:rsid w:val="00202F8C"/>
    <w:rsid w:val="002030FF"/>
    <w:rsid w:val="00203578"/>
    <w:rsid w:val="00203705"/>
    <w:rsid w:val="002038AD"/>
    <w:rsid w:val="00203AD2"/>
    <w:rsid w:val="00203E5D"/>
    <w:rsid w:val="00203FC9"/>
    <w:rsid w:val="00204307"/>
    <w:rsid w:val="00204FDF"/>
    <w:rsid w:val="0020505D"/>
    <w:rsid w:val="00205140"/>
    <w:rsid w:val="002053E3"/>
    <w:rsid w:val="0020549F"/>
    <w:rsid w:val="002054A5"/>
    <w:rsid w:val="002055F4"/>
    <w:rsid w:val="002059B9"/>
    <w:rsid w:val="0020609A"/>
    <w:rsid w:val="002066E3"/>
    <w:rsid w:val="00206712"/>
    <w:rsid w:val="00206DEB"/>
    <w:rsid w:val="002070B2"/>
    <w:rsid w:val="002070BB"/>
    <w:rsid w:val="00207285"/>
    <w:rsid w:val="002072AA"/>
    <w:rsid w:val="00207323"/>
    <w:rsid w:val="00207434"/>
    <w:rsid w:val="00207CC2"/>
    <w:rsid w:val="00207D56"/>
    <w:rsid w:val="002105D2"/>
    <w:rsid w:val="00210652"/>
    <w:rsid w:val="002106E4"/>
    <w:rsid w:val="00210929"/>
    <w:rsid w:val="00210C45"/>
    <w:rsid w:val="00210D7B"/>
    <w:rsid w:val="00211158"/>
    <w:rsid w:val="0021128E"/>
    <w:rsid w:val="00211940"/>
    <w:rsid w:val="00211B95"/>
    <w:rsid w:val="00211F6F"/>
    <w:rsid w:val="002127FA"/>
    <w:rsid w:val="00212EE8"/>
    <w:rsid w:val="00213014"/>
    <w:rsid w:val="0021301E"/>
    <w:rsid w:val="002131F7"/>
    <w:rsid w:val="0021339B"/>
    <w:rsid w:val="002134F2"/>
    <w:rsid w:val="0021376C"/>
    <w:rsid w:val="00213A33"/>
    <w:rsid w:val="00213B14"/>
    <w:rsid w:val="00213DCD"/>
    <w:rsid w:val="00213E05"/>
    <w:rsid w:val="00213EB6"/>
    <w:rsid w:val="00214048"/>
    <w:rsid w:val="00214224"/>
    <w:rsid w:val="00214482"/>
    <w:rsid w:val="002144C3"/>
    <w:rsid w:val="002149DD"/>
    <w:rsid w:val="002149EF"/>
    <w:rsid w:val="00214B12"/>
    <w:rsid w:val="0021540F"/>
    <w:rsid w:val="002156C3"/>
    <w:rsid w:val="0021599D"/>
    <w:rsid w:val="00215D45"/>
    <w:rsid w:val="00215D86"/>
    <w:rsid w:val="0021643F"/>
    <w:rsid w:val="002164F4"/>
    <w:rsid w:val="0021651D"/>
    <w:rsid w:val="0021676D"/>
    <w:rsid w:val="00216775"/>
    <w:rsid w:val="00216A4E"/>
    <w:rsid w:val="00217077"/>
    <w:rsid w:val="002176D4"/>
    <w:rsid w:val="00217BC4"/>
    <w:rsid w:val="002201B2"/>
    <w:rsid w:val="00220365"/>
    <w:rsid w:val="002206B4"/>
    <w:rsid w:val="002207E7"/>
    <w:rsid w:val="00220A84"/>
    <w:rsid w:val="00220B84"/>
    <w:rsid w:val="00220E68"/>
    <w:rsid w:val="00221531"/>
    <w:rsid w:val="0022169C"/>
    <w:rsid w:val="00221739"/>
    <w:rsid w:val="00222251"/>
    <w:rsid w:val="002224FF"/>
    <w:rsid w:val="002225AA"/>
    <w:rsid w:val="00222805"/>
    <w:rsid w:val="002228A3"/>
    <w:rsid w:val="002229D3"/>
    <w:rsid w:val="00222B3F"/>
    <w:rsid w:val="0022319D"/>
    <w:rsid w:val="002235F4"/>
    <w:rsid w:val="00223662"/>
    <w:rsid w:val="00223C11"/>
    <w:rsid w:val="00223E6C"/>
    <w:rsid w:val="00223F7F"/>
    <w:rsid w:val="0022431A"/>
    <w:rsid w:val="00224451"/>
    <w:rsid w:val="002246B2"/>
    <w:rsid w:val="00224B48"/>
    <w:rsid w:val="00224B64"/>
    <w:rsid w:val="00224C6A"/>
    <w:rsid w:val="00224E33"/>
    <w:rsid w:val="00224E7B"/>
    <w:rsid w:val="00224F20"/>
    <w:rsid w:val="00225172"/>
    <w:rsid w:val="002251E9"/>
    <w:rsid w:val="002252A0"/>
    <w:rsid w:val="002253F8"/>
    <w:rsid w:val="00225562"/>
    <w:rsid w:val="002256EE"/>
    <w:rsid w:val="002257AA"/>
    <w:rsid w:val="002258EC"/>
    <w:rsid w:val="00225983"/>
    <w:rsid w:val="00225CCD"/>
    <w:rsid w:val="00226519"/>
    <w:rsid w:val="0022655B"/>
    <w:rsid w:val="002265BC"/>
    <w:rsid w:val="002266B8"/>
    <w:rsid w:val="00226A7B"/>
    <w:rsid w:val="00226B26"/>
    <w:rsid w:val="00226D4C"/>
    <w:rsid w:val="0022799C"/>
    <w:rsid w:val="002303C3"/>
    <w:rsid w:val="00230459"/>
    <w:rsid w:val="0023075A"/>
    <w:rsid w:val="00230871"/>
    <w:rsid w:val="0023136C"/>
    <w:rsid w:val="002317AC"/>
    <w:rsid w:val="0023186F"/>
    <w:rsid w:val="00231A7F"/>
    <w:rsid w:val="00231C00"/>
    <w:rsid w:val="00231CEB"/>
    <w:rsid w:val="00231E2F"/>
    <w:rsid w:val="00231E3B"/>
    <w:rsid w:val="00231EB8"/>
    <w:rsid w:val="002322C4"/>
    <w:rsid w:val="002323E6"/>
    <w:rsid w:val="002325F8"/>
    <w:rsid w:val="00232638"/>
    <w:rsid w:val="0023265D"/>
    <w:rsid w:val="00232B47"/>
    <w:rsid w:val="00232B4C"/>
    <w:rsid w:val="0023309D"/>
    <w:rsid w:val="00233271"/>
    <w:rsid w:val="002337D6"/>
    <w:rsid w:val="00233B46"/>
    <w:rsid w:val="00233F8A"/>
    <w:rsid w:val="00234457"/>
    <w:rsid w:val="0023457F"/>
    <w:rsid w:val="00234781"/>
    <w:rsid w:val="002348F2"/>
    <w:rsid w:val="00234A28"/>
    <w:rsid w:val="00234FC3"/>
    <w:rsid w:val="0023500A"/>
    <w:rsid w:val="002350EE"/>
    <w:rsid w:val="00235150"/>
    <w:rsid w:val="002353D1"/>
    <w:rsid w:val="002354B9"/>
    <w:rsid w:val="002358EF"/>
    <w:rsid w:val="00235EB3"/>
    <w:rsid w:val="00236984"/>
    <w:rsid w:val="002369FE"/>
    <w:rsid w:val="00237194"/>
    <w:rsid w:val="00237669"/>
    <w:rsid w:val="002376BE"/>
    <w:rsid w:val="002377AA"/>
    <w:rsid w:val="00237897"/>
    <w:rsid w:val="00237C70"/>
    <w:rsid w:val="00237E3B"/>
    <w:rsid w:val="00240564"/>
    <w:rsid w:val="002406D7"/>
    <w:rsid w:val="00240947"/>
    <w:rsid w:val="002409E8"/>
    <w:rsid w:val="002410B2"/>
    <w:rsid w:val="002412A9"/>
    <w:rsid w:val="00241691"/>
    <w:rsid w:val="002416E8"/>
    <w:rsid w:val="00241726"/>
    <w:rsid w:val="00241B46"/>
    <w:rsid w:val="00241D46"/>
    <w:rsid w:val="00241E02"/>
    <w:rsid w:val="00241ECA"/>
    <w:rsid w:val="00241FA9"/>
    <w:rsid w:val="00241FBD"/>
    <w:rsid w:val="00242148"/>
    <w:rsid w:val="00242264"/>
    <w:rsid w:val="00242403"/>
    <w:rsid w:val="002426B8"/>
    <w:rsid w:val="00242A7D"/>
    <w:rsid w:val="00242C00"/>
    <w:rsid w:val="00242C7A"/>
    <w:rsid w:val="00242F2E"/>
    <w:rsid w:val="00242F53"/>
    <w:rsid w:val="00242FD4"/>
    <w:rsid w:val="00243636"/>
    <w:rsid w:val="002437C7"/>
    <w:rsid w:val="00243B4C"/>
    <w:rsid w:val="00243CA3"/>
    <w:rsid w:val="00243EB8"/>
    <w:rsid w:val="00244099"/>
    <w:rsid w:val="00244804"/>
    <w:rsid w:val="0024504B"/>
    <w:rsid w:val="002450A4"/>
    <w:rsid w:val="00245161"/>
    <w:rsid w:val="00245174"/>
    <w:rsid w:val="00245546"/>
    <w:rsid w:val="002459CF"/>
    <w:rsid w:val="00245EA4"/>
    <w:rsid w:val="00245EC6"/>
    <w:rsid w:val="00245F2C"/>
    <w:rsid w:val="00245F58"/>
    <w:rsid w:val="00245FBF"/>
    <w:rsid w:val="002460F9"/>
    <w:rsid w:val="002464BC"/>
    <w:rsid w:val="0024708D"/>
    <w:rsid w:val="00247108"/>
    <w:rsid w:val="00247319"/>
    <w:rsid w:val="0024743E"/>
    <w:rsid w:val="0024760F"/>
    <w:rsid w:val="002476C4"/>
    <w:rsid w:val="00247A06"/>
    <w:rsid w:val="00247FAD"/>
    <w:rsid w:val="00247FE4"/>
    <w:rsid w:val="0025021A"/>
    <w:rsid w:val="00250672"/>
    <w:rsid w:val="00250C2A"/>
    <w:rsid w:val="00250EEE"/>
    <w:rsid w:val="002510BC"/>
    <w:rsid w:val="0025130E"/>
    <w:rsid w:val="00251935"/>
    <w:rsid w:val="0025197D"/>
    <w:rsid w:val="00251CED"/>
    <w:rsid w:val="00251ED7"/>
    <w:rsid w:val="00252000"/>
    <w:rsid w:val="002520DC"/>
    <w:rsid w:val="002522A3"/>
    <w:rsid w:val="002527DF"/>
    <w:rsid w:val="00252D20"/>
    <w:rsid w:val="00253537"/>
    <w:rsid w:val="00253B15"/>
    <w:rsid w:val="00253B93"/>
    <w:rsid w:val="00253DF6"/>
    <w:rsid w:val="00253E54"/>
    <w:rsid w:val="00253ECF"/>
    <w:rsid w:val="00253F04"/>
    <w:rsid w:val="002541B4"/>
    <w:rsid w:val="00254213"/>
    <w:rsid w:val="002543D9"/>
    <w:rsid w:val="00254711"/>
    <w:rsid w:val="00254774"/>
    <w:rsid w:val="00254899"/>
    <w:rsid w:val="00254E61"/>
    <w:rsid w:val="0025502E"/>
    <w:rsid w:val="002554EC"/>
    <w:rsid w:val="0025562E"/>
    <w:rsid w:val="0025594D"/>
    <w:rsid w:val="00255B26"/>
    <w:rsid w:val="00255B43"/>
    <w:rsid w:val="00255FD9"/>
    <w:rsid w:val="00256077"/>
    <w:rsid w:val="002564B1"/>
    <w:rsid w:val="00256701"/>
    <w:rsid w:val="00256B06"/>
    <w:rsid w:val="00256EDC"/>
    <w:rsid w:val="002572AB"/>
    <w:rsid w:val="002573AC"/>
    <w:rsid w:val="0025756B"/>
    <w:rsid w:val="00257593"/>
    <w:rsid w:val="002575AA"/>
    <w:rsid w:val="0025786C"/>
    <w:rsid w:val="0026019C"/>
    <w:rsid w:val="0026022B"/>
    <w:rsid w:val="0026029A"/>
    <w:rsid w:val="00260484"/>
    <w:rsid w:val="002606FE"/>
    <w:rsid w:val="002607E7"/>
    <w:rsid w:val="002609A7"/>
    <w:rsid w:val="00260D49"/>
    <w:rsid w:val="00261069"/>
    <w:rsid w:val="00261194"/>
    <w:rsid w:val="002613B6"/>
    <w:rsid w:val="0026144F"/>
    <w:rsid w:val="002614E9"/>
    <w:rsid w:val="00261777"/>
    <w:rsid w:val="00261B48"/>
    <w:rsid w:val="00261CA7"/>
    <w:rsid w:val="00262160"/>
    <w:rsid w:val="00262173"/>
    <w:rsid w:val="002624F9"/>
    <w:rsid w:val="00262719"/>
    <w:rsid w:val="0026343B"/>
    <w:rsid w:val="002635F5"/>
    <w:rsid w:val="00263716"/>
    <w:rsid w:val="00263A1B"/>
    <w:rsid w:val="00263AEA"/>
    <w:rsid w:val="00263C8B"/>
    <w:rsid w:val="00264558"/>
    <w:rsid w:val="002645D6"/>
    <w:rsid w:val="00264650"/>
    <w:rsid w:val="0026496A"/>
    <w:rsid w:val="00264983"/>
    <w:rsid w:val="00264A2A"/>
    <w:rsid w:val="0026528B"/>
    <w:rsid w:val="002664E8"/>
    <w:rsid w:val="002666AE"/>
    <w:rsid w:val="002666B2"/>
    <w:rsid w:val="0026695D"/>
    <w:rsid w:val="00266C79"/>
    <w:rsid w:val="0026709C"/>
    <w:rsid w:val="00267187"/>
    <w:rsid w:val="00267348"/>
    <w:rsid w:val="002675AE"/>
    <w:rsid w:val="0026761A"/>
    <w:rsid w:val="00267738"/>
    <w:rsid w:val="00267AF8"/>
    <w:rsid w:val="00267D82"/>
    <w:rsid w:val="0027030F"/>
    <w:rsid w:val="002705B0"/>
    <w:rsid w:val="002705FB"/>
    <w:rsid w:val="0027096A"/>
    <w:rsid w:val="00270B53"/>
    <w:rsid w:val="00270E7B"/>
    <w:rsid w:val="00270FA7"/>
    <w:rsid w:val="00271270"/>
    <w:rsid w:val="00271310"/>
    <w:rsid w:val="0027144C"/>
    <w:rsid w:val="0027175F"/>
    <w:rsid w:val="00271B14"/>
    <w:rsid w:val="00271D7D"/>
    <w:rsid w:val="00271F33"/>
    <w:rsid w:val="002720A2"/>
    <w:rsid w:val="0027215C"/>
    <w:rsid w:val="0027222D"/>
    <w:rsid w:val="002723BB"/>
    <w:rsid w:val="00272609"/>
    <w:rsid w:val="00272A47"/>
    <w:rsid w:val="00272B1F"/>
    <w:rsid w:val="00272C52"/>
    <w:rsid w:val="00272EDB"/>
    <w:rsid w:val="0027340B"/>
    <w:rsid w:val="0027349F"/>
    <w:rsid w:val="002735D4"/>
    <w:rsid w:val="00273632"/>
    <w:rsid w:val="00273937"/>
    <w:rsid w:val="00273CED"/>
    <w:rsid w:val="00273F5D"/>
    <w:rsid w:val="002741E7"/>
    <w:rsid w:val="002747F5"/>
    <w:rsid w:val="00274801"/>
    <w:rsid w:val="00274866"/>
    <w:rsid w:val="00274BBE"/>
    <w:rsid w:val="00274CCB"/>
    <w:rsid w:val="00274D56"/>
    <w:rsid w:val="00274DFE"/>
    <w:rsid w:val="002750DC"/>
    <w:rsid w:val="002751BD"/>
    <w:rsid w:val="00275205"/>
    <w:rsid w:val="0027523A"/>
    <w:rsid w:val="0027593F"/>
    <w:rsid w:val="00275A4F"/>
    <w:rsid w:val="00275BBD"/>
    <w:rsid w:val="00275FE1"/>
    <w:rsid w:val="00276382"/>
    <w:rsid w:val="002763F2"/>
    <w:rsid w:val="0027696E"/>
    <w:rsid w:val="002769E7"/>
    <w:rsid w:val="00276B09"/>
    <w:rsid w:val="0027755D"/>
    <w:rsid w:val="0027792F"/>
    <w:rsid w:val="00277A4C"/>
    <w:rsid w:val="00277FB6"/>
    <w:rsid w:val="00280301"/>
    <w:rsid w:val="002804BF"/>
    <w:rsid w:val="00280B88"/>
    <w:rsid w:val="00281431"/>
    <w:rsid w:val="00281543"/>
    <w:rsid w:val="00281575"/>
    <w:rsid w:val="00281CBC"/>
    <w:rsid w:val="0028206A"/>
    <w:rsid w:val="002820D5"/>
    <w:rsid w:val="00282193"/>
    <w:rsid w:val="002821FF"/>
    <w:rsid w:val="00282CFA"/>
    <w:rsid w:val="00282D4C"/>
    <w:rsid w:val="00282DE4"/>
    <w:rsid w:val="0028347D"/>
    <w:rsid w:val="002834A1"/>
    <w:rsid w:val="0028392C"/>
    <w:rsid w:val="002839A3"/>
    <w:rsid w:val="00283AF1"/>
    <w:rsid w:val="002840A4"/>
    <w:rsid w:val="002840B3"/>
    <w:rsid w:val="002840B5"/>
    <w:rsid w:val="00284421"/>
    <w:rsid w:val="00284A64"/>
    <w:rsid w:val="00284B95"/>
    <w:rsid w:val="00284CDF"/>
    <w:rsid w:val="00285403"/>
    <w:rsid w:val="0028560E"/>
    <w:rsid w:val="00285736"/>
    <w:rsid w:val="00285E95"/>
    <w:rsid w:val="00285F43"/>
    <w:rsid w:val="00285F86"/>
    <w:rsid w:val="00286534"/>
    <w:rsid w:val="002868FB"/>
    <w:rsid w:val="00286E41"/>
    <w:rsid w:val="0028736E"/>
    <w:rsid w:val="0028782D"/>
    <w:rsid w:val="00287848"/>
    <w:rsid w:val="0028785C"/>
    <w:rsid w:val="00287D45"/>
    <w:rsid w:val="00287EE6"/>
    <w:rsid w:val="00287FCF"/>
    <w:rsid w:val="002901E8"/>
    <w:rsid w:val="00290439"/>
    <w:rsid w:val="00290B33"/>
    <w:rsid w:val="00290D0A"/>
    <w:rsid w:val="00290D2F"/>
    <w:rsid w:val="00291289"/>
    <w:rsid w:val="002912E4"/>
    <w:rsid w:val="00291550"/>
    <w:rsid w:val="002915F1"/>
    <w:rsid w:val="00291BD5"/>
    <w:rsid w:val="00291C9C"/>
    <w:rsid w:val="00291F95"/>
    <w:rsid w:val="00292153"/>
    <w:rsid w:val="002924E7"/>
    <w:rsid w:val="00292B9E"/>
    <w:rsid w:val="00292BFE"/>
    <w:rsid w:val="00292F92"/>
    <w:rsid w:val="002931AC"/>
    <w:rsid w:val="002934BC"/>
    <w:rsid w:val="002934E0"/>
    <w:rsid w:val="0029356C"/>
    <w:rsid w:val="002935D4"/>
    <w:rsid w:val="002937F1"/>
    <w:rsid w:val="00293A58"/>
    <w:rsid w:val="00293D21"/>
    <w:rsid w:val="002944F0"/>
    <w:rsid w:val="00294802"/>
    <w:rsid w:val="00294C4E"/>
    <w:rsid w:val="00294E0D"/>
    <w:rsid w:val="00294F6A"/>
    <w:rsid w:val="00295B7B"/>
    <w:rsid w:val="00296166"/>
    <w:rsid w:val="002962AB"/>
    <w:rsid w:val="002963FB"/>
    <w:rsid w:val="002965F0"/>
    <w:rsid w:val="002966C9"/>
    <w:rsid w:val="00296878"/>
    <w:rsid w:val="00296900"/>
    <w:rsid w:val="00296B7B"/>
    <w:rsid w:val="00296F6B"/>
    <w:rsid w:val="002971EB"/>
    <w:rsid w:val="00297224"/>
    <w:rsid w:val="002974E5"/>
    <w:rsid w:val="002975CB"/>
    <w:rsid w:val="00297814"/>
    <w:rsid w:val="00297D3D"/>
    <w:rsid w:val="00297DD3"/>
    <w:rsid w:val="00297DF5"/>
    <w:rsid w:val="002A0013"/>
    <w:rsid w:val="002A0116"/>
    <w:rsid w:val="002A0199"/>
    <w:rsid w:val="002A033C"/>
    <w:rsid w:val="002A07F7"/>
    <w:rsid w:val="002A08D3"/>
    <w:rsid w:val="002A165D"/>
    <w:rsid w:val="002A1A98"/>
    <w:rsid w:val="002A1B2C"/>
    <w:rsid w:val="002A1C03"/>
    <w:rsid w:val="002A1DF8"/>
    <w:rsid w:val="002A233C"/>
    <w:rsid w:val="002A243C"/>
    <w:rsid w:val="002A2495"/>
    <w:rsid w:val="002A2498"/>
    <w:rsid w:val="002A25D1"/>
    <w:rsid w:val="002A25EB"/>
    <w:rsid w:val="002A2BED"/>
    <w:rsid w:val="002A2DDA"/>
    <w:rsid w:val="002A2FD4"/>
    <w:rsid w:val="002A329B"/>
    <w:rsid w:val="002A339B"/>
    <w:rsid w:val="002A361F"/>
    <w:rsid w:val="002A3848"/>
    <w:rsid w:val="002A3A48"/>
    <w:rsid w:val="002A3B26"/>
    <w:rsid w:val="002A418A"/>
    <w:rsid w:val="002A4464"/>
    <w:rsid w:val="002A4503"/>
    <w:rsid w:val="002A46F7"/>
    <w:rsid w:val="002A4C61"/>
    <w:rsid w:val="002A4EE3"/>
    <w:rsid w:val="002A5093"/>
    <w:rsid w:val="002A52F6"/>
    <w:rsid w:val="002A547A"/>
    <w:rsid w:val="002A548C"/>
    <w:rsid w:val="002A583F"/>
    <w:rsid w:val="002A5A10"/>
    <w:rsid w:val="002A5C53"/>
    <w:rsid w:val="002A5D00"/>
    <w:rsid w:val="002A5F1D"/>
    <w:rsid w:val="002A60AE"/>
    <w:rsid w:val="002A627B"/>
    <w:rsid w:val="002A6A23"/>
    <w:rsid w:val="002A6BD8"/>
    <w:rsid w:val="002A6D49"/>
    <w:rsid w:val="002A70C2"/>
    <w:rsid w:val="002A742D"/>
    <w:rsid w:val="002A74B9"/>
    <w:rsid w:val="002A7577"/>
    <w:rsid w:val="002A79F2"/>
    <w:rsid w:val="002A7EFD"/>
    <w:rsid w:val="002B01B4"/>
    <w:rsid w:val="002B02E1"/>
    <w:rsid w:val="002B069C"/>
    <w:rsid w:val="002B08EC"/>
    <w:rsid w:val="002B1004"/>
    <w:rsid w:val="002B1380"/>
    <w:rsid w:val="002B13B0"/>
    <w:rsid w:val="002B1B69"/>
    <w:rsid w:val="002B28E5"/>
    <w:rsid w:val="002B2B70"/>
    <w:rsid w:val="002B2C3F"/>
    <w:rsid w:val="002B2FF4"/>
    <w:rsid w:val="002B3091"/>
    <w:rsid w:val="002B320F"/>
    <w:rsid w:val="002B3331"/>
    <w:rsid w:val="002B35E7"/>
    <w:rsid w:val="002B40BB"/>
    <w:rsid w:val="002B439D"/>
    <w:rsid w:val="002B4708"/>
    <w:rsid w:val="002B4806"/>
    <w:rsid w:val="002B4B11"/>
    <w:rsid w:val="002B4B30"/>
    <w:rsid w:val="002B4BAC"/>
    <w:rsid w:val="002B4EDF"/>
    <w:rsid w:val="002B52C0"/>
    <w:rsid w:val="002B54CA"/>
    <w:rsid w:val="002B5CF2"/>
    <w:rsid w:val="002B5CFB"/>
    <w:rsid w:val="002B5D69"/>
    <w:rsid w:val="002B5DFB"/>
    <w:rsid w:val="002B5ED2"/>
    <w:rsid w:val="002B5F8A"/>
    <w:rsid w:val="002B6085"/>
    <w:rsid w:val="002B6637"/>
    <w:rsid w:val="002B6990"/>
    <w:rsid w:val="002B6CD8"/>
    <w:rsid w:val="002B6E66"/>
    <w:rsid w:val="002B7735"/>
    <w:rsid w:val="002B7780"/>
    <w:rsid w:val="002B786A"/>
    <w:rsid w:val="002B7F7C"/>
    <w:rsid w:val="002C0023"/>
    <w:rsid w:val="002C0551"/>
    <w:rsid w:val="002C0B33"/>
    <w:rsid w:val="002C0CB8"/>
    <w:rsid w:val="002C0E92"/>
    <w:rsid w:val="002C11A9"/>
    <w:rsid w:val="002C1212"/>
    <w:rsid w:val="002C12C4"/>
    <w:rsid w:val="002C1603"/>
    <w:rsid w:val="002C1623"/>
    <w:rsid w:val="002C174B"/>
    <w:rsid w:val="002C1FD5"/>
    <w:rsid w:val="002C2378"/>
    <w:rsid w:val="002C23FD"/>
    <w:rsid w:val="002C3065"/>
    <w:rsid w:val="002C31CA"/>
    <w:rsid w:val="002C32D6"/>
    <w:rsid w:val="002C33F2"/>
    <w:rsid w:val="002C365B"/>
    <w:rsid w:val="002C3680"/>
    <w:rsid w:val="002C387E"/>
    <w:rsid w:val="002C39FC"/>
    <w:rsid w:val="002C3B83"/>
    <w:rsid w:val="002C3DAA"/>
    <w:rsid w:val="002C3E59"/>
    <w:rsid w:val="002C41FD"/>
    <w:rsid w:val="002C432D"/>
    <w:rsid w:val="002C44C8"/>
    <w:rsid w:val="002C44E7"/>
    <w:rsid w:val="002C4662"/>
    <w:rsid w:val="002C476C"/>
    <w:rsid w:val="002C4E17"/>
    <w:rsid w:val="002C5001"/>
    <w:rsid w:val="002C5104"/>
    <w:rsid w:val="002C521C"/>
    <w:rsid w:val="002C5600"/>
    <w:rsid w:val="002C5772"/>
    <w:rsid w:val="002C5782"/>
    <w:rsid w:val="002C5981"/>
    <w:rsid w:val="002C5CA0"/>
    <w:rsid w:val="002C5D14"/>
    <w:rsid w:val="002C5E80"/>
    <w:rsid w:val="002C5F7F"/>
    <w:rsid w:val="002C6083"/>
    <w:rsid w:val="002C614F"/>
    <w:rsid w:val="002C679D"/>
    <w:rsid w:val="002C6C12"/>
    <w:rsid w:val="002C6D08"/>
    <w:rsid w:val="002C6FD1"/>
    <w:rsid w:val="002C70D8"/>
    <w:rsid w:val="002C72E6"/>
    <w:rsid w:val="002C73CE"/>
    <w:rsid w:val="002C7C12"/>
    <w:rsid w:val="002C7E68"/>
    <w:rsid w:val="002D0259"/>
    <w:rsid w:val="002D039C"/>
    <w:rsid w:val="002D03E2"/>
    <w:rsid w:val="002D053C"/>
    <w:rsid w:val="002D06C0"/>
    <w:rsid w:val="002D07A7"/>
    <w:rsid w:val="002D0851"/>
    <w:rsid w:val="002D0E98"/>
    <w:rsid w:val="002D1311"/>
    <w:rsid w:val="002D13A5"/>
    <w:rsid w:val="002D15F5"/>
    <w:rsid w:val="002D1C84"/>
    <w:rsid w:val="002D1D67"/>
    <w:rsid w:val="002D1E4F"/>
    <w:rsid w:val="002D2199"/>
    <w:rsid w:val="002D22B1"/>
    <w:rsid w:val="002D2700"/>
    <w:rsid w:val="002D276A"/>
    <w:rsid w:val="002D276D"/>
    <w:rsid w:val="002D2DAF"/>
    <w:rsid w:val="002D300B"/>
    <w:rsid w:val="002D31F2"/>
    <w:rsid w:val="002D3A11"/>
    <w:rsid w:val="002D3B13"/>
    <w:rsid w:val="002D3B15"/>
    <w:rsid w:val="002D3B8E"/>
    <w:rsid w:val="002D3BD1"/>
    <w:rsid w:val="002D43F7"/>
    <w:rsid w:val="002D46DA"/>
    <w:rsid w:val="002D47AE"/>
    <w:rsid w:val="002D49B5"/>
    <w:rsid w:val="002D4B3E"/>
    <w:rsid w:val="002D4EE0"/>
    <w:rsid w:val="002D5213"/>
    <w:rsid w:val="002D5265"/>
    <w:rsid w:val="002D5365"/>
    <w:rsid w:val="002D567E"/>
    <w:rsid w:val="002D56FD"/>
    <w:rsid w:val="002D5900"/>
    <w:rsid w:val="002D5C8A"/>
    <w:rsid w:val="002D6B1C"/>
    <w:rsid w:val="002D6D3A"/>
    <w:rsid w:val="002D7477"/>
    <w:rsid w:val="002D7714"/>
    <w:rsid w:val="002D7845"/>
    <w:rsid w:val="002D7C20"/>
    <w:rsid w:val="002D7D2C"/>
    <w:rsid w:val="002D7EE1"/>
    <w:rsid w:val="002D7F88"/>
    <w:rsid w:val="002E073A"/>
    <w:rsid w:val="002E0781"/>
    <w:rsid w:val="002E0E68"/>
    <w:rsid w:val="002E0E9F"/>
    <w:rsid w:val="002E1056"/>
    <w:rsid w:val="002E1665"/>
    <w:rsid w:val="002E1845"/>
    <w:rsid w:val="002E1975"/>
    <w:rsid w:val="002E2330"/>
    <w:rsid w:val="002E2383"/>
    <w:rsid w:val="002E25FF"/>
    <w:rsid w:val="002E29DC"/>
    <w:rsid w:val="002E2A5D"/>
    <w:rsid w:val="002E2ADA"/>
    <w:rsid w:val="002E2B9D"/>
    <w:rsid w:val="002E2C4C"/>
    <w:rsid w:val="002E2F8F"/>
    <w:rsid w:val="002E324D"/>
    <w:rsid w:val="002E346D"/>
    <w:rsid w:val="002E3535"/>
    <w:rsid w:val="002E35AD"/>
    <w:rsid w:val="002E3922"/>
    <w:rsid w:val="002E3B5E"/>
    <w:rsid w:val="002E3E78"/>
    <w:rsid w:val="002E3F08"/>
    <w:rsid w:val="002E407A"/>
    <w:rsid w:val="002E4107"/>
    <w:rsid w:val="002E41D3"/>
    <w:rsid w:val="002E41DB"/>
    <w:rsid w:val="002E4B11"/>
    <w:rsid w:val="002E512C"/>
    <w:rsid w:val="002E53F7"/>
    <w:rsid w:val="002E552D"/>
    <w:rsid w:val="002E56CF"/>
    <w:rsid w:val="002E57C8"/>
    <w:rsid w:val="002E5888"/>
    <w:rsid w:val="002E5A1D"/>
    <w:rsid w:val="002E5B3A"/>
    <w:rsid w:val="002E5EAA"/>
    <w:rsid w:val="002E5F5A"/>
    <w:rsid w:val="002E63F8"/>
    <w:rsid w:val="002E6483"/>
    <w:rsid w:val="002E64AC"/>
    <w:rsid w:val="002E658D"/>
    <w:rsid w:val="002E671C"/>
    <w:rsid w:val="002E6A1A"/>
    <w:rsid w:val="002E6CE9"/>
    <w:rsid w:val="002E6D78"/>
    <w:rsid w:val="002E73EA"/>
    <w:rsid w:val="002E75FD"/>
    <w:rsid w:val="002E76E8"/>
    <w:rsid w:val="002F0067"/>
    <w:rsid w:val="002F00A2"/>
    <w:rsid w:val="002F0336"/>
    <w:rsid w:val="002F0852"/>
    <w:rsid w:val="002F08F3"/>
    <w:rsid w:val="002F0BE4"/>
    <w:rsid w:val="002F10FA"/>
    <w:rsid w:val="002F194F"/>
    <w:rsid w:val="002F1E3E"/>
    <w:rsid w:val="002F2705"/>
    <w:rsid w:val="002F2951"/>
    <w:rsid w:val="002F2A93"/>
    <w:rsid w:val="002F307B"/>
    <w:rsid w:val="002F3081"/>
    <w:rsid w:val="002F30CF"/>
    <w:rsid w:val="002F34F0"/>
    <w:rsid w:val="002F37ED"/>
    <w:rsid w:val="002F389B"/>
    <w:rsid w:val="002F3926"/>
    <w:rsid w:val="002F3F5E"/>
    <w:rsid w:val="002F3FCD"/>
    <w:rsid w:val="002F421D"/>
    <w:rsid w:val="002F473A"/>
    <w:rsid w:val="002F482C"/>
    <w:rsid w:val="002F4C55"/>
    <w:rsid w:val="002F4FB5"/>
    <w:rsid w:val="002F5BD6"/>
    <w:rsid w:val="002F6101"/>
    <w:rsid w:val="002F61C8"/>
    <w:rsid w:val="002F6320"/>
    <w:rsid w:val="002F68E3"/>
    <w:rsid w:val="002F6A58"/>
    <w:rsid w:val="002F6C87"/>
    <w:rsid w:val="002F6C8B"/>
    <w:rsid w:val="002F6DAB"/>
    <w:rsid w:val="002F73E0"/>
    <w:rsid w:val="002F76C3"/>
    <w:rsid w:val="002F78D5"/>
    <w:rsid w:val="002F7D16"/>
    <w:rsid w:val="002F7E24"/>
    <w:rsid w:val="002F7F44"/>
    <w:rsid w:val="003000C8"/>
    <w:rsid w:val="003003E4"/>
    <w:rsid w:val="003009C2"/>
    <w:rsid w:val="00300C98"/>
    <w:rsid w:val="00300D93"/>
    <w:rsid w:val="00301161"/>
    <w:rsid w:val="00301467"/>
    <w:rsid w:val="00301BC5"/>
    <w:rsid w:val="00301C54"/>
    <w:rsid w:val="00301D13"/>
    <w:rsid w:val="00301E3A"/>
    <w:rsid w:val="00301FFD"/>
    <w:rsid w:val="00302093"/>
    <w:rsid w:val="0030224A"/>
    <w:rsid w:val="00302451"/>
    <w:rsid w:val="003025AA"/>
    <w:rsid w:val="0030270E"/>
    <w:rsid w:val="00303040"/>
    <w:rsid w:val="0030313C"/>
    <w:rsid w:val="003032C9"/>
    <w:rsid w:val="00303305"/>
    <w:rsid w:val="00303B93"/>
    <w:rsid w:val="00303CD6"/>
    <w:rsid w:val="00304059"/>
    <w:rsid w:val="003042B0"/>
    <w:rsid w:val="003053A5"/>
    <w:rsid w:val="003054F2"/>
    <w:rsid w:val="00305873"/>
    <w:rsid w:val="00305874"/>
    <w:rsid w:val="003058D5"/>
    <w:rsid w:val="00305F4A"/>
    <w:rsid w:val="00305FF0"/>
    <w:rsid w:val="003060DB"/>
    <w:rsid w:val="00306248"/>
    <w:rsid w:val="00306435"/>
    <w:rsid w:val="0030689A"/>
    <w:rsid w:val="00306B25"/>
    <w:rsid w:val="00306E2A"/>
    <w:rsid w:val="003074E2"/>
    <w:rsid w:val="00307541"/>
    <w:rsid w:val="0030783E"/>
    <w:rsid w:val="00307962"/>
    <w:rsid w:val="00307CFB"/>
    <w:rsid w:val="00307E5E"/>
    <w:rsid w:val="003104BD"/>
    <w:rsid w:val="00310724"/>
    <w:rsid w:val="003109F0"/>
    <w:rsid w:val="00310B6F"/>
    <w:rsid w:val="0031158D"/>
    <w:rsid w:val="00311DE5"/>
    <w:rsid w:val="00311F56"/>
    <w:rsid w:val="0031208B"/>
    <w:rsid w:val="003122A1"/>
    <w:rsid w:val="0031237F"/>
    <w:rsid w:val="0031243F"/>
    <w:rsid w:val="00312CF0"/>
    <w:rsid w:val="00312D82"/>
    <w:rsid w:val="00313101"/>
    <w:rsid w:val="003135AF"/>
    <w:rsid w:val="00313831"/>
    <w:rsid w:val="003138C5"/>
    <w:rsid w:val="00313F3F"/>
    <w:rsid w:val="0031422B"/>
    <w:rsid w:val="0031435D"/>
    <w:rsid w:val="003144C5"/>
    <w:rsid w:val="0031463A"/>
    <w:rsid w:val="00314B35"/>
    <w:rsid w:val="00315056"/>
    <w:rsid w:val="0031520D"/>
    <w:rsid w:val="00315287"/>
    <w:rsid w:val="00315586"/>
    <w:rsid w:val="00315A90"/>
    <w:rsid w:val="00315BD1"/>
    <w:rsid w:val="0031602F"/>
    <w:rsid w:val="0031635C"/>
    <w:rsid w:val="00316492"/>
    <w:rsid w:val="00316886"/>
    <w:rsid w:val="00316AE2"/>
    <w:rsid w:val="00316CDC"/>
    <w:rsid w:val="00316EFD"/>
    <w:rsid w:val="00316F7D"/>
    <w:rsid w:val="003173EA"/>
    <w:rsid w:val="00317418"/>
    <w:rsid w:val="003176F5"/>
    <w:rsid w:val="003178BB"/>
    <w:rsid w:val="003179E7"/>
    <w:rsid w:val="00317EF0"/>
    <w:rsid w:val="00320086"/>
    <w:rsid w:val="003202D2"/>
    <w:rsid w:val="003202E9"/>
    <w:rsid w:val="003203F0"/>
    <w:rsid w:val="0032040E"/>
    <w:rsid w:val="0032110B"/>
    <w:rsid w:val="00321439"/>
    <w:rsid w:val="00321580"/>
    <w:rsid w:val="003217A9"/>
    <w:rsid w:val="00321985"/>
    <w:rsid w:val="003219F6"/>
    <w:rsid w:val="00321F6F"/>
    <w:rsid w:val="003220ED"/>
    <w:rsid w:val="003223A6"/>
    <w:rsid w:val="003227C6"/>
    <w:rsid w:val="00322819"/>
    <w:rsid w:val="00322E2C"/>
    <w:rsid w:val="00323395"/>
    <w:rsid w:val="00323606"/>
    <w:rsid w:val="00323612"/>
    <w:rsid w:val="003236A0"/>
    <w:rsid w:val="00323D92"/>
    <w:rsid w:val="003240B3"/>
    <w:rsid w:val="003240F9"/>
    <w:rsid w:val="00324235"/>
    <w:rsid w:val="0032455E"/>
    <w:rsid w:val="003245E6"/>
    <w:rsid w:val="003248F7"/>
    <w:rsid w:val="00324F23"/>
    <w:rsid w:val="00325C4C"/>
    <w:rsid w:val="00325D6C"/>
    <w:rsid w:val="00326051"/>
    <w:rsid w:val="00326197"/>
    <w:rsid w:val="00326367"/>
    <w:rsid w:val="003263EE"/>
    <w:rsid w:val="00326719"/>
    <w:rsid w:val="00326863"/>
    <w:rsid w:val="003268BB"/>
    <w:rsid w:val="003268F0"/>
    <w:rsid w:val="00326EFE"/>
    <w:rsid w:val="00327100"/>
    <w:rsid w:val="0032730A"/>
    <w:rsid w:val="00327466"/>
    <w:rsid w:val="0032783B"/>
    <w:rsid w:val="00327893"/>
    <w:rsid w:val="00327992"/>
    <w:rsid w:val="003303B5"/>
    <w:rsid w:val="003307A5"/>
    <w:rsid w:val="003308BB"/>
    <w:rsid w:val="00330CAE"/>
    <w:rsid w:val="003310B5"/>
    <w:rsid w:val="003316D3"/>
    <w:rsid w:val="00331937"/>
    <w:rsid w:val="00332013"/>
    <w:rsid w:val="00332144"/>
    <w:rsid w:val="00332188"/>
    <w:rsid w:val="0033228B"/>
    <w:rsid w:val="003325F9"/>
    <w:rsid w:val="0033261C"/>
    <w:rsid w:val="00332630"/>
    <w:rsid w:val="003327D0"/>
    <w:rsid w:val="00332B78"/>
    <w:rsid w:val="00332DCF"/>
    <w:rsid w:val="003334A9"/>
    <w:rsid w:val="00333A2E"/>
    <w:rsid w:val="00333D48"/>
    <w:rsid w:val="003340FF"/>
    <w:rsid w:val="00334445"/>
    <w:rsid w:val="003349CC"/>
    <w:rsid w:val="003349D6"/>
    <w:rsid w:val="00335110"/>
    <w:rsid w:val="0033530A"/>
    <w:rsid w:val="00335319"/>
    <w:rsid w:val="00335437"/>
    <w:rsid w:val="00335BDC"/>
    <w:rsid w:val="00335C40"/>
    <w:rsid w:val="00335E93"/>
    <w:rsid w:val="00336264"/>
    <w:rsid w:val="003363A6"/>
    <w:rsid w:val="00336A62"/>
    <w:rsid w:val="00336A97"/>
    <w:rsid w:val="00336B86"/>
    <w:rsid w:val="00337167"/>
    <w:rsid w:val="003373D8"/>
    <w:rsid w:val="0033745D"/>
    <w:rsid w:val="00337685"/>
    <w:rsid w:val="00337C6C"/>
    <w:rsid w:val="00337D0A"/>
    <w:rsid w:val="00337EA2"/>
    <w:rsid w:val="00340267"/>
    <w:rsid w:val="00340A07"/>
    <w:rsid w:val="00340B2F"/>
    <w:rsid w:val="00340CA5"/>
    <w:rsid w:val="00340FC7"/>
    <w:rsid w:val="00341159"/>
    <w:rsid w:val="003413D7"/>
    <w:rsid w:val="00341594"/>
    <w:rsid w:val="00341650"/>
    <w:rsid w:val="00341D00"/>
    <w:rsid w:val="00341FDB"/>
    <w:rsid w:val="0034291B"/>
    <w:rsid w:val="00342CED"/>
    <w:rsid w:val="00342E89"/>
    <w:rsid w:val="00342E9A"/>
    <w:rsid w:val="003431FB"/>
    <w:rsid w:val="0034320F"/>
    <w:rsid w:val="00343249"/>
    <w:rsid w:val="003434B4"/>
    <w:rsid w:val="0034367F"/>
    <w:rsid w:val="003437C7"/>
    <w:rsid w:val="00343E4B"/>
    <w:rsid w:val="00343F2D"/>
    <w:rsid w:val="00344005"/>
    <w:rsid w:val="0034423C"/>
    <w:rsid w:val="003448E8"/>
    <w:rsid w:val="00344AA6"/>
    <w:rsid w:val="00344CE8"/>
    <w:rsid w:val="003451DA"/>
    <w:rsid w:val="00345445"/>
    <w:rsid w:val="003457C9"/>
    <w:rsid w:val="003457CC"/>
    <w:rsid w:val="00345807"/>
    <w:rsid w:val="00345AA0"/>
    <w:rsid w:val="00345ACF"/>
    <w:rsid w:val="00345F5C"/>
    <w:rsid w:val="0034665C"/>
    <w:rsid w:val="003466F5"/>
    <w:rsid w:val="003468F7"/>
    <w:rsid w:val="00346A56"/>
    <w:rsid w:val="00346E7C"/>
    <w:rsid w:val="00347002"/>
    <w:rsid w:val="003471DD"/>
    <w:rsid w:val="00347392"/>
    <w:rsid w:val="0034752C"/>
    <w:rsid w:val="00347CDC"/>
    <w:rsid w:val="003500BF"/>
    <w:rsid w:val="003500F2"/>
    <w:rsid w:val="0035055A"/>
    <w:rsid w:val="00350696"/>
    <w:rsid w:val="003506BB"/>
    <w:rsid w:val="0035078E"/>
    <w:rsid w:val="003507F0"/>
    <w:rsid w:val="00350CC7"/>
    <w:rsid w:val="0035119B"/>
    <w:rsid w:val="003514B7"/>
    <w:rsid w:val="0035159B"/>
    <w:rsid w:val="00351688"/>
    <w:rsid w:val="00351825"/>
    <w:rsid w:val="00351A7F"/>
    <w:rsid w:val="00351BB9"/>
    <w:rsid w:val="003525BC"/>
    <w:rsid w:val="0035260D"/>
    <w:rsid w:val="00352BD6"/>
    <w:rsid w:val="003530BF"/>
    <w:rsid w:val="003534ED"/>
    <w:rsid w:val="0035381B"/>
    <w:rsid w:val="003538B1"/>
    <w:rsid w:val="00353C2F"/>
    <w:rsid w:val="00353DE9"/>
    <w:rsid w:val="00353E5E"/>
    <w:rsid w:val="00353FE6"/>
    <w:rsid w:val="00354001"/>
    <w:rsid w:val="00354112"/>
    <w:rsid w:val="003541AD"/>
    <w:rsid w:val="003541E2"/>
    <w:rsid w:val="003545BE"/>
    <w:rsid w:val="003548FA"/>
    <w:rsid w:val="003556CF"/>
    <w:rsid w:val="00355BEA"/>
    <w:rsid w:val="00355FE9"/>
    <w:rsid w:val="0035621F"/>
    <w:rsid w:val="00356422"/>
    <w:rsid w:val="00356819"/>
    <w:rsid w:val="00356D4B"/>
    <w:rsid w:val="00356E02"/>
    <w:rsid w:val="00356F43"/>
    <w:rsid w:val="00356F70"/>
    <w:rsid w:val="003570B6"/>
    <w:rsid w:val="0035750A"/>
    <w:rsid w:val="00357A53"/>
    <w:rsid w:val="00357A67"/>
    <w:rsid w:val="00357A71"/>
    <w:rsid w:val="00357D92"/>
    <w:rsid w:val="00357E68"/>
    <w:rsid w:val="00357EC2"/>
    <w:rsid w:val="00357FCD"/>
    <w:rsid w:val="00360053"/>
    <w:rsid w:val="00360875"/>
    <w:rsid w:val="00360E1C"/>
    <w:rsid w:val="003614F5"/>
    <w:rsid w:val="003617CB"/>
    <w:rsid w:val="0036188C"/>
    <w:rsid w:val="00361E10"/>
    <w:rsid w:val="00361FD4"/>
    <w:rsid w:val="0036201D"/>
    <w:rsid w:val="0036203A"/>
    <w:rsid w:val="0036218C"/>
    <w:rsid w:val="003624A8"/>
    <w:rsid w:val="0036280B"/>
    <w:rsid w:val="00362924"/>
    <w:rsid w:val="00362991"/>
    <w:rsid w:val="00362BA1"/>
    <w:rsid w:val="00362C5C"/>
    <w:rsid w:val="003630EE"/>
    <w:rsid w:val="003631CE"/>
    <w:rsid w:val="003634EB"/>
    <w:rsid w:val="003635D6"/>
    <w:rsid w:val="003636F2"/>
    <w:rsid w:val="00363B09"/>
    <w:rsid w:val="00364004"/>
    <w:rsid w:val="0036411C"/>
    <w:rsid w:val="00364184"/>
    <w:rsid w:val="0036424C"/>
    <w:rsid w:val="003642AF"/>
    <w:rsid w:val="003646CA"/>
    <w:rsid w:val="00365075"/>
    <w:rsid w:val="0036557A"/>
    <w:rsid w:val="003656E9"/>
    <w:rsid w:val="0036594E"/>
    <w:rsid w:val="00365A23"/>
    <w:rsid w:val="00365E63"/>
    <w:rsid w:val="0036637B"/>
    <w:rsid w:val="0036649F"/>
    <w:rsid w:val="00366691"/>
    <w:rsid w:val="0036695D"/>
    <w:rsid w:val="00366E6E"/>
    <w:rsid w:val="00366EDF"/>
    <w:rsid w:val="00366F76"/>
    <w:rsid w:val="00366F81"/>
    <w:rsid w:val="0036706F"/>
    <w:rsid w:val="003672B8"/>
    <w:rsid w:val="0036779E"/>
    <w:rsid w:val="003677D3"/>
    <w:rsid w:val="00367AAD"/>
    <w:rsid w:val="00367DAD"/>
    <w:rsid w:val="003709EB"/>
    <w:rsid w:val="00370BC5"/>
    <w:rsid w:val="00370C12"/>
    <w:rsid w:val="00370C24"/>
    <w:rsid w:val="00370D9B"/>
    <w:rsid w:val="003715C3"/>
    <w:rsid w:val="003717C8"/>
    <w:rsid w:val="00371833"/>
    <w:rsid w:val="00371952"/>
    <w:rsid w:val="0037196C"/>
    <w:rsid w:val="00371C86"/>
    <w:rsid w:val="00371D5F"/>
    <w:rsid w:val="00371E6B"/>
    <w:rsid w:val="00372240"/>
    <w:rsid w:val="00372578"/>
    <w:rsid w:val="003726E3"/>
    <w:rsid w:val="00372750"/>
    <w:rsid w:val="00372BB5"/>
    <w:rsid w:val="00372C9E"/>
    <w:rsid w:val="00372E3D"/>
    <w:rsid w:val="0037326E"/>
    <w:rsid w:val="003735D8"/>
    <w:rsid w:val="00373652"/>
    <w:rsid w:val="00373898"/>
    <w:rsid w:val="0037396B"/>
    <w:rsid w:val="00373A7C"/>
    <w:rsid w:val="00373B6D"/>
    <w:rsid w:val="00373E36"/>
    <w:rsid w:val="0037402F"/>
    <w:rsid w:val="003741D5"/>
    <w:rsid w:val="003741F9"/>
    <w:rsid w:val="003743B8"/>
    <w:rsid w:val="003748D0"/>
    <w:rsid w:val="003748D4"/>
    <w:rsid w:val="00374D37"/>
    <w:rsid w:val="00374DD6"/>
    <w:rsid w:val="00375B63"/>
    <w:rsid w:val="00375FE6"/>
    <w:rsid w:val="00376052"/>
    <w:rsid w:val="0037630A"/>
    <w:rsid w:val="00376563"/>
    <w:rsid w:val="00376920"/>
    <w:rsid w:val="00376B81"/>
    <w:rsid w:val="00376D15"/>
    <w:rsid w:val="00377C6F"/>
    <w:rsid w:val="00377E42"/>
    <w:rsid w:val="00377FA8"/>
    <w:rsid w:val="003803C4"/>
    <w:rsid w:val="0038052E"/>
    <w:rsid w:val="00380965"/>
    <w:rsid w:val="00380982"/>
    <w:rsid w:val="00380B09"/>
    <w:rsid w:val="00380C4C"/>
    <w:rsid w:val="00380CC7"/>
    <w:rsid w:val="00380D72"/>
    <w:rsid w:val="00380F2B"/>
    <w:rsid w:val="00380FBD"/>
    <w:rsid w:val="0038119C"/>
    <w:rsid w:val="0038124B"/>
    <w:rsid w:val="00381262"/>
    <w:rsid w:val="00381587"/>
    <w:rsid w:val="003817D0"/>
    <w:rsid w:val="003817EE"/>
    <w:rsid w:val="0038182F"/>
    <w:rsid w:val="0038194C"/>
    <w:rsid w:val="00381B27"/>
    <w:rsid w:val="00381D30"/>
    <w:rsid w:val="00381D92"/>
    <w:rsid w:val="00381F09"/>
    <w:rsid w:val="003822EA"/>
    <w:rsid w:val="003822F2"/>
    <w:rsid w:val="0038290B"/>
    <w:rsid w:val="00382CA1"/>
    <w:rsid w:val="00382CCA"/>
    <w:rsid w:val="003837B0"/>
    <w:rsid w:val="00383FFE"/>
    <w:rsid w:val="003845EB"/>
    <w:rsid w:val="0038468D"/>
    <w:rsid w:val="00384E58"/>
    <w:rsid w:val="00385026"/>
    <w:rsid w:val="003856A5"/>
    <w:rsid w:val="00385888"/>
    <w:rsid w:val="00385A6D"/>
    <w:rsid w:val="00385A77"/>
    <w:rsid w:val="00385CE9"/>
    <w:rsid w:val="00385DDA"/>
    <w:rsid w:val="003866C9"/>
    <w:rsid w:val="003869A2"/>
    <w:rsid w:val="00386CE1"/>
    <w:rsid w:val="00386E8E"/>
    <w:rsid w:val="00386F70"/>
    <w:rsid w:val="0038705D"/>
    <w:rsid w:val="003871BF"/>
    <w:rsid w:val="00387222"/>
    <w:rsid w:val="003873EA"/>
    <w:rsid w:val="0038772B"/>
    <w:rsid w:val="00387748"/>
    <w:rsid w:val="00387A52"/>
    <w:rsid w:val="00390014"/>
    <w:rsid w:val="003900E8"/>
    <w:rsid w:val="00390330"/>
    <w:rsid w:val="00390461"/>
    <w:rsid w:val="00390553"/>
    <w:rsid w:val="00390DA6"/>
    <w:rsid w:val="00391208"/>
    <w:rsid w:val="00391648"/>
    <w:rsid w:val="0039180C"/>
    <w:rsid w:val="00391D1C"/>
    <w:rsid w:val="00391E39"/>
    <w:rsid w:val="00392065"/>
    <w:rsid w:val="00392460"/>
    <w:rsid w:val="00392491"/>
    <w:rsid w:val="00392585"/>
    <w:rsid w:val="003925AA"/>
    <w:rsid w:val="00392BE5"/>
    <w:rsid w:val="00392CA0"/>
    <w:rsid w:val="0039305B"/>
    <w:rsid w:val="003930C4"/>
    <w:rsid w:val="00393178"/>
    <w:rsid w:val="00393488"/>
    <w:rsid w:val="003934D0"/>
    <w:rsid w:val="00393521"/>
    <w:rsid w:val="00393981"/>
    <w:rsid w:val="00393DAA"/>
    <w:rsid w:val="003943F9"/>
    <w:rsid w:val="00394793"/>
    <w:rsid w:val="00394926"/>
    <w:rsid w:val="00394BF2"/>
    <w:rsid w:val="00394C2F"/>
    <w:rsid w:val="003954FB"/>
    <w:rsid w:val="0039562F"/>
    <w:rsid w:val="00395C63"/>
    <w:rsid w:val="00395DE5"/>
    <w:rsid w:val="003960C1"/>
    <w:rsid w:val="0039617D"/>
    <w:rsid w:val="00396322"/>
    <w:rsid w:val="0039652D"/>
    <w:rsid w:val="0039674C"/>
    <w:rsid w:val="0039686E"/>
    <w:rsid w:val="003969F3"/>
    <w:rsid w:val="00396A6A"/>
    <w:rsid w:val="00396AA3"/>
    <w:rsid w:val="00396FDB"/>
    <w:rsid w:val="0039721C"/>
    <w:rsid w:val="0039726F"/>
    <w:rsid w:val="00397A1E"/>
    <w:rsid w:val="00397A35"/>
    <w:rsid w:val="00397ED9"/>
    <w:rsid w:val="00397F01"/>
    <w:rsid w:val="00397F9B"/>
    <w:rsid w:val="003A0986"/>
    <w:rsid w:val="003A0C8D"/>
    <w:rsid w:val="003A0FFD"/>
    <w:rsid w:val="003A1570"/>
    <w:rsid w:val="003A1623"/>
    <w:rsid w:val="003A17C7"/>
    <w:rsid w:val="003A1979"/>
    <w:rsid w:val="003A1AE0"/>
    <w:rsid w:val="003A1D0E"/>
    <w:rsid w:val="003A1D64"/>
    <w:rsid w:val="003A23B6"/>
    <w:rsid w:val="003A2598"/>
    <w:rsid w:val="003A2601"/>
    <w:rsid w:val="003A2AA9"/>
    <w:rsid w:val="003A2B53"/>
    <w:rsid w:val="003A30FB"/>
    <w:rsid w:val="003A3348"/>
    <w:rsid w:val="003A3440"/>
    <w:rsid w:val="003A3636"/>
    <w:rsid w:val="003A3954"/>
    <w:rsid w:val="003A395A"/>
    <w:rsid w:val="003A3AD3"/>
    <w:rsid w:val="003A3C49"/>
    <w:rsid w:val="003A3CFA"/>
    <w:rsid w:val="003A3E80"/>
    <w:rsid w:val="003A42B0"/>
    <w:rsid w:val="003A44C2"/>
    <w:rsid w:val="003A494E"/>
    <w:rsid w:val="003A49D7"/>
    <w:rsid w:val="003A4E75"/>
    <w:rsid w:val="003A501F"/>
    <w:rsid w:val="003A531D"/>
    <w:rsid w:val="003A584D"/>
    <w:rsid w:val="003A58CB"/>
    <w:rsid w:val="003A5A06"/>
    <w:rsid w:val="003A5E8E"/>
    <w:rsid w:val="003A63DB"/>
    <w:rsid w:val="003A657E"/>
    <w:rsid w:val="003A6720"/>
    <w:rsid w:val="003A67BA"/>
    <w:rsid w:val="003A67F2"/>
    <w:rsid w:val="003A687A"/>
    <w:rsid w:val="003A6BC5"/>
    <w:rsid w:val="003A6C62"/>
    <w:rsid w:val="003A701D"/>
    <w:rsid w:val="003A71C1"/>
    <w:rsid w:val="003A7318"/>
    <w:rsid w:val="003A7629"/>
    <w:rsid w:val="003A7DAA"/>
    <w:rsid w:val="003B0219"/>
    <w:rsid w:val="003B0A79"/>
    <w:rsid w:val="003B0BBF"/>
    <w:rsid w:val="003B0C0F"/>
    <w:rsid w:val="003B0D33"/>
    <w:rsid w:val="003B0FB2"/>
    <w:rsid w:val="003B0FC9"/>
    <w:rsid w:val="003B1185"/>
    <w:rsid w:val="003B11D4"/>
    <w:rsid w:val="003B141E"/>
    <w:rsid w:val="003B192F"/>
    <w:rsid w:val="003B1CFB"/>
    <w:rsid w:val="003B203D"/>
    <w:rsid w:val="003B20E7"/>
    <w:rsid w:val="003B238B"/>
    <w:rsid w:val="003B2570"/>
    <w:rsid w:val="003B2AC5"/>
    <w:rsid w:val="003B2D01"/>
    <w:rsid w:val="003B2D91"/>
    <w:rsid w:val="003B2E16"/>
    <w:rsid w:val="003B30C2"/>
    <w:rsid w:val="003B3198"/>
    <w:rsid w:val="003B31BD"/>
    <w:rsid w:val="003B323E"/>
    <w:rsid w:val="003B32CD"/>
    <w:rsid w:val="003B3527"/>
    <w:rsid w:val="003B39F6"/>
    <w:rsid w:val="003B3B46"/>
    <w:rsid w:val="003B3D7D"/>
    <w:rsid w:val="003B45C9"/>
    <w:rsid w:val="003B46A8"/>
    <w:rsid w:val="003B4C81"/>
    <w:rsid w:val="003B4D46"/>
    <w:rsid w:val="003B4D69"/>
    <w:rsid w:val="003B4D78"/>
    <w:rsid w:val="003B5027"/>
    <w:rsid w:val="003B5084"/>
    <w:rsid w:val="003B5441"/>
    <w:rsid w:val="003B59E0"/>
    <w:rsid w:val="003B5D43"/>
    <w:rsid w:val="003B6334"/>
    <w:rsid w:val="003B6489"/>
    <w:rsid w:val="003B6EAB"/>
    <w:rsid w:val="003B719B"/>
    <w:rsid w:val="003B72CF"/>
    <w:rsid w:val="003B74E3"/>
    <w:rsid w:val="003B77CC"/>
    <w:rsid w:val="003B7828"/>
    <w:rsid w:val="003B7832"/>
    <w:rsid w:val="003B7C29"/>
    <w:rsid w:val="003B7E4B"/>
    <w:rsid w:val="003C005F"/>
    <w:rsid w:val="003C00A8"/>
    <w:rsid w:val="003C0157"/>
    <w:rsid w:val="003C04A3"/>
    <w:rsid w:val="003C0DA3"/>
    <w:rsid w:val="003C0E88"/>
    <w:rsid w:val="003C1181"/>
    <w:rsid w:val="003C13D2"/>
    <w:rsid w:val="003C1644"/>
    <w:rsid w:val="003C1689"/>
    <w:rsid w:val="003C1727"/>
    <w:rsid w:val="003C1E1A"/>
    <w:rsid w:val="003C200D"/>
    <w:rsid w:val="003C205D"/>
    <w:rsid w:val="003C2505"/>
    <w:rsid w:val="003C2524"/>
    <w:rsid w:val="003C2561"/>
    <w:rsid w:val="003C2587"/>
    <w:rsid w:val="003C28DB"/>
    <w:rsid w:val="003C2B8F"/>
    <w:rsid w:val="003C2D40"/>
    <w:rsid w:val="003C2FD1"/>
    <w:rsid w:val="003C3070"/>
    <w:rsid w:val="003C30B4"/>
    <w:rsid w:val="003C3115"/>
    <w:rsid w:val="003C348E"/>
    <w:rsid w:val="003C357B"/>
    <w:rsid w:val="003C369D"/>
    <w:rsid w:val="003C36C1"/>
    <w:rsid w:val="003C3CA2"/>
    <w:rsid w:val="003C3CAB"/>
    <w:rsid w:val="003C4016"/>
    <w:rsid w:val="003C4623"/>
    <w:rsid w:val="003C47D9"/>
    <w:rsid w:val="003C48EE"/>
    <w:rsid w:val="003C4A87"/>
    <w:rsid w:val="003C4C44"/>
    <w:rsid w:val="003C4FF0"/>
    <w:rsid w:val="003C5014"/>
    <w:rsid w:val="003C50EB"/>
    <w:rsid w:val="003C52B4"/>
    <w:rsid w:val="003C5643"/>
    <w:rsid w:val="003C573A"/>
    <w:rsid w:val="003C5DCC"/>
    <w:rsid w:val="003C605C"/>
    <w:rsid w:val="003C606D"/>
    <w:rsid w:val="003C6462"/>
    <w:rsid w:val="003C6858"/>
    <w:rsid w:val="003C69B6"/>
    <w:rsid w:val="003C6B1B"/>
    <w:rsid w:val="003C6C47"/>
    <w:rsid w:val="003C705B"/>
    <w:rsid w:val="003C730B"/>
    <w:rsid w:val="003C742A"/>
    <w:rsid w:val="003C7522"/>
    <w:rsid w:val="003C774C"/>
    <w:rsid w:val="003C77C2"/>
    <w:rsid w:val="003C79C1"/>
    <w:rsid w:val="003C7E07"/>
    <w:rsid w:val="003C7F62"/>
    <w:rsid w:val="003D0243"/>
    <w:rsid w:val="003D043B"/>
    <w:rsid w:val="003D0471"/>
    <w:rsid w:val="003D0683"/>
    <w:rsid w:val="003D0898"/>
    <w:rsid w:val="003D0939"/>
    <w:rsid w:val="003D11F1"/>
    <w:rsid w:val="003D13DA"/>
    <w:rsid w:val="003D151E"/>
    <w:rsid w:val="003D1A30"/>
    <w:rsid w:val="003D1CC2"/>
    <w:rsid w:val="003D1CCB"/>
    <w:rsid w:val="003D2361"/>
    <w:rsid w:val="003D27BF"/>
    <w:rsid w:val="003D2866"/>
    <w:rsid w:val="003D32F3"/>
    <w:rsid w:val="003D33FF"/>
    <w:rsid w:val="003D34C3"/>
    <w:rsid w:val="003D350C"/>
    <w:rsid w:val="003D3C5A"/>
    <w:rsid w:val="003D3E22"/>
    <w:rsid w:val="003D3E73"/>
    <w:rsid w:val="003D438B"/>
    <w:rsid w:val="003D4585"/>
    <w:rsid w:val="003D4B93"/>
    <w:rsid w:val="003D5032"/>
    <w:rsid w:val="003D51E9"/>
    <w:rsid w:val="003D57EA"/>
    <w:rsid w:val="003D591B"/>
    <w:rsid w:val="003D611D"/>
    <w:rsid w:val="003D618B"/>
    <w:rsid w:val="003D6486"/>
    <w:rsid w:val="003D6557"/>
    <w:rsid w:val="003D6956"/>
    <w:rsid w:val="003D6BF4"/>
    <w:rsid w:val="003D6CD3"/>
    <w:rsid w:val="003D6CF8"/>
    <w:rsid w:val="003D6DED"/>
    <w:rsid w:val="003D6E00"/>
    <w:rsid w:val="003D6EF6"/>
    <w:rsid w:val="003D6FDA"/>
    <w:rsid w:val="003D71B7"/>
    <w:rsid w:val="003D72D4"/>
    <w:rsid w:val="003D7D3A"/>
    <w:rsid w:val="003D7ED1"/>
    <w:rsid w:val="003E0080"/>
    <w:rsid w:val="003E00CA"/>
    <w:rsid w:val="003E02E9"/>
    <w:rsid w:val="003E04BE"/>
    <w:rsid w:val="003E078D"/>
    <w:rsid w:val="003E0884"/>
    <w:rsid w:val="003E0D71"/>
    <w:rsid w:val="003E0FF4"/>
    <w:rsid w:val="003E15E7"/>
    <w:rsid w:val="003E1731"/>
    <w:rsid w:val="003E1A32"/>
    <w:rsid w:val="003E1AE1"/>
    <w:rsid w:val="003E2290"/>
    <w:rsid w:val="003E2460"/>
    <w:rsid w:val="003E24CD"/>
    <w:rsid w:val="003E257F"/>
    <w:rsid w:val="003E28E8"/>
    <w:rsid w:val="003E290B"/>
    <w:rsid w:val="003E2935"/>
    <w:rsid w:val="003E2AAC"/>
    <w:rsid w:val="003E2C32"/>
    <w:rsid w:val="003E343A"/>
    <w:rsid w:val="003E375E"/>
    <w:rsid w:val="003E3A4A"/>
    <w:rsid w:val="003E3FC6"/>
    <w:rsid w:val="003E43B9"/>
    <w:rsid w:val="003E498B"/>
    <w:rsid w:val="003E4A1C"/>
    <w:rsid w:val="003E4A5D"/>
    <w:rsid w:val="003E4B70"/>
    <w:rsid w:val="003E4CDA"/>
    <w:rsid w:val="003E4CED"/>
    <w:rsid w:val="003E4DAD"/>
    <w:rsid w:val="003E51C4"/>
    <w:rsid w:val="003E532F"/>
    <w:rsid w:val="003E537D"/>
    <w:rsid w:val="003E59C6"/>
    <w:rsid w:val="003E5B72"/>
    <w:rsid w:val="003E5DB1"/>
    <w:rsid w:val="003E5FFE"/>
    <w:rsid w:val="003E603E"/>
    <w:rsid w:val="003E629B"/>
    <w:rsid w:val="003E69F3"/>
    <w:rsid w:val="003E6DBF"/>
    <w:rsid w:val="003E7085"/>
    <w:rsid w:val="003E7381"/>
    <w:rsid w:val="003E7729"/>
    <w:rsid w:val="003E779D"/>
    <w:rsid w:val="003F02D7"/>
    <w:rsid w:val="003F04F6"/>
    <w:rsid w:val="003F0926"/>
    <w:rsid w:val="003F092E"/>
    <w:rsid w:val="003F0BFB"/>
    <w:rsid w:val="003F0EB4"/>
    <w:rsid w:val="003F170B"/>
    <w:rsid w:val="003F17BA"/>
    <w:rsid w:val="003F1A90"/>
    <w:rsid w:val="003F1ED7"/>
    <w:rsid w:val="003F1F07"/>
    <w:rsid w:val="003F25F9"/>
    <w:rsid w:val="003F2602"/>
    <w:rsid w:val="003F2FC9"/>
    <w:rsid w:val="003F30EA"/>
    <w:rsid w:val="003F382A"/>
    <w:rsid w:val="003F44FB"/>
    <w:rsid w:val="003F4534"/>
    <w:rsid w:val="003F499F"/>
    <w:rsid w:val="003F4ADE"/>
    <w:rsid w:val="003F4FA5"/>
    <w:rsid w:val="003F5740"/>
    <w:rsid w:val="003F5A1C"/>
    <w:rsid w:val="003F5C41"/>
    <w:rsid w:val="003F5D3D"/>
    <w:rsid w:val="003F5E8E"/>
    <w:rsid w:val="003F5F47"/>
    <w:rsid w:val="003F5F80"/>
    <w:rsid w:val="003F5F95"/>
    <w:rsid w:val="003F60FE"/>
    <w:rsid w:val="003F6232"/>
    <w:rsid w:val="003F6613"/>
    <w:rsid w:val="003F66BD"/>
    <w:rsid w:val="003F687D"/>
    <w:rsid w:val="003F68DA"/>
    <w:rsid w:val="003F6AA4"/>
    <w:rsid w:val="003F6D7C"/>
    <w:rsid w:val="003F72D9"/>
    <w:rsid w:val="003F7349"/>
    <w:rsid w:val="003F7495"/>
    <w:rsid w:val="003F75E2"/>
    <w:rsid w:val="003F7812"/>
    <w:rsid w:val="003F7A05"/>
    <w:rsid w:val="003F7E79"/>
    <w:rsid w:val="003F7E7A"/>
    <w:rsid w:val="003F7F96"/>
    <w:rsid w:val="00400043"/>
    <w:rsid w:val="0040034F"/>
    <w:rsid w:val="00400403"/>
    <w:rsid w:val="00400704"/>
    <w:rsid w:val="004007EF"/>
    <w:rsid w:val="00400AEA"/>
    <w:rsid w:val="0040105F"/>
    <w:rsid w:val="00401A8B"/>
    <w:rsid w:val="00401C1B"/>
    <w:rsid w:val="00401ED9"/>
    <w:rsid w:val="004021BA"/>
    <w:rsid w:val="00402288"/>
    <w:rsid w:val="004025D9"/>
    <w:rsid w:val="00402BA3"/>
    <w:rsid w:val="00402C55"/>
    <w:rsid w:val="00402C88"/>
    <w:rsid w:val="00402CB4"/>
    <w:rsid w:val="00402CE6"/>
    <w:rsid w:val="00402DAE"/>
    <w:rsid w:val="00403263"/>
    <w:rsid w:val="00403489"/>
    <w:rsid w:val="004035E8"/>
    <w:rsid w:val="00403D4E"/>
    <w:rsid w:val="00404176"/>
    <w:rsid w:val="004042AF"/>
    <w:rsid w:val="00404AD8"/>
    <w:rsid w:val="00404D85"/>
    <w:rsid w:val="00404EB2"/>
    <w:rsid w:val="0040502E"/>
    <w:rsid w:val="00405401"/>
    <w:rsid w:val="004055D5"/>
    <w:rsid w:val="0040562F"/>
    <w:rsid w:val="004056E8"/>
    <w:rsid w:val="0040571D"/>
    <w:rsid w:val="00405739"/>
    <w:rsid w:val="00405DBE"/>
    <w:rsid w:val="00406017"/>
    <w:rsid w:val="0040604E"/>
    <w:rsid w:val="00406359"/>
    <w:rsid w:val="0040673D"/>
    <w:rsid w:val="00406962"/>
    <w:rsid w:val="00406A9C"/>
    <w:rsid w:val="00406BCD"/>
    <w:rsid w:val="00406C3D"/>
    <w:rsid w:val="00407084"/>
    <w:rsid w:val="0040733F"/>
    <w:rsid w:val="004076EF"/>
    <w:rsid w:val="004077EA"/>
    <w:rsid w:val="00407CC9"/>
    <w:rsid w:val="00407D56"/>
    <w:rsid w:val="00407F2F"/>
    <w:rsid w:val="004101AF"/>
    <w:rsid w:val="0041033C"/>
    <w:rsid w:val="00410372"/>
    <w:rsid w:val="004105E3"/>
    <w:rsid w:val="004108FE"/>
    <w:rsid w:val="00410A0F"/>
    <w:rsid w:val="00410C88"/>
    <w:rsid w:val="00410EC6"/>
    <w:rsid w:val="00411115"/>
    <w:rsid w:val="0041181C"/>
    <w:rsid w:val="004119CB"/>
    <w:rsid w:val="00411DD0"/>
    <w:rsid w:val="0041203E"/>
    <w:rsid w:val="00412339"/>
    <w:rsid w:val="00412456"/>
    <w:rsid w:val="004125CE"/>
    <w:rsid w:val="0041281D"/>
    <w:rsid w:val="00412898"/>
    <w:rsid w:val="00412925"/>
    <w:rsid w:val="00412F3C"/>
    <w:rsid w:val="00413170"/>
    <w:rsid w:val="0041325E"/>
    <w:rsid w:val="004133E6"/>
    <w:rsid w:val="004136E9"/>
    <w:rsid w:val="004145B9"/>
    <w:rsid w:val="004149FB"/>
    <w:rsid w:val="00414A43"/>
    <w:rsid w:val="00414A83"/>
    <w:rsid w:val="00414A9F"/>
    <w:rsid w:val="00414ED1"/>
    <w:rsid w:val="004150AE"/>
    <w:rsid w:val="00415420"/>
    <w:rsid w:val="004155BD"/>
    <w:rsid w:val="00415629"/>
    <w:rsid w:val="00415969"/>
    <w:rsid w:val="004159DC"/>
    <w:rsid w:val="00415A45"/>
    <w:rsid w:val="00415B91"/>
    <w:rsid w:val="00415CF8"/>
    <w:rsid w:val="00415F49"/>
    <w:rsid w:val="00415F7C"/>
    <w:rsid w:val="00416263"/>
    <w:rsid w:val="0041669A"/>
    <w:rsid w:val="00416811"/>
    <w:rsid w:val="00416A5B"/>
    <w:rsid w:val="00416CFE"/>
    <w:rsid w:val="004171BF"/>
    <w:rsid w:val="00417493"/>
    <w:rsid w:val="00417678"/>
    <w:rsid w:val="004179ED"/>
    <w:rsid w:val="00417B8A"/>
    <w:rsid w:val="00417BC1"/>
    <w:rsid w:val="00420420"/>
    <w:rsid w:val="00420988"/>
    <w:rsid w:val="00420AFB"/>
    <w:rsid w:val="00420C9B"/>
    <w:rsid w:val="00420DB7"/>
    <w:rsid w:val="00420EB9"/>
    <w:rsid w:val="00420F46"/>
    <w:rsid w:val="00420FA7"/>
    <w:rsid w:val="00421173"/>
    <w:rsid w:val="004213CA"/>
    <w:rsid w:val="0042143C"/>
    <w:rsid w:val="0042158C"/>
    <w:rsid w:val="00421A96"/>
    <w:rsid w:val="00421D47"/>
    <w:rsid w:val="00421ED7"/>
    <w:rsid w:val="004223AF"/>
    <w:rsid w:val="00422457"/>
    <w:rsid w:val="00422576"/>
    <w:rsid w:val="00422BB1"/>
    <w:rsid w:val="00422C17"/>
    <w:rsid w:val="00422DDD"/>
    <w:rsid w:val="00423284"/>
    <w:rsid w:val="0042354F"/>
    <w:rsid w:val="00423ED9"/>
    <w:rsid w:val="00424348"/>
    <w:rsid w:val="0042443D"/>
    <w:rsid w:val="004245D5"/>
    <w:rsid w:val="0042466F"/>
    <w:rsid w:val="00424780"/>
    <w:rsid w:val="0042495C"/>
    <w:rsid w:val="004249E9"/>
    <w:rsid w:val="00424F9A"/>
    <w:rsid w:val="004251C8"/>
    <w:rsid w:val="00425670"/>
    <w:rsid w:val="00425AE5"/>
    <w:rsid w:val="00425BC3"/>
    <w:rsid w:val="00425D05"/>
    <w:rsid w:val="00425DE4"/>
    <w:rsid w:val="00426091"/>
    <w:rsid w:val="00426713"/>
    <w:rsid w:val="00426794"/>
    <w:rsid w:val="00426913"/>
    <w:rsid w:val="004269A4"/>
    <w:rsid w:val="00426D38"/>
    <w:rsid w:val="00426E3D"/>
    <w:rsid w:val="00426E6B"/>
    <w:rsid w:val="00426F8F"/>
    <w:rsid w:val="00426FE9"/>
    <w:rsid w:val="00427032"/>
    <w:rsid w:val="0042724E"/>
    <w:rsid w:val="004273BD"/>
    <w:rsid w:val="004301A7"/>
    <w:rsid w:val="004303B5"/>
    <w:rsid w:val="004304CA"/>
    <w:rsid w:val="004308BD"/>
    <w:rsid w:val="00430A29"/>
    <w:rsid w:val="004312C9"/>
    <w:rsid w:val="004317E0"/>
    <w:rsid w:val="004318D5"/>
    <w:rsid w:val="00431C4D"/>
    <w:rsid w:val="00431F8F"/>
    <w:rsid w:val="0043230B"/>
    <w:rsid w:val="004323FC"/>
    <w:rsid w:val="004325B2"/>
    <w:rsid w:val="00432900"/>
    <w:rsid w:val="0043294A"/>
    <w:rsid w:val="004329B6"/>
    <w:rsid w:val="004329D3"/>
    <w:rsid w:val="00432FA2"/>
    <w:rsid w:val="00433481"/>
    <w:rsid w:val="004334B7"/>
    <w:rsid w:val="004338B7"/>
    <w:rsid w:val="00433ECE"/>
    <w:rsid w:val="00434578"/>
    <w:rsid w:val="004345A1"/>
    <w:rsid w:val="0043469D"/>
    <w:rsid w:val="004348E3"/>
    <w:rsid w:val="00434DC3"/>
    <w:rsid w:val="00434EA9"/>
    <w:rsid w:val="0043509E"/>
    <w:rsid w:val="00435255"/>
    <w:rsid w:val="0043533A"/>
    <w:rsid w:val="00435679"/>
    <w:rsid w:val="004356FF"/>
    <w:rsid w:val="00435CA3"/>
    <w:rsid w:val="00435CC0"/>
    <w:rsid w:val="004361A0"/>
    <w:rsid w:val="00436378"/>
    <w:rsid w:val="004367B7"/>
    <w:rsid w:val="00436865"/>
    <w:rsid w:val="00437159"/>
    <w:rsid w:val="00437164"/>
    <w:rsid w:val="00437478"/>
    <w:rsid w:val="004377B8"/>
    <w:rsid w:val="00440305"/>
    <w:rsid w:val="00440345"/>
    <w:rsid w:val="004405AD"/>
    <w:rsid w:val="0044078F"/>
    <w:rsid w:val="004407F5"/>
    <w:rsid w:val="00440C03"/>
    <w:rsid w:val="00440C21"/>
    <w:rsid w:val="00440C53"/>
    <w:rsid w:val="00440EE2"/>
    <w:rsid w:val="00441293"/>
    <w:rsid w:val="004412FF"/>
    <w:rsid w:val="0044162A"/>
    <w:rsid w:val="00441825"/>
    <w:rsid w:val="00441BAE"/>
    <w:rsid w:val="00442243"/>
    <w:rsid w:val="004423BB"/>
    <w:rsid w:val="00442529"/>
    <w:rsid w:val="00442594"/>
    <w:rsid w:val="0044269A"/>
    <w:rsid w:val="00442728"/>
    <w:rsid w:val="00442861"/>
    <w:rsid w:val="00442BCC"/>
    <w:rsid w:val="00443394"/>
    <w:rsid w:val="00443446"/>
    <w:rsid w:val="0044350F"/>
    <w:rsid w:val="004435D6"/>
    <w:rsid w:val="00443670"/>
    <w:rsid w:val="00443F29"/>
    <w:rsid w:val="0044401C"/>
    <w:rsid w:val="00444884"/>
    <w:rsid w:val="00444C63"/>
    <w:rsid w:val="00444D71"/>
    <w:rsid w:val="004450E2"/>
    <w:rsid w:val="004452D4"/>
    <w:rsid w:val="00445678"/>
    <w:rsid w:val="004458CB"/>
    <w:rsid w:val="00445A83"/>
    <w:rsid w:val="00445AFD"/>
    <w:rsid w:val="00445B48"/>
    <w:rsid w:val="00445D47"/>
    <w:rsid w:val="00445D92"/>
    <w:rsid w:val="0044612A"/>
    <w:rsid w:val="00446FB1"/>
    <w:rsid w:val="004473B3"/>
    <w:rsid w:val="004478CC"/>
    <w:rsid w:val="0044792A"/>
    <w:rsid w:val="00447E5F"/>
    <w:rsid w:val="00447E7E"/>
    <w:rsid w:val="00447F13"/>
    <w:rsid w:val="00447F5E"/>
    <w:rsid w:val="00450032"/>
    <w:rsid w:val="0045008F"/>
    <w:rsid w:val="0045017E"/>
    <w:rsid w:val="004502A1"/>
    <w:rsid w:val="0045064F"/>
    <w:rsid w:val="004507B9"/>
    <w:rsid w:val="004507C4"/>
    <w:rsid w:val="0045098D"/>
    <w:rsid w:val="00450ABC"/>
    <w:rsid w:val="00450ACB"/>
    <w:rsid w:val="00450B52"/>
    <w:rsid w:val="00450F73"/>
    <w:rsid w:val="00451273"/>
    <w:rsid w:val="00451373"/>
    <w:rsid w:val="00451617"/>
    <w:rsid w:val="004519B1"/>
    <w:rsid w:val="00451D46"/>
    <w:rsid w:val="00451E57"/>
    <w:rsid w:val="004521AB"/>
    <w:rsid w:val="00452201"/>
    <w:rsid w:val="00452634"/>
    <w:rsid w:val="00452657"/>
    <w:rsid w:val="00452779"/>
    <w:rsid w:val="00452FE1"/>
    <w:rsid w:val="004532B7"/>
    <w:rsid w:val="0045342B"/>
    <w:rsid w:val="004534EC"/>
    <w:rsid w:val="00453567"/>
    <w:rsid w:val="004535A9"/>
    <w:rsid w:val="00453674"/>
    <w:rsid w:val="00453A94"/>
    <w:rsid w:val="00454029"/>
    <w:rsid w:val="004540F4"/>
    <w:rsid w:val="00454330"/>
    <w:rsid w:val="00454780"/>
    <w:rsid w:val="00454E96"/>
    <w:rsid w:val="00454EC7"/>
    <w:rsid w:val="0045532C"/>
    <w:rsid w:val="00455AD1"/>
    <w:rsid w:val="00455C60"/>
    <w:rsid w:val="00456245"/>
    <w:rsid w:val="004563D4"/>
    <w:rsid w:val="00456BB0"/>
    <w:rsid w:val="00456E58"/>
    <w:rsid w:val="00456F4C"/>
    <w:rsid w:val="004575A2"/>
    <w:rsid w:val="004575F5"/>
    <w:rsid w:val="00457661"/>
    <w:rsid w:val="00457758"/>
    <w:rsid w:val="00457F2A"/>
    <w:rsid w:val="00460099"/>
    <w:rsid w:val="004604F7"/>
    <w:rsid w:val="0046054D"/>
    <w:rsid w:val="00460A2F"/>
    <w:rsid w:val="00460C3F"/>
    <w:rsid w:val="00460D6C"/>
    <w:rsid w:val="00460E9E"/>
    <w:rsid w:val="0046108F"/>
    <w:rsid w:val="004616A1"/>
    <w:rsid w:val="00461839"/>
    <w:rsid w:val="00461AAF"/>
    <w:rsid w:val="00461C00"/>
    <w:rsid w:val="00461FF5"/>
    <w:rsid w:val="00462065"/>
    <w:rsid w:val="004620B9"/>
    <w:rsid w:val="004623C7"/>
    <w:rsid w:val="004628F7"/>
    <w:rsid w:val="00462D84"/>
    <w:rsid w:val="00463528"/>
    <w:rsid w:val="004635C4"/>
    <w:rsid w:val="00463947"/>
    <w:rsid w:val="00463BB2"/>
    <w:rsid w:val="00463D49"/>
    <w:rsid w:val="00464011"/>
    <w:rsid w:val="004641B8"/>
    <w:rsid w:val="00464230"/>
    <w:rsid w:val="004642E6"/>
    <w:rsid w:val="00464538"/>
    <w:rsid w:val="0046462C"/>
    <w:rsid w:val="0046467F"/>
    <w:rsid w:val="00464798"/>
    <w:rsid w:val="00464D0F"/>
    <w:rsid w:val="00464F84"/>
    <w:rsid w:val="00465123"/>
    <w:rsid w:val="0046531C"/>
    <w:rsid w:val="00465B8B"/>
    <w:rsid w:val="00465C49"/>
    <w:rsid w:val="00465CC5"/>
    <w:rsid w:val="00465D4C"/>
    <w:rsid w:val="00465DA8"/>
    <w:rsid w:val="00465E43"/>
    <w:rsid w:val="004661B3"/>
    <w:rsid w:val="00466D70"/>
    <w:rsid w:val="004670BE"/>
    <w:rsid w:val="004670CB"/>
    <w:rsid w:val="0046794D"/>
    <w:rsid w:val="00467C83"/>
    <w:rsid w:val="004702CF"/>
    <w:rsid w:val="004703CB"/>
    <w:rsid w:val="00470577"/>
    <w:rsid w:val="004709B4"/>
    <w:rsid w:val="00470DE9"/>
    <w:rsid w:val="00470F14"/>
    <w:rsid w:val="00470F64"/>
    <w:rsid w:val="00471065"/>
    <w:rsid w:val="004710DE"/>
    <w:rsid w:val="00471229"/>
    <w:rsid w:val="0047130A"/>
    <w:rsid w:val="00471684"/>
    <w:rsid w:val="0047188E"/>
    <w:rsid w:val="00471AE6"/>
    <w:rsid w:val="00471BB4"/>
    <w:rsid w:val="00471DA1"/>
    <w:rsid w:val="00471F44"/>
    <w:rsid w:val="0047215F"/>
    <w:rsid w:val="00472236"/>
    <w:rsid w:val="004725E9"/>
    <w:rsid w:val="004725FF"/>
    <w:rsid w:val="00472949"/>
    <w:rsid w:val="0047318D"/>
    <w:rsid w:val="0047339A"/>
    <w:rsid w:val="004736BC"/>
    <w:rsid w:val="004737AB"/>
    <w:rsid w:val="00473893"/>
    <w:rsid w:val="004738CF"/>
    <w:rsid w:val="00473A32"/>
    <w:rsid w:val="00473B10"/>
    <w:rsid w:val="00473EFC"/>
    <w:rsid w:val="00474214"/>
    <w:rsid w:val="00474387"/>
    <w:rsid w:val="0047443A"/>
    <w:rsid w:val="00474475"/>
    <w:rsid w:val="00474561"/>
    <w:rsid w:val="0047459A"/>
    <w:rsid w:val="00474B83"/>
    <w:rsid w:val="00474D89"/>
    <w:rsid w:val="00474FE9"/>
    <w:rsid w:val="004751A2"/>
    <w:rsid w:val="00475332"/>
    <w:rsid w:val="00475836"/>
    <w:rsid w:val="004758F3"/>
    <w:rsid w:val="00475965"/>
    <w:rsid w:val="00475B1D"/>
    <w:rsid w:val="004760CD"/>
    <w:rsid w:val="004760EB"/>
    <w:rsid w:val="00476196"/>
    <w:rsid w:val="00477602"/>
    <w:rsid w:val="004776A8"/>
    <w:rsid w:val="00477914"/>
    <w:rsid w:val="00477AE9"/>
    <w:rsid w:val="00477B78"/>
    <w:rsid w:val="00477CE4"/>
    <w:rsid w:val="00477E24"/>
    <w:rsid w:val="00477FE3"/>
    <w:rsid w:val="00480264"/>
    <w:rsid w:val="004803E1"/>
    <w:rsid w:val="00480C9E"/>
    <w:rsid w:val="00480CE4"/>
    <w:rsid w:val="00480E56"/>
    <w:rsid w:val="00480E91"/>
    <w:rsid w:val="00480EF7"/>
    <w:rsid w:val="00481046"/>
    <w:rsid w:val="004812B6"/>
    <w:rsid w:val="00481563"/>
    <w:rsid w:val="004816D4"/>
    <w:rsid w:val="0048182C"/>
    <w:rsid w:val="00482054"/>
    <w:rsid w:val="004820C8"/>
    <w:rsid w:val="0048258E"/>
    <w:rsid w:val="0048276E"/>
    <w:rsid w:val="0048287B"/>
    <w:rsid w:val="00482917"/>
    <w:rsid w:val="00482C1D"/>
    <w:rsid w:val="004834CD"/>
    <w:rsid w:val="004834EE"/>
    <w:rsid w:val="0048368E"/>
    <w:rsid w:val="00483ABE"/>
    <w:rsid w:val="00483EDD"/>
    <w:rsid w:val="00483FD2"/>
    <w:rsid w:val="0048417A"/>
    <w:rsid w:val="00484309"/>
    <w:rsid w:val="00484455"/>
    <w:rsid w:val="004847A9"/>
    <w:rsid w:val="004847AB"/>
    <w:rsid w:val="00484DB5"/>
    <w:rsid w:val="00484EA7"/>
    <w:rsid w:val="0048518B"/>
    <w:rsid w:val="0048571E"/>
    <w:rsid w:val="00485981"/>
    <w:rsid w:val="00485A70"/>
    <w:rsid w:val="00485D8A"/>
    <w:rsid w:val="00486378"/>
    <w:rsid w:val="004864F4"/>
    <w:rsid w:val="0048651B"/>
    <w:rsid w:val="00486668"/>
    <w:rsid w:val="004866ED"/>
    <w:rsid w:val="00486BB0"/>
    <w:rsid w:val="00486C2C"/>
    <w:rsid w:val="00486D53"/>
    <w:rsid w:val="00487232"/>
    <w:rsid w:val="004872B0"/>
    <w:rsid w:val="004872C9"/>
    <w:rsid w:val="00487614"/>
    <w:rsid w:val="0048793F"/>
    <w:rsid w:val="00487BB0"/>
    <w:rsid w:val="00487C0C"/>
    <w:rsid w:val="00487C54"/>
    <w:rsid w:val="00490498"/>
    <w:rsid w:val="004904C1"/>
    <w:rsid w:val="004907A6"/>
    <w:rsid w:val="00490902"/>
    <w:rsid w:val="00490E43"/>
    <w:rsid w:val="00490E7C"/>
    <w:rsid w:val="00491044"/>
    <w:rsid w:val="00491256"/>
    <w:rsid w:val="004914C6"/>
    <w:rsid w:val="004917D7"/>
    <w:rsid w:val="00491A92"/>
    <w:rsid w:val="00491D62"/>
    <w:rsid w:val="00491EAA"/>
    <w:rsid w:val="00491F0B"/>
    <w:rsid w:val="00491FFC"/>
    <w:rsid w:val="0049201B"/>
    <w:rsid w:val="00492172"/>
    <w:rsid w:val="004925DB"/>
    <w:rsid w:val="004926F8"/>
    <w:rsid w:val="004926FC"/>
    <w:rsid w:val="00492D03"/>
    <w:rsid w:val="00492F81"/>
    <w:rsid w:val="00493562"/>
    <w:rsid w:val="004935EC"/>
    <w:rsid w:val="00493794"/>
    <w:rsid w:val="00493C50"/>
    <w:rsid w:val="00493CE8"/>
    <w:rsid w:val="00493D6F"/>
    <w:rsid w:val="00493EA5"/>
    <w:rsid w:val="00493EC4"/>
    <w:rsid w:val="00494020"/>
    <w:rsid w:val="004942C7"/>
    <w:rsid w:val="00494352"/>
    <w:rsid w:val="004945A9"/>
    <w:rsid w:val="00494693"/>
    <w:rsid w:val="00494973"/>
    <w:rsid w:val="004950B5"/>
    <w:rsid w:val="00495352"/>
    <w:rsid w:val="00495414"/>
    <w:rsid w:val="00495678"/>
    <w:rsid w:val="00496077"/>
    <w:rsid w:val="0049672C"/>
    <w:rsid w:val="004967AB"/>
    <w:rsid w:val="004967B2"/>
    <w:rsid w:val="004967F5"/>
    <w:rsid w:val="00496A1E"/>
    <w:rsid w:val="00496B83"/>
    <w:rsid w:val="00496EC8"/>
    <w:rsid w:val="00497374"/>
    <w:rsid w:val="00497494"/>
    <w:rsid w:val="0049778E"/>
    <w:rsid w:val="004978CB"/>
    <w:rsid w:val="004979BA"/>
    <w:rsid w:val="00497ED8"/>
    <w:rsid w:val="004A0773"/>
    <w:rsid w:val="004A0BE4"/>
    <w:rsid w:val="004A0CD2"/>
    <w:rsid w:val="004A156B"/>
    <w:rsid w:val="004A174A"/>
    <w:rsid w:val="004A190F"/>
    <w:rsid w:val="004A1B36"/>
    <w:rsid w:val="004A1B52"/>
    <w:rsid w:val="004A1F69"/>
    <w:rsid w:val="004A21C1"/>
    <w:rsid w:val="004A2BF4"/>
    <w:rsid w:val="004A2CCD"/>
    <w:rsid w:val="004A2D53"/>
    <w:rsid w:val="004A31DF"/>
    <w:rsid w:val="004A33AE"/>
    <w:rsid w:val="004A33C1"/>
    <w:rsid w:val="004A36B9"/>
    <w:rsid w:val="004A3A07"/>
    <w:rsid w:val="004A3C24"/>
    <w:rsid w:val="004A44FE"/>
    <w:rsid w:val="004A4BD4"/>
    <w:rsid w:val="004A5690"/>
    <w:rsid w:val="004A578F"/>
    <w:rsid w:val="004A5838"/>
    <w:rsid w:val="004A5E67"/>
    <w:rsid w:val="004A6194"/>
    <w:rsid w:val="004A62B6"/>
    <w:rsid w:val="004A6941"/>
    <w:rsid w:val="004A6C0F"/>
    <w:rsid w:val="004A6C19"/>
    <w:rsid w:val="004A6C69"/>
    <w:rsid w:val="004A6D5B"/>
    <w:rsid w:val="004A716B"/>
    <w:rsid w:val="004A734C"/>
    <w:rsid w:val="004A753A"/>
    <w:rsid w:val="004A77CD"/>
    <w:rsid w:val="004A7800"/>
    <w:rsid w:val="004A7DC8"/>
    <w:rsid w:val="004A7E56"/>
    <w:rsid w:val="004A7EF9"/>
    <w:rsid w:val="004B00F2"/>
    <w:rsid w:val="004B00FC"/>
    <w:rsid w:val="004B0222"/>
    <w:rsid w:val="004B055D"/>
    <w:rsid w:val="004B07DA"/>
    <w:rsid w:val="004B086A"/>
    <w:rsid w:val="004B0B0B"/>
    <w:rsid w:val="004B0C2F"/>
    <w:rsid w:val="004B0E1F"/>
    <w:rsid w:val="004B11B5"/>
    <w:rsid w:val="004B12E4"/>
    <w:rsid w:val="004B13F7"/>
    <w:rsid w:val="004B17FC"/>
    <w:rsid w:val="004B19D4"/>
    <w:rsid w:val="004B2146"/>
    <w:rsid w:val="004B298F"/>
    <w:rsid w:val="004B2AAA"/>
    <w:rsid w:val="004B33FA"/>
    <w:rsid w:val="004B34B5"/>
    <w:rsid w:val="004B3647"/>
    <w:rsid w:val="004B379A"/>
    <w:rsid w:val="004B3D1E"/>
    <w:rsid w:val="004B3EA5"/>
    <w:rsid w:val="004B4623"/>
    <w:rsid w:val="004B4A69"/>
    <w:rsid w:val="004B5207"/>
    <w:rsid w:val="004B52EE"/>
    <w:rsid w:val="004B5483"/>
    <w:rsid w:val="004B551E"/>
    <w:rsid w:val="004B5BF8"/>
    <w:rsid w:val="004B6340"/>
    <w:rsid w:val="004B6403"/>
    <w:rsid w:val="004B641F"/>
    <w:rsid w:val="004B6AC2"/>
    <w:rsid w:val="004B6FE4"/>
    <w:rsid w:val="004B6FF4"/>
    <w:rsid w:val="004B70BC"/>
    <w:rsid w:val="004B7234"/>
    <w:rsid w:val="004B73F2"/>
    <w:rsid w:val="004B74AF"/>
    <w:rsid w:val="004B77E7"/>
    <w:rsid w:val="004B78C7"/>
    <w:rsid w:val="004B7FC2"/>
    <w:rsid w:val="004C0057"/>
    <w:rsid w:val="004C00BA"/>
    <w:rsid w:val="004C073A"/>
    <w:rsid w:val="004C0EE1"/>
    <w:rsid w:val="004C0EEB"/>
    <w:rsid w:val="004C10C4"/>
    <w:rsid w:val="004C10F8"/>
    <w:rsid w:val="004C1935"/>
    <w:rsid w:val="004C1A3A"/>
    <w:rsid w:val="004C1BE1"/>
    <w:rsid w:val="004C1E43"/>
    <w:rsid w:val="004C1F3F"/>
    <w:rsid w:val="004C1F8A"/>
    <w:rsid w:val="004C2041"/>
    <w:rsid w:val="004C22CA"/>
    <w:rsid w:val="004C262D"/>
    <w:rsid w:val="004C272D"/>
    <w:rsid w:val="004C2936"/>
    <w:rsid w:val="004C2C4E"/>
    <w:rsid w:val="004C2C9C"/>
    <w:rsid w:val="004C31C7"/>
    <w:rsid w:val="004C3340"/>
    <w:rsid w:val="004C3418"/>
    <w:rsid w:val="004C3590"/>
    <w:rsid w:val="004C3617"/>
    <w:rsid w:val="004C3628"/>
    <w:rsid w:val="004C3CDC"/>
    <w:rsid w:val="004C3FBC"/>
    <w:rsid w:val="004C405E"/>
    <w:rsid w:val="004C43C0"/>
    <w:rsid w:val="004C451A"/>
    <w:rsid w:val="004C4C4F"/>
    <w:rsid w:val="004C4E1C"/>
    <w:rsid w:val="004C52A8"/>
    <w:rsid w:val="004C53F4"/>
    <w:rsid w:val="004C565A"/>
    <w:rsid w:val="004C5872"/>
    <w:rsid w:val="004C5900"/>
    <w:rsid w:val="004C6189"/>
    <w:rsid w:val="004C619B"/>
    <w:rsid w:val="004C6B92"/>
    <w:rsid w:val="004C6C23"/>
    <w:rsid w:val="004C6F70"/>
    <w:rsid w:val="004C710C"/>
    <w:rsid w:val="004C7590"/>
    <w:rsid w:val="004C7647"/>
    <w:rsid w:val="004C7DA5"/>
    <w:rsid w:val="004C7F2E"/>
    <w:rsid w:val="004C7F76"/>
    <w:rsid w:val="004D0521"/>
    <w:rsid w:val="004D056E"/>
    <w:rsid w:val="004D0736"/>
    <w:rsid w:val="004D08DA"/>
    <w:rsid w:val="004D0AA9"/>
    <w:rsid w:val="004D0F90"/>
    <w:rsid w:val="004D0FAB"/>
    <w:rsid w:val="004D1031"/>
    <w:rsid w:val="004D1151"/>
    <w:rsid w:val="004D1214"/>
    <w:rsid w:val="004D15FD"/>
    <w:rsid w:val="004D187B"/>
    <w:rsid w:val="004D187E"/>
    <w:rsid w:val="004D19B1"/>
    <w:rsid w:val="004D1CC1"/>
    <w:rsid w:val="004D1CCA"/>
    <w:rsid w:val="004D1E11"/>
    <w:rsid w:val="004D21F4"/>
    <w:rsid w:val="004D24B0"/>
    <w:rsid w:val="004D2A84"/>
    <w:rsid w:val="004D2C00"/>
    <w:rsid w:val="004D353B"/>
    <w:rsid w:val="004D42A1"/>
    <w:rsid w:val="004D44BE"/>
    <w:rsid w:val="004D4571"/>
    <w:rsid w:val="004D4E80"/>
    <w:rsid w:val="004D4F2E"/>
    <w:rsid w:val="004D53C8"/>
    <w:rsid w:val="004D54E9"/>
    <w:rsid w:val="004D554F"/>
    <w:rsid w:val="004D5711"/>
    <w:rsid w:val="004D591A"/>
    <w:rsid w:val="004D5D10"/>
    <w:rsid w:val="004D5E8C"/>
    <w:rsid w:val="004D641E"/>
    <w:rsid w:val="004D6838"/>
    <w:rsid w:val="004D6B2F"/>
    <w:rsid w:val="004D6CC5"/>
    <w:rsid w:val="004D7258"/>
    <w:rsid w:val="004D76C0"/>
    <w:rsid w:val="004D79D8"/>
    <w:rsid w:val="004D7A61"/>
    <w:rsid w:val="004D7D4C"/>
    <w:rsid w:val="004E02B9"/>
    <w:rsid w:val="004E0465"/>
    <w:rsid w:val="004E0864"/>
    <w:rsid w:val="004E0B7D"/>
    <w:rsid w:val="004E0CF8"/>
    <w:rsid w:val="004E0D65"/>
    <w:rsid w:val="004E0E16"/>
    <w:rsid w:val="004E0EB5"/>
    <w:rsid w:val="004E0F3A"/>
    <w:rsid w:val="004E1296"/>
    <w:rsid w:val="004E13D1"/>
    <w:rsid w:val="004E148C"/>
    <w:rsid w:val="004E15BD"/>
    <w:rsid w:val="004E1668"/>
    <w:rsid w:val="004E1761"/>
    <w:rsid w:val="004E195B"/>
    <w:rsid w:val="004E19A7"/>
    <w:rsid w:val="004E27AF"/>
    <w:rsid w:val="004E2CC8"/>
    <w:rsid w:val="004E2D6A"/>
    <w:rsid w:val="004E2ECF"/>
    <w:rsid w:val="004E2ED9"/>
    <w:rsid w:val="004E2EF0"/>
    <w:rsid w:val="004E30C7"/>
    <w:rsid w:val="004E33D5"/>
    <w:rsid w:val="004E378C"/>
    <w:rsid w:val="004E3832"/>
    <w:rsid w:val="004E389F"/>
    <w:rsid w:val="004E38B3"/>
    <w:rsid w:val="004E3A17"/>
    <w:rsid w:val="004E3AFB"/>
    <w:rsid w:val="004E3D35"/>
    <w:rsid w:val="004E3E2A"/>
    <w:rsid w:val="004E4414"/>
    <w:rsid w:val="004E49AA"/>
    <w:rsid w:val="004E5128"/>
    <w:rsid w:val="004E52B1"/>
    <w:rsid w:val="004E5322"/>
    <w:rsid w:val="004E5A98"/>
    <w:rsid w:val="004E5B57"/>
    <w:rsid w:val="004E5C78"/>
    <w:rsid w:val="004E5D35"/>
    <w:rsid w:val="004E5F90"/>
    <w:rsid w:val="004E6512"/>
    <w:rsid w:val="004E6826"/>
    <w:rsid w:val="004E690A"/>
    <w:rsid w:val="004E7934"/>
    <w:rsid w:val="004E79F4"/>
    <w:rsid w:val="004E7EAE"/>
    <w:rsid w:val="004F04C8"/>
    <w:rsid w:val="004F087F"/>
    <w:rsid w:val="004F1061"/>
    <w:rsid w:val="004F106F"/>
    <w:rsid w:val="004F143F"/>
    <w:rsid w:val="004F16CC"/>
    <w:rsid w:val="004F178A"/>
    <w:rsid w:val="004F18AE"/>
    <w:rsid w:val="004F19E9"/>
    <w:rsid w:val="004F1A98"/>
    <w:rsid w:val="004F1AB8"/>
    <w:rsid w:val="004F1E30"/>
    <w:rsid w:val="004F2358"/>
    <w:rsid w:val="004F260C"/>
    <w:rsid w:val="004F2851"/>
    <w:rsid w:val="004F2C38"/>
    <w:rsid w:val="004F2D7D"/>
    <w:rsid w:val="004F3472"/>
    <w:rsid w:val="004F36A0"/>
    <w:rsid w:val="004F3C1D"/>
    <w:rsid w:val="004F4373"/>
    <w:rsid w:val="004F43DD"/>
    <w:rsid w:val="004F482F"/>
    <w:rsid w:val="004F5086"/>
    <w:rsid w:val="004F5184"/>
    <w:rsid w:val="004F532A"/>
    <w:rsid w:val="004F549C"/>
    <w:rsid w:val="004F549F"/>
    <w:rsid w:val="004F58E0"/>
    <w:rsid w:val="004F59B7"/>
    <w:rsid w:val="004F5A18"/>
    <w:rsid w:val="004F5B2B"/>
    <w:rsid w:val="004F5D4A"/>
    <w:rsid w:val="004F5ECD"/>
    <w:rsid w:val="004F613D"/>
    <w:rsid w:val="004F6273"/>
    <w:rsid w:val="004F64AE"/>
    <w:rsid w:val="004F6507"/>
    <w:rsid w:val="004F66B0"/>
    <w:rsid w:val="004F6821"/>
    <w:rsid w:val="004F69AC"/>
    <w:rsid w:val="004F6AA8"/>
    <w:rsid w:val="004F6B57"/>
    <w:rsid w:val="004F6D83"/>
    <w:rsid w:val="004F6DC3"/>
    <w:rsid w:val="004F7359"/>
    <w:rsid w:val="004F736F"/>
    <w:rsid w:val="004F7438"/>
    <w:rsid w:val="004F7A53"/>
    <w:rsid w:val="004F7BC0"/>
    <w:rsid w:val="005001AA"/>
    <w:rsid w:val="00500335"/>
    <w:rsid w:val="00500458"/>
    <w:rsid w:val="00500966"/>
    <w:rsid w:val="00500BB1"/>
    <w:rsid w:val="00500FE7"/>
    <w:rsid w:val="0050103D"/>
    <w:rsid w:val="00501550"/>
    <w:rsid w:val="00501841"/>
    <w:rsid w:val="00501C29"/>
    <w:rsid w:val="00501F6D"/>
    <w:rsid w:val="00502607"/>
    <w:rsid w:val="00502E3C"/>
    <w:rsid w:val="00503053"/>
    <w:rsid w:val="00503367"/>
    <w:rsid w:val="0050396A"/>
    <w:rsid w:val="0050407D"/>
    <w:rsid w:val="005043A1"/>
    <w:rsid w:val="0050444D"/>
    <w:rsid w:val="00504A4C"/>
    <w:rsid w:val="00504B3B"/>
    <w:rsid w:val="00504FDB"/>
    <w:rsid w:val="005051D9"/>
    <w:rsid w:val="0050529E"/>
    <w:rsid w:val="005052BB"/>
    <w:rsid w:val="005053AB"/>
    <w:rsid w:val="005055FB"/>
    <w:rsid w:val="00505683"/>
    <w:rsid w:val="00505688"/>
    <w:rsid w:val="0050569A"/>
    <w:rsid w:val="005057C4"/>
    <w:rsid w:val="00505820"/>
    <w:rsid w:val="00505B89"/>
    <w:rsid w:val="00505E1A"/>
    <w:rsid w:val="00506420"/>
    <w:rsid w:val="00506431"/>
    <w:rsid w:val="00506986"/>
    <w:rsid w:val="00506B80"/>
    <w:rsid w:val="00506BD0"/>
    <w:rsid w:val="00506C4F"/>
    <w:rsid w:val="00506C93"/>
    <w:rsid w:val="00506D7A"/>
    <w:rsid w:val="005071C7"/>
    <w:rsid w:val="00507268"/>
    <w:rsid w:val="00507363"/>
    <w:rsid w:val="00507759"/>
    <w:rsid w:val="00507776"/>
    <w:rsid w:val="0050777B"/>
    <w:rsid w:val="00510085"/>
    <w:rsid w:val="005102C4"/>
    <w:rsid w:val="005106DC"/>
    <w:rsid w:val="005115A5"/>
    <w:rsid w:val="005116E5"/>
    <w:rsid w:val="00511AF0"/>
    <w:rsid w:val="00511C3A"/>
    <w:rsid w:val="00512180"/>
    <w:rsid w:val="005127FF"/>
    <w:rsid w:val="00512C1E"/>
    <w:rsid w:val="00512E3F"/>
    <w:rsid w:val="00512F2E"/>
    <w:rsid w:val="005130BE"/>
    <w:rsid w:val="0051327E"/>
    <w:rsid w:val="00513575"/>
    <w:rsid w:val="00513BAF"/>
    <w:rsid w:val="00513D3A"/>
    <w:rsid w:val="00513E61"/>
    <w:rsid w:val="00513E8E"/>
    <w:rsid w:val="00513EB8"/>
    <w:rsid w:val="005141EB"/>
    <w:rsid w:val="00514876"/>
    <w:rsid w:val="00514B67"/>
    <w:rsid w:val="0051544B"/>
    <w:rsid w:val="00515471"/>
    <w:rsid w:val="0051550F"/>
    <w:rsid w:val="005157BE"/>
    <w:rsid w:val="00515924"/>
    <w:rsid w:val="00515E7B"/>
    <w:rsid w:val="00515F83"/>
    <w:rsid w:val="00515F92"/>
    <w:rsid w:val="0051604D"/>
    <w:rsid w:val="00516113"/>
    <w:rsid w:val="00517025"/>
    <w:rsid w:val="00517096"/>
    <w:rsid w:val="00517572"/>
    <w:rsid w:val="00517C0D"/>
    <w:rsid w:val="00517D68"/>
    <w:rsid w:val="00517E06"/>
    <w:rsid w:val="00517E2C"/>
    <w:rsid w:val="005201CC"/>
    <w:rsid w:val="00520441"/>
    <w:rsid w:val="005204DA"/>
    <w:rsid w:val="00520BD7"/>
    <w:rsid w:val="00520C90"/>
    <w:rsid w:val="00521082"/>
    <w:rsid w:val="0052117B"/>
    <w:rsid w:val="005211F7"/>
    <w:rsid w:val="005215A7"/>
    <w:rsid w:val="00521603"/>
    <w:rsid w:val="00521639"/>
    <w:rsid w:val="005216A9"/>
    <w:rsid w:val="00521833"/>
    <w:rsid w:val="005219B3"/>
    <w:rsid w:val="00521A1D"/>
    <w:rsid w:val="00521CAB"/>
    <w:rsid w:val="005222E3"/>
    <w:rsid w:val="00522617"/>
    <w:rsid w:val="00522AAC"/>
    <w:rsid w:val="005230BD"/>
    <w:rsid w:val="005235A0"/>
    <w:rsid w:val="0052384F"/>
    <w:rsid w:val="00523B99"/>
    <w:rsid w:val="00523F55"/>
    <w:rsid w:val="00524225"/>
    <w:rsid w:val="00524739"/>
    <w:rsid w:val="00524BA9"/>
    <w:rsid w:val="00525070"/>
    <w:rsid w:val="00525207"/>
    <w:rsid w:val="00525725"/>
    <w:rsid w:val="005258F7"/>
    <w:rsid w:val="0052598D"/>
    <w:rsid w:val="00525B8C"/>
    <w:rsid w:val="00525EED"/>
    <w:rsid w:val="00526096"/>
    <w:rsid w:val="005261CD"/>
    <w:rsid w:val="005262B5"/>
    <w:rsid w:val="00526581"/>
    <w:rsid w:val="00526991"/>
    <w:rsid w:val="00526BF1"/>
    <w:rsid w:val="00526F0E"/>
    <w:rsid w:val="005272B5"/>
    <w:rsid w:val="00527369"/>
    <w:rsid w:val="00527756"/>
    <w:rsid w:val="0052782E"/>
    <w:rsid w:val="00527AEE"/>
    <w:rsid w:val="00530152"/>
    <w:rsid w:val="0053026B"/>
    <w:rsid w:val="0053074E"/>
    <w:rsid w:val="0053091D"/>
    <w:rsid w:val="00531423"/>
    <w:rsid w:val="00531A05"/>
    <w:rsid w:val="00531DBF"/>
    <w:rsid w:val="00532006"/>
    <w:rsid w:val="00532306"/>
    <w:rsid w:val="005327BD"/>
    <w:rsid w:val="00532A64"/>
    <w:rsid w:val="00532E3E"/>
    <w:rsid w:val="005330D6"/>
    <w:rsid w:val="00533381"/>
    <w:rsid w:val="005333A9"/>
    <w:rsid w:val="00533BBE"/>
    <w:rsid w:val="00533BBF"/>
    <w:rsid w:val="00533C4B"/>
    <w:rsid w:val="00533FC0"/>
    <w:rsid w:val="005344C5"/>
    <w:rsid w:val="00534B84"/>
    <w:rsid w:val="00534BC4"/>
    <w:rsid w:val="00534D71"/>
    <w:rsid w:val="00534FB3"/>
    <w:rsid w:val="00534FF6"/>
    <w:rsid w:val="00535146"/>
    <w:rsid w:val="0053514C"/>
    <w:rsid w:val="005351CA"/>
    <w:rsid w:val="005351F2"/>
    <w:rsid w:val="0053598E"/>
    <w:rsid w:val="00535E1F"/>
    <w:rsid w:val="00535F0A"/>
    <w:rsid w:val="005365D0"/>
    <w:rsid w:val="005366FF"/>
    <w:rsid w:val="00536A44"/>
    <w:rsid w:val="00536CBA"/>
    <w:rsid w:val="00536FE6"/>
    <w:rsid w:val="00537023"/>
    <w:rsid w:val="00537863"/>
    <w:rsid w:val="00537AF0"/>
    <w:rsid w:val="00537B39"/>
    <w:rsid w:val="00537C03"/>
    <w:rsid w:val="005402BE"/>
    <w:rsid w:val="005403CA"/>
    <w:rsid w:val="00540474"/>
    <w:rsid w:val="005404AA"/>
    <w:rsid w:val="0054080C"/>
    <w:rsid w:val="00540A91"/>
    <w:rsid w:val="00540E2E"/>
    <w:rsid w:val="00541021"/>
    <w:rsid w:val="00541738"/>
    <w:rsid w:val="00541817"/>
    <w:rsid w:val="005418C0"/>
    <w:rsid w:val="00541C0E"/>
    <w:rsid w:val="00541D5B"/>
    <w:rsid w:val="00541ED0"/>
    <w:rsid w:val="00542485"/>
    <w:rsid w:val="005424AF"/>
    <w:rsid w:val="005427D1"/>
    <w:rsid w:val="00542BDE"/>
    <w:rsid w:val="00542C36"/>
    <w:rsid w:val="0054320A"/>
    <w:rsid w:val="005433DC"/>
    <w:rsid w:val="00543426"/>
    <w:rsid w:val="005434F0"/>
    <w:rsid w:val="00543A2A"/>
    <w:rsid w:val="00543E4E"/>
    <w:rsid w:val="005442DF"/>
    <w:rsid w:val="005446B4"/>
    <w:rsid w:val="0054471A"/>
    <w:rsid w:val="0054475B"/>
    <w:rsid w:val="005448D6"/>
    <w:rsid w:val="005449E5"/>
    <w:rsid w:val="00544B62"/>
    <w:rsid w:val="00544C6B"/>
    <w:rsid w:val="00545064"/>
    <w:rsid w:val="00545196"/>
    <w:rsid w:val="005453F7"/>
    <w:rsid w:val="00545830"/>
    <w:rsid w:val="00545A68"/>
    <w:rsid w:val="00545AE3"/>
    <w:rsid w:val="005461D9"/>
    <w:rsid w:val="0054653D"/>
    <w:rsid w:val="00546649"/>
    <w:rsid w:val="0054676B"/>
    <w:rsid w:val="00547801"/>
    <w:rsid w:val="0054783E"/>
    <w:rsid w:val="0054786A"/>
    <w:rsid w:val="00547F02"/>
    <w:rsid w:val="0055005E"/>
    <w:rsid w:val="0055103C"/>
    <w:rsid w:val="00551567"/>
    <w:rsid w:val="00551725"/>
    <w:rsid w:val="00551781"/>
    <w:rsid w:val="00552032"/>
    <w:rsid w:val="0055204C"/>
    <w:rsid w:val="00552323"/>
    <w:rsid w:val="005524F8"/>
    <w:rsid w:val="005525C5"/>
    <w:rsid w:val="0055299A"/>
    <w:rsid w:val="00552A84"/>
    <w:rsid w:val="00552A99"/>
    <w:rsid w:val="00552FFF"/>
    <w:rsid w:val="0055307C"/>
    <w:rsid w:val="00553236"/>
    <w:rsid w:val="005532C1"/>
    <w:rsid w:val="00553594"/>
    <w:rsid w:val="00553ABB"/>
    <w:rsid w:val="00553C56"/>
    <w:rsid w:val="00553C9E"/>
    <w:rsid w:val="00553EE0"/>
    <w:rsid w:val="00554013"/>
    <w:rsid w:val="005541D0"/>
    <w:rsid w:val="00554436"/>
    <w:rsid w:val="00554F93"/>
    <w:rsid w:val="00555055"/>
    <w:rsid w:val="00555297"/>
    <w:rsid w:val="005557FB"/>
    <w:rsid w:val="005559C2"/>
    <w:rsid w:val="00555B63"/>
    <w:rsid w:val="00555C01"/>
    <w:rsid w:val="00555C56"/>
    <w:rsid w:val="005560BD"/>
    <w:rsid w:val="005560FD"/>
    <w:rsid w:val="00556428"/>
    <w:rsid w:val="005564B4"/>
    <w:rsid w:val="005568FC"/>
    <w:rsid w:val="005569CA"/>
    <w:rsid w:val="00556DE2"/>
    <w:rsid w:val="00556E17"/>
    <w:rsid w:val="005575F2"/>
    <w:rsid w:val="00557674"/>
    <w:rsid w:val="0055784F"/>
    <w:rsid w:val="00557C06"/>
    <w:rsid w:val="00557F00"/>
    <w:rsid w:val="00560243"/>
    <w:rsid w:val="0056065E"/>
    <w:rsid w:val="00560A16"/>
    <w:rsid w:val="00560D8B"/>
    <w:rsid w:val="00560F06"/>
    <w:rsid w:val="0056106E"/>
    <w:rsid w:val="0056109B"/>
    <w:rsid w:val="005613AD"/>
    <w:rsid w:val="00561771"/>
    <w:rsid w:val="005626FF"/>
    <w:rsid w:val="005627FB"/>
    <w:rsid w:val="00562CC1"/>
    <w:rsid w:val="0056313B"/>
    <w:rsid w:val="00563226"/>
    <w:rsid w:val="005633A1"/>
    <w:rsid w:val="005637C7"/>
    <w:rsid w:val="005637D4"/>
    <w:rsid w:val="00563828"/>
    <w:rsid w:val="005638C6"/>
    <w:rsid w:val="00563A11"/>
    <w:rsid w:val="00563C2C"/>
    <w:rsid w:val="00563C37"/>
    <w:rsid w:val="00563D71"/>
    <w:rsid w:val="00563EDF"/>
    <w:rsid w:val="00564170"/>
    <w:rsid w:val="005642AE"/>
    <w:rsid w:val="00564584"/>
    <w:rsid w:val="00564778"/>
    <w:rsid w:val="00564865"/>
    <w:rsid w:val="00564A98"/>
    <w:rsid w:val="00564B3B"/>
    <w:rsid w:val="005654DA"/>
    <w:rsid w:val="00565659"/>
    <w:rsid w:val="00565730"/>
    <w:rsid w:val="00565C1A"/>
    <w:rsid w:val="00565C2D"/>
    <w:rsid w:val="00566280"/>
    <w:rsid w:val="00567074"/>
    <w:rsid w:val="005672A7"/>
    <w:rsid w:val="00567392"/>
    <w:rsid w:val="00567451"/>
    <w:rsid w:val="00567454"/>
    <w:rsid w:val="00567ACA"/>
    <w:rsid w:val="00567B15"/>
    <w:rsid w:val="00567CFB"/>
    <w:rsid w:val="00567EBF"/>
    <w:rsid w:val="005700DD"/>
    <w:rsid w:val="0057031C"/>
    <w:rsid w:val="00570732"/>
    <w:rsid w:val="00570CC1"/>
    <w:rsid w:val="00570F15"/>
    <w:rsid w:val="00571091"/>
    <w:rsid w:val="00571133"/>
    <w:rsid w:val="00571280"/>
    <w:rsid w:val="0057134C"/>
    <w:rsid w:val="005715F2"/>
    <w:rsid w:val="00571659"/>
    <w:rsid w:val="005718C7"/>
    <w:rsid w:val="00571BD2"/>
    <w:rsid w:val="00571E8D"/>
    <w:rsid w:val="00572463"/>
    <w:rsid w:val="00572477"/>
    <w:rsid w:val="005727BB"/>
    <w:rsid w:val="00572CBA"/>
    <w:rsid w:val="0057309D"/>
    <w:rsid w:val="00573497"/>
    <w:rsid w:val="00573579"/>
    <w:rsid w:val="005737AC"/>
    <w:rsid w:val="00573DB9"/>
    <w:rsid w:val="00573E6E"/>
    <w:rsid w:val="0057409C"/>
    <w:rsid w:val="00574166"/>
    <w:rsid w:val="0057444F"/>
    <w:rsid w:val="0057458A"/>
    <w:rsid w:val="00574775"/>
    <w:rsid w:val="00574970"/>
    <w:rsid w:val="00574A62"/>
    <w:rsid w:val="00574BBB"/>
    <w:rsid w:val="005750AD"/>
    <w:rsid w:val="00575C83"/>
    <w:rsid w:val="00576157"/>
    <w:rsid w:val="005762C0"/>
    <w:rsid w:val="005762F0"/>
    <w:rsid w:val="0057650F"/>
    <w:rsid w:val="00577111"/>
    <w:rsid w:val="00577184"/>
    <w:rsid w:val="00577521"/>
    <w:rsid w:val="005775E4"/>
    <w:rsid w:val="0057774B"/>
    <w:rsid w:val="00577762"/>
    <w:rsid w:val="00577AA0"/>
    <w:rsid w:val="00577B9C"/>
    <w:rsid w:val="00577CAF"/>
    <w:rsid w:val="00580392"/>
    <w:rsid w:val="005803D3"/>
    <w:rsid w:val="0058072B"/>
    <w:rsid w:val="0058090D"/>
    <w:rsid w:val="00580C9B"/>
    <w:rsid w:val="00581315"/>
    <w:rsid w:val="005813ED"/>
    <w:rsid w:val="005813F8"/>
    <w:rsid w:val="00581B60"/>
    <w:rsid w:val="00582372"/>
    <w:rsid w:val="005826FF"/>
    <w:rsid w:val="00582976"/>
    <w:rsid w:val="00582E20"/>
    <w:rsid w:val="00582F7D"/>
    <w:rsid w:val="00583A4A"/>
    <w:rsid w:val="00583ED4"/>
    <w:rsid w:val="00584060"/>
    <w:rsid w:val="00584A88"/>
    <w:rsid w:val="00584B42"/>
    <w:rsid w:val="00584BBA"/>
    <w:rsid w:val="00584CF5"/>
    <w:rsid w:val="00584D8C"/>
    <w:rsid w:val="00584E0A"/>
    <w:rsid w:val="00584E0E"/>
    <w:rsid w:val="00584E13"/>
    <w:rsid w:val="00585202"/>
    <w:rsid w:val="00585295"/>
    <w:rsid w:val="00585986"/>
    <w:rsid w:val="00585D0F"/>
    <w:rsid w:val="00585E44"/>
    <w:rsid w:val="00585F55"/>
    <w:rsid w:val="00585F71"/>
    <w:rsid w:val="005860F5"/>
    <w:rsid w:val="0058612F"/>
    <w:rsid w:val="005862A8"/>
    <w:rsid w:val="005862CD"/>
    <w:rsid w:val="005863AA"/>
    <w:rsid w:val="005867E8"/>
    <w:rsid w:val="00586996"/>
    <w:rsid w:val="00586B93"/>
    <w:rsid w:val="00587539"/>
    <w:rsid w:val="0058773D"/>
    <w:rsid w:val="00587A9F"/>
    <w:rsid w:val="00587C31"/>
    <w:rsid w:val="00587CE8"/>
    <w:rsid w:val="00587E21"/>
    <w:rsid w:val="00590031"/>
    <w:rsid w:val="005903ED"/>
    <w:rsid w:val="00590513"/>
    <w:rsid w:val="00590610"/>
    <w:rsid w:val="0059064A"/>
    <w:rsid w:val="00590650"/>
    <w:rsid w:val="00590734"/>
    <w:rsid w:val="00590809"/>
    <w:rsid w:val="005908C9"/>
    <w:rsid w:val="005909E2"/>
    <w:rsid w:val="00590B9F"/>
    <w:rsid w:val="00590D89"/>
    <w:rsid w:val="00590EAD"/>
    <w:rsid w:val="00590EDE"/>
    <w:rsid w:val="005912B9"/>
    <w:rsid w:val="005916FD"/>
    <w:rsid w:val="005918FC"/>
    <w:rsid w:val="00591A99"/>
    <w:rsid w:val="00591C7B"/>
    <w:rsid w:val="00591D7B"/>
    <w:rsid w:val="00591FCA"/>
    <w:rsid w:val="00592068"/>
    <w:rsid w:val="00592191"/>
    <w:rsid w:val="005923F1"/>
    <w:rsid w:val="005927F2"/>
    <w:rsid w:val="0059298E"/>
    <w:rsid w:val="005929B7"/>
    <w:rsid w:val="00592C80"/>
    <w:rsid w:val="00592CE3"/>
    <w:rsid w:val="005933CB"/>
    <w:rsid w:val="005933ED"/>
    <w:rsid w:val="005935BC"/>
    <w:rsid w:val="0059367E"/>
    <w:rsid w:val="00593863"/>
    <w:rsid w:val="005938A6"/>
    <w:rsid w:val="00593A16"/>
    <w:rsid w:val="00593AE3"/>
    <w:rsid w:val="00593FD7"/>
    <w:rsid w:val="00594090"/>
    <w:rsid w:val="00594177"/>
    <w:rsid w:val="005943DA"/>
    <w:rsid w:val="005946AC"/>
    <w:rsid w:val="005946F9"/>
    <w:rsid w:val="00594784"/>
    <w:rsid w:val="00594A7F"/>
    <w:rsid w:val="00594C71"/>
    <w:rsid w:val="0059534D"/>
    <w:rsid w:val="00595416"/>
    <w:rsid w:val="005958E4"/>
    <w:rsid w:val="00595C46"/>
    <w:rsid w:val="00595F15"/>
    <w:rsid w:val="0059616C"/>
    <w:rsid w:val="005965B1"/>
    <w:rsid w:val="0059662B"/>
    <w:rsid w:val="00596853"/>
    <w:rsid w:val="005968B8"/>
    <w:rsid w:val="00596A6C"/>
    <w:rsid w:val="00596B17"/>
    <w:rsid w:val="00596B3B"/>
    <w:rsid w:val="0059704E"/>
    <w:rsid w:val="00597131"/>
    <w:rsid w:val="00597181"/>
    <w:rsid w:val="0059749E"/>
    <w:rsid w:val="00597549"/>
    <w:rsid w:val="0059767A"/>
    <w:rsid w:val="005978F8"/>
    <w:rsid w:val="005979F8"/>
    <w:rsid w:val="00597B5E"/>
    <w:rsid w:val="00597ECB"/>
    <w:rsid w:val="00597F7B"/>
    <w:rsid w:val="005A040E"/>
    <w:rsid w:val="005A0828"/>
    <w:rsid w:val="005A0ACA"/>
    <w:rsid w:val="005A0B62"/>
    <w:rsid w:val="005A117F"/>
    <w:rsid w:val="005A13E1"/>
    <w:rsid w:val="005A1430"/>
    <w:rsid w:val="005A1451"/>
    <w:rsid w:val="005A1585"/>
    <w:rsid w:val="005A1B41"/>
    <w:rsid w:val="005A1BBE"/>
    <w:rsid w:val="005A1BC0"/>
    <w:rsid w:val="005A21FB"/>
    <w:rsid w:val="005A22A6"/>
    <w:rsid w:val="005A2380"/>
    <w:rsid w:val="005A24BC"/>
    <w:rsid w:val="005A28CF"/>
    <w:rsid w:val="005A2B78"/>
    <w:rsid w:val="005A30A3"/>
    <w:rsid w:val="005A3A50"/>
    <w:rsid w:val="005A3E65"/>
    <w:rsid w:val="005A4C66"/>
    <w:rsid w:val="005A533B"/>
    <w:rsid w:val="005A543A"/>
    <w:rsid w:val="005A54D5"/>
    <w:rsid w:val="005A5653"/>
    <w:rsid w:val="005A56AC"/>
    <w:rsid w:val="005A5769"/>
    <w:rsid w:val="005A58A0"/>
    <w:rsid w:val="005A5A47"/>
    <w:rsid w:val="005A606E"/>
    <w:rsid w:val="005A62A0"/>
    <w:rsid w:val="005A6C2D"/>
    <w:rsid w:val="005A709E"/>
    <w:rsid w:val="005A7426"/>
    <w:rsid w:val="005A770C"/>
    <w:rsid w:val="005A7A8C"/>
    <w:rsid w:val="005A7B34"/>
    <w:rsid w:val="005A7D66"/>
    <w:rsid w:val="005A7F79"/>
    <w:rsid w:val="005B06D9"/>
    <w:rsid w:val="005B1187"/>
    <w:rsid w:val="005B11CF"/>
    <w:rsid w:val="005B1451"/>
    <w:rsid w:val="005B1879"/>
    <w:rsid w:val="005B1DFB"/>
    <w:rsid w:val="005B1EE6"/>
    <w:rsid w:val="005B222B"/>
    <w:rsid w:val="005B2365"/>
    <w:rsid w:val="005B2865"/>
    <w:rsid w:val="005B2A4B"/>
    <w:rsid w:val="005B2AA5"/>
    <w:rsid w:val="005B2E90"/>
    <w:rsid w:val="005B2FBB"/>
    <w:rsid w:val="005B2FD5"/>
    <w:rsid w:val="005B2FF5"/>
    <w:rsid w:val="005B3608"/>
    <w:rsid w:val="005B3696"/>
    <w:rsid w:val="005B370C"/>
    <w:rsid w:val="005B392E"/>
    <w:rsid w:val="005B3A6C"/>
    <w:rsid w:val="005B3C2C"/>
    <w:rsid w:val="005B407F"/>
    <w:rsid w:val="005B41D3"/>
    <w:rsid w:val="005B443F"/>
    <w:rsid w:val="005B4E24"/>
    <w:rsid w:val="005B4ED6"/>
    <w:rsid w:val="005B4F61"/>
    <w:rsid w:val="005B4F6A"/>
    <w:rsid w:val="005B5336"/>
    <w:rsid w:val="005B5376"/>
    <w:rsid w:val="005B5415"/>
    <w:rsid w:val="005B5418"/>
    <w:rsid w:val="005B54E9"/>
    <w:rsid w:val="005B55D7"/>
    <w:rsid w:val="005B5772"/>
    <w:rsid w:val="005B57A9"/>
    <w:rsid w:val="005B5C9F"/>
    <w:rsid w:val="005B5F68"/>
    <w:rsid w:val="005B65B9"/>
    <w:rsid w:val="005B65FC"/>
    <w:rsid w:val="005B6652"/>
    <w:rsid w:val="005B6662"/>
    <w:rsid w:val="005B689A"/>
    <w:rsid w:val="005B68F9"/>
    <w:rsid w:val="005B697D"/>
    <w:rsid w:val="005B6A05"/>
    <w:rsid w:val="005B6B58"/>
    <w:rsid w:val="005B6EB1"/>
    <w:rsid w:val="005B71CA"/>
    <w:rsid w:val="005B723B"/>
    <w:rsid w:val="005B7352"/>
    <w:rsid w:val="005B7482"/>
    <w:rsid w:val="005B776E"/>
    <w:rsid w:val="005B7AC5"/>
    <w:rsid w:val="005B7B9A"/>
    <w:rsid w:val="005B7E63"/>
    <w:rsid w:val="005C00AE"/>
    <w:rsid w:val="005C0169"/>
    <w:rsid w:val="005C0292"/>
    <w:rsid w:val="005C0753"/>
    <w:rsid w:val="005C08A1"/>
    <w:rsid w:val="005C097F"/>
    <w:rsid w:val="005C09BC"/>
    <w:rsid w:val="005C0A5A"/>
    <w:rsid w:val="005C0C83"/>
    <w:rsid w:val="005C0CC8"/>
    <w:rsid w:val="005C0E41"/>
    <w:rsid w:val="005C0E43"/>
    <w:rsid w:val="005C1074"/>
    <w:rsid w:val="005C1191"/>
    <w:rsid w:val="005C12F8"/>
    <w:rsid w:val="005C1580"/>
    <w:rsid w:val="005C1849"/>
    <w:rsid w:val="005C185C"/>
    <w:rsid w:val="005C1A8D"/>
    <w:rsid w:val="005C1B62"/>
    <w:rsid w:val="005C1CB9"/>
    <w:rsid w:val="005C2007"/>
    <w:rsid w:val="005C2210"/>
    <w:rsid w:val="005C22B5"/>
    <w:rsid w:val="005C22D0"/>
    <w:rsid w:val="005C23DA"/>
    <w:rsid w:val="005C255B"/>
    <w:rsid w:val="005C28B0"/>
    <w:rsid w:val="005C2CC6"/>
    <w:rsid w:val="005C30CA"/>
    <w:rsid w:val="005C313E"/>
    <w:rsid w:val="005C327C"/>
    <w:rsid w:val="005C33E8"/>
    <w:rsid w:val="005C3514"/>
    <w:rsid w:val="005C3843"/>
    <w:rsid w:val="005C3894"/>
    <w:rsid w:val="005C410C"/>
    <w:rsid w:val="005C4228"/>
    <w:rsid w:val="005C436D"/>
    <w:rsid w:val="005C44E1"/>
    <w:rsid w:val="005C4768"/>
    <w:rsid w:val="005C4782"/>
    <w:rsid w:val="005C480D"/>
    <w:rsid w:val="005C4A94"/>
    <w:rsid w:val="005C5597"/>
    <w:rsid w:val="005C562A"/>
    <w:rsid w:val="005C576C"/>
    <w:rsid w:val="005C58EA"/>
    <w:rsid w:val="005C5904"/>
    <w:rsid w:val="005C5D02"/>
    <w:rsid w:val="005C6526"/>
    <w:rsid w:val="005C681A"/>
    <w:rsid w:val="005C681E"/>
    <w:rsid w:val="005C6B68"/>
    <w:rsid w:val="005C6D76"/>
    <w:rsid w:val="005C6EA3"/>
    <w:rsid w:val="005C78BB"/>
    <w:rsid w:val="005C7E14"/>
    <w:rsid w:val="005C7EAC"/>
    <w:rsid w:val="005C7F79"/>
    <w:rsid w:val="005C7FA3"/>
    <w:rsid w:val="005D0076"/>
    <w:rsid w:val="005D095C"/>
    <w:rsid w:val="005D0B97"/>
    <w:rsid w:val="005D0CEB"/>
    <w:rsid w:val="005D0E2B"/>
    <w:rsid w:val="005D0FCA"/>
    <w:rsid w:val="005D13AD"/>
    <w:rsid w:val="005D1C2E"/>
    <w:rsid w:val="005D1F60"/>
    <w:rsid w:val="005D20C5"/>
    <w:rsid w:val="005D2183"/>
    <w:rsid w:val="005D2722"/>
    <w:rsid w:val="005D27D7"/>
    <w:rsid w:val="005D2B9D"/>
    <w:rsid w:val="005D2E63"/>
    <w:rsid w:val="005D2F0D"/>
    <w:rsid w:val="005D303A"/>
    <w:rsid w:val="005D3497"/>
    <w:rsid w:val="005D362E"/>
    <w:rsid w:val="005D3646"/>
    <w:rsid w:val="005D3A6F"/>
    <w:rsid w:val="005D3DC5"/>
    <w:rsid w:val="005D3E59"/>
    <w:rsid w:val="005D4108"/>
    <w:rsid w:val="005D4277"/>
    <w:rsid w:val="005D4569"/>
    <w:rsid w:val="005D497D"/>
    <w:rsid w:val="005D4D51"/>
    <w:rsid w:val="005D4E96"/>
    <w:rsid w:val="005D500D"/>
    <w:rsid w:val="005D504E"/>
    <w:rsid w:val="005D52F7"/>
    <w:rsid w:val="005D5385"/>
    <w:rsid w:val="005D5448"/>
    <w:rsid w:val="005D54B6"/>
    <w:rsid w:val="005D5710"/>
    <w:rsid w:val="005D5953"/>
    <w:rsid w:val="005D5957"/>
    <w:rsid w:val="005D5AC6"/>
    <w:rsid w:val="005D6878"/>
    <w:rsid w:val="005D6B0B"/>
    <w:rsid w:val="005D6D95"/>
    <w:rsid w:val="005D6E99"/>
    <w:rsid w:val="005D70AC"/>
    <w:rsid w:val="005D728A"/>
    <w:rsid w:val="005D755C"/>
    <w:rsid w:val="005D792C"/>
    <w:rsid w:val="005D7A22"/>
    <w:rsid w:val="005D7A5B"/>
    <w:rsid w:val="005D7A5C"/>
    <w:rsid w:val="005D7B4D"/>
    <w:rsid w:val="005D7B94"/>
    <w:rsid w:val="005D7D5F"/>
    <w:rsid w:val="005D7DBA"/>
    <w:rsid w:val="005D7DBC"/>
    <w:rsid w:val="005E0269"/>
    <w:rsid w:val="005E0BBA"/>
    <w:rsid w:val="005E0E62"/>
    <w:rsid w:val="005E0E84"/>
    <w:rsid w:val="005E0FC3"/>
    <w:rsid w:val="005E13E7"/>
    <w:rsid w:val="005E1BB2"/>
    <w:rsid w:val="005E1CEB"/>
    <w:rsid w:val="005E1D05"/>
    <w:rsid w:val="005E201B"/>
    <w:rsid w:val="005E283B"/>
    <w:rsid w:val="005E2AAC"/>
    <w:rsid w:val="005E2E5A"/>
    <w:rsid w:val="005E3840"/>
    <w:rsid w:val="005E3AC2"/>
    <w:rsid w:val="005E3B03"/>
    <w:rsid w:val="005E3D29"/>
    <w:rsid w:val="005E3E7C"/>
    <w:rsid w:val="005E436A"/>
    <w:rsid w:val="005E4542"/>
    <w:rsid w:val="005E4905"/>
    <w:rsid w:val="005E4926"/>
    <w:rsid w:val="005E49E4"/>
    <w:rsid w:val="005E4D4E"/>
    <w:rsid w:val="005E4E90"/>
    <w:rsid w:val="005E5366"/>
    <w:rsid w:val="005E542D"/>
    <w:rsid w:val="005E58B8"/>
    <w:rsid w:val="005E5C56"/>
    <w:rsid w:val="005E6149"/>
    <w:rsid w:val="005E616F"/>
    <w:rsid w:val="005E6356"/>
    <w:rsid w:val="005E6424"/>
    <w:rsid w:val="005E6702"/>
    <w:rsid w:val="005E6AE6"/>
    <w:rsid w:val="005E6BA7"/>
    <w:rsid w:val="005E6DD2"/>
    <w:rsid w:val="005E6E00"/>
    <w:rsid w:val="005E6FAC"/>
    <w:rsid w:val="005E72B9"/>
    <w:rsid w:val="005E7402"/>
    <w:rsid w:val="005E75A9"/>
    <w:rsid w:val="005E768B"/>
    <w:rsid w:val="005E78BB"/>
    <w:rsid w:val="005E799C"/>
    <w:rsid w:val="005E7A8C"/>
    <w:rsid w:val="005E7A95"/>
    <w:rsid w:val="005E7CE6"/>
    <w:rsid w:val="005E7E7C"/>
    <w:rsid w:val="005F064E"/>
    <w:rsid w:val="005F090D"/>
    <w:rsid w:val="005F09F0"/>
    <w:rsid w:val="005F0ADF"/>
    <w:rsid w:val="005F1434"/>
    <w:rsid w:val="005F14C1"/>
    <w:rsid w:val="005F15E3"/>
    <w:rsid w:val="005F17FD"/>
    <w:rsid w:val="005F1B07"/>
    <w:rsid w:val="005F1B18"/>
    <w:rsid w:val="005F203A"/>
    <w:rsid w:val="005F248E"/>
    <w:rsid w:val="005F26B2"/>
    <w:rsid w:val="005F270E"/>
    <w:rsid w:val="005F2926"/>
    <w:rsid w:val="005F29D6"/>
    <w:rsid w:val="005F2C21"/>
    <w:rsid w:val="005F2E35"/>
    <w:rsid w:val="005F2FA2"/>
    <w:rsid w:val="005F34DD"/>
    <w:rsid w:val="005F3668"/>
    <w:rsid w:val="005F3AE5"/>
    <w:rsid w:val="005F3C1F"/>
    <w:rsid w:val="005F3D70"/>
    <w:rsid w:val="005F3E0B"/>
    <w:rsid w:val="005F3FA4"/>
    <w:rsid w:val="005F404A"/>
    <w:rsid w:val="005F408E"/>
    <w:rsid w:val="005F41BC"/>
    <w:rsid w:val="005F42E9"/>
    <w:rsid w:val="005F4499"/>
    <w:rsid w:val="005F48A0"/>
    <w:rsid w:val="005F48F8"/>
    <w:rsid w:val="005F4C54"/>
    <w:rsid w:val="005F4CCA"/>
    <w:rsid w:val="005F4EE9"/>
    <w:rsid w:val="005F51C4"/>
    <w:rsid w:val="005F51F5"/>
    <w:rsid w:val="005F524F"/>
    <w:rsid w:val="005F5627"/>
    <w:rsid w:val="005F5785"/>
    <w:rsid w:val="005F59D3"/>
    <w:rsid w:val="005F5CD4"/>
    <w:rsid w:val="005F5D21"/>
    <w:rsid w:val="005F6142"/>
    <w:rsid w:val="005F61A6"/>
    <w:rsid w:val="005F6539"/>
    <w:rsid w:val="005F65F4"/>
    <w:rsid w:val="005F6EB5"/>
    <w:rsid w:val="005F70FD"/>
    <w:rsid w:val="005F7138"/>
    <w:rsid w:val="005F7709"/>
    <w:rsid w:val="005F7896"/>
    <w:rsid w:val="00600A67"/>
    <w:rsid w:val="00600B54"/>
    <w:rsid w:val="00601AD5"/>
    <w:rsid w:val="00601C4D"/>
    <w:rsid w:val="00601D44"/>
    <w:rsid w:val="00601F4D"/>
    <w:rsid w:val="00601FC1"/>
    <w:rsid w:val="00602463"/>
    <w:rsid w:val="00602561"/>
    <w:rsid w:val="00602BA6"/>
    <w:rsid w:val="00602D7C"/>
    <w:rsid w:val="00603082"/>
    <w:rsid w:val="0060328F"/>
    <w:rsid w:val="0060356B"/>
    <w:rsid w:val="00603A7B"/>
    <w:rsid w:val="00603ABF"/>
    <w:rsid w:val="00603BA5"/>
    <w:rsid w:val="00603D6A"/>
    <w:rsid w:val="00604567"/>
    <w:rsid w:val="006046A9"/>
    <w:rsid w:val="00604987"/>
    <w:rsid w:val="00604D9A"/>
    <w:rsid w:val="00604E16"/>
    <w:rsid w:val="00604F2A"/>
    <w:rsid w:val="006051FF"/>
    <w:rsid w:val="0060541D"/>
    <w:rsid w:val="0060594E"/>
    <w:rsid w:val="006059A5"/>
    <w:rsid w:val="00605A5F"/>
    <w:rsid w:val="00605CE1"/>
    <w:rsid w:val="00605DF5"/>
    <w:rsid w:val="00605EC8"/>
    <w:rsid w:val="00605EF4"/>
    <w:rsid w:val="00606237"/>
    <w:rsid w:val="0060721E"/>
    <w:rsid w:val="00607231"/>
    <w:rsid w:val="00607247"/>
    <w:rsid w:val="006072F3"/>
    <w:rsid w:val="0060737C"/>
    <w:rsid w:val="00607663"/>
    <w:rsid w:val="006078CC"/>
    <w:rsid w:val="00607B03"/>
    <w:rsid w:val="00607B86"/>
    <w:rsid w:val="00607C92"/>
    <w:rsid w:val="00607E7E"/>
    <w:rsid w:val="00610050"/>
    <w:rsid w:val="006103C4"/>
    <w:rsid w:val="00610A47"/>
    <w:rsid w:val="00610CC2"/>
    <w:rsid w:val="00610E9F"/>
    <w:rsid w:val="006116D8"/>
    <w:rsid w:val="006116E1"/>
    <w:rsid w:val="0061171C"/>
    <w:rsid w:val="00611970"/>
    <w:rsid w:val="0061197B"/>
    <w:rsid w:val="006119D9"/>
    <w:rsid w:val="006119DE"/>
    <w:rsid w:val="00611D59"/>
    <w:rsid w:val="006124B4"/>
    <w:rsid w:val="00612516"/>
    <w:rsid w:val="0061261F"/>
    <w:rsid w:val="00612778"/>
    <w:rsid w:val="00612BF7"/>
    <w:rsid w:val="00612F53"/>
    <w:rsid w:val="00612FA0"/>
    <w:rsid w:val="006130F7"/>
    <w:rsid w:val="006136FF"/>
    <w:rsid w:val="00613850"/>
    <w:rsid w:val="00613F10"/>
    <w:rsid w:val="00613F37"/>
    <w:rsid w:val="0061403F"/>
    <w:rsid w:val="0061420D"/>
    <w:rsid w:val="00614251"/>
    <w:rsid w:val="00614837"/>
    <w:rsid w:val="00614984"/>
    <w:rsid w:val="00614B74"/>
    <w:rsid w:val="0061569E"/>
    <w:rsid w:val="00615944"/>
    <w:rsid w:val="006159AA"/>
    <w:rsid w:val="00615CA2"/>
    <w:rsid w:val="00616065"/>
    <w:rsid w:val="006161B3"/>
    <w:rsid w:val="006166F2"/>
    <w:rsid w:val="00616A8F"/>
    <w:rsid w:val="00617310"/>
    <w:rsid w:val="0061742B"/>
    <w:rsid w:val="0061761F"/>
    <w:rsid w:val="006176C2"/>
    <w:rsid w:val="00617F3D"/>
    <w:rsid w:val="00617F3E"/>
    <w:rsid w:val="006200C9"/>
    <w:rsid w:val="0062010F"/>
    <w:rsid w:val="0062020A"/>
    <w:rsid w:val="006205FF"/>
    <w:rsid w:val="00620784"/>
    <w:rsid w:val="00620C5E"/>
    <w:rsid w:val="00620F25"/>
    <w:rsid w:val="00621032"/>
    <w:rsid w:val="0062114C"/>
    <w:rsid w:val="00621520"/>
    <w:rsid w:val="00621626"/>
    <w:rsid w:val="00621811"/>
    <w:rsid w:val="006219B5"/>
    <w:rsid w:val="00621D40"/>
    <w:rsid w:val="00621E32"/>
    <w:rsid w:val="006220C6"/>
    <w:rsid w:val="006223C0"/>
    <w:rsid w:val="00622444"/>
    <w:rsid w:val="00622680"/>
    <w:rsid w:val="006229E1"/>
    <w:rsid w:val="00622DAA"/>
    <w:rsid w:val="00622E3F"/>
    <w:rsid w:val="00622E75"/>
    <w:rsid w:val="00623066"/>
    <w:rsid w:val="006231EF"/>
    <w:rsid w:val="006234A9"/>
    <w:rsid w:val="00623660"/>
    <w:rsid w:val="0062367D"/>
    <w:rsid w:val="00623756"/>
    <w:rsid w:val="00624073"/>
    <w:rsid w:val="00624084"/>
    <w:rsid w:val="00624334"/>
    <w:rsid w:val="006243A9"/>
    <w:rsid w:val="00624549"/>
    <w:rsid w:val="006247F2"/>
    <w:rsid w:val="0062482F"/>
    <w:rsid w:val="00624BC6"/>
    <w:rsid w:val="00625368"/>
    <w:rsid w:val="0062546B"/>
    <w:rsid w:val="00625867"/>
    <w:rsid w:val="00626043"/>
    <w:rsid w:val="0062690E"/>
    <w:rsid w:val="0062694F"/>
    <w:rsid w:val="00626B51"/>
    <w:rsid w:val="00626B58"/>
    <w:rsid w:val="00626B71"/>
    <w:rsid w:val="00626C70"/>
    <w:rsid w:val="00626F22"/>
    <w:rsid w:val="00626FF1"/>
    <w:rsid w:val="00627083"/>
    <w:rsid w:val="006270E2"/>
    <w:rsid w:val="00627179"/>
    <w:rsid w:val="006273A5"/>
    <w:rsid w:val="0062768D"/>
    <w:rsid w:val="00627D28"/>
    <w:rsid w:val="00630060"/>
    <w:rsid w:val="0063009A"/>
    <w:rsid w:val="0063012F"/>
    <w:rsid w:val="0063015B"/>
    <w:rsid w:val="006303AC"/>
    <w:rsid w:val="00630989"/>
    <w:rsid w:val="00630CFE"/>
    <w:rsid w:val="00631167"/>
    <w:rsid w:val="00631177"/>
    <w:rsid w:val="006311A4"/>
    <w:rsid w:val="00631B0B"/>
    <w:rsid w:val="00631B9D"/>
    <w:rsid w:val="00631DEC"/>
    <w:rsid w:val="00631EA0"/>
    <w:rsid w:val="006321C8"/>
    <w:rsid w:val="0063242A"/>
    <w:rsid w:val="00632436"/>
    <w:rsid w:val="00632837"/>
    <w:rsid w:val="00632A2B"/>
    <w:rsid w:val="00632A4A"/>
    <w:rsid w:val="00632BE3"/>
    <w:rsid w:val="00633074"/>
    <w:rsid w:val="0063361F"/>
    <w:rsid w:val="006337DA"/>
    <w:rsid w:val="00633B79"/>
    <w:rsid w:val="00633CDF"/>
    <w:rsid w:val="006346B3"/>
    <w:rsid w:val="00634975"/>
    <w:rsid w:val="00634CF7"/>
    <w:rsid w:val="00634D32"/>
    <w:rsid w:val="006350F4"/>
    <w:rsid w:val="00635120"/>
    <w:rsid w:val="00635975"/>
    <w:rsid w:val="006359D9"/>
    <w:rsid w:val="00635C3B"/>
    <w:rsid w:val="00635CD1"/>
    <w:rsid w:val="00635E13"/>
    <w:rsid w:val="00635E82"/>
    <w:rsid w:val="00636823"/>
    <w:rsid w:val="0063686D"/>
    <w:rsid w:val="006368B1"/>
    <w:rsid w:val="00636A3D"/>
    <w:rsid w:val="00637034"/>
    <w:rsid w:val="00637109"/>
    <w:rsid w:val="00637245"/>
    <w:rsid w:val="0063729F"/>
    <w:rsid w:val="00637617"/>
    <w:rsid w:val="0063766A"/>
    <w:rsid w:val="006376E1"/>
    <w:rsid w:val="0063784E"/>
    <w:rsid w:val="006378AD"/>
    <w:rsid w:val="00637C71"/>
    <w:rsid w:val="00637DB5"/>
    <w:rsid w:val="006401DB"/>
    <w:rsid w:val="00640499"/>
    <w:rsid w:val="00640B28"/>
    <w:rsid w:val="00640BD7"/>
    <w:rsid w:val="0064100D"/>
    <w:rsid w:val="006413A3"/>
    <w:rsid w:val="006417AA"/>
    <w:rsid w:val="00641D2E"/>
    <w:rsid w:val="006420AE"/>
    <w:rsid w:val="00642A00"/>
    <w:rsid w:val="00642AB9"/>
    <w:rsid w:val="00642BD7"/>
    <w:rsid w:val="00643198"/>
    <w:rsid w:val="00643800"/>
    <w:rsid w:val="0064399F"/>
    <w:rsid w:val="00643CA9"/>
    <w:rsid w:val="00643E71"/>
    <w:rsid w:val="006440CB"/>
    <w:rsid w:val="00644463"/>
    <w:rsid w:val="00644761"/>
    <w:rsid w:val="00644CBC"/>
    <w:rsid w:val="00644DB9"/>
    <w:rsid w:val="00644DE9"/>
    <w:rsid w:val="006451BD"/>
    <w:rsid w:val="00645481"/>
    <w:rsid w:val="006457F6"/>
    <w:rsid w:val="00645A7D"/>
    <w:rsid w:val="00645DF4"/>
    <w:rsid w:val="00645E3B"/>
    <w:rsid w:val="006462BF"/>
    <w:rsid w:val="006462EC"/>
    <w:rsid w:val="0064630A"/>
    <w:rsid w:val="00646464"/>
    <w:rsid w:val="006465AE"/>
    <w:rsid w:val="0064679C"/>
    <w:rsid w:val="006467AA"/>
    <w:rsid w:val="006467EE"/>
    <w:rsid w:val="00646A9F"/>
    <w:rsid w:val="006473F5"/>
    <w:rsid w:val="00647471"/>
    <w:rsid w:val="006476D3"/>
    <w:rsid w:val="00647724"/>
    <w:rsid w:val="00647A57"/>
    <w:rsid w:val="00647AD4"/>
    <w:rsid w:val="00647B62"/>
    <w:rsid w:val="00647CDB"/>
    <w:rsid w:val="00647D53"/>
    <w:rsid w:val="00647D6D"/>
    <w:rsid w:val="00647DA2"/>
    <w:rsid w:val="00647DED"/>
    <w:rsid w:val="00650083"/>
    <w:rsid w:val="006500F2"/>
    <w:rsid w:val="006502F1"/>
    <w:rsid w:val="0065040D"/>
    <w:rsid w:val="006505DC"/>
    <w:rsid w:val="00650980"/>
    <w:rsid w:val="00650B80"/>
    <w:rsid w:val="00650FAC"/>
    <w:rsid w:val="0065132B"/>
    <w:rsid w:val="006513D1"/>
    <w:rsid w:val="006515B2"/>
    <w:rsid w:val="00651D8B"/>
    <w:rsid w:val="00651FD7"/>
    <w:rsid w:val="0065205D"/>
    <w:rsid w:val="006521A6"/>
    <w:rsid w:val="006522AA"/>
    <w:rsid w:val="00652317"/>
    <w:rsid w:val="00652406"/>
    <w:rsid w:val="006529AC"/>
    <w:rsid w:val="00653207"/>
    <w:rsid w:val="006533B1"/>
    <w:rsid w:val="006538F6"/>
    <w:rsid w:val="006539D7"/>
    <w:rsid w:val="00653A35"/>
    <w:rsid w:val="00653C9E"/>
    <w:rsid w:val="00653CF7"/>
    <w:rsid w:val="00653EC3"/>
    <w:rsid w:val="00654200"/>
    <w:rsid w:val="00654BCC"/>
    <w:rsid w:val="00655039"/>
    <w:rsid w:val="006550F1"/>
    <w:rsid w:val="00655802"/>
    <w:rsid w:val="006558BE"/>
    <w:rsid w:val="00655EEF"/>
    <w:rsid w:val="00655F52"/>
    <w:rsid w:val="00656039"/>
    <w:rsid w:val="0065659F"/>
    <w:rsid w:val="00656603"/>
    <w:rsid w:val="006566E4"/>
    <w:rsid w:val="0065672E"/>
    <w:rsid w:val="00656887"/>
    <w:rsid w:val="0065690D"/>
    <w:rsid w:val="00656CC8"/>
    <w:rsid w:val="00656CCB"/>
    <w:rsid w:val="00657145"/>
    <w:rsid w:val="00657160"/>
    <w:rsid w:val="00657164"/>
    <w:rsid w:val="00657267"/>
    <w:rsid w:val="00657312"/>
    <w:rsid w:val="0065786B"/>
    <w:rsid w:val="00657A29"/>
    <w:rsid w:val="00657BEF"/>
    <w:rsid w:val="00657F0D"/>
    <w:rsid w:val="00657F36"/>
    <w:rsid w:val="006604B6"/>
    <w:rsid w:val="00660665"/>
    <w:rsid w:val="0066084D"/>
    <w:rsid w:val="006609BF"/>
    <w:rsid w:val="00660C77"/>
    <w:rsid w:val="00660D96"/>
    <w:rsid w:val="0066153D"/>
    <w:rsid w:val="00661542"/>
    <w:rsid w:val="00661A75"/>
    <w:rsid w:val="00661B26"/>
    <w:rsid w:val="00661D47"/>
    <w:rsid w:val="00662163"/>
    <w:rsid w:val="006621DA"/>
    <w:rsid w:val="00662253"/>
    <w:rsid w:val="00662514"/>
    <w:rsid w:val="00662610"/>
    <w:rsid w:val="00662706"/>
    <w:rsid w:val="00662790"/>
    <w:rsid w:val="00662FA8"/>
    <w:rsid w:val="006632B5"/>
    <w:rsid w:val="0066354E"/>
    <w:rsid w:val="006639E4"/>
    <w:rsid w:val="00663AF3"/>
    <w:rsid w:val="00663B6B"/>
    <w:rsid w:val="0066490C"/>
    <w:rsid w:val="00664D28"/>
    <w:rsid w:val="00664FD5"/>
    <w:rsid w:val="00665285"/>
    <w:rsid w:val="00665707"/>
    <w:rsid w:val="00665952"/>
    <w:rsid w:val="00665F09"/>
    <w:rsid w:val="006662CA"/>
    <w:rsid w:val="006665D6"/>
    <w:rsid w:val="0066677A"/>
    <w:rsid w:val="00666888"/>
    <w:rsid w:val="00666949"/>
    <w:rsid w:val="00666970"/>
    <w:rsid w:val="00666E49"/>
    <w:rsid w:val="006674DA"/>
    <w:rsid w:val="00667600"/>
    <w:rsid w:val="006677A4"/>
    <w:rsid w:val="00667992"/>
    <w:rsid w:val="006679F0"/>
    <w:rsid w:val="00667EB3"/>
    <w:rsid w:val="0067000B"/>
    <w:rsid w:val="0067003D"/>
    <w:rsid w:val="00670247"/>
    <w:rsid w:val="0067026D"/>
    <w:rsid w:val="006702C7"/>
    <w:rsid w:val="006702FB"/>
    <w:rsid w:val="0067064E"/>
    <w:rsid w:val="006712C5"/>
    <w:rsid w:val="0067152B"/>
    <w:rsid w:val="0067262F"/>
    <w:rsid w:val="0067268D"/>
    <w:rsid w:val="006729B1"/>
    <w:rsid w:val="00672A7F"/>
    <w:rsid w:val="00672B47"/>
    <w:rsid w:val="00672B62"/>
    <w:rsid w:val="00672D97"/>
    <w:rsid w:val="0067352A"/>
    <w:rsid w:val="006736B5"/>
    <w:rsid w:val="0067388B"/>
    <w:rsid w:val="00673A2F"/>
    <w:rsid w:val="00673A7C"/>
    <w:rsid w:val="00673D63"/>
    <w:rsid w:val="00674170"/>
    <w:rsid w:val="006741FB"/>
    <w:rsid w:val="006745C5"/>
    <w:rsid w:val="006747E2"/>
    <w:rsid w:val="006747F4"/>
    <w:rsid w:val="00674897"/>
    <w:rsid w:val="0067491E"/>
    <w:rsid w:val="00674C26"/>
    <w:rsid w:val="00674D3D"/>
    <w:rsid w:val="00674D5A"/>
    <w:rsid w:val="00674F61"/>
    <w:rsid w:val="00674FFC"/>
    <w:rsid w:val="006750C2"/>
    <w:rsid w:val="006753EA"/>
    <w:rsid w:val="00675469"/>
    <w:rsid w:val="00676325"/>
    <w:rsid w:val="006768A4"/>
    <w:rsid w:val="006769AE"/>
    <w:rsid w:val="00676AD8"/>
    <w:rsid w:val="00676B63"/>
    <w:rsid w:val="00676DB8"/>
    <w:rsid w:val="00676E24"/>
    <w:rsid w:val="006772E6"/>
    <w:rsid w:val="0067755B"/>
    <w:rsid w:val="006776B8"/>
    <w:rsid w:val="006779E6"/>
    <w:rsid w:val="00677B29"/>
    <w:rsid w:val="00677C64"/>
    <w:rsid w:val="00677D51"/>
    <w:rsid w:val="006800B3"/>
    <w:rsid w:val="0068028A"/>
    <w:rsid w:val="00680343"/>
    <w:rsid w:val="00680421"/>
    <w:rsid w:val="006807B8"/>
    <w:rsid w:val="006808DA"/>
    <w:rsid w:val="0068091B"/>
    <w:rsid w:val="00680F2B"/>
    <w:rsid w:val="0068106D"/>
    <w:rsid w:val="00681705"/>
    <w:rsid w:val="00681A58"/>
    <w:rsid w:val="00681AED"/>
    <w:rsid w:val="00681F7F"/>
    <w:rsid w:val="00682156"/>
    <w:rsid w:val="00682D95"/>
    <w:rsid w:val="006830C3"/>
    <w:rsid w:val="00683554"/>
    <w:rsid w:val="00683592"/>
    <w:rsid w:val="00683754"/>
    <w:rsid w:val="006837A8"/>
    <w:rsid w:val="0068385B"/>
    <w:rsid w:val="00683876"/>
    <w:rsid w:val="00683B38"/>
    <w:rsid w:val="00683F6B"/>
    <w:rsid w:val="006841EF"/>
    <w:rsid w:val="00684860"/>
    <w:rsid w:val="006849C9"/>
    <w:rsid w:val="00684B46"/>
    <w:rsid w:val="00684C62"/>
    <w:rsid w:val="0068514A"/>
    <w:rsid w:val="0068537C"/>
    <w:rsid w:val="00685509"/>
    <w:rsid w:val="006858EF"/>
    <w:rsid w:val="00685BE0"/>
    <w:rsid w:val="00685EA6"/>
    <w:rsid w:val="0068603E"/>
    <w:rsid w:val="00686120"/>
    <w:rsid w:val="00686379"/>
    <w:rsid w:val="00686B7A"/>
    <w:rsid w:val="00686D84"/>
    <w:rsid w:val="00686D9D"/>
    <w:rsid w:val="006870BF"/>
    <w:rsid w:val="00687238"/>
    <w:rsid w:val="00687565"/>
    <w:rsid w:val="00687B07"/>
    <w:rsid w:val="00687D5F"/>
    <w:rsid w:val="00687F56"/>
    <w:rsid w:val="006900B9"/>
    <w:rsid w:val="00690359"/>
    <w:rsid w:val="0069052E"/>
    <w:rsid w:val="006905AA"/>
    <w:rsid w:val="00690677"/>
    <w:rsid w:val="00690A30"/>
    <w:rsid w:val="00690B6D"/>
    <w:rsid w:val="00690CB8"/>
    <w:rsid w:val="00690FE9"/>
    <w:rsid w:val="006912BE"/>
    <w:rsid w:val="006912EC"/>
    <w:rsid w:val="00691375"/>
    <w:rsid w:val="006913B8"/>
    <w:rsid w:val="0069151B"/>
    <w:rsid w:val="006916EA"/>
    <w:rsid w:val="00691724"/>
    <w:rsid w:val="00691B40"/>
    <w:rsid w:val="00691BC7"/>
    <w:rsid w:val="00692456"/>
    <w:rsid w:val="0069268B"/>
    <w:rsid w:val="006926F2"/>
    <w:rsid w:val="00692BE6"/>
    <w:rsid w:val="00692C14"/>
    <w:rsid w:val="00692EF0"/>
    <w:rsid w:val="00692F26"/>
    <w:rsid w:val="00693500"/>
    <w:rsid w:val="0069360D"/>
    <w:rsid w:val="00693A2A"/>
    <w:rsid w:val="00693C5A"/>
    <w:rsid w:val="00694189"/>
    <w:rsid w:val="00694758"/>
    <w:rsid w:val="006947C2"/>
    <w:rsid w:val="00694876"/>
    <w:rsid w:val="006949E2"/>
    <w:rsid w:val="00694B68"/>
    <w:rsid w:val="00694CC7"/>
    <w:rsid w:val="0069508F"/>
    <w:rsid w:val="006950C0"/>
    <w:rsid w:val="00695698"/>
    <w:rsid w:val="00695887"/>
    <w:rsid w:val="00695891"/>
    <w:rsid w:val="00695A93"/>
    <w:rsid w:val="00695E8F"/>
    <w:rsid w:val="00696009"/>
    <w:rsid w:val="0069608C"/>
    <w:rsid w:val="006961BD"/>
    <w:rsid w:val="006961D2"/>
    <w:rsid w:val="006963B6"/>
    <w:rsid w:val="0069663A"/>
    <w:rsid w:val="00696B22"/>
    <w:rsid w:val="00696E9E"/>
    <w:rsid w:val="00697062"/>
    <w:rsid w:val="006970F5"/>
    <w:rsid w:val="006972D3"/>
    <w:rsid w:val="00697426"/>
    <w:rsid w:val="00697565"/>
    <w:rsid w:val="00697784"/>
    <w:rsid w:val="00697AE2"/>
    <w:rsid w:val="00697E2F"/>
    <w:rsid w:val="006A00A2"/>
    <w:rsid w:val="006A02B1"/>
    <w:rsid w:val="006A0493"/>
    <w:rsid w:val="006A04B0"/>
    <w:rsid w:val="006A0765"/>
    <w:rsid w:val="006A09B3"/>
    <w:rsid w:val="006A0AD4"/>
    <w:rsid w:val="006A0C9D"/>
    <w:rsid w:val="006A0D9C"/>
    <w:rsid w:val="006A1263"/>
    <w:rsid w:val="006A138D"/>
    <w:rsid w:val="006A14C8"/>
    <w:rsid w:val="006A188A"/>
    <w:rsid w:val="006A189A"/>
    <w:rsid w:val="006A1B78"/>
    <w:rsid w:val="006A1F1F"/>
    <w:rsid w:val="006A23C7"/>
    <w:rsid w:val="006A2E9B"/>
    <w:rsid w:val="006A2E9E"/>
    <w:rsid w:val="006A32DB"/>
    <w:rsid w:val="006A3407"/>
    <w:rsid w:val="006A3565"/>
    <w:rsid w:val="006A3B48"/>
    <w:rsid w:val="006A3CB3"/>
    <w:rsid w:val="006A3CCF"/>
    <w:rsid w:val="006A4088"/>
    <w:rsid w:val="006A42B9"/>
    <w:rsid w:val="006A43AD"/>
    <w:rsid w:val="006A43B5"/>
    <w:rsid w:val="006A4539"/>
    <w:rsid w:val="006A4EA4"/>
    <w:rsid w:val="006A51A3"/>
    <w:rsid w:val="006A52CF"/>
    <w:rsid w:val="006A5341"/>
    <w:rsid w:val="006A5523"/>
    <w:rsid w:val="006A55DA"/>
    <w:rsid w:val="006A58BF"/>
    <w:rsid w:val="006A5F0A"/>
    <w:rsid w:val="006A6130"/>
    <w:rsid w:val="006A677A"/>
    <w:rsid w:val="006A6ECE"/>
    <w:rsid w:val="006A71F9"/>
    <w:rsid w:val="006A762C"/>
    <w:rsid w:val="006A7803"/>
    <w:rsid w:val="006B08FA"/>
    <w:rsid w:val="006B094F"/>
    <w:rsid w:val="006B0C27"/>
    <w:rsid w:val="006B0D21"/>
    <w:rsid w:val="006B10F7"/>
    <w:rsid w:val="006B145A"/>
    <w:rsid w:val="006B17F3"/>
    <w:rsid w:val="006B19B2"/>
    <w:rsid w:val="006B1AC5"/>
    <w:rsid w:val="006B1C10"/>
    <w:rsid w:val="006B1C31"/>
    <w:rsid w:val="006B1E35"/>
    <w:rsid w:val="006B208B"/>
    <w:rsid w:val="006B2463"/>
    <w:rsid w:val="006B275D"/>
    <w:rsid w:val="006B2992"/>
    <w:rsid w:val="006B2BA4"/>
    <w:rsid w:val="006B2E34"/>
    <w:rsid w:val="006B2FF3"/>
    <w:rsid w:val="006B301F"/>
    <w:rsid w:val="006B33F3"/>
    <w:rsid w:val="006B3635"/>
    <w:rsid w:val="006B367D"/>
    <w:rsid w:val="006B3708"/>
    <w:rsid w:val="006B3F4C"/>
    <w:rsid w:val="006B4016"/>
    <w:rsid w:val="006B428C"/>
    <w:rsid w:val="006B42D3"/>
    <w:rsid w:val="006B45D1"/>
    <w:rsid w:val="006B4C24"/>
    <w:rsid w:val="006B4DD5"/>
    <w:rsid w:val="006B5221"/>
    <w:rsid w:val="006B523F"/>
    <w:rsid w:val="006B54C4"/>
    <w:rsid w:val="006B5541"/>
    <w:rsid w:val="006B5569"/>
    <w:rsid w:val="006B5784"/>
    <w:rsid w:val="006B5A74"/>
    <w:rsid w:val="006B5DC0"/>
    <w:rsid w:val="006B5FB7"/>
    <w:rsid w:val="006B5FB8"/>
    <w:rsid w:val="006B5FFB"/>
    <w:rsid w:val="006B647E"/>
    <w:rsid w:val="006B6502"/>
    <w:rsid w:val="006B657A"/>
    <w:rsid w:val="006B6A96"/>
    <w:rsid w:val="006B6B75"/>
    <w:rsid w:val="006B6C0E"/>
    <w:rsid w:val="006B6DA4"/>
    <w:rsid w:val="006B6E0E"/>
    <w:rsid w:val="006B7163"/>
    <w:rsid w:val="006B78A3"/>
    <w:rsid w:val="006B7919"/>
    <w:rsid w:val="006B79F5"/>
    <w:rsid w:val="006B7C30"/>
    <w:rsid w:val="006B7C68"/>
    <w:rsid w:val="006B7C9E"/>
    <w:rsid w:val="006B7CD1"/>
    <w:rsid w:val="006C022E"/>
    <w:rsid w:val="006C0426"/>
    <w:rsid w:val="006C05EF"/>
    <w:rsid w:val="006C06C5"/>
    <w:rsid w:val="006C07F1"/>
    <w:rsid w:val="006C0863"/>
    <w:rsid w:val="006C09D6"/>
    <w:rsid w:val="006C0A43"/>
    <w:rsid w:val="006C0BC5"/>
    <w:rsid w:val="006C10EF"/>
    <w:rsid w:val="006C1282"/>
    <w:rsid w:val="006C12D7"/>
    <w:rsid w:val="006C1535"/>
    <w:rsid w:val="006C2089"/>
    <w:rsid w:val="006C25D3"/>
    <w:rsid w:val="006C29EA"/>
    <w:rsid w:val="006C29F7"/>
    <w:rsid w:val="006C2A04"/>
    <w:rsid w:val="006C2A66"/>
    <w:rsid w:val="006C2BFB"/>
    <w:rsid w:val="006C2D64"/>
    <w:rsid w:val="006C332E"/>
    <w:rsid w:val="006C334C"/>
    <w:rsid w:val="006C363A"/>
    <w:rsid w:val="006C37E3"/>
    <w:rsid w:val="006C3974"/>
    <w:rsid w:val="006C3A93"/>
    <w:rsid w:val="006C3B5E"/>
    <w:rsid w:val="006C3EBF"/>
    <w:rsid w:val="006C3EE1"/>
    <w:rsid w:val="006C41FA"/>
    <w:rsid w:val="006C4311"/>
    <w:rsid w:val="006C46F3"/>
    <w:rsid w:val="006C471D"/>
    <w:rsid w:val="006C49A2"/>
    <w:rsid w:val="006C5361"/>
    <w:rsid w:val="006C53C7"/>
    <w:rsid w:val="006C56C6"/>
    <w:rsid w:val="006C5779"/>
    <w:rsid w:val="006C5889"/>
    <w:rsid w:val="006C59B5"/>
    <w:rsid w:val="006C5C80"/>
    <w:rsid w:val="006C5EB0"/>
    <w:rsid w:val="006C5F0A"/>
    <w:rsid w:val="006C6009"/>
    <w:rsid w:val="006C63DF"/>
    <w:rsid w:val="006C6562"/>
    <w:rsid w:val="006C6681"/>
    <w:rsid w:val="006C6855"/>
    <w:rsid w:val="006C6B7A"/>
    <w:rsid w:val="006C6C3E"/>
    <w:rsid w:val="006C7030"/>
    <w:rsid w:val="006C7041"/>
    <w:rsid w:val="006C7130"/>
    <w:rsid w:val="006C764D"/>
    <w:rsid w:val="006C780B"/>
    <w:rsid w:val="006C7F1F"/>
    <w:rsid w:val="006D02EE"/>
    <w:rsid w:val="006D033A"/>
    <w:rsid w:val="006D0436"/>
    <w:rsid w:val="006D059B"/>
    <w:rsid w:val="006D061A"/>
    <w:rsid w:val="006D0744"/>
    <w:rsid w:val="006D08E5"/>
    <w:rsid w:val="006D0B8B"/>
    <w:rsid w:val="006D0EEC"/>
    <w:rsid w:val="006D1008"/>
    <w:rsid w:val="006D1117"/>
    <w:rsid w:val="006D15AE"/>
    <w:rsid w:val="006D1BE8"/>
    <w:rsid w:val="006D214D"/>
    <w:rsid w:val="006D21E8"/>
    <w:rsid w:val="006D24A4"/>
    <w:rsid w:val="006D2B4C"/>
    <w:rsid w:val="006D2D8A"/>
    <w:rsid w:val="006D2F0F"/>
    <w:rsid w:val="006D30ED"/>
    <w:rsid w:val="006D3140"/>
    <w:rsid w:val="006D3151"/>
    <w:rsid w:val="006D34A3"/>
    <w:rsid w:val="006D3691"/>
    <w:rsid w:val="006D3A44"/>
    <w:rsid w:val="006D3C92"/>
    <w:rsid w:val="006D3FC1"/>
    <w:rsid w:val="006D409C"/>
    <w:rsid w:val="006D477E"/>
    <w:rsid w:val="006D47C6"/>
    <w:rsid w:val="006D4A0B"/>
    <w:rsid w:val="006D4C0A"/>
    <w:rsid w:val="006D50D1"/>
    <w:rsid w:val="006D50F5"/>
    <w:rsid w:val="006D52C3"/>
    <w:rsid w:val="006D56AE"/>
    <w:rsid w:val="006D56B1"/>
    <w:rsid w:val="006D593B"/>
    <w:rsid w:val="006D5CEE"/>
    <w:rsid w:val="006D5F3F"/>
    <w:rsid w:val="006D65F1"/>
    <w:rsid w:val="006D6648"/>
    <w:rsid w:val="006D6719"/>
    <w:rsid w:val="006D67C1"/>
    <w:rsid w:val="006D6BA5"/>
    <w:rsid w:val="006D6D9B"/>
    <w:rsid w:val="006D7039"/>
    <w:rsid w:val="006D7299"/>
    <w:rsid w:val="006D7324"/>
    <w:rsid w:val="006D760F"/>
    <w:rsid w:val="006D7693"/>
    <w:rsid w:val="006D7B9D"/>
    <w:rsid w:val="006D7E0D"/>
    <w:rsid w:val="006D7F9F"/>
    <w:rsid w:val="006E0185"/>
    <w:rsid w:val="006E01D4"/>
    <w:rsid w:val="006E039B"/>
    <w:rsid w:val="006E05A9"/>
    <w:rsid w:val="006E0E32"/>
    <w:rsid w:val="006E0E89"/>
    <w:rsid w:val="006E1478"/>
    <w:rsid w:val="006E14C7"/>
    <w:rsid w:val="006E1620"/>
    <w:rsid w:val="006E1983"/>
    <w:rsid w:val="006E19C5"/>
    <w:rsid w:val="006E1EFA"/>
    <w:rsid w:val="006E2060"/>
    <w:rsid w:val="006E2417"/>
    <w:rsid w:val="006E2638"/>
    <w:rsid w:val="006E27FB"/>
    <w:rsid w:val="006E2CDB"/>
    <w:rsid w:val="006E2EE9"/>
    <w:rsid w:val="006E2EFB"/>
    <w:rsid w:val="006E2F76"/>
    <w:rsid w:val="006E3132"/>
    <w:rsid w:val="006E3133"/>
    <w:rsid w:val="006E3258"/>
    <w:rsid w:val="006E33ED"/>
    <w:rsid w:val="006E3545"/>
    <w:rsid w:val="006E3828"/>
    <w:rsid w:val="006E38A7"/>
    <w:rsid w:val="006E39DC"/>
    <w:rsid w:val="006E3E9F"/>
    <w:rsid w:val="006E41BE"/>
    <w:rsid w:val="006E4636"/>
    <w:rsid w:val="006E4712"/>
    <w:rsid w:val="006E478B"/>
    <w:rsid w:val="006E4955"/>
    <w:rsid w:val="006E49BE"/>
    <w:rsid w:val="006E4CAC"/>
    <w:rsid w:val="006E4E10"/>
    <w:rsid w:val="006E505F"/>
    <w:rsid w:val="006E52C1"/>
    <w:rsid w:val="006E5492"/>
    <w:rsid w:val="006E5580"/>
    <w:rsid w:val="006E578F"/>
    <w:rsid w:val="006E60F0"/>
    <w:rsid w:val="006E6652"/>
    <w:rsid w:val="006E667D"/>
    <w:rsid w:val="006E683A"/>
    <w:rsid w:val="006E6A3E"/>
    <w:rsid w:val="006E6C04"/>
    <w:rsid w:val="006E6D4E"/>
    <w:rsid w:val="006E6DE6"/>
    <w:rsid w:val="006E7323"/>
    <w:rsid w:val="006E743D"/>
    <w:rsid w:val="006E7701"/>
    <w:rsid w:val="006E7CA1"/>
    <w:rsid w:val="006E7CF0"/>
    <w:rsid w:val="006F0188"/>
    <w:rsid w:val="006F05A5"/>
    <w:rsid w:val="006F0716"/>
    <w:rsid w:val="006F0D8F"/>
    <w:rsid w:val="006F109A"/>
    <w:rsid w:val="006F11FD"/>
    <w:rsid w:val="006F13D5"/>
    <w:rsid w:val="006F1A31"/>
    <w:rsid w:val="006F1CBD"/>
    <w:rsid w:val="006F1D68"/>
    <w:rsid w:val="006F2005"/>
    <w:rsid w:val="006F20F0"/>
    <w:rsid w:val="006F219F"/>
    <w:rsid w:val="006F2345"/>
    <w:rsid w:val="006F25ED"/>
    <w:rsid w:val="006F29F0"/>
    <w:rsid w:val="006F2A65"/>
    <w:rsid w:val="006F2AC3"/>
    <w:rsid w:val="006F2D56"/>
    <w:rsid w:val="006F356A"/>
    <w:rsid w:val="006F35BF"/>
    <w:rsid w:val="006F3633"/>
    <w:rsid w:val="006F3F43"/>
    <w:rsid w:val="006F430A"/>
    <w:rsid w:val="006F44E7"/>
    <w:rsid w:val="006F4517"/>
    <w:rsid w:val="006F46ED"/>
    <w:rsid w:val="006F4A43"/>
    <w:rsid w:val="006F4B01"/>
    <w:rsid w:val="006F4B82"/>
    <w:rsid w:val="006F5297"/>
    <w:rsid w:val="006F52BD"/>
    <w:rsid w:val="006F53E7"/>
    <w:rsid w:val="006F5910"/>
    <w:rsid w:val="006F5A5B"/>
    <w:rsid w:val="006F6072"/>
    <w:rsid w:val="006F6176"/>
    <w:rsid w:val="006F63C5"/>
    <w:rsid w:val="006F69A2"/>
    <w:rsid w:val="006F6A41"/>
    <w:rsid w:val="006F6A80"/>
    <w:rsid w:val="006F6A9E"/>
    <w:rsid w:val="006F6C1E"/>
    <w:rsid w:val="006F6E63"/>
    <w:rsid w:val="006F714C"/>
    <w:rsid w:val="006F721B"/>
    <w:rsid w:val="006F73E1"/>
    <w:rsid w:val="006F7782"/>
    <w:rsid w:val="006F784A"/>
    <w:rsid w:val="006F7977"/>
    <w:rsid w:val="006F7F7C"/>
    <w:rsid w:val="006F7F95"/>
    <w:rsid w:val="006F7FBC"/>
    <w:rsid w:val="0070041A"/>
    <w:rsid w:val="00700574"/>
    <w:rsid w:val="00700801"/>
    <w:rsid w:val="00700AD1"/>
    <w:rsid w:val="00700DE6"/>
    <w:rsid w:val="00700F97"/>
    <w:rsid w:val="0070102F"/>
    <w:rsid w:val="0070146F"/>
    <w:rsid w:val="00701701"/>
    <w:rsid w:val="00701799"/>
    <w:rsid w:val="00701B77"/>
    <w:rsid w:val="00701D93"/>
    <w:rsid w:val="00701E29"/>
    <w:rsid w:val="007021F4"/>
    <w:rsid w:val="00702390"/>
    <w:rsid w:val="0070283D"/>
    <w:rsid w:val="00702BD0"/>
    <w:rsid w:val="00702C4B"/>
    <w:rsid w:val="00702CC2"/>
    <w:rsid w:val="00702CE9"/>
    <w:rsid w:val="00702E5D"/>
    <w:rsid w:val="00702F6A"/>
    <w:rsid w:val="0070323D"/>
    <w:rsid w:val="0070368F"/>
    <w:rsid w:val="00703692"/>
    <w:rsid w:val="00703D18"/>
    <w:rsid w:val="007045CC"/>
    <w:rsid w:val="007047FA"/>
    <w:rsid w:val="00704989"/>
    <w:rsid w:val="00704A6F"/>
    <w:rsid w:val="00704CAE"/>
    <w:rsid w:val="00704E8B"/>
    <w:rsid w:val="007051FE"/>
    <w:rsid w:val="00705477"/>
    <w:rsid w:val="00705588"/>
    <w:rsid w:val="00705632"/>
    <w:rsid w:val="0070604E"/>
    <w:rsid w:val="00706264"/>
    <w:rsid w:val="0070639A"/>
    <w:rsid w:val="007067B2"/>
    <w:rsid w:val="00706BBD"/>
    <w:rsid w:val="00706EA1"/>
    <w:rsid w:val="00707074"/>
    <w:rsid w:val="007076C8"/>
    <w:rsid w:val="007076F9"/>
    <w:rsid w:val="00707DAD"/>
    <w:rsid w:val="00707F36"/>
    <w:rsid w:val="007101F1"/>
    <w:rsid w:val="00710267"/>
    <w:rsid w:val="00710902"/>
    <w:rsid w:val="00710D5A"/>
    <w:rsid w:val="00711018"/>
    <w:rsid w:val="00711240"/>
    <w:rsid w:val="007112D6"/>
    <w:rsid w:val="0071130A"/>
    <w:rsid w:val="00711CF5"/>
    <w:rsid w:val="00711D68"/>
    <w:rsid w:val="00711D77"/>
    <w:rsid w:val="00711FB1"/>
    <w:rsid w:val="00711FCA"/>
    <w:rsid w:val="00712065"/>
    <w:rsid w:val="00712125"/>
    <w:rsid w:val="007125D7"/>
    <w:rsid w:val="007125F0"/>
    <w:rsid w:val="007127BC"/>
    <w:rsid w:val="007128DC"/>
    <w:rsid w:val="00713091"/>
    <w:rsid w:val="0071321F"/>
    <w:rsid w:val="007133E1"/>
    <w:rsid w:val="00713CE8"/>
    <w:rsid w:val="00714032"/>
    <w:rsid w:val="0071411E"/>
    <w:rsid w:val="0071445E"/>
    <w:rsid w:val="00714548"/>
    <w:rsid w:val="007145C8"/>
    <w:rsid w:val="00714728"/>
    <w:rsid w:val="00714CAD"/>
    <w:rsid w:val="007150F5"/>
    <w:rsid w:val="007150F8"/>
    <w:rsid w:val="00715120"/>
    <w:rsid w:val="0071533A"/>
    <w:rsid w:val="0071551B"/>
    <w:rsid w:val="00715528"/>
    <w:rsid w:val="007155A9"/>
    <w:rsid w:val="00715724"/>
    <w:rsid w:val="00715937"/>
    <w:rsid w:val="00715C25"/>
    <w:rsid w:val="00715DC5"/>
    <w:rsid w:val="00715E2D"/>
    <w:rsid w:val="00715F7F"/>
    <w:rsid w:val="007162CC"/>
    <w:rsid w:val="00716321"/>
    <w:rsid w:val="0071685E"/>
    <w:rsid w:val="0071695E"/>
    <w:rsid w:val="00716BCB"/>
    <w:rsid w:val="00716C56"/>
    <w:rsid w:val="00716E4F"/>
    <w:rsid w:val="007171EA"/>
    <w:rsid w:val="0071728A"/>
    <w:rsid w:val="0071734F"/>
    <w:rsid w:val="00717408"/>
    <w:rsid w:val="0071759C"/>
    <w:rsid w:val="007176FE"/>
    <w:rsid w:val="007178A0"/>
    <w:rsid w:val="00717947"/>
    <w:rsid w:val="00717970"/>
    <w:rsid w:val="00717A75"/>
    <w:rsid w:val="00717B71"/>
    <w:rsid w:val="00717C49"/>
    <w:rsid w:val="0072074C"/>
    <w:rsid w:val="0072096F"/>
    <w:rsid w:val="0072098D"/>
    <w:rsid w:val="00720B90"/>
    <w:rsid w:val="00720C32"/>
    <w:rsid w:val="00720C93"/>
    <w:rsid w:val="007212D2"/>
    <w:rsid w:val="007212D9"/>
    <w:rsid w:val="00721446"/>
    <w:rsid w:val="0072171E"/>
    <w:rsid w:val="0072182B"/>
    <w:rsid w:val="00721B79"/>
    <w:rsid w:val="00721C94"/>
    <w:rsid w:val="00721FE1"/>
    <w:rsid w:val="00722289"/>
    <w:rsid w:val="00722888"/>
    <w:rsid w:val="00722C1C"/>
    <w:rsid w:val="00722DAD"/>
    <w:rsid w:val="0072323C"/>
    <w:rsid w:val="00723445"/>
    <w:rsid w:val="007234DB"/>
    <w:rsid w:val="0072356F"/>
    <w:rsid w:val="00723593"/>
    <w:rsid w:val="007235FC"/>
    <w:rsid w:val="00723630"/>
    <w:rsid w:val="00723BAD"/>
    <w:rsid w:val="007243FC"/>
    <w:rsid w:val="0072453C"/>
    <w:rsid w:val="0072461D"/>
    <w:rsid w:val="007246F8"/>
    <w:rsid w:val="00724710"/>
    <w:rsid w:val="00724976"/>
    <w:rsid w:val="00724A5B"/>
    <w:rsid w:val="00724EBE"/>
    <w:rsid w:val="00725516"/>
    <w:rsid w:val="0072581C"/>
    <w:rsid w:val="007259B1"/>
    <w:rsid w:val="00725A39"/>
    <w:rsid w:val="00725CD1"/>
    <w:rsid w:val="00726211"/>
    <w:rsid w:val="00726300"/>
    <w:rsid w:val="00726902"/>
    <w:rsid w:val="00726B00"/>
    <w:rsid w:val="00726C69"/>
    <w:rsid w:val="007273A5"/>
    <w:rsid w:val="00727456"/>
    <w:rsid w:val="007277A7"/>
    <w:rsid w:val="00727B3C"/>
    <w:rsid w:val="00727CD3"/>
    <w:rsid w:val="00727D74"/>
    <w:rsid w:val="00727D8A"/>
    <w:rsid w:val="007304AD"/>
    <w:rsid w:val="00730716"/>
    <w:rsid w:val="00730A00"/>
    <w:rsid w:val="00730E54"/>
    <w:rsid w:val="00730F87"/>
    <w:rsid w:val="00730FDE"/>
    <w:rsid w:val="007313F1"/>
    <w:rsid w:val="0073195E"/>
    <w:rsid w:val="00732203"/>
    <w:rsid w:val="007322CE"/>
    <w:rsid w:val="00732567"/>
    <w:rsid w:val="007326E0"/>
    <w:rsid w:val="007327F1"/>
    <w:rsid w:val="0073288E"/>
    <w:rsid w:val="007329D9"/>
    <w:rsid w:val="00732B55"/>
    <w:rsid w:val="00732C22"/>
    <w:rsid w:val="00732CF6"/>
    <w:rsid w:val="00732EC4"/>
    <w:rsid w:val="00733003"/>
    <w:rsid w:val="0073315B"/>
    <w:rsid w:val="00733809"/>
    <w:rsid w:val="007339D8"/>
    <w:rsid w:val="00733F63"/>
    <w:rsid w:val="00733FB6"/>
    <w:rsid w:val="00734002"/>
    <w:rsid w:val="00734025"/>
    <w:rsid w:val="00734107"/>
    <w:rsid w:val="007341D0"/>
    <w:rsid w:val="00734340"/>
    <w:rsid w:val="0073444E"/>
    <w:rsid w:val="0073463B"/>
    <w:rsid w:val="00734C61"/>
    <w:rsid w:val="00734CA8"/>
    <w:rsid w:val="00734D7B"/>
    <w:rsid w:val="00734D99"/>
    <w:rsid w:val="00734F3C"/>
    <w:rsid w:val="0073517F"/>
    <w:rsid w:val="007352E0"/>
    <w:rsid w:val="0073534C"/>
    <w:rsid w:val="00735363"/>
    <w:rsid w:val="00735A21"/>
    <w:rsid w:val="00735C6E"/>
    <w:rsid w:val="00735FFF"/>
    <w:rsid w:val="007361C2"/>
    <w:rsid w:val="007369A8"/>
    <w:rsid w:val="007369F9"/>
    <w:rsid w:val="00736BE1"/>
    <w:rsid w:val="007372A0"/>
    <w:rsid w:val="0073772F"/>
    <w:rsid w:val="00737B9E"/>
    <w:rsid w:val="00737BE1"/>
    <w:rsid w:val="00737C82"/>
    <w:rsid w:val="007403D5"/>
    <w:rsid w:val="00740701"/>
    <w:rsid w:val="00740C3E"/>
    <w:rsid w:val="00740FC1"/>
    <w:rsid w:val="00741297"/>
    <w:rsid w:val="00741412"/>
    <w:rsid w:val="00741467"/>
    <w:rsid w:val="00741A4A"/>
    <w:rsid w:val="00741B67"/>
    <w:rsid w:val="00741B89"/>
    <w:rsid w:val="00741C58"/>
    <w:rsid w:val="00741FB7"/>
    <w:rsid w:val="007421D7"/>
    <w:rsid w:val="007425DB"/>
    <w:rsid w:val="00742E72"/>
    <w:rsid w:val="00742EBE"/>
    <w:rsid w:val="00742EEE"/>
    <w:rsid w:val="0074304D"/>
    <w:rsid w:val="00743096"/>
    <w:rsid w:val="00743157"/>
    <w:rsid w:val="00743664"/>
    <w:rsid w:val="0074383C"/>
    <w:rsid w:val="00743F8E"/>
    <w:rsid w:val="00744011"/>
    <w:rsid w:val="007440DC"/>
    <w:rsid w:val="0074414E"/>
    <w:rsid w:val="007445B0"/>
    <w:rsid w:val="0074475C"/>
    <w:rsid w:val="0074479A"/>
    <w:rsid w:val="00744826"/>
    <w:rsid w:val="00744B1E"/>
    <w:rsid w:val="00745289"/>
    <w:rsid w:val="0074532E"/>
    <w:rsid w:val="0074541D"/>
    <w:rsid w:val="0074549D"/>
    <w:rsid w:val="007456D5"/>
    <w:rsid w:val="00745716"/>
    <w:rsid w:val="007458DF"/>
    <w:rsid w:val="00745D18"/>
    <w:rsid w:val="00745EFC"/>
    <w:rsid w:val="0074619A"/>
    <w:rsid w:val="0074625C"/>
    <w:rsid w:val="0074632D"/>
    <w:rsid w:val="007463A0"/>
    <w:rsid w:val="00746F7E"/>
    <w:rsid w:val="00747060"/>
    <w:rsid w:val="00747104"/>
    <w:rsid w:val="00747595"/>
    <w:rsid w:val="007475A7"/>
    <w:rsid w:val="00747A34"/>
    <w:rsid w:val="00747B00"/>
    <w:rsid w:val="007500B8"/>
    <w:rsid w:val="0075096D"/>
    <w:rsid w:val="00750D2F"/>
    <w:rsid w:val="00750E29"/>
    <w:rsid w:val="00750F22"/>
    <w:rsid w:val="007510D0"/>
    <w:rsid w:val="0075120F"/>
    <w:rsid w:val="00751557"/>
    <w:rsid w:val="00751693"/>
    <w:rsid w:val="00751B58"/>
    <w:rsid w:val="00751C97"/>
    <w:rsid w:val="00751D97"/>
    <w:rsid w:val="00752052"/>
    <w:rsid w:val="00752083"/>
    <w:rsid w:val="00752215"/>
    <w:rsid w:val="007524AA"/>
    <w:rsid w:val="00752705"/>
    <w:rsid w:val="00752726"/>
    <w:rsid w:val="007529B5"/>
    <w:rsid w:val="007529C5"/>
    <w:rsid w:val="00752B34"/>
    <w:rsid w:val="00752D5F"/>
    <w:rsid w:val="00752DCB"/>
    <w:rsid w:val="00753488"/>
    <w:rsid w:val="00753882"/>
    <w:rsid w:val="00753915"/>
    <w:rsid w:val="0075491C"/>
    <w:rsid w:val="007549C6"/>
    <w:rsid w:val="00754FD5"/>
    <w:rsid w:val="00755410"/>
    <w:rsid w:val="0075544B"/>
    <w:rsid w:val="00755DCF"/>
    <w:rsid w:val="00755DF6"/>
    <w:rsid w:val="007568A9"/>
    <w:rsid w:val="00756B93"/>
    <w:rsid w:val="00756EC3"/>
    <w:rsid w:val="007573D8"/>
    <w:rsid w:val="00757875"/>
    <w:rsid w:val="00757CD1"/>
    <w:rsid w:val="00757D1D"/>
    <w:rsid w:val="00757EDB"/>
    <w:rsid w:val="00760041"/>
    <w:rsid w:val="00760646"/>
    <w:rsid w:val="007606F9"/>
    <w:rsid w:val="00760710"/>
    <w:rsid w:val="00760B68"/>
    <w:rsid w:val="00760EEF"/>
    <w:rsid w:val="00760F49"/>
    <w:rsid w:val="00761143"/>
    <w:rsid w:val="007616C6"/>
    <w:rsid w:val="00761F85"/>
    <w:rsid w:val="0076240D"/>
    <w:rsid w:val="0076259F"/>
    <w:rsid w:val="0076305B"/>
    <w:rsid w:val="0076317A"/>
    <w:rsid w:val="00763521"/>
    <w:rsid w:val="007636CA"/>
    <w:rsid w:val="0076372F"/>
    <w:rsid w:val="00763832"/>
    <w:rsid w:val="0076394C"/>
    <w:rsid w:val="00763AAD"/>
    <w:rsid w:val="00763CA1"/>
    <w:rsid w:val="00764430"/>
    <w:rsid w:val="0076460D"/>
    <w:rsid w:val="00764667"/>
    <w:rsid w:val="0076471C"/>
    <w:rsid w:val="00764838"/>
    <w:rsid w:val="00764902"/>
    <w:rsid w:val="00764A41"/>
    <w:rsid w:val="00764AEE"/>
    <w:rsid w:val="00764BEE"/>
    <w:rsid w:val="00764C5B"/>
    <w:rsid w:val="00764CC1"/>
    <w:rsid w:val="00764CD9"/>
    <w:rsid w:val="00764D80"/>
    <w:rsid w:val="00764DBA"/>
    <w:rsid w:val="00765056"/>
    <w:rsid w:val="0076532A"/>
    <w:rsid w:val="00765528"/>
    <w:rsid w:val="007655C7"/>
    <w:rsid w:val="0076571B"/>
    <w:rsid w:val="00765CD4"/>
    <w:rsid w:val="00765FDD"/>
    <w:rsid w:val="007668E2"/>
    <w:rsid w:val="00766A3D"/>
    <w:rsid w:val="00766C55"/>
    <w:rsid w:val="00766D8E"/>
    <w:rsid w:val="00767663"/>
    <w:rsid w:val="0076768B"/>
    <w:rsid w:val="00767740"/>
    <w:rsid w:val="007678BE"/>
    <w:rsid w:val="00767BDF"/>
    <w:rsid w:val="00767C58"/>
    <w:rsid w:val="00767F65"/>
    <w:rsid w:val="00770054"/>
    <w:rsid w:val="0077012D"/>
    <w:rsid w:val="0077078C"/>
    <w:rsid w:val="007709DE"/>
    <w:rsid w:val="00770AB4"/>
    <w:rsid w:val="00770D20"/>
    <w:rsid w:val="00770EE1"/>
    <w:rsid w:val="0077154F"/>
    <w:rsid w:val="007716A6"/>
    <w:rsid w:val="00771A1E"/>
    <w:rsid w:val="00771B18"/>
    <w:rsid w:val="00771E4B"/>
    <w:rsid w:val="007720AB"/>
    <w:rsid w:val="00772221"/>
    <w:rsid w:val="00772325"/>
    <w:rsid w:val="00772327"/>
    <w:rsid w:val="00772698"/>
    <w:rsid w:val="0077284C"/>
    <w:rsid w:val="00772D52"/>
    <w:rsid w:val="0077351C"/>
    <w:rsid w:val="007739FA"/>
    <w:rsid w:val="00773D0C"/>
    <w:rsid w:val="00773ED7"/>
    <w:rsid w:val="00774038"/>
    <w:rsid w:val="0077490E"/>
    <w:rsid w:val="00774955"/>
    <w:rsid w:val="00774AC2"/>
    <w:rsid w:val="00774ACF"/>
    <w:rsid w:val="00774B80"/>
    <w:rsid w:val="00774CC6"/>
    <w:rsid w:val="00774FB5"/>
    <w:rsid w:val="0077503B"/>
    <w:rsid w:val="007750D2"/>
    <w:rsid w:val="007750E9"/>
    <w:rsid w:val="007751E9"/>
    <w:rsid w:val="007752AF"/>
    <w:rsid w:val="00775562"/>
    <w:rsid w:val="00775716"/>
    <w:rsid w:val="00775869"/>
    <w:rsid w:val="00775881"/>
    <w:rsid w:val="00775ED4"/>
    <w:rsid w:val="00775EF6"/>
    <w:rsid w:val="00776637"/>
    <w:rsid w:val="007769B4"/>
    <w:rsid w:val="00776D8B"/>
    <w:rsid w:val="00776E2D"/>
    <w:rsid w:val="007770CD"/>
    <w:rsid w:val="007775B6"/>
    <w:rsid w:val="00777687"/>
    <w:rsid w:val="007776D5"/>
    <w:rsid w:val="00777838"/>
    <w:rsid w:val="00777CB7"/>
    <w:rsid w:val="00777DDE"/>
    <w:rsid w:val="00777F0A"/>
    <w:rsid w:val="00780229"/>
    <w:rsid w:val="007802FA"/>
    <w:rsid w:val="0078039D"/>
    <w:rsid w:val="00780602"/>
    <w:rsid w:val="007807A3"/>
    <w:rsid w:val="007809D3"/>
    <w:rsid w:val="00780A3C"/>
    <w:rsid w:val="00780A8E"/>
    <w:rsid w:val="00780BC1"/>
    <w:rsid w:val="0078100F"/>
    <w:rsid w:val="007812E6"/>
    <w:rsid w:val="00781363"/>
    <w:rsid w:val="0078159F"/>
    <w:rsid w:val="0078162F"/>
    <w:rsid w:val="00781BE8"/>
    <w:rsid w:val="00781C7D"/>
    <w:rsid w:val="00781D29"/>
    <w:rsid w:val="007821CB"/>
    <w:rsid w:val="007823FB"/>
    <w:rsid w:val="00782751"/>
    <w:rsid w:val="007828FF"/>
    <w:rsid w:val="007829DB"/>
    <w:rsid w:val="00782BF0"/>
    <w:rsid w:val="00782BF3"/>
    <w:rsid w:val="00782CCC"/>
    <w:rsid w:val="0078370D"/>
    <w:rsid w:val="0078376C"/>
    <w:rsid w:val="0078378E"/>
    <w:rsid w:val="00783849"/>
    <w:rsid w:val="00783C03"/>
    <w:rsid w:val="00783C5A"/>
    <w:rsid w:val="00783C9C"/>
    <w:rsid w:val="00783E51"/>
    <w:rsid w:val="00783F73"/>
    <w:rsid w:val="00783FCA"/>
    <w:rsid w:val="00784A87"/>
    <w:rsid w:val="00784CF8"/>
    <w:rsid w:val="00784F26"/>
    <w:rsid w:val="00784F58"/>
    <w:rsid w:val="00785074"/>
    <w:rsid w:val="007850EB"/>
    <w:rsid w:val="007857B6"/>
    <w:rsid w:val="0078580F"/>
    <w:rsid w:val="00785E42"/>
    <w:rsid w:val="00785EDF"/>
    <w:rsid w:val="00785EE3"/>
    <w:rsid w:val="00786003"/>
    <w:rsid w:val="007866BE"/>
    <w:rsid w:val="007866FE"/>
    <w:rsid w:val="00786AB6"/>
    <w:rsid w:val="00786B9F"/>
    <w:rsid w:val="00786CC6"/>
    <w:rsid w:val="00786D20"/>
    <w:rsid w:val="00786F92"/>
    <w:rsid w:val="007870D0"/>
    <w:rsid w:val="007877A8"/>
    <w:rsid w:val="00787929"/>
    <w:rsid w:val="00787A55"/>
    <w:rsid w:val="00790486"/>
    <w:rsid w:val="007904AF"/>
    <w:rsid w:val="007905F9"/>
    <w:rsid w:val="00790696"/>
    <w:rsid w:val="00790B08"/>
    <w:rsid w:val="00790BCF"/>
    <w:rsid w:val="00790DFD"/>
    <w:rsid w:val="0079102D"/>
    <w:rsid w:val="007913C7"/>
    <w:rsid w:val="00791BEB"/>
    <w:rsid w:val="0079248F"/>
    <w:rsid w:val="007924C2"/>
    <w:rsid w:val="007925EB"/>
    <w:rsid w:val="007925FF"/>
    <w:rsid w:val="00792641"/>
    <w:rsid w:val="00792996"/>
    <w:rsid w:val="00792B01"/>
    <w:rsid w:val="00792BB2"/>
    <w:rsid w:val="00792CF4"/>
    <w:rsid w:val="00792D14"/>
    <w:rsid w:val="00793303"/>
    <w:rsid w:val="00793328"/>
    <w:rsid w:val="00793736"/>
    <w:rsid w:val="00793A3E"/>
    <w:rsid w:val="00793CAE"/>
    <w:rsid w:val="00794136"/>
    <w:rsid w:val="00794E90"/>
    <w:rsid w:val="0079514C"/>
    <w:rsid w:val="00795257"/>
    <w:rsid w:val="0079551D"/>
    <w:rsid w:val="00795687"/>
    <w:rsid w:val="00795834"/>
    <w:rsid w:val="00795F35"/>
    <w:rsid w:val="00795F74"/>
    <w:rsid w:val="0079626E"/>
    <w:rsid w:val="00796320"/>
    <w:rsid w:val="007964D6"/>
    <w:rsid w:val="00796A13"/>
    <w:rsid w:val="00796A9F"/>
    <w:rsid w:val="00796C67"/>
    <w:rsid w:val="00797084"/>
    <w:rsid w:val="00797093"/>
    <w:rsid w:val="007971C3"/>
    <w:rsid w:val="0079736D"/>
    <w:rsid w:val="0079737D"/>
    <w:rsid w:val="007975CE"/>
    <w:rsid w:val="007976C9"/>
    <w:rsid w:val="00797B8D"/>
    <w:rsid w:val="00797D79"/>
    <w:rsid w:val="00797E25"/>
    <w:rsid w:val="00797EC1"/>
    <w:rsid w:val="00797FA4"/>
    <w:rsid w:val="007A0107"/>
    <w:rsid w:val="007A025F"/>
    <w:rsid w:val="007A0278"/>
    <w:rsid w:val="007A049E"/>
    <w:rsid w:val="007A0626"/>
    <w:rsid w:val="007A0792"/>
    <w:rsid w:val="007A0AA0"/>
    <w:rsid w:val="007A0FA3"/>
    <w:rsid w:val="007A1089"/>
    <w:rsid w:val="007A109C"/>
    <w:rsid w:val="007A146B"/>
    <w:rsid w:val="007A1889"/>
    <w:rsid w:val="007A18BD"/>
    <w:rsid w:val="007A1AF3"/>
    <w:rsid w:val="007A1D00"/>
    <w:rsid w:val="007A1DD7"/>
    <w:rsid w:val="007A2043"/>
    <w:rsid w:val="007A20E8"/>
    <w:rsid w:val="007A2432"/>
    <w:rsid w:val="007A2596"/>
    <w:rsid w:val="007A2792"/>
    <w:rsid w:val="007A2DDA"/>
    <w:rsid w:val="007A2EE4"/>
    <w:rsid w:val="007A2F1A"/>
    <w:rsid w:val="007A31EE"/>
    <w:rsid w:val="007A32B1"/>
    <w:rsid w:val="007A347B"/>
    <w:rsid w:val="007A38AC"/>
    <w:rsid w:val="007A3C17"/>
    <w:rsid w:val="007A3D62"/>
    <w:rsid w:val="007A3DC7"/>
    <w:rsid w:val="007A3FA9"/>
    <w:rsid w:val="007A4052"/>
    <w:rsid w:val="007A4366"/>
    <w:rsid w:val="007A47C0"/>
    <w:rsid w:val="007A47D1"/>
    <w:rsid w:val="007A498A"/>
    <w:rsid w:val="007A4C94"/>
    <w:rsid w:val="007A4ECF"/>
    <w:rsid w:val="007A501E"/>
    <w:rsid w:val="007A51B6"/>
    <w:rsid w:val="007A52CB"/>
    <w:rsid w:val="007A538F"/>
    <w:rsid w:val="007A541D"/>
    <w:rsid w:val="007A5636"/>
    <w:rsid w:val="007A56D5"/>
    <w:rsid w:val="007A5844"/>
    <w:rsid w:val="007A58FC"/>
    <w:rsid w:val="007A59C3"/>
    <w:rsid w:val="007A5D82"/>
    <w:rsid w:val="007A608D"/>
    <w:rsid w:val="007A61B8"/>
    <w:rsid w:val="007A6586"/>
    <w:rsid w:val="007A6B10"/>
    <w:rsid w:val="007A7ABF"/>
    <w:rsid w:val="007A7AE0"/>
    <w:rsid w:val="007A7BE0"/>
    <w:rsid w:val="007A7DF0"/>
    <w:rsid w:val="007A7F29"/>
    <w:rsid w:val="007A7FB3"/>
    <w:rsid w:val="007B01F6"/>
    <w:rsid w:val="007B0343"/>
    <w:rsid w:val="007B058A"/>
    <w:rsid w:val="007B0A87"/>
    <w:rsid w:val="007B0B13"/>
    <w:rsid w:val="007B0B6D"/>
    <w:rsid w:val="007B0D3D"/>
    <w:rsid w:val="007B0D8A"/>
    <w:rsid w:val="007B0D91"/>
    <w:rsid w:val="007B1182"/>
    <w:rsid w:val="007B130C"/>
    <w:rsid w:val="007B13BB"/>
    <w:rsid w:val="007B16A4"/>
    <w:rsid w:val="007B1A10"/>
    <w:rsid w:val="007B206F"/>
    <w:rsid w:val="007B2498"/>
    <w:rsid w:val="007B25F9"/>
    <w:rsid w:val="007B2E72"/>
    <w:rsid w:val="007B2F13"/>
    <w:rsid w:val="007B3038"/>
    <w:rsid w:val="007B31F0"/>
    <w:rsid w:val="007B3276"/>
    <w:rsid w:val="007B33CC"/>
    <w:rsid w:val="007B3790"/>
    <w:rsid w:val="007B37DE"/>
    <w:rsid w:val="007B39D7"/>
    <w:rsid w:val="007B3B7D"/>
    <w:rsid w:val="007B3C70"/>
    <w:rsid w:val="007B460D"/>
    <w:rsid w:val="007B476C"/>
    <w:rsid w:val="007B4937"/>
    <w:rsid w:val="007B4E14"/>
    <w:rsid w:val="007B4E1A"/>
    <w:rsid w:val="007B4E36"/>
    <w:rsid w:val="007B4E92"/>
    <w:rsid w:val="007B507B"/>
    <w:rsid w:val="007B577D"/>
    <w:rsid w:val="007B5E4C"/>
    <w:rsid w:val="007B5F8B"/>
    <w:rsid w:val="007B620F"/>
    <w:rsid w:val="007B6A50"/>
    <w:rsid w:val="007B6ACA"/>
    <w:rsid w:val="007B6B6A"/>
    <w:rsid w:val="007B6B74"/>
    <w:rsid w:val="007B6BC4"/>
    <w:rsid w:val="007B6D69"/>
    <w:rsid w:val="007B6DE6"/>
    <w:rsid w:val="007B7179"/>
    <w:rsid w:val="007B7316"/>
    <w:rsid w:val="007B73D8"/>
    <w:rsid w:val="007B769C"/>
    <w:rsid w:val="007B7752"/>
    <w:rsid w:val="007B77E0"/>
    <w:rsid w:val="007B78B4"/>
    <w:rsid w:val="007B796B"/>
    <w:rsid w:val="007B7978"/>
    <w:rsid w:val="007B7C58"/>
    <w:rsid w:val="007B7F12"/>
    <w:rsid w:val="007C0383"/>
    <w:rsid w:val="007C065F"/>
    <w:rsid w:val="007C06C3"/>
    <w:rsid w:val="007C07C9"/>
    <w:rsid w:val="007C0F0B"/>
    <w:rsid w:val="007C10B4"/>
    <w:rsid w:val="007C12F0"/>
    <w:rsid w:val="007C1647"/>
    <w:rsid w:val="007C1713"/>
    <w:rsid w:val="007C176E"/>
    <w:rsid w:val="007C1DBF"/>
    <w:rsid w:val="007C1E47"/>
    <w:rsid w:val="007C218C"/>
    <w:rsid w:val="007C2273"/>
    <w:rsid w:val="007C2510"/>
    <w:rsid w:val="007C2747"/>
    <w:rsid w:val="007C3098"/>
    <w:rsid w:val="007C32AD"/>
    <w:rsid w:val="007C3BC9"/>
    <w:rsid w:val="007C4101"/>
    <w:rsid w:val="007C4162"/>
    <w:rsid w:val="007C495A"/>
    <w:rsid w:val="007C4D80"/>
    <w:rsid w:val="007C535A"/>
    <w:rsid w:val="007C5A19"/>
    <w:rsid w:val="007C604C"/>
    <w:rsid w:val="007C6101"/>
    <w:rsid w:val="007C669A"/>
    <w:rsid w:val="007C6813"/>
    <w:rsid w:val="007C7068"/>
    <w:rsid w:val="007C70DF"/>
    <w:rsid w:val="007C7310"/>
    <w:rsid w:val="007C73C0"/>
    <w:rsid w:val="007C7804"/>
    <w:rsid w:val="007C7D0A"/>
    <w:rsid w:val="007D0435"/>
    <w:rsid w:val="007D075A"/>
    <w:rsid w:val="007D16A0"/>
    <w:rsid w:val="007D16A5"/>
    <w:rsid w:val="007D1830"/>
    <w:rsid w:val="007D18E8"/>
    <w:rsid w:val="007D1B05"/>
    <w:rsid w:val="007D1DC2"/>
    <w:rsid w:val="007D243D"/>
    <w:rsid w:val="007D2AE3"/>
    <w:rsid w:val="007D2AEB"/>
    <w:rsid w:val="007D3052"/>
    <w:rsid w:val="007D30D5"/>
    <w:rsid w:val="007D31C3"/>
    <w:rsid w:val="007D32E8"/>
    <w:rsid w:val="007D3436"/>
    <w:rsid w:val="007D34CC"/>
    <w:rsid w:val="007D3741"/>
    <w:rsid w:val="007D3759"/>
    <w:rsid w:val="007D38B6"/>
    <w:rsid w:val="007D395A"/>
    <w:rsid w:val="007D39E4"/>
    <w:rsid w:val="007D3AF5"/>
    <w:rsid w:val="007D3CEC"/>
    <w:rsid w:val="007D3DDD"/>
    <w:rsid w:val="007D3F38"/>
    <w:rsid w:val="007D4132"/>
    <w:rsid w:val="007D4175"/>
    <w:rsid w:val="007D4382"/>
    <w:rsid w:val="007D4781"/>
    <w:rsid w:val="007D4959"/>
    <w:rsid w:val="007D4E2C"/>
    <w:rsid w:val="007D52FF"/>
    <w:rsid w:val="007D55B4"/>
    <w:rsid w:val="007D592C"/>
    <w:rsid w:val="007D5A96"/>
    <w:rsid w:val="007D5B95"/>
    <w:rsid w:val="007D603C"/>
    <w:rsid w:val="007D607E"/>
    <w:rsid w:val="007D6303"/>
    <w:rsid w:val="007D6589"/>
    <w:rsid w:val="007D66A6"/>
    <w:rsid w:val="007D6819"/>
    <w:rsid w:val="007D68E4"/>
    <w:rsid w:val="007D6ADD"/>
    <w:rsid w:val="007D6AED"/>
    <w:rsid w:val="007D70F1"/>
    <w:rsid w:val="007D71AF"/>
    <w:rsid w:val="007D7206"/>
    <w:rsid w:val="007D72AB"/>
    <w:rsid w:val="007D734B"/>
    <w:rsid w:val="007D7501"/>
    <w:rsid w:val="007E0013"/>
    <w:rsid w:val="007E02E2"/>
    <w:rsid w:val="007E0464"/>
    <w:rsid w:val="007E0614"/>
    <w:rsid w:val="007E0D5E"/>
    <w:rsid w:val="007E0DE4"/>
    <w:rsid w:val="007E0EDF"/>
    <w:rsid w:val="007E1005"/>
    <w:rsid w:val="007E146E"/>
    <w:rsid w:val="007E19C5"/>
    <w:rsid w:val="007E19E7"/>
    <w:rsid w:val="007E1CD0"/>
    <w:rsid w:val="007E1E91"/>
    <w:rsid w:val="007E1EBB"/>
    <w:rsid w:val="007E1FA3"/>
    <w:rsid w:val="007E2168"/>
    <w:rsid w:val="007E256D"/>
    <w:rsid w:val="007E2BAB"/>
    <w:rsid w:val="007E2E59"/>
    <w:rsid w:val="007E301E"/>
    <w:rsid w:val="007E325E"/>
    <w:rsid w:val="007E332A"/>
    <w:rsid w:val="007E3489"/>
    <w:rsid w:val="007E358A"/>
    <w:rsid w:val="007E3765"/>
    <w:rsid w:val="007E3842"/>
    <w:rsid w:val="007E3927"/>
    <w:rsid w:val="007E3A97"/>
    <w:rsid w:val="007E3A9B"/>
    <w:rsid w:val="007E3C00"/>
    <w:rsid w:val="007E3D10"/>
    <w:rsid w:val="007E4057"/>
    <w:rsid w:val="007E41B6"/>
    <w:rsid w:val="007E44AA"/>
    <w:rsid w:val="007E47A2"/>
    <w:rsid w:val="007E48ED"/>
    <w:rsid w:val="007E4A60"/>
    <w:rsid w:val="007E4B97"/>
    <w:rsid w:val="007E4F3B"/>
    <w:rsid w:val="007E50A1"/>
    <w:rsid w:val="007E5107"/>
    <w:rsid w:val="007E5383"/>
    <w:rsid w:val="007E60CB"/>
    <w:rsid w:val="007E62EE"/>
    <w:rsid w:val="007E6C15"/>
    <w:rsid w:val="007E7164"/>
    <w:rsid w:val="007E72BA"/>
    <w:rsid w:val="007E745F"/>
    <w:rsid w:val="007E757A"/>
    <w:rsid w:val="007E7659"/>
    <w:rsid w:val="007E7960"/>
    <w:rsid w:val="007E7F7A"/>
    <w:rsid w:val="007E7F91"/>
    <w:rsid w:val="007F022C"/>
    <w:rsid w:val="007F02B9"/>
    <w:rsid w:val="007F0515"/>
    <w:rsid w:val="007F0C6A"/>
    <w:rsid w:val="007F0DAE"/>
    <w:rsid w:val="007F0E54"/>
    <w:rsid w:val="007F0E62"/>
    <w:rsid w:val="007F0EB5"/>
    <w:rsid w:val="007F0ED1"/>
    <w:rsid w:val="007F0FFE"/>
    <w:rsid w:val="007F104B"/>
    <w:rsid w:val="007F10B5"/>
    <w:rsid w:val="007F1177"/>
    <w:rsid w:val="007F1255"/>
    <w:rsid w:val="007F17DF"/>
    <w:rsid w:val="007F19CE"/>
    <w:rsid w:val="007F1B4F"/>
    <w:rsid w:val="007F1CA6"/>
    <w:rsid w:val="007F1E42"/>
    <w:rsid w:val="007F1E67"/>
    <w:rsid w:val="007F1F7C"/>
    <w:rsid w:val="007F1F7F"/>
    <w:rsid w:val="007F21BB"/>
    <w:rsid w:val="007F22B4"/>
    <w:rsid w:val="007F2300"/>
    <w:rsid w:val="007F2350"/>
    <w:rsid w:val="007F25FC"/>
    <w:rsid w:val="007F2943"/>
    <w:rsid w:val="007F2A7C"/>
    <w:rsid w:val="007F2D09"/>
    <w:rsid w:val="007F3146"/>
    <w:rsid w:val="007F323A"/>
    <w:rsid w:val="007F34E0"/>
    <w:rsid w:val="007F3508"/>
    <w:rsid w:val="007F36D9"/>
    <w:rsid w:val="007F37A7"/>
    <w:rsid w:val="007F3952"/>
    <w:rsid w:val="007F3A08"/>
    <w:rsid w:val="007F3A34"/>
    <w:rsid w:val="007F3F5B"/>
    <w:rsid w:val="007F4065"/>
    <w:rsid w:val="007F4230"/>
    <w:rsid w:val="007F42C8"/>
    <w:rsid w:val="007F436F"/>
    <w:rsid w:val="007F46E6"/>
    <w:rsid w:val="007F4CC5"/>
    <w:rsid w:val="007F4D9B"/>
    <w:rsid w:val="007F4E3B"/>
    <w:rsid w:val="007F4F2F"/>
    <w:rsid w:val="007F5012"/>
    <w:rsid w:val="007F5045"/>
    <w:rsid w:val="007F51BE"/>
    <w:rsid w:val="007F54E3"/>
    <w:rsid w:val="007F5718"/>
    <w:rsid w:val="007F57ED"/>
    <w:rsid w:val="007F5866"/>
    <w:rsid w:val="007F5B77"/>
    <w:rsid w:val="007F5CC5"/>
    <w:rsid w:val="007F5D39"/>
    <w:rsid w:val="007F5E3A"/>
    <w:rsid w:val="007F6144"/>
    <w:rsid w:val="007F6655"/>
    <w:rsid w:val="007F66B2"/>
    <w:rsid w:val="007F6768"/>
    <w:rsid w:val="007F68D5"/>
    <w:rsid w:val="007F6A93"/>
    <w:rsid w:val="007F6C7D"/>
    <w:rsid w:val="007F6EA3"/>
    <w:rsid w:val="007F7146"/>
    <w:rsid w:val="007F71CB"/>
    <w:rsid w:val="007F7684"/>
    <w:rsid w:val="007F7890"/>
    <w:rsid w:val="007F7BCF"/>
    <w:rsid w:val="008003E2"/>
    <w:rsid w:val="00800548"/>
    <w:rsid w:val="008006AF"/>
    <w:rsid w:val="008007D6"/>
    <w:rsid w:val="008008C6"/>
    <w:rsid w:val="00800AE0"/>
    <w:rsid w:val="00800D62"/>
    <w:rsid w:val="00800DC1"/>
    <w:rsid w:val="0080108A"/>
    <w:rsid w:val="008013D3"/>
    <w:rsid w:val="00801B9A"/>
    <w:rsid w:val="00801DC5"/>
    <w:rsid w:val="00801F3C"/>
    <w:rsid w:val="00802026"/>
    <w:rsid w:val="0080216C"/>
    <w:rsid w:val="00802B6C"/>
    <w:rsid w:val="00802C52"/>
    <w:rsid w:val="00802FCD"/>
    <w:rsid w:val="008031D5"/>
    <w:rsid w:val="0080347F"/>
    <w:rsid w:val="00803593"/>
    <w:rsid w:val="008035E2"/>
    <w:rsid w:val="00803EEB"/>
    <w:rsid w:val="008041C9"/>
    <w:rsid w:val="0080429E"/>
    <w:rsid w:val="00804432"/>
    <w:rsid w:val="00804538"/>
    <w:rsid w:val="00804794"/>
    <w:rsid w:val="0080481C"/>
    <w:rsid w:val="00804913"/>
    <w:rsid w:val="00804A23"/>
    <w:rsid w:val="0080510A"/>
    <w:rsid w:val="0080517A"/>
    <w:rsid w:val="00805193"/>
    <w:rsid w:val="0080519A"/>
    <w:rsid w:val="008053F7"/>
    <w:rsid w:val="00805494"/>
    <w:rsid w:val="0080595C"/>
    <w:rsid w:val="00805CA1"/>
    <w:rsid w:val="008060C6"/>
    <w:rsid w:val="008063B1"/>
    <w:rsid w:val="008064B5"/>
    <w:rsid w:val="00806776"/>
    <w:rsid w:val="008067F3"/>
    <w:rsid w:val="0080689B"/>
    <w:rsid w:val="00806A39"/>
    <w:rsid w:val="00806EA0"/>
    <w:rsid w:val="00807145"/>
    <w:rsid w:val="00807389"/>
    <w:rsid w:val="008074C5"/>
    <w:rsid w:val="00807A56"/>
    <w:rsid w:val="00807D8C"/>
    <w:rsid w:val="00807ED1"/>
    <w:rsid w:val="0081049A"/>
    <w:rsid w:val="008105CF"/>
    <w:rsid w:val="008106EB"/>
    <w:rsid w:val="00810B51"/>
    <w:rsid w:val="00810CA7"/>
    <w:rsid w:val="00811098"/>
    <w:rsid w:val="00811638"/>
    <w:rsid w:val="00811716"/>
    <w:rsid w:val="008117C6"/>
    <w:rsid w:val="00811948"/>
    <w:rsid w:val="00811BCB"/>
    <w:rsid w:val="00811CC9"/>
    <w:rsid w:val="00812287"/>
    <w:rsid w:val="008125F5"/>
    <w:rsid w:val="00812621"/>
    <w:rsid w:val="008127E9"/>
    <w:rsid w:val="0081282A"/>
    <w:rsid w:val="00812EA9"/>
    <w:rsid w:val="00812FEC"/>
    <w:rsid w:val="00813344"/>
    <w:rsid w:val="008134E2"/>
    <w:rsid w:val="008136FB"/>
    <w:rsid w:val="0081377A"/>
    <w:rsid w:val="008137A1"/>
    <w:rsid w:val="008139B5"/>
    <w:rsid w:val="00813A81"/>
    <w:rsid w:val="00813DE1"/>
    <w:rsid w:val="00813F13"/>
    <w:rsid w:val="008141CE"/>
    <w:rsid w:val="00814422"/>
    <w:rsid w:val="008148C9"/>
    <w:rsid w:val="00814B0B"/>
    <w:rsid w:val="00815382"/>
    <w:rsid w:val="00815589"/>
    <w:rsid w:val="008159A9"/>
    <w:rsid w:val="00815C4A"/>
    <w:rsid w:val="00815D11"/>
    <w:rsid w:val="008163E7"/>
    <w:rsid w:val="008166C5"/>
    <w:rsid w:val="0081675A"/>
    <w:rsid w:val="00816ABC"/>
    <w:rsid w:val="00816CBC"/>
    <w:rsid w:val="00816D85"/>
    <w:rsid w:val="00816E06"/>
    <w:rsid w:val="00817E0E"/>
    <w:rsid w:val="00820011"/>
    <w:rsid w:val="0082001A"/>
    <w:rsid w:val="008200F2"/>
    <w:rsid w:val="008201FA"/>
    <w:rsid w:val="0082022D"/>
    <w:rsid w:val="00820252"/>
    <w:rsid w:val="00820418"/>
    <w:rsid w:val="008207F6"/>
    <w:rsid w:val="00820ACF"/>
    <w:rsid w:val="00821048"/>
    <w:rsid w:val="0082115A"/>
    <w:rsid w:val="00821222"/>
    <w:rsid w:val="00821590"/>
    <w:rsid w:val="008219F3"/>
    <w:rsid w:val="00821A9D"/>
    <w:rsid w:val="00821AFF"/>
    <w:rsid w:val="00822144"/>
    <w:rsid w:val="00822433"/>
    <w:rsid w:val="0082268A"/>
    <w:rsid w:val="008226CC"/>
    <w:rsid w:val="008226FE"/>
    <w:rsid w:val="00822A1E"/>
    <w:rsid w:val="00822AE8"/>
    <w:rsid w:val="00822B6D"/>
    <w:rsid w:val="00822F19"/>
    <w:rsid w:val="00822FD1"/>
    <w:rsid w:val="00823039"/>
    <w:rsid w:val="008233D8"/>
    <w:rsid w:val="008249B8"/>
    <w:rsid w:val="00824A7A"/>
    <w:rsid w:val="00824AF3"/>
    <w:rsid w:val="00824DD6"/>
    <w:rsid w:val="008250C5"/>
    <w:rsid w:val="00825300"/>
    <w:rsid w:val="008257E4"/>
    <w:rsid w:val="00825B4A"/>
    <w:rsid w:val="00825B56"/>
    <w:rsid w:val="00825CD2"/>
    <w:rsid w:val="00825D3C"/>
    <w:rsid w:val="00825EF0"/>
    <w:rsid w:val="008262DE"/>
    <w:rsid w:val="00826696"/>
    <w:rsid w:val="008267F7"/>
    <w:rsid w:val="00826903"/>
    <w:rsid w:val="0082697A"/>
    <w:rsid w:val="00826AD7"/>
    <w:rsid w:val="00826B8A"/>
    <w:rsid w:val="00826B8F"/>
    <w:rsid w:val="00826ECA"/>
    <w:rsid w:val="00826F19"/>
    <w:rsid w:val="00826FC3"/>
    <w:rsid w:val="008272DA"/>
    <w:rsid w:val="0082730B"/>
    <w:rsid w:val="00827407"/>
    <w:rsid w:val="00827C95"/>
    <w:rsid w:val="00830436"/>
    <w:rsid w:val="00830514"/>
    <w:rsid w:val="00830924"/>
    <w:rsid w:val="00830B53"/>
    <w:rsid w:val="00830C49"/>
    <w:rsid w:val="00830DE9"/>
    <w:rsid w:val="008311B2"/>
    <w:rsid w:val="00831249"/>
    <w:rsid w:val="0083158B"/>
    <w:rsid w:val="0083174A"/>
    <w:rsid w:val="0083176F"/>
    <w:rsid w:val="0083180D"/>
    <w:rsid w:val="00831829"/>
    <w:rsid w:val="00831ADA"/>
    <w:rsid w:val="00832048"/>
    <w:rsid w:val="00832235"/>
    <w:rsid w:val="00832370"/>
    <w:rsid w:val="0083242C"/>
    <w:rsid w:val="00832C28"/>
    <w:rsid w:val="00832E5D"/>
    <w:rsid w:val="008331D7"/>
    <w:rsid w:val="00833756"/>
    <w:rsid w:val="008338DA"/>
    <w:rsid w:val="008339FC"/>
    <w:rsid w:val="00833B64"/>
    <w:rsid w:val="00833BBD"/>
    <w:rsid w:val="00833DC9"/>
    <w:rsid w:val="00833F30"/>
    <w:rsid w:val="00833F9F"/>
    <w:rsid w:val="008340FC"/>
    <w:rsid w:val="008340FD"/>
    <w:rsid w:val="008342C8"/>
    <w:rsid w:val="00834419"/>
    <w:rsid w:val="00834870"/>
    <w:rsid w:val="008348D3"/>
    <w:rsid w:val="00834DCE"/>
    <w:rsid w:val="00834FAC"/>
    <w:rsid w:val="008353E3"/>
    <w:rsid w:val="0083546C"/>
    <w:rsid w:val="008356C4"/>
    <w:rsid w:val="00835F8A"/>
    <w:rsid w:val="0083646A"/>
    <w:rsid w:val="00836493"/>
    <w:rsid w:val="00836AE4"/>
    <w:rsid w:val="00836BC2"/>
    <w:rsid w:val="00837043"/>
    <w:rsid w:val="008373D1"/>
    <w:rsid w:val="008377E4"/>
    <w:rsid w:val="008379D3"/>
    <w:rsid w:val="00837A41"/>
    <w:rsid w:val="00837EBB"/>
    <w:rsid w:val="00837FFE"/>
    <w:rsid w:val="00840003"/>
    <w:rsid w:val="00840478"/>
    <w:rsid w:val="0084087C"/>
    <w:rsid w:val="0084088B"/>
    <w:rsid w:val="0084089B"/>
    <w:rsid w:val="00840A66"/>
    <w:rsid w:val="00840E18"/>
    <w:rsid w:val="00841056"/>
    <w:rsid w:val="008410E7"/>
    <w:rsid w:val="008414D6"/>
    <w:rsid w:val="008414DF"/>
    <w:rsid w:val="0084152D"/>
    <w:rsid w:val="008416A6"/>
    <w:rsid w:val="00841AD5"/>
    <w:rsid w:val="00841D79"/>
    <w:rsid w:val="0084202B"/>
    <w:rsid w:val="008421A8"/>
    <w:rsid w:val="0084229A"/>
    <w:rsid w:val="008424BD"/>
    <w:rsid w:val="00842681"/>
    <w:rsid w:val="0084280C"/>
    <w:rsid w:val="00842853"/>
    <w:rsid w:val="008429B2"/>
    <w:rsid w:val="00842A2F"/>
    <w:rsid w:val="00842DE1"/>
    <w:rsid w:val="00842DFF"/>
    <w:rsid w:val="00842EFD"/>
    <w:rsid w:val="008431AE"/>
    <w:rsid w:val="00843390"/>
    <w:rsid w:val="008433DE"/>
    <w:rsid w:val="0084340A"/>
    <w:rsid w:val="0084366F"/>
    <w:rsid w:val="00843977"/>
    <w:rsid w:val="008439DB"/>
    <w:rsid w:val="00843E0D"/>
    <w:rsid w:val="0084409C"/>
    <w:rsid w:val="0084434E"/>
    <w:rsid w:val="008443EA"/>
    <w:rsid w:val="008443F3"/>
    <w:rsid w:val="008447BA"/>
    <w:rsid w:val="008449F2"/>
    <w:rsid w:val="00844AA2"/>
    <w:rsid w:val="008451AD"/>
    <w:rsid w:val="00845327"/>
    <w:rsid w:val="008453A9"/>
    <w:rsid w:val="008453E3"/>
    <w:rsid w:val="008453F7"/>
    <w:rsid w:val="00845772"/>
    <w:rsid w:val="0084584A"/>
    <w:rsid w:val="00845CA1"/>
    <w:rsid w:val="00845CB8"/>
    <w:rsid w:val="00845CFB"/>
    <w:rsid w:val="00845EF1"/>
    <w:rsid w:val="0084617F"/>
    <w:rsid w:val="008461F6"/>
    <w:rsid w:val="00846293"/>
    <w:rsid w:val="0084648A"/>
    <w:rsid w:val="0084658A"/>
    <w:rsid w:val="008465CD"/>
    <w:rsid w:val="0084672E"/>
    <w:rsid w:val="00846D63"/>
    <w:rsid w:val="00846E4E"/>
    <w:rsid w:val="00846F1F"/>
    <w:rsid w:val="00846F74"/>
    <w:rsid w:val="00847BE1"/>
    <w:rsid w:val="00850091"/>
    <w:rsid w:val="008501EA"/>
    <w:rsid w:val="00850261"/>
    <w:rsid w:val="008506ED"/>
    <w:rsid w:val="00850771"/>
    <w:rsid w:val="008508A1"/>
    <w:rsid w:val="00850D53"/>
    <w:rsid w:val="008510D0"/>
    <w:rsid w:val="00851316"/>
    <w:rsid w:val="00851758"/>
    <w:rsid w:val="0085180D"/>
    <w:rsid w:val="00851BF5"/>
    <w:rsid w:val="00851BF7"/>
    <w:rsid w:val="00851EC7"/>
    <w:rsid w:val="00851F70"/>
    <w:rsid w:val="00852358"/>
    <w:rsid w:val="00852610"/>
    <w:rsid w:val="00852FBD"/>
    <w:rsid w:val="008530E7"/>
    <w:rsid w:val="0085314F"/>
    <w:rsid w:val="008531D1"/>
    <w:rsid w:val="00853463"/>
    <w:rsid w:val="008537E4"/>
    <w:rsid w:val="0085384B"/>
    <w:rsid w:val="0085387C"/>
    <w:rsid w:val="008538FA"/>
    <w:rsid w:val="00853A07"/>
    <w:rsid w:val="00854395"/>
    <w:rsid w:val="008547E7"/>
    <w:rsid w:val="00854A1A"/>
    <w:rsid w:val="00854A75"/>
    <w:rsid w:val="00854DD8"/>
    <w:rsid w:val="00854EF3"/>
    <w:rsid w:val="00854F38"/>
    <w:rsid w:val="0085500D"/>
    <w:rsid w:val="00855025"/>
    <w:rsid w:val="008552D8"/>
    <w:rsid w:val="008553C0"/>
    <w:rsid w:val="0085546F"/>
    <w:rsid w:val="0085588C"/>
    <w:rsid w:val="00855A43"/>
    <w:rsid w:val="00855A68"/>
    <w:rsid w:val="00855C64"/>
    <w:rsid w:val="00855E16"/>
    <w:rsid w:val="00856188"/>
    <w:rsid w:val="008564C1"/>
    <w:rsid w:val="00856592"/>
    <w:rsid w:val="00856684"/>
    <w:rsid w:val="0085696C"/>
    <w:rsid w:val="00856976"/>
    <w:rsid w:val="0085709B"/>
    <w:rsid w:val="00857228"/>
    <w:rsid w:val="008573CA"/>
    <w:rsid w:val="00857A63"/>
    <w:rsid w:val="00857A65"/>
    <w:rsid w:val="00857BD3"/>
    <w:rsid w:val="00857CE4"/>
    <w:rsid w:val="00857E32"/>
    <w:rsid w:val="0086040A"/>
    <w:rsid w:val="008604FB"/>
    <w:rsid w:val="008608AC"/>
    <w:rsid w:val="00860AFF"/>
    <w:rsid w:val="00860E1C"/>
    <w:rsid w:val="00861301"/>
    <w:rsid w:val="00861D82"/>
    <w:rsid w:val="00861D91"/>
    <w:rsid w:val="00861E97"/>
    <w:rsid w:val="00862567"/>
    <w:rsid w:val="008626DC"/>
    <w:rsid w:val="0086315D"/>
    <w:rsid w:val="00863AB7"/>
    <w:rsid w:val="00863E48"/>
    <w:rsid w:val="00864119"/>
    <w:rsid w:val="0086424B"/>
    <w:rsid w:val="00864481"/>
    <w:rsid w:val="008646F2"/>
    <w:rsid w:val="0086473D"/>
    <w:rsid w:val="00864780"/>
    <w:rsid w:val="00864901"/>
    <w:rsid w:val="00864B53"/>
    <w:rsid w:val="00864DE4"/>
    <w:rsid w:val="00864E0C"/>
    <w:rsid w:val="00864E5B"/>
    <w:rsid w:val="008651EF"/>
    <w:rsid w:val="0086576A"/>
    <w:rsid w:val="00865B3B"/>
    <w:rsid w:val="00865C07"/>
    <w:rsid w:val="00865C55"/>
    <w:rsid w:val="00865DE4"/>
    <w:rsid w:val="00865F38"/>
    <w:rsid w:val="00866050"/>
    <w:rsid w:val="008664B4"/>
    <w:rsid w:val="00866585"/>
    <w:rsid w:val="00866D7B"/>
    <w:rsid w:val="00866D93"/>
    <w:rsid w:val="00866E62"/>
    <w:rsid w:val="00866EC9"/>
    <w:rsid w:val="008673B7"/>
    <w:rsid w:val="00867635"/>
    <w:rsid w:val="008678DF"/>
    <w:rsid w:val="00867A9A"/>
    <w:rsid w:val="00867BD5"/>
    <w:rsid w:val="00867C68"/>
    <w:rsid w:val="00867F0B"/>
    <w:rsid w:val="008702B4"/>
    <w:rsid w:val="008705D2"/>
    <w:rsid w:val="008706A3"/>
    <w:rsid w:val="00870A01"/>
    <w:rsid w:val="00870A91"/>
    <w:rsid w:val="00871185"/>
    <w:rsid w:val="008712FB"/>
    <w:rsid w:val="008713B8"/>
    <w:rsid w:val="0087148C"/>
    <w:rsid w:val="00871CA1"/>
    <w:rsid w:val="00871CB9"/>
    <w:rsid w:val="00872104"/>
    <w:rsid w:val="0087231B"/>
    <w:rsid w:val="008727F1"/>
    <w:rsid w:val="00872A13"/>
    <w:rsid w:val="00872DA6"/>
    <w:rsid w:val="00872DFD"/>
    <w:rsid w:val="00872E98"/>
    <w:rsid w:val="00872EEC"/>
    <w:rsid w:val="00873098"/>
    <w:rsid w:val="0087333D"/>
    <w:rsid w:val="0087340D"/>
    <w:rsid w:val="0087357D"/>
    <w:rsid w:val="0087366F"/>
    <w:rsid w:val="00873720"/>
    <w:rsid w:val="00873B3D"/>
    <w:rsid w:val="00873B7E"/>
    <w:rsid w:val="00873D92"/>
    <w:rsid w:val="00873FA8"/>
    <w:rsid w:val="00874146"/>
    <w:rsid w:val="00874372"/>
    <w:rsid w:val="00874855"/>
    <w:rsid w:val="008749E9"/>
    <w:rsid w:val="00874A18"/>
    <w:rsid w:val="00874E79"/>
    <w:rsid w:val="00874EBC"/>
    <w:rsid w:val="00874FF4"/>
    <w:rsid w:val="008752B8"/>
    <w:rsid w:val="0087536B"/>
    <w:rsid w:val="008756A6"/>
    <w:rsid w:val="0087570F"/>
    <w:rsid w:val="00875D60"/>
    <w:rsid w:val="00876052"/>
    <w:rsid w:val="0087622B"/>
    <w:rsid w:val="00876236"/>
    <w:rsid w:val="00876478"/>
    <w:rsid w:val="00876716"/>
    <w:rsid w:val="0087679A"/>
    <w:rsid w:val="008767ED"/>
    <w:rsid w:val="00876A85"/>
    <w:rsid w:val="00876E98"/>
    <w:rsid w:val="00877900"/>
    <w:rsid w:val="0087793D"/>
    <w:rsid w:val="008779BF"/>
    <w:rsid w:val="008800B5"/>
    <w:rsid w:val="008801D7"/>
    <w:rsid w:val="008804C7"/>
    <w:rsid w:val="008805E6"/>
    <w:rsid w:val="00880A1D"/>
    <w:rsid w:val="00880BE4"/>
    <w:rsid w:val="00880E7D"/>
    <w:rsid w:val="0088163D"/>
    <w:rsid w:val="008816C1"/>
    <w:rsid w:val="00881FA3"/>
    <w:rsid w:val="0088205E"/>
    <w:rsid w:val="00882065"/>
    <w:rsid w:val="0088215E"/>
    <w:rsid w:val="0088255B"/>
    <w:rsid w:val="00882997"/>
    <w:rsid w:val="008829AE"/>
    <w:rsid w:val="00883311"/>
    <w:rsid w:val="0088337A"/>
    <w:rsid w:val="008835D9"/>
    <w:rsid w:val="008838AB"/>
    <w:rsid w:val="00883A02"/>
    <w:rsid w:val="008842CA"/>
    <w:rsid w:val="00884C51"/>
    <w:rsid w:val="0088548F"/>
    <w:rsid w:val="00885889"/>
    <w:rsid w:val="008858C6"/>
    <w:rsid w:val="0088597B"/>
    <w:rsid w:val="00885ADF"/>
    <w:rsid w:val="00885D05"/>
    <w:rsid w:val="00885E5A"/>
    <w:rsid w:val="00885E69"/>
    <w:rsid w:val="00886110"/>
    <w:rsid w:val="008865C3"/>
    <w:rsid w:val="0088685A"/>
    <w:rsid w:val="00886988"/>
    <w:rsid w:val="00886D88"/>
    <w:rsid w:val="0088729B"/>
    <w:rsid w:val="00887726"/>
    <w:rsid w:val="008879D6"/>
    <w:rsid w:val="00887BC7"/>
    <w:rsid w:val="008902DD"/>
    <w:rsid w:val="00890329"/>
    <w:rsid w:val="0089069C"/>
    <w:rsid w:val="00890817"/>
    <w:rsid w:val="00890AC3"/>
    <w:rsid w:val="00890C34"/>
    <w:rsid w:val="00890EA0"/>
    <w:rsid w:val="00890EC3"/>
    <w:rsid w:val="00890F4F"/>
    <w:rsid w:val="00891055"/>
    <w:rsid w:val="0089157A"/>
    <w:rsid w:val="0089168A"/>
    <w:rsid w:val="00891879"/>
    <w:rsid w:val="008918B0"/>
    <w:rsid w:val="00891D72"/>
    <w:rsid w:val="00891F22"/>
    <w:rsid w:val="00891FCD"/>
    <w:rsid w:val="00892016"/>
    <w:rsid w:val="008921AC"/>
    <w:rsid w:val="008922B1"/>
    <w:rsid w:val="00892321"/>
    <w:rsid w:val="00892423"/>
    <w:rsid w:val="00892489"/>
    <w:rsid w:val="0089266A"/>
    <w:rsid w:val="0089273B"/>
    <w:rsid w:val="0089348C"/>
    <w:rsid w:val="00893631"/>
    <w:rsid w:val="0089368B"/>
    <w:rsid w:val="008936D0"/>
    <w:rsid w:val="0089379C"/>
    <w:rsid w:val="00893833"/>
    <w:rsid w:val="00893876"/>
    <w:rsid w:val="008938F4"/>
    <w:rsid w:val="00893C16"/>
    <w:rsid w:val="00893DCC"/>
    <w:rsid w:val="008940DC"/>
    <w:rsid w:val="0089414A"/>
    <w:rsid w:val="00894250"/>
    <w:rsid w:val="008943C9"/>
    <w:rsid w:val="008943E0"/>
    <w:rsid w:val="008945A6"/>
    <w:rsid w:val="00894686"/>
    <w:rsid w:val="008947BE"/>
    <w:rsid w:val="0089539D"/>
    <w:rsid w:val="0089559F"/>
    <w:rsid w:val="00895705"/>
    <w:rsid w:val="00895F11"/>
    <w:rsid w:val="00896346"/>
    <w:rsid w:val="0089636C"/>
    <w:rsid w:val="00896727"/>
    <w:rsid w:val="0089680B"/>
    <w:rsid w:val="00896E74"/>
    <w:rsid w:val="00896FFA"/>
    <w:rsid w:val="008970F9"/>
    <w:rsid w:val="00897383"/>
    <w:rsid w:val="00897E3D"/>
    <w:rsid w:val="00897FDF"/>
    <w:rsid w:val="008A001E"/>
    <w:rsid w:val="008A0527"/>
    <w:rsid w:val="008A0544"/>
    <w:rsid w:val="008A0667"/>
    <w:rsid w:val="008A08A1"/>
    <w:rsid w:val="008A096B"/>
    <w:rsid w:val="008A0C04"/>
    <w:rsid w:val="008A0F28"/>
    <w:rsid w:val="008A1027"/>
    <w:rsid w:val="008A1756"/>
    <w:rsid w:val="008A1949"/>
    <w:rsid w:val="008A2311"/>
    <w:rsid w:val="008A248A"/>
    <w:rsid w:val="008A2542"/>
    <w:rsid w:val="008A27CE"/>
    <w:rsid w:val="008A2FE0"/>
    <w:rsid w:val="008A3195"/>
    <w:rsid w:val="008A321C"/>
    <w:rsid w:val="008A37D0"/>
    <w:rsid w:val="008A3B28"/>
    <w:rsid w:val="008A3D2F"/>
    <w:rsid w:val="008A3E73"/>
    <w:rsid w:val="008A4155"/>
    <w:rsid w:val="008A431E"/>
    <w:rsid w:val="008A4A31"/>
    <w:rsid w:val="008A4BFF"/>
    <w:rsid w:val="008A52CA"/>
    <w:rsid w:val="008A595A"/>
    <w:rsid w:val="008A596E"/>
    <w:rsid w:val="008A5C32"/>
    <w:rsid w:val="008A5D26"/>
    <w:rsid w:val="008A5F85"/>
    <w:rsid w:val="008A682F"/>
    <w:rsid w:val="008A69A6"/>
    <w:rsid w:val="008A6A62"/>
    <w:rsid w:val="008A6DB3"/>
    <w:rsid w:val="008A6EAA"/>
    <w:rsid w:val="008A6FAD"/>
    <w:rsid w:val="008A7898"/>
    <w:rsid w:val="008A7C6A"/>
    <w:rsid w:val="008A7E29"/>
    <w:rsid w:val="008A7F96"/>
    <w:rsid w:val="008B023D"/>
    <w:rsid w:val="008B03BB"/>
    <w:rsid w:val="008B0435"/>
    <w:rsid w:val="008B0448"/>
    <w:rsid w:val="008B057D"/>
    <w:rsid w:val="008B0687"/>
    <w:rsid w:val="008B0AF8"/>
    <w:rsid w:val="008B0CB0"/>
    <w:rsid w:val="008B11AF"/>
    <w:rsid w:val="008B11BA"/>
    <w:rsid w:val="008B135F"/>
    <w:rsid w:val="008B13C8"/>
    <w:rsid w:val="008B14D9"/>
    <w:rsid w:val="008B1DF0"/>
    <w:rsid w:val="008B1EB4"/>
    <w:rsid w:val="008B205A"/>
    <w:rsid w:val="008B2425"/>
    <w:rsid w:val="008B2983"/>
    <w:rsid w:val="008B2AC5"/>
    <w:rsid w:val="008B2B05"/>
    <w:rsid w:val="008B2F02"/>
    <w:rsid w:val="008B30CB"/>
    <w:rsid w:val="008B3576"/>
    <w:rsid w:val="008B37B8"/>
    <w:rsid w:val="008B42BE"/>
    <w:rsid w:val="008B47CC"/>
    <w:rsid w:val="008B5093"/>
    <w:rsid w:val="008B520E"/>
    <w:rsid w:val="008B525E"/>
    <w:rsid w:val="008B5454"/>
    <w:rsid w:val="008B54BF"/>
    <w:rsid w:val="008B5548"/>
    <w:rsid w:val="008B5857"/>
    <w:rsid w:val="008B5BBC"/>
    <w:rsid w:val="008B5C22"/>
    <w:rsid w:val="008B5FD1"/>
    <w:rsid w:val="008B6064"/>
    <w:rsid w:val="008B62D2"/>
    <w:rsid w:val="008B6A3F"/>
    <w:rsid w:val="008B6AFB"/>
    <w:rsid w:val="008B6F05"/>
    <w:rsid w:val="008B6F74"/>
    <w:rsid w:val="008B71D2"/>
    <w:rsid w:val="008B73D1"/>
    <w:rsid w:val="008B740A"/>
    <w:rsid w:val="008B77DC"/>
    <w:rsid w:val="008B79A5"/>
    <w:rsid w:val="008B7B0E"/>
    <w:rsid w:val="008C0031"/>
    <w:rsid w:val="008C03F9"/>
    <w:rsid w:val="008C064D"/>
    <w:rsid w:val="008C08C2"/>
    <w:rsid w:val="008C0914"/>
    <w:rsid w:val="008C0A03"/>
    <w:rsid w:val="008C0A96"/>
    <w:rsid w:val="008C0A9A"/>
    <w:rsid w:val="008C0BCC"/>
    <w:rsid w:val="008C0D2F"/>
    <w:rsid w:val="008C0F94"/>
    <w:rsid w:val="008C166B"/>
    <w:rsid w:val="008C243E"/>
    <w:rsid w:val="008C27F0"/>
    <w:rsid w:val="008C29DA"/>
    <w:rsid w:val="008C2D12"/>
    <w:rsid w:val="008C2E31"/>
    <w:rsid w:val="008C2E34"/>
    <w:rsid w:val="008C2ED5"/>
    <w:rsid w:val="008C3256"/>
    <w:rsid w:val="008C381F"/>
    <w:rsid w:val="008C3AF6"/>
    <w:rsid w:val="008C3E28"/>
    <w:rsid w:val="008C4011"/>
    <w:rsid w:val="008C4509"/>
    <w:rsid w:val="008C45A7"/>
    <w:rsid w:val="008C4787"/>
    <w:rsid w:val="008C4CB6"/>
    <w:rsid w:val="008C4D00"/>
    <w:rsid w:val="008C4D93"/>
    <w:rsid w:val="008C50A8"/>
    <w:rsid w:val="008C5349"/>
    <w:rsid w:val="008C5769"/>
    <w:rsid w:val="008C5922"/>
    <w:rsid w:val="008C5AE2"/>
    <w:rsid w:val="008C5B0E"/>
    <w:rsid w:val="008C5F5B"/>
    <w:rsid w:val="008C6213"/>
    <w:rsid w:val="008C68C9"/>
    <w:rsid w:val="008C6946"/>
    <w:rsid w:val="008C6AFD"/>
    <w:rsid w:val="008C6BF0"/>
    <w:rsid w:val="008C6CFD"/>
    <w:rsid w:val="008C6F5E"/>
    <w:rsid w:val="008C6F69"/>
    <w:rsid w:val="008C70CA"/>
    <w:rsid w:val="008C710A"/>
    <w:rsid w:val="008C71E9"/>
    <w:rsid w:val="008C747C"/>
    <w:rsid w:val="008C74FB"/>
    <w:rsid w:val="008C7697"/>
    <w:rsid w:val="008C79EF"/>
    <w:rsid w:val="008C7BFD"/>
    <w:rsid w:val="008C7C91"/>
    <w:rsid w:val="008D00CD"/>
    <w:rsid w:val="008D02C5"/>
    <w:rsid w:val="008D036A"/>
    <w:rsid w:val="008D03C8"/>
    <w:rsid w:val="008D066D"/>
    <w:rsid w:val="008D0792"/>
    <w:rsid w:val="008D07A9"/>
    <w:rsid w:val="008D082C"/>
    <w:rsid w:val="008D09CE"/>
    <w:rsid w:val="008D0AFB"/>
    <w:rsid w:val="008D0CD3"/>
    <w:rsid w:val="008D0ED7"/>
    <w:rsid w:val="008D0EF1"/>
    <w:rsid w:val="008D0FDE"/>
    <w:rsid w:val="008D11FE"/>
    <w:rsid w:val="008D1298"/>
    <w:rsid w:val="008D1594"/>
    <w:rsid w:val="008D17D1"/>
    <w:rsid w:val="008D1952"/>
    <w:rsid w:val="008D19AC"/>
    <w:rsid w:val="008D19DE"/>
    <w:rsid w:val="008D19EB"/>
    <w:rsid w:val="008D1A6D"/>
    <w:rsid w:val="008D1B13"/>
    <w:rsid w:val="008D1BA8"/>
    <w:rsid w:val="008D20FB"/>
    <w:rsid w:val="008D22ED"/>
    <w:rsid w:val="008D27B1"/>
    <w:rsid w:val="008D2B85"/>
    <w:rsid w:val="008D2CB5"/>
    <w:rsid w:val="008D2EEC"/>
    <w:rsid w:val="008D2F78"/>
    <w:rsid w:val="008D362D"/>
    <w:rsid w:val="008D3F07"/>
    <w:rsid w:val="008D40BB"/>
    <w:rsid w:val="008D458F"/>
    <w:rsid w:val="008D4923"/>
    <w:rsid w:val="008D576C"/>
    <w:rsid w:val="008D579B"/>
    <w:rsid w:val="008D58F1"/>
    <w:rsid w:val="008D5FD2"/>
    <w:rsid w:val="008D60E4"/>
    <w:rsid w:val="008D63A0"/>
    <w:rsid w:val="008D6735"/>
    <w:rsid w:val="008D67C1"/>
    <w:rsid w:val="008D67C4"/>
    <w:rsid w:val="008D68BC"/>
    <w:rsid w:val="008D6975"/>
    <w:rsid w:val="008D6B70"/>
    <w:rsid w:val="008D6D1C"/>
    <w:rsid w:val="008D722E"/>
    <w:rsid w:val="008D7593"/>
    <w:rsid w:val="008D75ED"/>
    <w:rsid w:val="008D7C17"/>
    <w:rsid w:val="008D7F61"/>
    <w:rsid w:val="008D7FAC"/>
    <w:rsid w:val="008E051F"/>
    <w:rsid w:val="008E05EB"/>
    <w:rsid w:val="008E0889"/>
    <w:rsid w:val="008E0B90"/>
    <w:rsid w:val="008E0C5E"/>
    <w:rsid w:val="008E0E53"/>
    <w:rsid w:val="008E1035"/>
    <w:rsid w:val="008E1050"/>
    <w:rsid w:val="008E1BA9"/>
    <w:rsid w:val="008E1C7A"/>
    <w:rsid w:val="008E1DA7"/>
    <w:rsid w:val="008E2443"/>
    <w:rsid w:val="008E2830"/>
    <w:rsid w:val="008E2DE1"/>
    <w:rsid w:val="008E2E1B"/>
    <w:rsid w:val="008E2F61"/>
    <w:rsid w:val="008E3128"/>
    <w:rsid w:val="008E3418"/>
    <w:rsid w:val="008E3A08"/>
    <w:rsid w:val="008E3E0A"/>
    <w:rsid w:val="008E4374"/>
    <w:rsid w:val="008E4B74"/>
    <w:rsid w:val="008E4BC7"/>
    <w:rsid w:val="008E4FB6"/>
    <w:rsid w:val="008E53A1"/>
    <w:rsid w:val="008E5693"/>
    <w:rsid w:val="008E5E71"/>
    <w:rsid w:val="008E6859"/>
    <w:rsid w:val="008E6A8D"/>
    <w:rsid w:val="008E6E52"/>
    <w:rsid w:val="008E70BE"/>
    <w:rsid w:val="008E7141"/>
    <w:rsid w:val="008E71A9"/>
    <w:rsid w:val="008E7C57"/>
    <w:rsid w:val="008E7E60"/>
    <w:rsid w:val="008E7FA9"/>
    <w:rsid w:val="008F009D"/>
    <w:rsid w:val="008F0130"/>
    <w:rsid w:val="008F0389"/>
    <w:rsid w:val="008F0393"/>
    <w:rsid w:val="008F0600"/>
    <w:rsid w:val="008F0CB0"/>
    <w:rsid w:val="008F1097"/>
    <w:rsid w:val="008F1177"/>
    <w:rsid w:val="008F175A"/>
    <w:rsid w:val="008F1793"/>
    <w:rsid w:val="008F1A20"/>
    <w:rsid w:val="008F1A93"/>
    <w:rsid w:val="008F1D6A"/>
    <w:rsid w:val="008F22B6"/>
    <w:rsid w:val="008F245B"/>
    <w:rsid w:val="008F250E"/>
    <w:rsid w:val="008F2824"/>
    <w:rsid w:val="008F2898"/>
    <w:rsid w:val="008F2B18"/>
    <w:rsid w:val="008F2B87"/>
    <w:rsid w:val="008F2F50"/>
    <w:rsid w:val="008F2FD6"/>
    <w:rsid w:val="008F3471"/>
    <w:rsid w:val="008F3B04"/>
    <w:rsid w:val="008F3DA8"/>
    <w:rsid w:val="008F3E5F"/>
    <w:rsid w:val="008F3F07"/>
    <w:rsid w:val="008F4331"/>
    <w:rsid w:val="008F4390"/>
    <w:rsid w:val="008F4394"/>
    <w:rsid w:val="008F4396"/>
    <w:rsid w:val="008F43D0"/>
    <w:rsid w:val="008F4A07"/>
    <w:rsid w:val="008F4C72"/>
    <w:rsid w:val="008F4FC5"/>
    <w:rsid w:val="008F505B"/>
    <w:rsid w:val="008F5126"/>
    <w:rsid w:val="008F52F0"/>
    <w:rsid w:val="008F5D08"/>
    <w:rsid w:val="008F619B"/>
    <w:rsid w:val="008F63F1"/>
    <w:rsid w:val="008F64C7"/>
    <w:rsid w:val="008F6548"/>
    <w:rsid w:val="008F67A0"/>
    <w:rsid w:val="008F68B8"/>
    <w:rsid w:val="008F6A44"/>
    <w:rsid w:val="008F6A7F"/>
    <w:rsid w:val="008F6CD7"/>
    <w:rsid w:val="008F6F0A"/>
    <w:rsid w:val="008F714E"/>
    <w:rsid w:val="008F736B"/>
    <w:rsid w:val="008F73B8"/>
    <w:rsid w:val="008F76E6"/>
    <w:rsid w:val="008F7801"/>
    <w:rsid w:val="008F787B"/>
    <w:rsid w:val="008F79A5"/>
    <w:rsid w:val="008F7AF9"/>
    <w:rsid w:val="008F7D35"/>
    <w:rsid w:val="009000B5"/>
    <w:rsid w:val="00900198"/>
    <w:rsid w:val="009002F6"/>
    <w:rsid w:val="009004AB"/>
    <w:rsid w:val="009004FD"/>
    <w:rsid w:val="00900923"/>
    <w:rsid w:val="00900A96"/>
    <w:rsid w:val="00900AD4"/>
    <w:rsid w:val="00900CED"/>
    <w:rsid w:val="00900ECB"/>
    <w:rsid w:val="00900FB9"/>
    <w:rsid w:val="009010C2"/>
    <w:rsid w:val="00901200"/>
    <w:rsid w:val="009012AB"/>
    <w:rsid w:val="009013B1"/>
    <w:rsid w:val="009014D1"/>
    <w:rsid w:val="009015FA"/>
    <w:rsid w:val="00901702"/>
    <w:rsid w:val="00901714"/>
    <w:rsid w:val="00901952"/>
    <w:rsid w:val="009019DE"/>
    <w:rsid w:val="00901E80"/>
    <w:rsid w:val="00901FAF"/>
    <w:rsid w:val="00902462"/>
    <w:rsid w:val="0090254E"/>
    <w:rsid w:val="00902614"/>
    <w:rsid w:val="009028E0"/>
    <w:rsid w:val="00902D6D"/>
    <w:rsid w:val="009033B9"/>
    <w:rsid w:val="009035F7"/>
    <w:rsid w:val="009036FE"/>
    <w:rsid w:val="00903DB3"/>
    <w:rsid w:val="00903ED0"/>
    <w:rsid w:val="00903ED6"/>
    <w:rsid w:val="009040A1"/>
    <w:rsid w:val="00904141"/>
    <w:rsid w:val="00904163"/>
    <w:rsid w:val="00904A4C"/>
    <w:rsid w:val="00904C1A"/>
    <w:rsid w:val="00904CB1"/>
    <w:rsid w:val="00904E8C"/>
    <w:rsid w:val="0090543A"/>
    <w:rsid w:val="00905462"/>
    <w:rsid w:val="009055C4"/>
    <w:rsid w:val="009056DF"/>
    <w:rsid w:val="00905B8D"/>
    <w:rsid w:val="00906CF6"/>
    <w:rsid w:val="00906E60"/>
    <w:rsid w:val="00906FB5"/>
    <w:rsid w:val="00906FD2"/>
    <w:rsid w:val="0090706D"/>
    <w:rsid w:val="00907168"/>
    <w:rsid w:val="00907824"/>
    <w:rsid w:val="00907CA1"/>
    <w:rsid w:val="00907FA4"/>
    <w:rsid w:val="00910875"/>
    <w:rsid w:val="009109CA"/>
    <w:rsid w:val="00910B2B"/>
    <w:rsid w:val="00910B82"/>
    <w:rsid w:val="00911176"/>
    <w:rsid w:val="009111F4"/>
    <w:rsid w:val="00911524"/>
    <w:rsid w:val="00911687"/>
    <w:rsid w:val="009119A8"/>
    <w:rsid w:val="00911ADC"/>
    <w:rsid w:val="00911D9F"/>
    <w:rsid w:val="009120C6"/>
    <w:rsid w:val="00912DA6"/>
    <w:rsid w:val="00912E0F"/>
    <w:rsid w:val="00912E6E"/>
    <w:rsid w:val="00912F2D"/>
    <w:rsid w:val="009130DC"/>
    <w:rsid w:val="00913107"/>
    <w:rsid w:val="00913370"/>
    <w:rsid w:val="009135E5"/>
    <w:rsid w:val="00913655"/>
    <w:rsid w:val="00913739"/>
    <w:rsid w:val="009139C8"/>
    <w:rsid w:val="00913B40"/>
    <w:rsid w:val="00913C93"/>
    <w:rsid w:val="00913DA2"/>
    <w:rsid w:val="0091412A"/>
    <w:rsid w:val="00914D3B"/>
    <w:rsid w:val="00915156"/>
    <w:rsid w:val="009152A3"/>
    <w:rsid w:val="0091572E"/>
    <w:rsid w:val="009158C1"/>
    <w:rsid w:val="00915AD3"/>
    <w:rsid w:val="00915B41"/>
    <w:rsid w:val="00915D36"/>
    <w:rsid w:val="00915DAC"/>
    <w:rsid w:val="009160C7"/>
    <w:rsid w:val="00916139"/>
    <w:rsid w:val="009161FC"/>
    <w:rsid w:val="00916307"/>
    <w:rsid w:val="00916390"/>
    <w:rsid w:val="00917123"/>
    <w:rsid w:val="009173CA"/>
    <w:rsid w:val="00917652"/>
    <w:rsid w:val="009176B6"/>
    <w:rsid w:val="0091779E"/>
    <w:rsid w:val="00917977"/>
    <w:rsid w:val="00917A39"/>
    <w:rsid w:val="00917AB8"/>
    <w:rsid w:val="009200DF"/>
    <w:rsid w:val="009203E6"/>
    <w:rsid w:val="00920417"/>
    <w:rsid w:val="009205A9"/>
    <w:rsid w:val="009206FA"/>
    <w:rsid w:val="009208EA"/>
    <w:rsid w:val="00920BA0"/>
    <w:rsid w:val="00920BE9"/>
    <w:rsid w:val="00920FA0"/>
    <w:rsid w:val="00920FB5"/>
    <w:rsid w:val="0092119F"/>
    <w:rsid w:val="009211F5"/>
    <w:rsid w:val="009212ED"/>
    <w:rsid w:val="0092135F"/>
    <w:rsid w:val="00921594"/>
    <w:rsid w:val="00921648"/>
    <w:rsid w:val="009216E6"/>
    <w:rsid w:val="0092170C"/>
    <w:rsid w:val="00922066"/>
    <w:rsid w:val="0092207D"/>
    <w:rsid w:val="0092219A"/>
    <w:rsid w:val="0092219D"/>
    <w:rsid w:val="009221E2"/>
    <w:rsid w:val="009226A7"/>
    <w:rsid w:val="00922A74"/>
    <w:rsid w:val="00922E0B"/>
    <w:rsid w:val="00922E15"/>
    <w:rsid w:val="00922FD5"/>
    <w:rsid w:val="009230F2"/>
    <w:rsid w:val="0092313C"/>
    <w:rsid w:val="00923169"/>
    <w:rsid w:val="009231C6"/>
    <w:rsid w:val="009232E0"/>
    <w:rsid w:val="00923712"/>
    <w:rsid w:val="009239D9"/>
    <w:rsid w:val="00923CC7"/>
    <w:rsid w:val="0092414C"/>
    <w:rsid w:val="00924194"/>
    <w:rsid w:val="00924290"/>
    <w:rsid w:val="009245BD"/>
    <w:rsid w:val="0092462A"/>
    <w:rsid w:val="00924AE9"/>
    <w:rsid w:val="00924B26"/>
    <w:rsid w:val="00924D28"/>
    <w:rsid w:val="00924F26"/>
    <w:rsid w:val="0092509F"/>
    <w:rsid w:val="009250B5"/>
    <w:rsid w:val="00925125"/>
    <w:rsid w:val="0092520A"/>
    <w:rsid w:val="009252C2"/>
    <w:rsid w:val="009257FC"/>
    <w:rsid w:val="00925A9D"/>
    <w:rsid w:val="00925AFC"/>
    <w:rsid w:val="00926673"/>
    <w:rsid w:val="00926709"/>
    <w:rsid w:val="00926865"/>
    <w:rsid w:val="0092694D"/>
    <w:rsid w:val="00926B3C"/>
    <w:rsid w:val="00926B52"/>
    <w:rsid w:val="00926C4D"/>
    <w:rsid w:val="00926D0B"/>
    <w:rsid w:val="00926F94"/>
    <w:rsid w:val="009272FB"/>
    <w:rsid w:val="009277A0"/>
    <w:rsid w:val="00927B16"/>
    <w:rsid w:val="00930008"/>
    <w:rsid w:val="00930380"/>
    <w:rsid w:val="00930784"/>
    <w:rsid w:val="009307AA"/>
    <w:rsid w:val="009307E0"/>
    <w:rsid w:val="00930D0E"/>
    <w:rsid w:val="00930E5E"/>
    <w:rsid w:val="00930E85"/>
    <w:rsid w:val="00930E90"/>
    <w:rsid w:val="00931039"/>
    <w:rsid w:val="00931082"/>
    <w:rsid w:val="00931843"/>
    <w:rsid w:val="009319AD"/>
    <w:rsid w:val="00931B01"/>
    <w:rsid w:val="00931B20"/>
    <w:rsid w:val="00931B23"/>
    <w:rsid w:val="00931C35"/>
    <w:rsid w:val="00932638"/>
    <w:rsid w:val="00932B61"/>
    <w:rsid w:val="00932F46"/>
    <w:rsid w:val="009330DA"/>
    <w:rsid w:val="00933195"/>
    <w:rsid w:val="009334E2"/>
    <w:rsid w:val="009335D7"/>
    <w:rsid w:val="00933991"/>
    <w:rsid w:val="009339B6"/>
    <w:rsid w:val="009339D7"/>
    <w:rsid w:val="00933A9E"/>
    <w:rsid w:val="00933D0C"/>
    <w:rsid w:val="009348FF"/>
    <w:rsid w:val="00934EE8"/>
    <w:rsid w:val="00935AF8"/>
    <w:rsid w:val="00935CBE"/>
    <w:rsid w:val="00935CC3"/>
    <w:rsid w:val="0093615C"/>
    <w:rsid w:val="0093685D"/>
    <w:rsid w:val="009369CE"/>
    <w:rsid w:val="00936ABF"/>
    <w:rsid w:val="00936AD3"/>
    <w:rsid w:val="00936CC3"/>
    <w:rsid w:val="00936D43"/>
    <w:rsid w:val="00936F48"/>
    <w:rsid w:val="00936FD1"/>
    <w:rsid w:val="0093708B"/>
    <w:rsid w:val="00937095"/>
    <w:rsid w:val="009372EF"/>
    <w:rsid w:val="009374C9"/>
    <w:rsid w:val="00937567"/>
    <w:rsid w:val="009376E0"/>
    <w:rsid w:val="009377D7"/>
    <w:rsid w:val="009377FD"/>
    <w:rsid w:val="00937D46"/>
    <w:rsid w:val="00937F9E"/>
    <w:rsid w:val="009400D6"/>
    <w:rsid w:val="009402DC"/>
    <w:rsid w:val="009406AC"/>
    <w:rsid w:val="009409C3"/>
    <w:rsid w:val="00940AC6"/>
    <w:rsid w:val="00940C75"/>
    <w:rsid w:val="00940E9F"/>
    <w:rsid w:val="00940F8F"/>
    <w:rsid w:val="009414B0"/>
    <w:rsid w:val="00941743"/>
    <w:rsid w:val="0094178D"/>
    <w:rsid w:val="009417C2"/>
    <w:rsid w:val="00941A20"/>
    <w:rsid w:val="00941AA8"/>
    <w:rsid w:val="00941CBD"/>
    <w:rsid w:val="00941DB8"/>
    <w:rsid w:val="00941F6D"/>
    <w:rsid w:val="00942367"/>
    <w:rsid w:val="009424E7"/>
    <w:rsid w:val="009425AE"/>
    <w:rsid w:val="0094275F"/>
    <w:rsid w:val="00942832"/>
    <w:rsid w:val="0094284C"/>
    <w:rsid w:val="009428CC"/>
    <w:rsid w:val="00942BA4"/>
    <w:rsid w:val="00942C51"/>
    <w:rsid w:val="00943035"/>
    <w:rsid w:val="0094311B"/>
    <w:rsid w:val="0094316C"/>
    <w:rsid w:val="009432F6"/>
    <w:rsid w:val="00943A0D"/>
    <w:rsid w:val="00943ACC"/>
    <w:rsid w:val="00943DA2"/>
    <w:rsid w:val="00943E4C"/>
    <w:rsid w:val="00943FA5"/>
    <w:rsid w:val="00944129"/>
    <w:rsid w:val="00944654"/>
    <w:rsid w:val="00944E20"/>
    <w:rsid w:val="00944FA5"/>
    <w:rsid w:val="00944FFD"/>
    <w:rsid w:val="00945440"/>
    <w:rsid w:val="00945582"/>
    <w:rsid w:val="009456EB"/>
    <w:rsid w:val="0094578F"/>
    <w:rsid w:val="00945D8F"/>
    <w:rsid w:val="00945E5F"/>
    <w:rsid w:val="00945E96"/>
    <w:rsid w:val="00945EEF"/>
    <w:rsid w:val="00945FF2"/>
    <w:rsid w:val="00946031"/>
    <w:rsid w:val="0094621E"/>
    <w:rsid w:val="009464CF"/>
    <w:rsid w:val="00946578"/>
    <w:rsid w:val="00946C46"/>
    <w:rsid w:val="00946E6B"/>
    <w:rsid w:val="00946FCD"/>
    <w:rsid w:val="009471C2"/>
    <w:rsid w:val="00947538"/>
    <w:rsid w:val="00947670"/>
    <w:rsid w:val="00947A0A"/>
    <w:rsid w:val="00947A21"/>
    <w:rsid w:val="00947D17"/>
    <w:rsid w:val="0095044C"/>
    <w:rsid w:val="009505A4"/>
    <w:rsid w:val="00950694"/>
    <w:rsid w:val="009507DD"/>
    <w:rsid w:val="00950EF5"/>
    <w:rsid w:val="009510B1"/>
    <w:rsid w:val="0095149F"/>
    <w:rsid w:val="0095171F"/>
    <w:rsid w:val="00951919"/>
    <w:rsid w:val="00951BF7"/>
    <w:rsid w:val="00951C3D"/>
    <w:rsid w:val="00951CF1"/>
    <w:rsid w:val="00951F21"/>
    <w:rsid w:val="009521E9"/>
    <w:rsid w:val="00952590"/>
    <w:rsid w:val="00952772"/>
    <w:rsid w:val="0095297E"/>
    <w:rsid w:val="00952ADB"/>
    <w:rsid w:val="00952E2F"/>
    <w:rsid w:val="00952EF1"/>
    <w:rsid w:val="00953420"/>
    <w:rsid w:val="00953879"/>
    <w:rsid w:val="009538D8"/>
    <w:rsid w:val="009539F8"/>
    <w:rsid w:val="00953B79"/>
    <w:rsid w:val="0095417C"/>
    <w:rsid w:val="009543D0"/>
    <w:rsid w:val="009545E5"/>
    <w:rsid w:val="0095497C"/>
    <w:rsid w:val="00954A65"/>
    <w:rsid w:val="00954A66"/>
    <w:rsid w:val="00954C15"/>
    <w:rsid w:val="00954C89"/>
    <w:rsid w:val="00955023"/>
    <w:rsid w:val="009550BC"/>
    <w:rsid w:val="009550FF"/>
    <w:rsid w:val="00955213"/>
    <w:rsid w:val="00955922"/>
    <w:rsid w:val="00955DBE"/>
    <w:rsid w:val="00955E36"/>
    <w:rsid w:val="00956176"/>
    <w:rsid w:val="00956349"/>
    <w:rsid w:val="0095636B"/>
    <w:rsid w:val="009564F1"/>
    <w:rsid w:val="009569D1"/>
    <w:rsid w:val="00956D71"/>
    <w:rsid w:val="009573AE"/>
    <w:rsid w:val="009573B5"/>
    <w:rsid w:val="00957776"/>
    <w:rsid w:val="00957A71"/>
    <w:rsid w:val="00957B71"/>
    <w:rsid w:val="00957CB4"/>
    <w:rsid w:val="00957E5E"/>
    <w:rsid w:val="00957E82"/>
    <w:rsid w:val="0096057F"/>
    <w:rsid w:val="0096069F"/>
    <w:rsid w:val="00960916"/>
    <w:rsid w:val="00960E5A"/>
    <w:rsid w:val="00960F39"/>
    <w:rsid w:val="00960F69"/>
    <w:rsid w:val="0096137A"/>
    <w:rsid w:val="00961405"/>
    <w:rsid w:val="0096155A"/>
    <w:rsid w:val="00961651"/>
    <w:rsid w:val="00961672"/>
    <w:rsid w:val="00961923"/>
    <w:rsid w:val="00961994"/>
    <w:rsid w:val="009619A1"/>
    <w:rsid w:val="00961B94"/>
    <w:rsid w:val="00961D0B"/>
    <w:rsid w:val="00961DCF"/>
    <w:rsid w:val="00961FBA"/>
    <w:rsid w:val="00961FBD"/>
    <w:rsid w:val="00961FE0"/>
    <w:rsid w:val="009620C5"/>
    <w:rsid w:val="00962148"/>
    <w:rsid w:val="0096216E"/>
    <w:rsid w:val="009621C5"/>
    <w:rsid w:val="009622B7"/>
    <w:rsid w:val="0096230A"/>
    <w:rsid w:val="0096249F"/>
    <w:rsid w:val="0096272B"/>
    <w:rsid w:val="00962839"/>
    <w:rsid w:val="009628B1"/>
    <w:rsid w:val="00962AFE"/>
    <w:rsid w:val="00962BD1"/>
    <w:rsid w:val="00962DB6"/>
    <w:rsid w:val="00962DE0"/>
    <w:rsid w:val="00962DF1"/>
    <w:rsid w:val="00962E3A"/>
    <w:rsid w:val="0096315F"/>
    <w:rsid w:val="009631FD"/>
    <w:rsid w:val="009632A3"/>
    <w:rsid w:val="00963440"/>
    <w:rsid w:val="0096366B"/>
    <w:rsid w:val="0096385A"/>
    <w:rsid w:val="00963A4C"/>
    <w:rsid w:val="00963EFF"/>
    <w:rsid w:val="009646B4"/>
    <w:rsid w:val="00964C7D"/>
    <w:rsid w:val="00964C7E"/>
    <w:rsid w:val="00964D7F"/>
    <w:rsid w:val="00964DFC"/>
    <w:rsid w:val="00964F4E"/>
    <w:rsid w:val="00965B60"/>
    <w:rsid w:val="00965E4F"/>
    <w:rsid w:val="00966042"/>
    <w:rsid w:val="00966109"/>
    <w:rsid w:val="009663F1"/>
    <w:rsid w:val="009664A8"/>
    <w:rsid w:val="00966820"/>
    <w:rsid w:val="00966B26"/>
    <w:rsid w:val="00966D27"/>
    <w:rsid w:val="00966E93"/>
    <w:rsid w:val="00966EFF"/>
    <w:rsid w:val="00967110"/>
    <w:rsid w:val="00967115"/>
    <w:rsid w:val="0096751F"/>
    <w:rsid w:val="00967724"/>
    <w:rsid w:val="0096785E"/>
    <w:rsid w:val="0096798F"/>
    <w:rsid w:val="009679AD"/>
    <w:rsid w:val="00967DA0"/>
    <w:rsid w:val="009701A4"/>
    <w:rsid w:val="009703F4"/>
    <w:rsid w:val="00970E65"/>
    <w:rsid w:val="00970EA0"/>
    <w:rsid w:val="0097144E"/>
    <w:rsid w:val="0097177A"/>
    <w:rsid w:val="0097185F"/>
    <w:rsid w:val="0097186F"/>
    <w:rsid w:val="00971A4D"/>
    <w:rsid w:val="00971DBF"/>
    <w:rsid w:val="00971E38"/>
    <w:rsid w:val="00971FA0"/>
    <w:rsid w:val="0097202A"/>
    <w:rsid w:val="0097207F"/>
    <w:rsid w:val="00972213"/>
    <w:rsid w:val="0097223F"/>
    <w:rsid w:val="0097240E"/>
    <w:rsid w:val="00972739"/>
    <w:rsid w:val="00972883"/>
    <w:rsid w:val="009728F4"/>
    <w:rsid w:val="00972952"/>
    <w:rsid w:val="00972964"/>
    <w:rsid w:val="00972C15"/>
    <w:rsid w:val="00972D82"/>
    <w:rsid w:val="00972E5B"/>
    <w:rsid w:val="00973429"/>
    <w:rsid w:val="009735E7"/>
    <w:rsid w:val="0097367C"/>
    <w:rsid w:val="009736C8"/>
    <w:rsid w:val="009739C1"/>
    <w:rsid w:val="00973BEC"/>
    <w:rsid w:val="00973D5A"/>
    <w:rsid w:val="009741AD"/>
    <w:rsid w:val="00974249"/>
    <w:rsid w:val="00974336"/>
    <w:rsid w:val="009743B9"/>
    <w:rsid w:val="0097485D"/>
    <w:rsid w:val="009749B9"/>
    <w:rsid w:val="00974CF3"/>
    <w:rsid w:val="00974D2C"/>
    <w:rsid w:val="00974ED4"/>
    <w:rsid w:val="0097517F"/>
    <w:rsid w:val="009753F2"/>
    <w:rsid w:val="00975A63"/>
    <w:rsid w:val="00975B5C"/>
    <w:rsid w:val="009762A5"/>
    <w:rsid w:val="0097633B"/>
    <w:rsid w:val="009764A6"/>
    <w:rsid w:val="009764D9"/>
    <w:rsid w:val="009772EE"/>
    <w:rsid w:val="0097731E"/>
    <w:rsid w:val="00977837"/>
    <w:rsid w:val="00977A24"/>
    <w:rsid w:val="00977D80"/>
    <w:rsid w:val="00977DC8"/>
    <w:rsid w:val="009806A7"/>
    <w:rsid w:val="00980765"/>
    <w:rsid w:val="009808D5"/>
    <w:rsid w:val="00981619"/>
    <w:rsid w:val="00981739"/>
    <w:rsid w:val="00981811"/>
    <w:rsid w:val="0098191D"/>
    <w:rsid w:val="0098212E"/>
    <w:rsid w:val="00982341"/>
    <w:rsid w:val="009824B1"/>
    <w:rsid w:val="00982992"/>
    <w:rsid w:val="00982F1F"/>
    <w:rsid w:val="0098336D"/>
    <w:rsid w:val="009833EF"/>
    <w:rsid w:val="009835D5"/>
    <w:rsid w:val="00983F69"/>
    <w:rsid w:val="00984767"/>
    <w:rsid w:val="00984978"/>
    <w:rsid w:val="009849AD"/>
    <w:rsid w:val="00984D98"/>
    <w:rsid w:val="00984E42"/>
    <w:rsid w:val="00984E4A"/>
    <w:rsid w:val="009850D4"/>
    <w:rsid w:val="0098544E"/>
    <w:rsid w:val="0098545D"/>
    <w:rsid w:val="00985C1B"/>
    <w:rsid w:val="00986013"/>
    <w:rsid w:val="0098626B"/>
    <w:rsid w:val="00986387"/>
    <w:rsid w:val="009863E8"/>
    <w:rsid w:val="00986B47"/>
    <w:rsid w:val="00986C7E"/>
    <w:rsid w:val="00986F5D"/>
    <w:rsid w:val="009874D9"/>
    <w:rsid w:val="00987760"/>
    <w:rsid w:val="00987999"/>
    <w:rsid w:val="00987B72"/>
    <w:rsid w:val="00987B93"/>
    <w:rsid w:val="00987F99"/>
    <w:rsid w:val="00987FF2"/>
    <w:rsid w:val="0099000F"/>
    <w:rsid w:val="00990294"/>
    <w:rsid w:val="009903E0"/>
    <w:rsid w:val="00990716"/>
    <w:rsid w:val="00990B4A"/>
    <w:rsid w:val="00990EDB"/>
    <w:rsid w:val="00990EDE"/>
    <w:rsid w:val="0099101F"/>
    <w:rsid w:val="009910DF"/>
    <w:rsid w:val="00991118"/>
    <w:rsid w:val="0099138D"/>
    <w:rsid w:val="0099160B"/>
    <w:rsid w:val="009917C7"/>
    <w:rsid w:val="00991910"/>
    <w:rsid w:val="0099197E"/>
    <w:rsid w:val="00991DF8"/>
    <w:rsid w:val="0099202D"/>
    <w:rsid w:val="009920DB"/>
    <w:rsid w:val="00992173"/>
    <w:rsid w:val="009925B9"/>
    <w:rsid w:val="009926F2"/>
    <w:rsid w:val="0099280E"/>
    <w:rsid w:val="009928E6"/>
    <w:rsid w:val="009929EA"/>
    <w:rsid w:val="00992A63"/>
    <w:rsid w:val="00992B70"/>
    <w:rsid w:val="00992CE3"/>
    <w:rsid w:val="009931A1"/>
    <w:rsid w:val="00993445"/>
    <w:rsid w:val="0099371B"/>
    <w:rsid w:val="009939BD"/>
    <w:rsid w:val="00993B98"/>
    <w:rsid w:val="00993C1A"/>
    <w:rsid w:val="00993DCD"/>
    <w:rsid w:val="00993E46"/>
    <w:rsid w:val="00993EF8"/>
    <w:rsid w:val="00993F1E"/>
    <w:rsid w:val="0099407B"/>
    <w:rsid w:val="009942A5"/>
    <w:rsid w:val="009946AA"/>
    <w:rsid w:val="009947F8"/>
    <w:rsid w:val="00994CBE"/>
    <w:rsid w:val="00994FAD"/>
    <w:rsid w:val="00995478"/>
    <w:rsid w:val="009956D8"/>
    <w:rsid w:val="009965AA"/>
    <w:rsid w:val="0099667A"/>
    <w:rsid w:val="009969B8"/>
    <w:rsid w:val="00996C1E"/>
    <w:rsid w:val="00996D45"/>
    <w:rsid w:val="00997384"/>
    <w:rsid w:val="00997703"/>
    <w:rsid w:val="00997A9F"/>
    <w:rsid w:val="00997D2D"/>
    <w:rsid w:val="009A0126"/>
    <w:rsid w:val="009A0890"/>
    <w:rsid w:val="009A0917"/>
    <w:rsid w:val="009A0930"/>
    <w:rsid w:val="009A0D94"/>
    <w:rsid w:val="009A0DDF"/>
    <w:rsid w:val="009A0EA4"/>
    <w:rsid w:val="009A0F03"/>
    <w:rsid w:val="009A1031"/>
    <w:rsid w:val="009A123E"/>
    <w:rsid w:val="009A134D"/>
    <w:rsid w:val="009A1379"/>
    <w:rsid w:val="009A1A5F"/>
    <w:rsid w:val="009A1BA3"/>
    <w:rsid w:val="009A1FE4"/>
    <w:rsid w:val="009A248D"/>
    <w:rsid w:val="009A2698"/>
    <w:rsid w:val="009A26C0"/>
    <w:rsid w:val="009A27D3"/>
    <w:rsid w:val="009A2951"/>
    <w:rsid w:val="009A2E11"/>
    <w:rsid w:val="009A2EBC"/>
    <w:rsid w:val="009A3377"/>
    <w:rsid w:val="009A348C"/>
    <w:rsid w:val="009A3649"/>
    <w:rsid w:val="009A3821"/>
    <w:rsid w:val="009A3857"/>
    <w:rsid w:val="009A43D5"/>
    <w:rsid w:val="009A4479"/>
    <w:rsid w:val="009A46D1"/>
    <w:rsid w:val="009A4D3C"/>
    <w:rsid w:val="009A4F71"/>
    <w:rsid w:val="009A4FCD"/>
    <w:rsid w:val="009A51D6"/>
    <w:rsid w:val="009A540D"/>
    <w:rsid w:val="009A5514"/>
    <w:rsid w:val="009A5740"/>
    <w:rsid w:val="009A58A4"/>
    <w:rsid w:val="009A5FE1"/>
    <w:rsid w:val="009A6071"/>
    <w:rsid w:val="009A64D4"/>
    <w:rsid w:val="009A66A0"/>
    <w:rsid w:val="009A69BD"/>
    <w:rsid w:val="009A711F"/>
    <w:rsid w:val="009A74A2"/>
    <w:rsid w:val="009A77DA"/>
    <w:rsid w:val="009A7C01"/>
    <w:rsid w:val="009A7F1D"/>
    <w:rsid w:val="009B004B"/>
    <w:rsid w:val="009B0261"/>
    <w:rsid w:val="009B031B"/>
    <w:rsid w:val="009B04EC"/>
    <w:rsid w:val="009B051C"/>
    <w:rsid w:val="009B078C"/>
    <w:rsid w:val="009B09AB"/>
    <w:rsid w:val="009B09C9"/>
    <w:rsid w:val="009B0A43"/>
    <w:rsid w:val="009B0B76"/>
    <w:rsid w:val="009B0E8C"/>
    <w:rsid w:val="009B0EFB"/>
    <w:rsid w:val="009B0FEB"/>
    <w:rsid w:val="009B147C"/>
    <w:rsid w:val="009B189E"/>
    <w:rsid w:val="009B1C0A"/>
    <w:rsid w:val="009B1D2E"/>
    <w:rsid w:val="009B1F9A"/>
    <w:rsid w:val="009B2626"/>
    <w:rsid w:val="009B26B2"/>
    <w:rsid w:val="009B26FF"/>
    <w:rsid w:val="009B273B"/>
    <w:rsid w:val="009B2CA5"/>
    <w:rsid w:val="009B2DD8"/>
    <w:rsid w:val="009B2E1B"/>
    <w:rsid w:val="009B31F6"/>
    <w:rsid w:val="009B3534"/>
    <w:rsid w:val="009B360D"/>
    <w:rsid w:val="009B3684"/>
    <w:rsid w:val="009B3B81"/>
    <w:rsid w:val="009B3BBD"/>
    <w:rsid w:val="009B3F68"/>
    <w:rsid w:val="009B415C"/>
    <w:rsid w:val="009B4197"/>
    <w:rsid w:val="009B5122"/>
    <w:rsid w:val="009B51C8"/>
    <w:rsid w:val="009B542E"/>
    <w:rsid w:val="009B57B8"/>
    <w:rsid w:val="009B5AFB"/>
    <w:rsid w:val="009B6608"/>
    <w:rsid w:val="009B665F"/>
    <w:rsid w:val="009B6726"/>
    <w:rsid w:val="009B676A"/>
    <w:rsid w:val="009B6F96"/>
    <w:rsid w:val="009B730A"/>
    <w:rsid w:val="009B7A6A"/>
    <w:rsid w:val="009C001D"/>
    <w:rsid w:val="009C0374"/>
    <w:rsid w:val="009C04FA"/>
    <w:rsid w:val="009C0658"/>
    <w:rsid w:val="009C0707"/>
    <w:rsid w:val="009C072F"/>
    <w:rsid w:val="009C081E"/>
    <w:rsid w:val="009C0934"/>
    <w:rsid w:val="009C0AC0"/>
    <w:rsid w:val="009C144A"/>
    <w:rsid w:val="009C174B"/>
    <w:rsid w:val="009C1CD2"/>
    <w:rsid w:val="009C1E6A"/>
    <w:rsid w:val="009C1FA6"/>
    <w:rsid w:val="009C1FB7"/>
    <w:rsid w:val="009C2505"/>
    <w:rsid w:val="009C28ED"/>
    <w:rsid w:val="009C2BFE"/>
    <w:rsid w:val="009C2C6B"/>
    <w:rsid w:val="009C2DAD"/>
    <w:rsid w:val="009C2EAE"/>
    <w:rsid w:val="009C36A9"/>
    <w:rsid w:val="009C415E"/>
    <w:rsid w:val="009C415F"/>
    <w:rsid w:val="009C46D7"/>
    <w:rsid w:val="009C476A"/>
    <w:rsid w:val="009C4DC8"/>
    <w:rsid w:val="009C5096"/>
    <w:rsid w:val="009C5508"/>
    <w:rsid w:val="009C55BB"/>
    <w:rsid w:val="009C5705"/>
    <w:rsid w:val="009C5EFF"/>
    <w:rsid w:val="009C6322"/>
    <w:rsid w:val="009C65EB"/>
    <w:rsid w:val="009C66D8"/>
    <w:rsid w:val="009C68A1"/>
    <w:rsid w:val="009C6D35"/>
    <w:rsid w:val="009C737F"/>
    <w:rsid w:val="009C746A"/>
    <w:rsid w:val="009C7A1E"/>
    <w:rsid w:val="009D06F3"/>
    <w:rsid w:val="009D07FB"/>
    <w:rsid w:val="009D0AB5"/>
    <w:rsid w:val="009D0B2E"/>
    <w:rsid w:val="009D10AC"/>
    <w:rsid w:val="009D149F"/>
    <w:rsid w:val="009D15C8"/>
    <w:rsid w:val="009D167C"/>
    <w:rsid w:val="009D1906"/>
    <w:rsid w:val="009D1C1C"/>
    <w:rsid w:val="009D1C66"/>
    <w:rsid w:val="009D213E"/>
    <w:rsid w:val="009D230C"/>
    <w:rsid w:val="009D2324"/>
    <w:rsid w:val="009D2B39"/>
    <w:rsid w:val="009D2BE5"/>
    <w:rsid w:val="009D2FD9"/>
    <w:rsid w:val="009D3061"/>
    <w:rsid w:val="009D30E7"/>
    <w:rsid w:val="009D31AF"/>
    <w:rsid w:val="009D3225"/>
    <w:rsid w:val="009D32FF"/>
    <w:rsid w:val="009D33F7"/>
    <w:rsid w:val="009D34C5"/>
    <w:rsid w:val="009D3F44"/>
    <w:rsid w:val="009D468B"/>
    <w:rsid w:val="009D4833"/>
    <w:rsid w:val="009D49F6"/>
    <w:rsid w:val="009D4A07"/>
    <w:rsid w:val="009D4B5F"/>
    <w:rsid w:val="009D4CA2"/>
    <w:rsid w:val="009D5113"/>
    <w:rsid w:val="009D584B"/>
    <w:rsid w:val="009D59A8"/>
    <w:rsid w:val="009D5C43"/>
    <w:rsid w:val="009D5DE8"/>
    <w:rsid w:val="009D5E20"/>
    <w:rsid w:val="009D5F63"/>
    <w:rsid w:val="009D5FD5"/>
    <w:rsid w:val="009D60B4"/>
    <w:rsid w:val="009D60FC"/>
    <w:rsid w:val="009D61BB"/>
    <w:rsid w:val="009D6530"/>
    <w:rsid w:val="009D6A7F"/>
    <w:rsid w:val="009D6FF9"/>
    <w:rsid w:val="009D707E"/>
    <w:rsid w:val="009D7226"/>
    <w:rsid w:val="009D73FA"/>
    <w:rsid w:val="009D7489"/>
    <w:rsid w:val="009D759E"/>
    <w:rsid w:val="009D7687"/>
    <w:rsid w:val="009D76C8"/>
    <w:rsid w:val="009D7952"/>
    <w:rsid w:val="009D7AD1"/>
    <w:rsid w:val="009D7D17"/>
    <w:rsid w:val="009D7DEC"/>
    <w:rsid w:val="009E02C9"/>
    <w:rsid w:val="009E06FA"/>
    <w:rsid w:val="009E0711"/>
    <w:rsid w:val="009E0B8D"/>
    <w:rsid w:val="009E0D59"/>
    <w:rsid w:val="009E0D6E"/>
    <w:rsid w:val="009E10DA"/>
    <w:rsid w:val="009E1110"/>
    <w:rsid w:val="009E1590"/>
    <w:rsid w:val="009E19C3"/>
    <w:rsid w:val="009E1B54"/>
    <w:rsid w:val="009E1E33"/>
    <w:rsid w:val="009E1E3D"/>
    <w:rsid w:val="009E2357"/>
    <w:rsid w:val="009E2393"/>
    <w:rsid w:val="009E246D"/>
    <w:rsid w:val="009E2BF9"/>
    <w:rsid w:val="009E2D0D"/>
    <w:rsid w:val="009E2E14"/>
    <w:rsid w:val="009E2EC8"/>
    <w:rsid w:val="009E3556"/>
    <w:rsid w:val="009E3643"/>
    <w:rsid w:val="009E3876"/>
    <w:rsid w:val="009E3AF5"/>
    <w:rsid w:val="009E411E"/>
    <w:rsid w:val="009E4151"/>
    <w:rsid w:val="009E459B"/>
    <w:rsid w:val="009E45AB"/>
    <w:rsid w:val="009E4A0A"/>
    <w:rsid w:val="009E4ACB"/>
    <w:rsid w:val="009E4CD4"/>
    <w:rsid w:val="009E4D20"/>
    <w:rsid w:val="009E5234"/>
    <w:rsid w:val="009E5378"/>
    <w:rsid w:val="009E53BC"/>
    <w:rsid w:val="009E54EE"/>
    <w:rsid w:val="009E5E85"/>
    <w:rsid w:val="009E6206"/>
    <w:rsid w:val="009E629D"/>
    <w:rsid w:val="009E67AC"/>
    <w:rsid w:val="009E68A5"/>
    <w:rsid w:val="009E6B0D"/>
    <w:rsid w:val="009E6F89"/>
    <w:rsid w:val="009E7286"/>
    <w:rsid w:val="009E746F"/>
    <w:rsid w:val="009E7BF1"/>
    <w:rsid w:val="009E7E0A"/>
    <w:rsid w:val="009E7FC0"/>
    <w:rsid w:val="009F0186"/>
    <w:rsid w:val="009F03FD"/>
    <w:rsid w:val="009F06A5"/>
    <w:rsid w:val="009F0EC4"/>
    <w:rsid w:val="009F156E"/>
    <w:rsid w:val="009F1594"/>
    <w:rsid w:val="009F1B9D"/>
    <w:rsid w:val="009F20CB"/>
    <w:rsid w:val="009F20D6"/>
    <w:rsid w:val="009F22CD"/>
    <w:rsid w:val="009F2358"/>
    <w:rsid w:val="009F32D7"/>
    <w:rsid w:val="009F33B8"/>
    <w:rsid w:val="009F34CD"/>
    <w:rsid w:val="009F3C8C"/>
    <w:rsid w:val="009F3D12"/>
    <w:rsid w:val="009F3ED9"/>
    <w:rsid w:val="009F4385"/>
    <w:rsid w:val="009F47C4"/>
    <w:rsid w:val="009F4839"/>
    <w:rsid w:val="009F4C5C"/>
    <w:rsid w:val="009F5028"/>
    <w:rsid w:val="009F52D7"/>
    <w:rsid w:val="009F5412"/>
    <w:rsid w:val="009F567E"/>
    <w:rsid w:val="009F583E"/>
    <w:rsid w:val="009F5897"/>
    <w:rsid w:val="009F5AF8"/>
    <w:rsid w:val="009F5BDA"/>
    <w:rsid w:val="009F5C76"/>
    <w:rsid w:val="009F5E0E"/>
    <w:rsid w:val="009F5FF5"/>
    <w:rsid w:val="009F6003"/>
    <w:rsid w:val="009F609C"/>
    <w:rsid w:val="009F6730"/>
    <w:rsid w:val="009F6A56"/>
    <w:rsid w:val="009F6ADE"/>
    <w:rsid w:val="009F6BEF"/>
    <w:rsid w:val="009F6C47"/>
    <w:rsid w:val="009F76B4"/>
    <w:rsid w:val="009F7886"/>
    <w:rsid w:val="009F7F60"/>
    <w:rsid w:val="00A0058F"/>
    <w:rsid w:val="00A007C4"/>
    <w:rsid w:val="00A00C46"/>
    <w:rsid w:val="00A00C4B"/>
    <w:rsid w:val="00A01413"/>
    <w:rsid w:val="00A01579"/>
    <w:rsid w:val="00A0189D"/>
    <w:rsid w:val="00A01937"/>
    <w:rsid w:val="00A0193C"/>
    <w:rsid w:val="00A019CE"/>
    <w:rsid w:val="00A02203"/>
    <w:rsid w:val="00A0222E"/>
    <w:rsid w:val="00A023A7"/>
    <w:rsid w:val="00A0258A"/>
    <w:rsid w:val="00A025F5"/>
    <w:rsid w:val="00A028A6"/>
    <w:rsid w:val="00A028C2"/>
    <w:rsid w:val="00A028D5"/>
    <w:rsid w:val="00A02925"/>
    <w:rsid w:val="00A029C1"/>
    <w:rsid w:val="00A02D2B"/>
    <w:rsid w:val="00A02D9C"/>
    <w:rsid w:val="00A02EAC"/>
    <w:rsid w:val="00A0309D"/>
    <w:rsid w:val="00A031B1"/>
    <w:rsid w:val="00A032AB"/>
    <w:rsid w:val="00A032AE"/>
    <w:rsid w:val="00A03785"/>
    <w:rsid w:val="00A03C08"/>
    <w:rsid w:val="00A03C0A"/>
    <w:rsid w:val="00A03CF5"/>
    <w:rsid w:val="00A03DA8"/>
    <w:rsid w:val="00A04006"/>
    <w:rsid w:val="00A04012"/>
    <w:rsid w:val="00A041CE"/>
    <w:rsid w:val="00A04872"/>
    <w:rsid w:val="00A0490C"/>
    <w:rsid w:val="00A049C6"/>
    <w:rsid w:val="00A04CDF"/>
    <w:rsid w:val="00A052ED"/>
    <w:rsid w:val="00A052F5"/>
    <w:rsid w:val="00A05623"/>
    <w:rsid w:val="00A06010"/>
    <w:rsid w:val="00A06058"/>
    <w:rsid w:val="00A061DC"/>
    <w:rsid w:val="00A0635E"/>
    <w:rsid w:val="00A067A3"/>
    <w:rsid w:val="00A06988"/>
    <w:rsid w:val="00A069D0"/>
    <w:rsid w:val="00A0705A"/>
    <w:rsid w:val="00A0732D"/>
    <w:rsid w:val="00A077FA"/>
    <w:rsid w:val="00A07DBE"/>
    <w:rsid w:val="00A1018F"/>
    <w:rsid w:val="00A105D2"/>
    <w:rsid w:val="00A10D51"/>
    <w:rsid w:val="00A10E0C"/>
    <w:rsid w:val="00A10E86"/>
    <w:rsid w:val="00A1100A"/>
    <w:rsid w:val="00A11230"/>
    <w:rsid w:val="00A114D5"/>
    <w:rsid w:val="00A11687"/>
    <w:rsid w:val="00A1191B"/>
    <w:rsid w:val="00A11998"/>
    <w:rsid w:val="00A11C6D"/>
    <w:rsid w:val="00A11D6B"/>
    <w:rsid w:val="00A11F63"/>
    <w:rsid w:val="00A1231B"/>
    <w:rsid w:val="00A1256F"/>
    <w:rsid w:val="00A1287C"/>
    <w:rsid w:val="00A129AA"/>
    <w:rsid w:val="00A12E08"/>
    <w:rsid w:val="00A12EEF"/>
    <w:rsid w:val="00A12FC5"/>
    <w:rsid w:val="00A1317E"/>
    <w:rsid w:val="00A135EE"/>
    <w:rsid w:val="00A13604"/>
    <w:rsid w:val="00A13639"/>
    <w:rsid w:val="00A1373F"/>
    <w:rsid w:val="00A1402E"/>
    <w:rsid w:val="00A14607"/>
    <w:rsid w:val="00A1472C"/>
    <w:rsid w:val="00A14A31"/>
    <w:rsid w:val="00A14AEA"/>
    <w:rsid w:val="00A1500B"/>
    <w:rsid w:val="00A15049"/>
    <w:rsid w:val="00A1519F"/>
    <w:rsid w:val="00A15323"/>
    <w:rsid w:val="00A15448"/>
    <w:rsid w:val="00A159CB"/>
    <w:rsid w:val="00A15CA1"/>
    <w:rsid w:val="00A15D16"/>
    <w:rsid w:val="00A15E63"/>
    <w:rsid w:val="00A15F54"/>
    <w:rsid w:val="00A16062"/>
    <w:rsid w:val="00A163CE"/>
    <w:rsid w:val="00A16446"/>
    <w:rsid w:val="00A16753"/>
    <w:rsid w:val="00A168E6"/>
    <w:rsid w:val="00A16914"/>
    <w:rsid w:val="00A16C5A"/>
    <w:rsid w:val="00A176C4"/>
    <w:rsid w:val="00A179BA"/>
    <w:rsid w:val="00A17ABC"/>
    <w:rsid w:val="00A2019C"/>
    <w:rsid w:val="00A20250"/>
    <w:rsid w:val="00A20413"/>
    <w:rsid w:val="00A2064D"/>
    <w:rsid w:val="00A207C1"/>
    <w:rsid w:val="00A20816"/>
    <w:rsid w:val="00A20997"/>
    <w:rsid w:val="00A20A6D"/>
    <w:rsid w:val="00A21046"/>
    <w:rsid w:val="00A213A8"/>
    <w:rsid w:val="00A213C1"/>
    <w:rsid w:val="00A213DB"/>
    <w:rsid w:val="00A21C5C"/>
    <w:rsid w:val="00A21F84"/>
    <w:rsid w:val="00A2249C"/>
    <w:rsid w:val="00A224C2"/>
    <w:rsid w:val="00A22619"/>
    <w:rsid w:val="00A2275A"/>
    <w:rsid w:val="00A2366D"/>
    <w:rsid w:val="00A236FC"/>
    <w:rsid w:val="00A23794"/>
    <w:rsid w:val="00A239C4"/>
    <w:rsid w:val="00A23A04"/>
    <w:rsid w:val="00A23C2E"/>
    <w:rsid w:val="00A23C95"/>
    <w:rsid w:val="00A23D98"/>
    <w:rsid w:val="00A2414E"/>
    <w:rsid w:val="00A24615"/>
    <w:rsid w:val="00A246B1"/>
    <w:rsid w:val="00A2479D"/>
    <w:rsid w:val="00A248B8"/>
    <w:rsid w:val="00A2495C"/>
    <w:rsid w:val="00A24C5F"/>
    <w:rsid w:val="00A24CB1"/>
    <w:rsid w:val="00A24CEA"/>
    <w:rsid w:val="00A24E63"/>
    <w:rsid w:val="00A25299"/>
    <w:rsid w:val="00A25825"/>
    <w:rsid w:val="00A259BF"/>
    <w:rsid w:val="00A25C88"/>
    <w:rsid w:val="00A25D8D"/>
    <w:rsid w:val="00A2611A"/>
    <w:rsid w:val="00A26217"/>
    <w:rsid w:val="00A26B23"/>
    <w:rsid w:val="00A26CB9"/>
    <w:rsid w:val="00A27786"/>
    <w:rsid w:val="00A277AB"/>
    <w:rsid w:val="00A27958"/>
    <w:rsid w:val="00A27B44"/>
    <w:rsid w:val="00A27E5E"/>
    <w:rsid w:val="00A27E6B"/>
    <w:rsid w:val="00A30289"/>
    <w:rsid w:val="00A30461"/>
    <w:rsid w:val="00A30693"/>
    <w:rsid w:val="00A3096A"/>
    <w:rsid w:val="00A30DA4"/>
    <w:rsid w:val="00A3108A"/>
    <w:rsid w:val="00A3110D"/>
    <w:rsid w:val="00A3123A"/>
    <w:rsid w:val="00A3145F"/>
    <w:rsid w:val="00A315FC"/>
    <w:rsid w:val="00A31866"/>
    <w:rsid w:val="00A318F6"/>
    <w:rsid w:val="00A31940"/>
    <w:rsid w:val="00A31AEE"/>
    <w:rsid w:val="00A31C15"/>
    <w:rsid w:val="00A31C85"/>
    <w:rsid w:val="00A31E23"/>
    <w:rsid w:val="00A31EE1"/>
    <w:rsid w:val="00A3207C"/>
    <w:rsid w:val="00A3228A"/>
    <w:rsid w:val="00A329ED"/>
    <w:rsid w:val="00A32C71"/>
    <w:rsid w:val="00A32CEB"/>
    <w:rsid w:val="00A33104"/>
    <w:rsid w:val="00A33468"/>
    <w:rsid w:val="00A3356C"/>
    <w:rsid w:val="00A3393B"/>
    <w:rsid w:val="00A3394F"/>
    <w:rsid w:val="00A33965"/>
    <w:rsid w:val="00A339A3"/>
    <w:rsid w:val="00A339E8"/>
    <w:rsid w:val="00A33B41"/>
    <w:rsid w:val="00A33D26"/>
    <w:rsid w:val="00A33E4E"/>
    <w:rsid w:val="00A33F8A"/>
    <w:rsid w:val="00A340B4"/>
    <w:rsid w:val="00A3474F"/>
    <w:rsid w:val="00A34804"/>
    <w:rsid w:val="00A349D4"/>
    <w:rsid w:val="00A34AB3"/>
    <w:rsid w:val="00A34BC8"/>
    <w:rsid w:val="00A34CF8"/>
    <w:rsid w:val="00A34F4A"/>
    <w:rsid w:val="00A34FBF"/>
    <w:rsid w:val="00A35243"/>
    <w:rsid w:val="00A356C9"/>
    <w:rsid w:val="00A35710"/>
    <w:rsid w:val="00A35826"/>
    <w:rsid w:val="00A35863"/>
    <w:rsid w:val="00A35ABD"/>
    <w:rsid w:val="00A35B9D"/>
    <w:rsid w:val="00A35BB0"/>
    <w:rsid w:val="00A35D40"/>
    <w:rsid w:val="00A35DF4"/>
    <w:rsid w:val="00A36164"/>
    <w:rsid w:val="00A364F3"/>
    <w:rsid w:val="00A3690B"/>
    <w:rsid w:val="00A36B41"/>
    <w:rsid w:val="00A37387"/>
    <w:rsid w:val="00A37416"/>
    <w:rsid w:val="00A3771B"/>
    <w:rsid w:val="00A37A83"/>
    <w:rsid w:val="00A37FC8"/>
    <w:rsid w:val="00A4032C"/>
    <w:rsid w:val="00A4037F"/>
    <w:rsid w:val="00A40579"/>
    <w:rsid w:val="00A405DD"/>
    <w:rsid w:val="00A40982"/>
    <w:rsid w:val="00A409C6"/>
    <w:rsid w:val="00A409CD"/>
    <w:rsid w:val="00A40A20"/>
    <w:rsid w:val="00A40ABB"/>
    <w:rsid w:val="00A40B11"/>
    <w:rsid w:val="00A416D4"/>
    <w:rsid w:val="00A41FDE"/>
    <w:rsid w:val="00A423FE"/>
    <w:rsid w:val="00A42788"/>
    <w:rsid w:val="00A42A51"/>
    <w:rsid w:val="00A42AE8"/>
    <w:rsid w:val="00A42C0E"/>
    <w:rsid w:val="00A42ED1"/>
    <w:rsid w:val="00A42FAA"/>
    <w:rsid w:val="00A42FFB"/>
    <w:rsid w:val="00A434AA"/>
    <w:rsid w:val="00A43571"/>
    <w:rsid w:val="00A437A3"/>
    <w:rsid w:val="00A43900"/>
    <w:rsid w:val="00A43EAA"/>
    <w:rsid w:val="00A43FE8"/>
    <w:rsid w:val="00A44132"/>
    <w:rsid w:val="00A44349"/>
    <w:rsid w:val="00A448C8"/>
    <w:rsid w:val="00A44A14"/>
    <w:rsid w:val="00A44D8C"/>
    <w:rsid w:val="00A45097"/>
    <w:rsid w:val="00A45342"/>
    <w:rsid w:val="00A4537C"/>
    <w:rsid w:val="00A4559E"/>
    <w:rsid w:val="00A455AD"/>
    <w:rsid w:val="00A455F1"/>
    <w:rsid w:val="00A456D5"/>
    <w:rsid w:val="00A45A63"/>
    <w:rsid w:val="00A45B56"/>
    <w:rsid w:val="00A461A5"/>
    <w:rsid w:val="00A46221"/>
    <w:rsid w:val="00A46381"/>
    <w:rsid w:val="00A46471"/>
    <w:rsid w:val="00A464B8"/>
    <w:rsid w:val="00A46B96"/>
    <w:rsid w:val="00A46C3B"/>
    <w:rsid w:val="00A46ED4"/>
    <w:rsid w:val="00A47035"/>
    <w:rsid w:val="00A476D5"/>
    <w:rsid w:val="00A479FF"/>
    <w:rsid w:val="00A47BD9"/>
    <w:rsid w:val="00A47D0B"/>
    <w:rsid w:val="00A50058"/>
    <w:rsid w:val="00A50196"/>
    <w:rsid w:val="00A503D1"/>
    <w:rsid w:val="00A504A6"/>
    <w:rsid w:val="00A50DE4"/>
    <w:rsid w:val="00A50E13"/>
    <w:rsid w:val="00A5107E"/>
    <w:rsid w:val="00A51334"/>
    <w:rsid w:val="00A518A8"/>
    <w:rsid w:val="00A518C3"/>
    <w:rsid w:val="00A518E3"/>
    <w:rsid w:val="00A51C1F"/>
    <w:rsid w:val="00A522BE"/>
    <w:rsid w:val="00A5276F"/>
    <w:rsid w:val="00A52806"/>
    <w:rsid w:val="00A52B35"/>
    <w:rsid w:val="00A52F62"/>
    <w:rsid w:val="00A52F64"/>
    <w:rsid w:val="00A531A5"/>
    <w:rsid w:val="00A5349F"/>
    <w:rsid w:val="00A53940"/>
    <w:rsid w:val="00A53BC0"/>
    <w:rsid w:val="00A53D6A"/>
    <w:rsid w:val="00A53D9E"/>
    <w:rsid w:val="00A53DB2"/>
    <w:rsid w:val="00A53E5B"/>
    <w:rsid w:val="00A53ECB"/>
    <w:rsid w:val="00A541CA"/>
    <w:rsid w:val="00A54793"/>
    <w:rsid w:val="00A548CA"/>
    <w:rsid w:val="00A5497E"/>
    <w:rsid w:val="00A54D1C"/>
    <w:rsid w:val="00A54F11"/>
    <w:rsid w:val="00A54F36"/>
    <w:rsid w:val="00A551C2"/>
    <w:rsid w:val="00A558F0"/>
    <w:rsid w:val="00A559CE"/>
    <w:rsid w:val="00A55EE3"/>
    <w:rsid w:val="00A560E8"/>
    <w:rsid w:val="00A56110"/>
    <w:rsid w:val="00A565E6"/>
    <w:rsid w:val="00A56817"/>
    <w:rsid w:val="00A56A3D"/>
    <w:rsid w:val="00A56AF6"/>
    <w:rsid w:val="00A56C71"/>
    <w:rsid w:val="00A56E44"/>
    <w:rsid w:val="00A56E82"/>
    <w:rsid w:val="00A57051"/>
    <w:rsid w:val="00A5787E"/>
    <w:rsid w:val="00A57A1B"/>
    <w:rsid w:val="00A57C40"/>
    <w:rsid w:val="00A57C6A"/>
    <w:rsid w:val="00A57DD7"/>
    <w:rsid w:val="00A57E29"/>
    <w:rsid w:val="00A57EE8"/>
    <w:rsid w:val="00A6009C"/>
    <w:rsid w:val="00A600D3"/>
    <w:rsid w:val="00A601B6"/>
    <w:rsid w:val="00A6022B"/>
    <w:rsid w:val="00A60507"/>
    <w:rsid w:val="00A605A3"/>
    <w:rsid w:val="00A6075D"/>
    <w:rsid w:val="00A6076E"/>
    <w:rsid w:val="00A6098F"/>
    <w:rsid w:val="00A60B03"/>
    <w:rsid w:val="00A60B0C"/>
    <w:rsid w:val="00A60CEB"/>
    <w:rsid w:val="00A61039"/>
    <w:rsid w:val="00A61160"/>
    <w:rsid w:val="00A6119F"/>
    <w:rsid w:val="00A61270"/>
    <w:rsid w:val="00A615E6"/>
    <w:rsid w:val="00A616DD"/>
    <w:rsid w:val="00A61847"/>
    <w:rsid w:val="00A618D3"/>
    <w:rsid w:val="00A61919"/>
    <w:rsid w:val="00A61D3C"/>
    <w:rsid w:val="00A61D93"/>
    <w:rsid w:val="00A61E0A"/>
    <w:rsid w:val="00A6239F"/>
    <w:rsid w:val="00A62A05"/>
    <w:rsid w:val="00A62AC8"/>
    <w:rsid w:val="00A62BE9"/>
    <w:rsid w:val="00A63117"/>
    <w:rsid w:val="00A6367B"/>
    <w:rsid w:val="00A63A45"/>
    <w:rsid w:val="00A63E61"/>
    <w:rsid w:val="00A63FAA"/>
    <w:rsid w:val="00A64042"/>
    <w:rsid w:val="00A642D3"/>
    <w:rsid w:val="00A643C4"/>
    <w:rsid w:val="00A6497F"/>
    <w:rsid w:val="00A64A19"/>
    <w:rsid w:val="00A64DAE"/>
    <w:rsid w:val="00A64E40"/>
    <w:rsid w:val="00A64E90"/>
    <w:rsid w:val="00A651F9"/>
    <w:rsid w:val="00A6522F"/>
    <w:rsid w:val="00A65878"/>
    <w:rsid w:val="00A658FE"/>
    <w:rsid w:val="00A659B7"/>
    <w:rsid w:val="00A659FA"/>
    <w:rsid w:val="00A66135"/>
    <w:rsid w:val="00A6641D"/>
    <w:rsid w:val="00A664F6"/>
    <w:rsid w:val="00A665EE"/>
    <w:rsid w:val="00A668EE"/>
    <w:rsid w:val="00A66AE0"/>
    <w:rsid w:val="00A66B1C"/>
    <w:rsid w:val="00A66F5E"/>
    <w:rsid w:val="00A67103"/>
    <w:rsid w:val="00A672D6"/>
    <w:rsid w:val="00A672F7"/>
    <w:rsid w:val="00A6746B"/>
    <w:rsid w:val="00A674DA"/>
    <w:rsid w:val="00A674F2"/>
    <w:rsid w:val="00A679F6"/>
    <w:rsid w:val="00A679FB"/>
    <w:rsid w:val="00A67E56"/>
    <w:rsid w:val="00A7002A"/>
    <w:rsid w:val="00A70062"/>
    <w:rsid w:val="00A701CD"/>
    <w:rsid w:val="00A7031B"/>
    <w:rsid w:val="00A70434"/>
    <w:rsid w:val="00A71447"/>
    <w:rsid w:val="00A715A3"/>
    <w:rsid w:val="00A719B5"/>
    <w:rsid w:val="00A71ABE"/>
    <w:rsid w:val="00A71ED6"/>
    <w:rsid w:val="00A72312"/>
    <w:rsid w:val="00A723EC"/>
    <w:rsid w:val="00A725C9"/>
    <w:rsid w:val="00A72D80"/>
    <w:rsid w:val="00A72DF4"/>
    <w:rsid w:val="00A732B2"/>
    <w:rsid w:val="00A7356A"/>
    <w:rsid w:val="00A736B6"/>
    <w:rsid w:val="00A738A3"/>
    <w:rsid w:val="00A73B2A"/>
    <w:rsid w:val="00A74001"/>
    <w:rsid w:val="00A7411B"/>
    <w:rsid w:val="00A748EB"/>
    <w:rsid w:val="00A74BDF"/>
    <w:rsid w:val="00A74E9A"/>
    <w:rsid w:val="00A7545C"/>
    <w:rsid w:val="00A754D8"/>
    <w:rsid w:val="00A75608"/>
    <w:rsid w:val="00A75B6E"/>
    <w:rsid w:val="00A76019"/>
    <w:rsid w:val="00A7605C"/>
    <w:rsid w:val="00A76438"/>
    <w:rsid w:val="00A7648A"/>
    <w:rsid w:val="00A76789"/>
    <w:rsid w:val="00A767E2"/>
    <w:rsid w:val="00A76AFF"/>
    <w:rsid w:val="00A76DAE"/>
    <w:rsid w:val="00A76DBB"/>
    <w:rsid w:val="00A76EEA"/>
    <w:rsid w:val="00A7743D"/>
    <w:rsid w:val="00A774B7"/>
    <w:rsid w:val="00A774EB"/>
    <w:rsid w:val="00A77934"/>
    <w:rsid w:val="00A77952"/>
    <w:rsid w:val="00A77A71"/>
    <w:rsid w:val="00A77C1B"/>
    <w:rsid w:val="00A77D0D"/>
    <w:rsid w:val="00A77DF7"/>
    <w:rsid w:val="00A80144"/>
    <w:rsid w:val="00A8025B"/>
    <w:rsid w:val="00A807F3"/>
    <w:rsid w:val="00A8092F"/>
    <w:rsid w:val="00A80CA7"/>
    <w:rsid w:val="00A81482"/>
    <w:rsid w:val="00A814A5"/>
    <w:rsid w:val="00A81A75"/>
    <w:rsid w:val="00A81B34"/>
    <w:rsid w:val="00A824C1"/>
    <w:rsid w:val="00A82764"/>
    <w:rsid w:val="00A82C9B"/>
    <w:rsid w:val="00A831F2"/>
    <w:rsid w:val="00A832A9"/>
    <w:rsid w:val="00A83A29"/>
    <w:rsid w:val="00A83D75"/>
    <w:rsid w:val="00A83F01"/>
    <w:rsid w:val="00A840B0"/>
    <w:rsid w:val="00A8438C"/>
    <w:rsid w:val="00A845FA"/>
    <w:rsid w:val="00A8492F"/>
    <w:rsid w:val="00A84C00"/>
    <w:rsid w:val="00A85060"/>
    <w:rsid w:val="00A8541E"/>
    <w:rsid w:val="00A859B6"/>
    <w:rsid w:val="00A85CA4"/>
    <w:rsid w:val="00A85D69"/>
    <w:rsid w:val="00A85FA0"/>
    <w:rsid w:val="00A85FA1"/>
    <w:rsid w:val="00A85FD9"/>
    <w:rsid w:val="00A86104"/>
    <w:rsid w:val="00A862B4"/>
    <w:rsid w:val="00A86752"/>
    <w:rsid w:val="00A86B9B"/>
    <w:rsid w:val="00A86BC4"/>
    <w:rsid w:val="00A86C66"/>
    <w:rsid w:val="00A86CDF"/>
    <w:rsid w:val="00A86D52"/>
    <w:rsid w:val="00A8704E"/>
    <w:rsid w:val="00A874A0"/>
    <w:rsid w:val="00A875B4"/>
    <w:rsid w:val="00A877C3"/>
    <w:rsid w:val="00A878EA"/>
    <w:rsid w:val="00A87DCF"/>
    <w:rsid w:val="00A906E0"/>
    <w:rsid w:val="00A90874"/>
    <w:rsid w:val="00A90CEA"/>
    <w:rsid w:val="00A90DDA"/>
    <w:rsid w:val="00A9129E"/>
    <w:rsid w:val="00A912E9"/>
    <w:rsid w:val="00A916CC"/>
    <w:rsid w:val="00A917F0"/>
    <w:rsid w:val="00A91A51"/>
    <w:rsid w:val="00A91B8F"/>
    <w:rsid w:val="00A91D0A"/>
    <w:rsid w:val="00A91F8C"/>
    <w:rsid w:val="00A92121"/>
    <w:rsid w:val="00A921BD"/>
    <w:rsid w:val="00A9231E"/>
    <w:rsid w:val="00A923B8"/>
    <w:rsid w:val="00A927BF"/>
    <w:rsid w:val="00A92CF5"/>
    <w:rsid w:val="00A92FCA"/>
    <w:rsid w:val="00A936B5"/>
    <w:rsid w:val="00A936F1"/>
    <w:rsid w:val="00A93F18"/>
    <w:rsid w:val="00A940B1"/>
    <w:rsid w:val="00A941DA"/>
    <w:rsid w:val="00A94322"/>
    <w:rsid w:val="00A94EA2"/>
    <w:rsid w:val="00A94F66"/>
    <w:rsid w:val="00A95150"/>
    <w:rsid w:val="00A95238"/>
    <w:rsid w:val="00A956CA"/>
    <w:rsid w:val="00A95908"/>
    <w:rsid w:val="00A95DB9"/>
    <w:rsid w:val="00A95EA2"/>
    <w:rsid w:val="00A95F08"/>
    <w:rsid w:val="00A96095"/>
    <w:rsid w:val="00A96198"/>
    <w:rsid w:val="00A961BE"/>
    <w:rsid w:val="00A96236"/>
    <w:rsid w:val="00A96DA6"/>
    <w:rsid w:val="00A96EAB"/>
    <w:rsid w:val="00A96F16"/>
    <w:rsid w:val="00A977B6"/>
    <w:rsid w:val="00A9787B"/>
    <w:rsid w:val="00A97E63"/>
    <w:rsid w:val="00AA0213"/>
    <w:rsid w:val="00AA0296"/>
    <w:rsid w:val="00AA02B1"/>
    <w:rsid w:val="00AA07D1"/>
    <w:rsid w:val="00AA12C5"/>
    <w:rsid w:val="00AA15CF"/>
    <w:rsid w:val="00AA19B7"/>
    <w:rsid w:val="00AA1AFB"/>
    <w:rsid w:val="00AA1D6E"/>
    <w:rsid w:val="00AA1FE3"/>
    <w:rsid w:val="00AA23DD"/>
    <w:rsid w:val="00AA28F0"/>
    <w:rsid w:val="00AA2DC0"/>
    <w:rsid w:val="00AA2EEB"/>
    <w:rsid w:val="00AA2F22"/>
    <w:rsid w:val="00AA305B"/>
    <w:rsid w:val="00AA30C6"/>
    <w:rsid w:val="00AA3484"/>
    <w:rsid w:val="00AA355E"/>
    <w:rsid w:val="00AA40D2"/>
    <w:rsid w:val="00AA40DA"/>
    <w:rsid w:val="00AA4200"/>
    <w:rsid w:val="00AA428C"/>
    <w:rsid w:val="00AA4462"/>
    <w:rsid w:val="00AA45D8"/>
    <w:rsid w:val="00AA47A5"/>
    <w:rsid w:val="00AA4871"/>
    <w:rsid w:val="00AA4D30"/>
    <w:rsid w:val="00AA4D58"/>
    <w:rsid w:val="00AA55AC"/>
    <w:rsid w:val="00AA58CF"/>
    <w:rsid w:val="00AA5ACB"/>
    <w:rsid w:val="00AA5FE7"/>
    <w:rsid w:val="00AA6168"/>
    <w:rsid w:val="00AA64EE"/>
    <w:rsid w:val="00AA6525"/>
    <w:rsid w:val="00AA6910"/>
    <w:rsid w:val="00AA6A70"/>
    <w:rsid w:val="00AA7033"/>
    <w:rsid w:val="00AA792C"/>
    <w:rsid w:val="00AA7A05"/>
    <w:rsid w:val="00AA7D80"/>
    <w:rsid w:val="00AB0339"/>
    <w:rsid w:val="00AB0A15"/>
    <w:rsid w:val="00AB0BB2"/>
    <w:rsid w:val="00AB0E19"/>
    <w:rsid w:val="00AB0E2F"/>
    <w:rsid w:val="00AB15DE"/>
    <w:rsid w:val="00AB189A"/>
    <w:rsid w:val="00AB1A21"/>
    <w:rsid w:val="00AB1A29"/>
    <w:rsid w:val="00AB1BDC"/>
    <w:rsid w:val="00AB1C17"/>
    <w:rsid w:val="00AB1C2E"/>
    <w:rsid w:val="00AB1C4E"/>
    <w:rsid w:val="00AB2150"/>
    <w:rsid w:val="00AB2204"/>
    <w:rsid w:val="00AB2FE0"/>
    <w:rsid w:val="00AB31EA"/>
    <w:rsid w:val="00AB3274"/>
    <w:rsid w:val="00AB34E7"/>
    <w:rsid w:val="00AB363B"/>
    <w:rsid w:val="00AB36C8"/>
    <w:rsid w:val="00AB3814"/>
    <w:rsid w:val="00AB3A5F"/>
    <w:rsid w:val="00AB3C17"/>
    <w:rsid w:val="00AB3CB9"/>
    <w:rsid w:val="00AB3F49"/>
    <w:rsid w:val="00AB4261"/>
    <w:rsid w:val="00AB458E"/>
    <w:rsid w:val="00AB4D03"/>
    <w:rsid w:val="00AB4EF3"/>
    <w:rsid w:val="00AB510C"/>
    <w:rsid w:val="00AB589D"/>
    <w:rsid w:val="00AB5938"/>
    <w:rsid w:val="00AB5B68"/>
    <w:rsid w:val="00AB5E5E"/>
    <w:rsid w:val="00AB6343"/>
    <w:rsid w:val="00AB6433"/>
    <w:rsid w:val="00AB65E9"/>
    <w:rsid w:val="00AB6B90"/>
    <w:rsid w:val="00AB6C3C"/>
    <w:rsid w:val="00AB6D50"/>
    <w:rsid w:val="00AB70FE"/>
    <w:rsid w:val="00AB742C"/>
    <w:rsid w:val="00AB752F"/>
    <w:rsid w:val="00AB76F3"/>
    <w:rsid w:val="00AB7D52"/>
    <w:rsid w:val="00AC02DC"/>
    <w:rsid w:val="00AC02EB"/>
    <w:rsid w:val="00AC056F"/>
    <w:rsid w:val="00AC0680"/>
    <w:rsid w:val="00AC0B66"/>
    <w:rsid w:val="00AC0BDD"/>
    <w:rsid w:val="00AC0C00"/>
    <w:rsid w:val="00AC0D88"/>
    <w:rsid w:val="00AC0E00"/>
    <w:rsid w:val="00AC0E07"/>
    <w:rsid w:val="00AC1018"/>
    <w:rsid w:val="00AC15B2"/>
    <w:rsid w:val="00AC17BE"/>
    <w:rsid w:val="00AC1A22"/>
    <w:rsid w:val="00AC1A43"/>
    <w:rsid w:val="00AC1C59"/>
    <w:rsid w:val="00AC1E8C"/>
    <w:rsid w:val="00AC1F21"/>
    <w:rsid w:val="00AC21AF"/>
    <w:rsid w:val="00AC24BA"/>
    <w:rsid w:val="00AC2651"/>
    <w:rsid w:val="00AC2745"/>
    <w:rsid w:val="00AC2E35"/>
    <w:rsid w:val="00AC2E3C"/>
    <w:rsid w:val="00AC3133"/>
    <w:rsid w:val="00AC3193"/>
    <w:rsid w:val="00AC37D5"/>
    <w:rsid w:val="00AC3BD2"/>
    <w:rsid w:val="00AC3F52"/>
    <w:rsid w:val="00AC4073"/>
    <w:rsid w:val="00AC43E5"/>
    <w:rsid w:val="00AC4589"/>
    <w:rsid w:val="00AC461D"/>
    <w:rsid w:val="00AC49D7"/>
    <w:rsid w:val="00AC4A9A"/>
    <w:rsid w:val="00AC4C5F"/>
    <w:rsid w:val="00AC4E9F"/>
    <w:rsid w:val="00AC53E0"/>
    <w:rsid w:val="00AC542C"/>
    <w:rsid w:val="00AC557A"/>
    <w:rsid w:val="00AC56B8"/>
    <w:rsid w:val="00AC5738"/>
    <w:rsid w:val="00AC58FA"/>
    <w:rsid w:val="00AC5A49"/>
    <w:rsid w:val="00AC5AE3"/>
    <w:rsid w:val="00AC5B19"/>
    <w:rsid w:val="00AC5C3D"/>
    <w:rsid w:val="00AC6138"/>
    <w:rsid w:val="00AC6EB6"/>
    <w:rsid w:val="00AC6EF7"/>
    <w:rsid w:val="00AC6F2F"/>
    <w:rsid w:val="00AC70E2"/>
    <w:rsid w:val="00AC71C0"/>
    <w:rsid w:val="00AC7282"/>
    <w:rsid w:val="00AC75A6"/>
    <w:rsid w:val="00AC7730"/>
    <w:rsid w:val="00AC7A7C"/>
    <w:rsid w:val="00AD015E"/>
    <w:rsid w:val="00AD02F0"/>
    <w:rsid w:val="00AD0359"/>
    <w:rsid w:val="00AD044E"/>
    <w:rsid w:val="00AD047C"/>
    <w:rsid w:val="00AD0633"/>
    <w:rsid w:val="00AD08C5"/>
    <w:rsid w:val="00AD0950"/>
    <w:rsid w:val="00AD09CA"/>
    <w:rsid w:val="00AD0DE7"/>
    <w:rsid w:val="00AD1804"/>
    <w:rsid w:val="00AD1AE4"/>
    <w:rsid w:val="00AD1FB6"/>
    <w:rsid w:val="00AD21BC"/>
    <w:rsid w:val="00AD2224"/>
    <w:rsid w:val="00AD241B"/>
    <w:rsid w:val="00AD27D4"/>
    <w:rsid w:val="00AD28F1"/>
    <w:rsid w:val="00AD2914"/>
    <w:rsid w:val="00AD2AE3"/>
    <w:rsid w:val="00AD2B81"/>
    <w:rsid w:val="00AD2BA2"/>
    <w:rsid w:val="00AD2C60"/>
    <w:rsid w:val="00AD2EB2"/>
    <w:rsid w:val="00AD2ED4"/>
    <w:rsid w:val="00AD330E"/>
    <w:rsid w:val="00AD37C6"/>
    <w:rsid w:val="00AD3B29"/>
    <w:rsid w:val="00AD3D7E"/>
    <w:rsid w:val="00AD3EC0"/>
    <w:rsid w:val="00AD41D3"/>
    <w:rsid w:val="00AD42AB"/>
    <w:rsid w:val="00AD4485"/>
    <w:rsid w:val="00AD460C"/>
    <w:rsid w:val="00AD4628"/>
    <w:rsid w:val="00AD483A"/>
    <w:rsid w:val="00AD4DCF"/>
    <w:rsid w:val="00AD4F29"/>
    <w:rsid w:val="00AD4F3E"/>
    <w:rsid w:val="00AD50FB"/>
    <w:rsid w:val="00AD527B"/>
    <w:rsid w:val="00AD54E0"/>
    <w:rsid w:val="00AD55F7"/>
    <w:rsid w:val="00AD5792"/>
    <w:rsid w:val="00AD59FF"/>
    <w:rsid w:val="00AD6942"/>
    <w:rsid w:val="00AD6B06"/>
    <w:rsid w:val="00AD6CBC"/>
    <w:rsid w:val="00AD6CD6"/>
    <w:rsid w:val="00AD6DB6"/>
    <w:rsid w:val="00AD6E13"/>
    <w:rsid w:val="00AD72A4"/>
    <w:rsid w:val="00AD72F4"/>
    <w:rsid w:val="00AD75A2"/>
    <w:rsid w:val="00AD79C5"/>
    <w:rsid w:val="00AD7D1C"/>
    <w:rsid w:val="00AE019F"/>
    <w:rsid w:val="00AE02BB"/>
    <w:rsid w:val="00AE043A"/>
    <w:rsid w:val="00AE0AA5"/>
    <w:rsid w:val="00AE0CF2"/>
    <w:rsid w:val="00AE1288"/>
    <w:rsid w:val="00AE13AD"/>
    <w:rsid w:val="00AE159B"/>
    <w:rsid w:val="00AE1A95"/>
    <w:rsid w:val="00AE2350"/>
    <w:rsid w:val="00AE278F"/>
    <w:rsid w:val="00AE2885"/>
    <w:rsid w:val="00AE2E00"/>
    <w:rsid w:val="00AE300F"/>
    <w:rsid w:val="00AE32C2"/>
    <w:rsid w:val="00AE33D3"/>
    <w:rsid w:val="00AE384E"/>
    <w:rsid w:val="00AE3887"/>
    <w:rsid w:val="00AE3ADC"/>
    <w:rsid w:val="00AE3B38"/>
    <w:rsid w:val="00AE3C03"/>
    <w:rsid w:val="00AE3C49"/>
    <w:rsid w:val="00AE3C8D"/>
    <w:rsid w:val="00AE3CAF"/>
    <w:rsid w:val="00AE44CB"/>
    <w:rsid w:val="00AE496D"/>
    <w:rsid w:val="00AE4ACE"/>
    <w:rsid w:val="00AE5321"/>
    <w:rsid w:val="00AE5487"/>
    <w:rsid w:val="00AE5888"/>
    <w:rsid w:val="00AE5968"/>
    <w:rsid w:val="00AE5D74"/>
    <w:rsid w:val="00AE5E58"/>
    <w:rsid w:val="00AE64AD"/>
    <w:rsid w:val="00AE6987"/>
    <w:rsid w:val="00AE6A27"/>
    <w:rsid w:val="00AE6D14"/>
    <w:rsid w:val="00AE6D68"/>
    <w:rsid w:val="00AE7061"/>
    <w:rsid w:val="00AE7430"/>
    <w:rsid w:val="00AE75EA"/>
    <w:rsid w:val="00AE77C3"/>
    <w:rsid w:val="00AE7A98"/>
    <w:rsid w:val="00AE7DD1"/>
    <w:rsid w:val="00AE7E20"/>
    <w:rsid w:val="00AE7F4C"/>
    <w:rsid w:val="00AF016F"/>
    <w:rsid w:val="00AF05E3"/>
    <w:rsid w:val="00AF0C04"/>
    <w:rsid w:val="00AF100C"/>
    <w:rsid w:val="00AF1277"/>
    <w:rsid w:val="00AF12A3"/>
    <w:rsid w:val="00AF139A"/>
    <w:rsid w:val="00AF151F"/>
    <w:rsid w:val="00AF15CD"/>
    <w:rsid w:val="00AF181C"/>
    <w:rsid w:val="00AF18EA"/>
    <w:rsid w:val="00AF1C95"/>
    <w:rsid w:val="00AF1E76"/>
    <w:rsid w:val="00AF1F8D"/>
    <w:rsid w:val="00AF2186"/>
    <w:rsid w:val="00AF2398"/>
    <w:rsid w:val="00AF249E"/>
    <w:rsid w:val="00AF257B"/>
    <w:rsid w:val="00AF2642"/>
    <w:rsid w:val="00AF28B2"/>
    <w:rsid w:val="00AF2962"/>
    <w:rsid w:val="00AF2C3C"/>
    <w:rsid w:val="00AF3377"/>
    <w:rsid w:val="00AF338A"/>
    <w:rsid w:val="00AF3541"/>
    <w:rsid w:val="00AF3AA9"/>
    <w:rsid w:val="00AF3B07"/>
    <w:rsid w:val="00AF3B43"/>
    <w:rsid w:val="00AF3EDB"/>
    <w:rsid w:val="00AF3FF8"/>
    <w:rsid w:val="00AF4361"/>
    <w:rsid w:val="00AF44DF"/>
    <w:rsid w:val="00AF4E3F"/>
    <w:rsid w:val="00AF519C"/>
    <w:rsid w:val="00AF53CF"/>
    <w:rsid w:val="00AF57B5"/>
    <w:rsid w:val="00AF59B1"/>
    <w:rsid w:val="00AF5BD8"/>
    <w:rsid w:val="00AF5E3F"/>
    <w:rsid w:val="00AF5FCF"/>
    <w:rsid w:val="00AF6116"/>
    <w:rsid w:val="00AF61B0"/>
    <w:rsid w:val="00AF64DB"/>
    <w:rsid w:val="00AF67C6"/>
    <w:rsid w:val="00AF6B6E"/>
    <w:rsid w:val="00AF6B93"/>
    <w:rsid w:val="00AF6CE0"/>
    <w:rsid w:val="00AF7855"/>
    <w:rsid w:val="00AF79DF"/>
    <w:rsid w:val="00AF7CED"/>
    <w:rsid w:val="00AF7E1C"/>
    <w:rsid w:val="00B00400"/>
    <w:rsid w:val="00B00C1F"/>
    <w:rsid w:val="00B00DB9"/>
    <w:rsid w:val="00B00F3A"/>
    <w:rsid w:val="00B017CE"/>
    <w:rsid w:val="00B01D7E"/>
    <w:rsid w:val="00B01E61"/>
    <w:rsid w:val="00B024F8"/>
    <w:rsid w:val="00B02948"/>
    <w:rsid w:val="00B02B4A"/>
    <w:rsid w:val="00B02BFD"/>
    <w:rsid w:val="00B02E89"/>
    <w:rsid w:val="00B033BB"/>
    <w:rsid w:val="00B035A2"/>
    <w:rsid w:val="00B035FB"/>
    <w:rsid w:val="00B03778"/>
    <w:rsid w:val="00B03D14"/>
    <w:rsid w:val="00B03DE2"/>
    <w:rsid w:val="00B03E61"/>
    <w:rsid w:val="00B040A6"/>
    <w:rsid w:val="00B0454C"/>
    <w:rsid w:val="00B04692"/>
    <w:rsid w:val="00B049F8"/>
    <w:rsid w:val="00B04A45"/>
    <w:rsid w:val="00B04A7A"/>
    <w:rsid w:val="00B04AAE"/>
    <w:rsid w:val="00B04AE4"/>
    <w:rsid w:val="00B04E7C"/>
    <w:rsid w:val="00B04EC6"/>
    <w:rsid w:val="00B051ED"/>
    <w:rsid w:val="00B05435"/>
    <w:rsid w:val="00B05718"/>
    <w:rsid w:val="00B05FC3"/>
    <w:rsid w:val="00B0654E"/>
    <w:rsid w:val="00B06B15"/>
    <w:rsid w:val="00B06EBF"/>
    <w:rsid w:val="00B07CF0"/>
    <w:rsid w:val="00B07F27"/>
    <w:rsid w:val="00B100CD"/>
    <w:rsid w:val="00B100F5"/>
    <w:rsid w:val="00B101CF"/>
    <w:rsid w:val="00B103A4"/>
    <w:rsid w:val="00B103C0"/>
    <w:rsid w:val="00B1074A"/>
    <w:rsid w:val="00B10D40"/>
    <w:rsid w:val="00B10F0D"/>
    <w:rsid w:val="00B11171"/>
    <w:rsid w:val="00B11591"/>
    <w:rsid w:val="00B1174E"/>
    <w:rsid w:val="00B1191E"/>
    <w:rsid w:val="00B11996"/>
    <w:rsid w:val="00B11C8A"/>
    <w:rsid w:val="00B11D66"/>
    <w:rsid w:val="00B11EC0"/>
    <w:rsid w:val="00B11F8B"/>
    <w:rsid w:val="00B12164"/>
    <w:rsid w:val="00B12667"/>
    <w:rsid w:val="00B128BC"/>
    <w:rsid w:val="00B12988"/>
    <w:rsid w:val="00B137E7"/>
    <w:rsid w:val="00B138FF"/>
    <w:rsid w:val="00B1391D"/>
    <w:rsid w:val="00B13979"/>
    <w:rsid w:val="00B144E7"/>
    <w:rsid w:val="00B14727"/>
    <w:rsid w:val="00B149A6"/>
    <w:rsid w:val="00B14EA1"/>
    <w:rsid w:val="00B14EAE"/>
    <w:rsid w:val="00B1515A"/>
    <w:rsid w:val="00B15519"/>
    <w:rsid w:val="00B15818"/>
    <w:rsid w:val="00B15A5C"/>
    <w:rsid w:val="00B15E04"/>
    <w:rsid w:val="00B15F69"/>
    <w:rsid w:val="00B15F88"/>
    <w:rsid w:val="00B15FAB"/>
    <w:rsid w:val="00B16269"/>
    <w:rsid w:val="00B163A6"/>
    <w:rsid w:val="00B164C5"/>
    <w:rsid w:val="00B167C6"/>
    <w:rsid w:val="00B16AAC"/>
    <w:rsid w:val="00B16BA4"/>
    <w:rsid w:val="00B16D04"/>
    <w:rsid w:val="00B16E29"/>
    <w:rsid w:val="00B16E2E"/>
    <w:rsid w:val="00B17009"/>
    <w:rsid w:val="00B176F6"/>
    <w:rsid w:val="00B177F6"/>
    <w:rsid w:val="00B17AF0"/>
    <w:rsid w:val="00B17D07"/>
    <w:rsid w:val="00B17DA2"/>
    <w:rsid w:val="00B201B6"/>
    <w:rsid w:val="00B20227"/>
    <w:rsid w:val="00B20230"/>
    <w:rsid w:val="00B206E0"/>
    <w:rsid w:val="00B206FD"/>
    <w:rsid w:val="00B20786"/>
    <w:rsid w:val="00B207B8"/>
    <w:rsid w:val="00B207E3"/>
    <w:rsid w:val="00B20A80"/>
    <w:rsid w:val="00B20CDA"/>
    <w:rsid w:val="00B20E15"/>
    <w:rsid w:val="00B2109B"/>
    <w:rsid w:val="00B21505"/>
    <w:rsid w:val="00B21590"/>
    <w:rsid w:val="00B21608"/>
    <w:rsid w:val="00B2173F"/>
    <w:rsid w:val="00B219F8"/>
    <w:rsid w:val="00B21A53"/>
    <w:rsid w:val="00B21DA3"/>
    <w:rsid w:val="00B22276"/>
    <w:rsid w:val="00B22308"/>
    <w:rsid w:val="00B2268B"/>
    <w:rsid w:val="00B2276C"/>
    <w:rsid w:val="00B22AF2"/>
    <w:rsid w:val="00B23340"/>
    <w:rsid w:val="00B235F5"/>
    <w:rsid w:val="00B238EF"/>
    <w:rsid w:val="00B23A8E"/>
    <w:rsid w:val="00B23DF5"/>
    <w:rsid w:val="00B24734"/>
    <w:rsid w:val="00B257D7"/>
    <w:rsid w:val="00B2597D"/>
    <w:rsid w:val="00B25CB3"/>
    <w:rsid w:val="00B25CD8"/>
    <w:rsid w:val="00B25F23"/>
    <w:rsid w:val="00B25F83"/>
    <w:rsid w:val="00B2613E"/>
    <w:rsid w:val="00B27213"/>
    <w:rsid w:val="00B27260"/>
    <w:rsid w:val="00B272DC"/>
    <w:rsid w:val="00B274DE"/>
    <w:rsid w:val="00B27604"/>
    <w:rsid w:val="00B27766"/>
    <w:rsid w:val="00B27A2C"/>
    <w:rsid w:val="00B27AA8"/>
    <w:rsid w:val="00B27EB1"/>
    <w:rsid w:val="00B30348"/>
    <w:rsid w:val="00B30A08"/>
    <w:rsid w:val="00B30CCA"/>
    <w:rsid w:val="00B313F4"/>
    <w:rsid w:val="00B31442"/>
    <w:rsid w:val="00B31507"/>
    <w:rsid w:val="00B316B2"/>
    <w:rsid w:val="00B31A93"/>
    <w:rsid w:val="00B31DAF"/>
    <w:rsid w:val="00B31F3B"/>
    <w:rsid w:val="00B32160"/>
    <w:rsid w:val="00B32953"/>
    <w:rsid w:val="00B32BC6"/>
    <w:rsid w:val="00B32C98"/>
    <w:rsid w:val="00B331CB"/>
    <w:rsid w:val="00B33431"/>
    <w:rsid w:val="00B334DF"/>
    <w:rsid w:val="00B336E1"/>
    <w:rsid w:val="00B3378C"/>
    <w:rsid w:val="00B33B53"/>
    <w:rsid w:val="00B34056"/>
    <w:rsid w:val="00B3432D"/>
    <w:rsid w:val="00B343EA"/>
    <w:rsid w:val="00B3485C"/>
    <w:rsid w:val="00B351E9"/>
    <w:rsid w:val="00B353F1"/>
    <w:rsid w:val="00B35C93"/>
    <w:rsid w:val="00B35EA1"/>
    <w:rsid w:val="00B35F5C"/>
    <w:rsid w:val="00B36057"/>
    <w:rsid w:val="00B362AE"/>
    <w:rsid w:val="00B363BA"/>
    <w:rsid w:val="00B36401"/>
    <w:rsid w:val="00B36472"/>
    <w:rsid w:val="00B364E9"/>
    <w:rsid w:val="00B3654E"/>
    <w:rsid w:val="00B365F7"/>
    <w:rsid w:val="00B36932"/>
    <w:rsid w:val="00B36B09"/>
    <w:rsid w:val="00B36DCE"/>
    <w:rsid w:val="00B36E77"/>
    <w:rsid w:val="00B371E6"/>
    <w:rsid w:val="00B3776A"/>
    <w:rsid w:val="00B37A06"/>
    <w:rsid w:val="00B37D20"/>
    <w:rsid w:val="00B37EA5"/>
    <w:rsid w:val="00B37F3D"/>
    <w:rsid w:val="00B37F7E"/>
    <w:rsid w:val="00B4054C"/>
    <w:rsid w:val="00B405FD"/>
    <w:rsid w:val="00B408D9"/>
    <w:rsid w:val="00B40A6D"/>
    <w:rsid w:val="00B40A86"/>
    <w:rsid w:val="00B41F81"/>
    <w:rsid w:val="00B4203D"/>
    <w:rsid w:val="00B4207A"/>
    <w:rsid w:val="00B422FB"/>
    <w:rsid w:val="00B423E8"/>
    <w:rsid w:val="00B424A0"/>
    <w:rsid w:val="00B42531"/>
    <w:rsid w:val="00B42544"/>
    <w:rsid w:val="00B4291C"/>
    <w:rsid w:val="00B43083"/>
    <w:rsid w:val="00B432D7"/>
    <w:rsid w:val="00B433AD"/>
    <w:rsid w:val="00B433E8"/>
    <w:rsid w:val="00B43502"/>
    <w:rsid w:val="00B435AA"/>
    <w:rsid w:val="00B436A8"/>
    <w:rsid w:val="00B4377C"/>
    <w:rsid w:val="00B4408D"/>
    <w:rsid w:val="00B44C51"/>
    <w:rsid w:val="00B44C83"/>
    <w:rsid w:val="00B44DF3"/>
    <w:rsid w:val="00B44FFB"/>
    <w:rsid w:val="00B4511A"/>
    <w:rsid w:val="00B458A7"/>
    <w:rsid w:val="00B45927"/>
    <w:rsid w:val="00B4593D"/>
    <w:rsid w:val="00B45F6D"/>
    <w:rsid w:val="00B46478"/>
    <w:rsid w:val="00B4689D"/>
    <w:rsid w:val="00B46978"/>
    <w:rsid w:val="00B469DB"/>
    <w:rsid w:val="00B46E61"/>
    <w:rsid w:val="00B47025"/>
    <w:rsid w:val="00B47148"/>
    <w:rsid w:val="00B4726B"/>
    <w:rsid w:val="00B4732C"/>
    <w:rsid w:val="00B47874"/>
    <w:rsid w:val="00B47E8C"/>
    <w:rsid w:val="00B47E93"/>
    <w:rsid w:val="00B500CE"/>
    <w:rsid w:val="00B501A6"/>
    <w:rsid w:val="00B50350"/>
    <w:rsid w:val="00B50569"/>
    <w:rsid w:val="00B50AE9"/>
    <w:rsid w:val="00B50BA3"/>
    <w:rsid w:val="00B50BC3"/>
    <w:rsid w:val="00B50C25"/>
    <w:rsid w:val="00B50D14"/>
    <w:rsid w:val="00B50F2B"/>
    <w:rsid w:val="00B5117D"/>
    <w:rsid w:val="00B51182"/>
    <w:rsid w:val="00B51499"/>
    <w:rsid w:val="00B5190C"/>
    <w:rsid w:val="00B51E7F"/>
    <w:rsid w:val="00B525A1"/>
    <w:rsid w:val="00B5285A"/>
    <w:rsid w:val="00B52B5C"/>
    <w:rsid w:val="00B52E74"/>
    <w:rsid w:val="00B53077"/>
    <w:rsid w:val="00B533CE"/>
    <w:rsid w:val="00B53B50"/>
    <w:rsid w:val="00B53E42"/>
    <w:rsid w:val="00B542D7"/>
    <w:rsid w:val="00B54309"/>
    <w:rsid w:val="00B54469"/>
    <w:rsid w:val="00B548DE"/>
    <w:rsid w:val="00B54B22"/>
    <w:rsid w:val="00B54E47"/>
    <w:rsid w:val="00B54E68"/>
    <w:rsid w:val="00B54FEF"/>
    <w:rsid w:val="00B5529B"/>
    <w:rsid w:val="00B5560C"/>
    <w:rsid w:val="00B55793"/>
    <w:rsid w:val="00B55A1F"/>
    <w:rsid w:val="00B55BC8"/>
    <w:rsid w:val="00B55EE3"/>
    <w:rsid w:val="00B55FFA"/>
    <w:rsid w:val="00B5607A"/>
    <w:rsid w:val="00B56274"/>
    <w:rsid w:val="00B5662E"/>
    <w:rsid w:val="00B567F0"/>
    <w:rsid w:val="00B569B4"/>
    <w:rsid w:val="00B569CE"/>
    <w:rsid w:val="00B5758A"/>
    <w:rsid w:val="00B57752"/>
    <w:rsid w:val="00B57BD0"/>
    <w:rsid w:val="00B57EB4"/>
    <w:rsid w:val="00B57FDE"/>
    <w:rsid w:val="00B60433"/>
    <w:rsid w:val="00B6056E"/>
    <w:rsid w:val="00B60842"/>
    <w:rsid w:val="00B609DB"/>
    <w:rsid w:val="00B60B9C"/>
    <w:rsid w:val="00B60C1C"/>
    <w:rsid w:val="00B61067"/>
    <w:rsid w:val="00B61133"/>
    <w:rsid w:val="00B61187"/>
    <w:rsid w:val="00B614B4"/>
    <w:rsid w:val="00B61501"/>
    <w:rsid w:val="00B616DA"/>
    <w:rsid w:val="00B617B2"/>
    <w:rsid w:val="00B6197D"/>
    <w:rsid w:val="00B61A05"/>
    <w:rsid w:val="00B61AB8"/>
    <w:rsid w:val="00B61BCE"/>
    <w:rsid w:val="00B6217B"/>
    <w:rsid w:val="00B622BD"/>
    <w:rsid w:val="00B625A9"/>
    <w:rsid w:val="00B62A68"/>
    <w:rsid w:val="00B62B68"/>
    <w:rsid w:val="00B62CF2"/>
    <w:rsid w:val="00B63113"/>
    <w:rsid w:val="00B63138"/>
    <w:rsid w:val="00B6345C"/>
    <w:rsid w:val="00B635C3"/>
    <w:rsid w:val="00B6363F"/>
    <w:rsid w:val="00B63B34"/>
    <w:rsid w:val="00B63B59"/>
    <w:rsid w:val="00B63B66"/>
    <w:rsid w:val="00B63F3A"/>
    <w:rsid w:val="00B6415E"/>
    <w:rsid w:val="00B643D5"/>
    <w:rsid w:val="00B644F3"/>
    <w:rsid w:val="00B645E9"/>
    <w:rsid w:val="00B64670"/>
    <w:rsid w:val="00B64772"/>
    <w:rsid w:val="00B648AF"/>
    <w:rsid w:val="00B64CAC"/>
    <w:rsid w:val="00B652CA"/>
    <w:rsid w:val="00B653C2"/>
    <w:rsid w:val="00B65743"/>
    <w:rsid w:val="00B6581B"/>
    <w:rsid w:val="00B658EB"/>
    <w:rsid w:val="00B65EC2"/>
    <w:rsid w:val="00B6610B"/>
    <w:rsid w:val="00B662CD"/>
    <w:rsid w:val="00B662E2"/>
    <w:rsid w:val="00B66490"/>
    <w:rsid w:val="00B665B8"/>
    <w:rsid w:val="00B66C12"/>
    <w:rsid w:val="00B66F38"/>
    <w:rsid w:val="00B67308"/>
    <w:rsid w:val="00B6760E"/>
    <w:rsid w:val="00B67AF4"/>
    <w:rsid w:val="00B67B39"/>
    <w:rsid w:val="00B67EAE"/>
    <w:rsid w:val="00B67EE4"/>
    <w:rsid w:val="00B7040B"/>
    <w:rsid w:val="00B705B5"/>
    <w:rsid w:val="00B70855"/>
    <w:rsid w:val="00B70DBB"/>
    <w:rsid w:val="00B70EC6"/>
    <w:rsid w:val="00B713A7"/>
    <w:rsid w:val="00B714CF"/>
    <w:rsid w:val="00B71616"/>
    <w:rsid w:val="00B71978"/>
    <w:rsid w:val="00B71D89"/>
    <w:rsid w:val="00B72320"/>
    <w:rsid w:val="00B72333"/>
    <w:rsid w:val="00B7277D"/>
    <w:rsid w:val="00B72FDC"/>
    <w:rsid w:val="00B741A9"/>
    <w:rsid w:val="00B7450E"/>
    <w:rsid w:val="00B74606"/>
    <w:rsid w:val="00B747F4"/>
    <w:rsid w:val="00B7484D"/>
    <w:rsid w:val="00B74C2D"/>
    <w:rsid w:val="00B74D06"/>
    <w:rsid w:val="00B75321"/>
    <w:rsid w:val="00B7533E"/>
    <w:rsid w:val="00B75340"/>
    <w:rsid w:val="00B75AA4"/>
    <w:rsid w:val="00B75BF3"/>
    <w:rsid w:val="00B75F0D"/>
    <w:rsid w:val="00B75F7A"/>
    <w:rsid w:val="00B7631D"/>
    <w:rsid w:val="00B766D9"/>
    <w:rsid w:val="00B767B4"/>
    <w:rsid w:val="00B76A17"/>
    <w:rsid w:val="00B76DDE"/>
    <w:rsid w:val="00B76ED0"/>
    <w:rsid w:val="00B774F5"/>
    <w:rsid w:val="00B77AEF"/>
    <w:rsid w:val="00B800EA"/>
    <w:rsid w:val="00B802E3"/>
    <w:rsid w:val="00B8035E"/>
    <w:rsid w:val="00B804E7"/>
    <w:rsid w:val="00B80511"/>
    <w:rsid w:val="00B805BB"/>
    <w:rsid w:val="00B80ACE"/>
    <w:rsid w:val="00B8167E"/>
    <w:rsid w:val="00B81B4E"/>
    <w:rsid w:val="00B82055"/>
    <w:rsid w:val="00B82345"/>
    <w:rsid w:val="00B82404"/>
    <w:rsid w:val="00B8265B"/>
    <w:rsid w:val="00B82A65"/>
    <w:rsid w:val="00B82A96"/>
    <w:rsid w:val="00B82B63"/>
    <w:rsid w:val="00B82BA0"/>
    <w:rsid w:val="00B82DE6"/>
    <w:rsid w:val="00B82E0D"/>
    <w:rsid w:val="00B82E3A"/>
    <w:rsid w:val="00B832B1"/>
    <w:rsid w:val="00B83301"/>
    <w:rsid w:val="00B833E8"/>
    <w:rsid w:val="00B83447"/>
    <w:rsid w:val="00B834E5"/>
    <w:rsid w:val="00B83522"/>
    <w:rsid w:val="00B839D8"/>
    <w:rsid w:val="00B83A1B"/>
    <w:rsid w:val="00B83B80"/>
    <w:rsid w:val="00B83F80"/>
    <w:rsid w:val="00B84331"/>
    <w:rsid w:val="00B8459B"/>
    <w:rsid w:val="00B8474A"/>
    <w:rsid w:val="00B8489F"/>
    <w:rsid w:val="00B84B22"/>
    <w:rsid w:val="00B85341"/>
    <w:rsid w:val="00B8551C"/>
    <w:rsid w:val="00B85B5E"/>
    <w:rsid w:val="00B85FE1"/>
    <w:rsid w:val="00B861CF"/>
    <w:rsid w:val="00B86600"/>
    <w:rsid w:val="00B86689"/>
    <w:rsid w:val="00B86958"/>
    <w:rsid w:val="00B86A2C"/>
    <w:rsid w:val="00B871B7"/>
    <w:rsid w:val="00B87371"/>
    <w:rsid w:val="00B87C6A"/>
    <w:rsid w:val="00B90B56"/>
    <w:rsid w:val="00B910C7"/>
    <w:rsid w:val="00B912A8"/>
    <w:rsid w:val="00B914FA"/>
    <w:rsid w:val="00B9160C"/>
    <w:rsid w:val="00B91879"/>
    <w:rsid w:val="00B919A0"/>
    <w:rsid w:val="00B91D9D"/>
    <w:rsid w:val="00B92067"/>
    <w:rsid w:val="00B926A3"/>
    <w:rsid w:val="00B92797"/>
    <w:rsid w:val="00B928AD"/>
    <w:rsid w:val="00B92956"/>
    <w:rsid w:val="00B92B4A"/>
    <w:rsid w:val="00B92BC5"/>
    <w:rsid w:val="00B93154"/>
    <w:rsid w:val="00B934F5"/>
    <w:rsid w:val="00B93533"/>
    <w:rsid w:val="00B9373E"/>
    <w:rsid w:val="00B9378A"/>
    <w:rsid w:val="00B93902"/>
    <w:rsid w:val="00B93D00"/>
    <w:rsid w:val="00B943EA"/>
    <w:rsid w:val="00B948BF"/>
    <w:rsid w:val="00B94AAE"/>
    <w:rsid w:val="00B94B2A"/>
    <w:rsid w:val="00B94C98"/>
    <w:rsid w:val="00B94E46"/>
    <w:rsid w:val="00B9522F"/>
    <w:rsid w:val="00B95332"/>
    <w:rsid w:val="00B955CE"/>
    <w:rsid w:val="00B956EF"/>
    <w:rsid w:val="00B958DE"/>
    <w:rsid w:val="00B95BFC"/>
    <w:rsid w:val="00B95C23"/>
    <w:rsid w:val="00B968A0"/>
    <w:rsid w:val="00B969F5"/>
    <w:rsid w:val="00B96CB2"/>
    <w:rsid w:val="00B970F6"/>
    <w:rsid w:val="00B97184"/>
    <w:rsid w:val="00B972FE"/>
    <w:rsid w:val="00B973AE"/>
    <w:rsid w:val="00B974DA"/>
    <w:rsid w:val="00BA0253"/>
    <w:rsid w:val="00BA052F"/>
    <w:rsid w:val="00BA059C"/>
    <w:rsid w:val="00BA0861"/>
    <w:rsid w:val="00BA0B98"/>
    <w:rsid w:val="00BA152F"/>
    <w:rsid w:val="00BA1717"/>
    <w:rsid w:val="00BA1A44"/>
    <w:rsid w:val="00BA1F99"/>
    <w:rsid w:val="00BA1FA2"/>
    <w:rsid w:val="00BA212B"/>
    <w:rsid w:val="00BA2664"/>
    <w:rsid w:val="00BA2927"/>
    <w:rsid w:val="00BA29A0"/>
    <w:rsid w:val="00BA2D38"/>
    <w:rsid w:val="00BA3005"/>
    <w:rsid w:val="00BA30EC"/>
    <w:rsid w:val="00BA31A9"/>
    <w:rsid w:val="00BA331E"/>
    <w:rsid w:val="00BA3496"/>
    <w:rsid w:val="00BA3630"/>
    <w:rsid w:val="00BA3649"/>
    <w:rsid w:val="00BA36CB"/>
    <w:rsid w:val="00BA3BD6"/>
    <w:rsid w:val="00BA3C82"/>
    <w:rsid w:val="00BA3E2B"/>
    <w:rsid w:val="00BA3F99"/>
    <w:rsid w:val="00BA43A0"/>
    <w:rsid w:val="00BA489B"/>
    <w:rsid w:val="00BA4A54"/>
    <w:rsid w:val="00BA532D"/>
    <w:rsid w:val="00BA567C"/>
    <w:rsid w:val="00BA5A1D"/>
    <w:rsid w:val="00BA5A9E"/>
    <w:rsid w:val="00BA60EE"/>
    <w:rsid w:val="00BA6532"/>
    <w:rsid w:val="00BA67D3"/>
    <w:rsid w:val="00BA6A29"/>
    <w:rsid w:val="00BA6C37"/>
    <w:rsid w:val="00BA6E39"/>
    <w:rsid w:val="00BA6FF1"/>
    <w:rsid w:val="00BA700E"/>
    <w:rsid w:val="00BA7057"/>
    <w:rsid w:val="00BA71CB"/>
    <w:rsid w:val="00BA766D"/>
    <w:rsid w:val="00BA77DB"/>
    <w:rsid w:val="00BA7D3B"/>
    <w:rsid w:val="00BA7E3C"/>
    <w:rsid w:val="00BB0460"/>
    <w:rsid w:val="00BB067D"/>
    <w:rsid w:val="00BB0BA8"/>
    <w:rsid w:val="00BB0DD6"/>
    <w:rsid w:val="00BB0E93"/>
    <w:rsid w:val="00BB10CE"/>
    <w:rsid w:val="00BB1293"/>
    <w:rsid w:val="00BB12D9"/>
    <w:rsid w:val="00BB13A0"/>
    <w:rsid w:val="00BB147C"/>
    <w:rsid w:val="00BB1714"/>
    <w:rsid w:val="00BB182A"/>
    <w:rsid w:val="00BB1AC0"/>
    <w:rsid w:val="00BB21EB"/>
    <w:rsid w:val="00BB220D"/>
    <w:rsid w:val="00BB24C3"/>
    <w:rsid w:val="00BB2699"/>
    <w:rsid w:val="00BB284D"/>
    <w:rsid w:val="00BB28D2"/>
    <w:rsid w:val="00BB2D8A"/>
    <w:rsid w:val="00BB38D1"/>
    <w:rsid w:val="00BB3C98"/>
    <w:rsid w:val="00BB3FAA"/>
    <w:rsid w:val="00BB40F7"/>
    <w:rsid w:val="00BB4312"/>
    <w:rsid w:val="00BB48D4"/>
    <w:rsid w:val="00BB4920"/>
    <w:rsid w:val="00BB4D43"/>
    <w:rsid w:val="00BB5306"/>
    <w:rsid w:val="00BB563A"/>
    <w:rsid w:val="00BB5795"/>
    <w:rsid w:val="00BB57E1"/>
    <w:rsid w:val="00BB5AE5"/>
    <w:rsid w:val="00BB5B76"/>
    <w:rsid w:val="00BB5C81"/>
    <w:rsid w:val="00BB5CAF"/>
    <w:rsid w:val="00BB5DA9"/>
    <w:rsid w:val="00BB5E10"/>
    <w:rsid w:val="00BB5E42"/>
    <w:rsid w:val="00BB621A"/>
    <w:rsid w:val="00BB6577"/>
    <w:rsid w:val="00BB65AE"/>
    <w:rsid w:val="00BB6E09"/>
    <w:rsid w:val="00BB6E5E"/>
    <w:rsid w:val="00BB72D9"/>
    <w:rsid w:val="00BB75C1"/>
    <w:rsid w:val="00BB778C"/>
    <w:rsid w:val="00BB7844"/>
    <w:rsid w:val="00BB7CAF"/>
    <w:rsid w:val="00BB7D78"/>
    <w:rsid w:val="00BB7E3B"/>
    <w:rsid w:val="00BC0188"/>
    <w:rsid w:val="00BC057E"/>
    <w:rsid w:val="00BC0DFC"/>
    <w:rsid w:val="00BC0E49"/>
    <w:rsid w:val="00BC0EB3"/>
    <w:rsid w:val="00BC0F6E"/>
    <w:rsid w:val="00BC0F8E"/>
    <w:rsid w:val="00BC1120"/>
    <w:rsid w:val="00BC13AE"/>
    <w:rsid w:val="00BC1457"/>
    <w:rsid w:val="00BC1996"/>
    <w:rsid w:val="00BC19C6"/>
    <w:rsid w:val="00BC1B1E"/>
    <w:rsid w:val="00BC1B9A"/>
    <w:rsid w:val="00BC1C1B"/>
    <w:rsid w:val="00BC1FAB"/>
    <w:rsid w:val="00BC213E"/>
    <w:rsid w:val="00BC28A1"/>
    <w:rsid w:val="00BC2E2A"/>
    <w:rsid w:val="00BC317F"/>
    <w:rsid w:val="00BC33C0"/>
    <w:rsid w:val="00BC3989"/>
    <w:rsid w:val="00BC3B19"/>
    <w:rsid w:val="00BC3C00"/>
    <w:rsid w:val="00BC45ED"/>
    <w:rsid w:val="00BC4929"/>
    <w:rsid w:val="00BC4ADD"/>
    <w:rsid w:val="00BC4EA2"/>
    <w:rsid w:val="00BC515C"/>
    <w:rsid w:val="00BC51C4"/>
    <w:rsid w:val="00BC5594"/>
    <w:rsid w:val="00BC5702"/>
    <w:rsid w:val="00BC57D9"/>
    <w:rsid w:val="00BC5BEC"/>
    <w:rsid w:val="00BC5F53"/>
    <w:rsid w:val="00BC6133"/>
    <w:rsid w:val="00BC615C"/>
    <w:rsid w:val="00BC6653"/>
    <w:rsid w:val="00BC6A21"/>
    <w:rsid w:val="00BC6BB2"/>
    <w:rsid w:val="00BC6F05"/>
    <w:rsid w:val="00BC7486"/>
    <w:rsid w:val="00BC753E"/>
    <w:rsid w:val="00BC76E9"/>
    <w:rsid w:val="00BC7A22"/>
    <w:rsid w:val="00BC7AE1"/>
    <w:rsid w:val="00BC7C9F"/>
    <w:rsid w:val="00BC7D5F"/>
    <w:rsid w:val="00BC7D6B"/>
    <w:rsid w:val="00BD00B6"/>
    <w:rsid w:val="00BD0109"/>
    <w:rsid w:val="00BD0620"/>
    <w:rsid w:val="00BD074B"/>
    <w:rsid w:val="00BD0B94"/>
    <w:rsid w:val="00BD106E"/>
    <w:rsid w:val="00BD1262"/>
    <w:rsid w:val="00BD142D"/>
    <w:rsid w:val="00BD143B"/>
    <w:rsid w:val="00BD1899"/>
    <w:rsid w:val="00BD1988"/>
    <w:rsid w:val="00BD19F9"/>
    <w:rsid w:val="00BD20AE"/>
    <w:rsid w:val="00BD2155"/>
    <w:rsid w:val="00BD230D"/>
    <w:rsid w:val="00BD2494"/>
    <w:rsid w:val="00BD24F5"/>
    <w:rsid w:val="00BD2B69"/>
    <w:rsid w:val="00BD32CA"/>
    <w:rsid w:val="00BD335C"/>
    <w:rsid w:val="00BD3970"/>
    <w:rsid w:val="00BD3971"/>
    <w:rsid w:val="00BD41E1"/>
    <w:rsid w:val="00BD4502"/>
    <w:rsid w:val="00BD4834"/>
    <w:rsid w:val="00BD4B1D"/>
    <w:rsid w:val="00BD4BAE"/>
    <w:rsid w:val="00BD4D9E"/>
    <w:rsid w:val="00BD4E5E"/>
    <w:rsid w:val="00BD4FE7"/>
    <w:rsid w:val="00BD50E6"/>
    <w:rsid w:val="00BD5342"/>
    <w:rsid w:val="00BD5463"/>
    <w:rsid w:val="00BD5729"/>
    <w:rsid w:val="00BD5B8B"/>
    <w:rsid w:val="00BD5C6A"/>
    <w:rsid w:val="00BD60B2"/>
    <w:rsid w:val="00BD613C"/>
    <w:rsid w:val="00BD61E2"/>
    <w:rsid w:val="00BD6459"/>
    <w:rsid w:val="00BD66A2"/>
    <w:rsid w:val="00BD66F7"/>
    <w:rsid w:val="00BD66FE"/>
    <w:rsid w:val="00BD6894"/>
    <w:rsid w:val="00BD68A9"/>
    <w:rsid w:val="00BD68CE"/>
    <w:rsid w:val="00BD6D11"/>
    <w:rsid w:val="00BD77BF"/>
    <w:rsid w:val="00BD7817"/>
    <w:rsid w:val="00BD7A5E"/>
    <w:rsid w:val="00BD7AA7"/>
    <w:rsid w:val="00BD7EBD"/>
    <w:rsid w:val="00BE00C2"/>
    <w:rsid w:val="00BE0110"/>
    <w:rsid w:val="00BE02A9"/>
    <w:rsid w:val="00BE0781"/>
    <w:rsid w:val="00BE1DC9"/>
    <w:rsid w:val="00BE1F28"/>
    <w:rsid w:val="00BE207A"/>
    <w:rsid w:val="00BE2578"/>
    <w:rsid w:val="00BE288F"/>
    <w:rsid w:val="00BE28A0"/>
    <w:rsid w:val="00BE2923"/>
    <w:rsid w:val="00BE2D5B"/>
    <w:rsid w:val="00BE3109"/>
    <w:rsid w:val="00BE337D"/>
    <w:rsid w:val="00BE353E"/>
    <w:rsid w:val="00BE3982"/>
    <w:rsid w:val="00BE3AA0"/>
    <w:rsid w:val="00BE3D0E"/>
    <w:rsid w:val="00BE400C"/>
    <w:rsid w:val="00BE48A7"/>
    <w:rsid w:val="00BE4A9B"/>
    <w:rsid w:val="00BE4C9E"/>
    <w:rsid w:val="00BE539C"/>
    <w:rsid w:val="00BE551A"/>
    <w:rsid w:val="00BE5737"/>
    <w:rsid w:val="00BE604C"/>
    <w:rsid w:val="00BE607B"/>
    <w:rsid w:val="00BE60BD"/>
    <w:rsid w:val="00BE6101"/>
    <w:rsid w:val="00BE63E4"/>
    <w:rsid w:val="00BE685E"/>
    <w:rsid w:val="00BE6A2F"/>
    <w:rsid w:val="00BE6ACF"/>
    <w:rsid w:val="00BE6B96"/>
    <w:rsid w:val="00BE729D"/>
    <w:rsid w:val="00BE74BB"/>
    <w:rsid w:val="00BE791A"/>
    <w:rsid w:val="00BE7EDC"/>
    <w:rsid w:val="00BF0077"/>
    <w:rsid w:val="00BF02E1"/>
    <w:rsid w:val="00BF09AE"/>
    <w:rsid w:val="00BF0A44"/>
    <w:rsid w:val="00BF0BB7"/>
    <w:rsid w:val="00BF0CB0"/>
    <w:rsid w:val="00BF0D10"/>
    <w:rsid w:val="00BF0F1C"/>
    <w:rsid w:val="00BF10B9"/>
    <w:rsid w:val="00BF120B"/>
    <w:rsid w:val="00BF1343"/>
    <w:rsid w:val="00BF1468"/>
    <w:rsid w:val="00BF1506"/>
    <w:rsid w:val="00BF1507"/>
    <w:rsid w:val="00BF1AF9"/>
    <w:rsid w:val="00BF1CD4"/>
    <w:rsid w:val="00BF1EC1"/>
    <w:rsid w:val="00BF2189"/>
    <w:rsid w:val="00BF22ED"/>
    <w:rsid w:val="00BF2371"/>
    <w:rsid w:val="00BF25D6"/>
    <w:rsid w:val="00BF27BD"/>
    <w:rsid w:val="00BF289A"/>
    <w:rsid w:val="00BF2B5E"/>
    <w:rsid w:val="00BF312F"/>
    <w:rsid w:val="00BF3340"/>
    <w:rsid w:val="00BF37B2"/>
    <w:rsid w:val="00BF39C6"/>
    <w:rsid w:val="00BF3D11"/>
    <w:rsid w:val="00BF400E"/>
    <w:rsid w:val="00BF4285"/>
    <w:rsid w:val="00BF43F7"/>
    <w:rsid w:val="00BF441F"/>
    <w:rsid w:val="00BF49CF"/>
    <w:rsid w:val="00BF4B2F"/>
    <w:rsid w:val="00BF4CDC"/>
    <w:rsid w:val="00BF4E0F"/>
    <w:rsid w:val="00BF508A"/>
    <w:rsid w:val="00BF54EA"/>
    <w:rsid w:val="00BF55E4"/>
    <w:rsid w:val="00BF5644"/>
    <w:rsid w:val="00BF592D"/>
    <w:rsid w:val="00BF59A6"/>
    <w:rsid w:val="00BF5BE8"/>
    <w:rsid w:val="00BF5C68"/>
    <w:rsid w:val="00BF5CE4"/>
    <w:rsid w:val="00BF5F43"/>
    <w:rsid w:val="00BF64B6"/>
    <w:rsid w:val="00BF656E"/>
    <w:rsid w:val="00BF6711"/>
    <w:rsid w:val="00BF694D"/>
    <w:rsid w:val="00BF6E00"/>
    <w:rsid w:val="00BF6EBE"/>
    <w:rsid w:val="00BF730C"/>
    <w:rsid w:val="00BF734A"/>
    <w:rsid w:val="00BF74A9"/>
    <w:rsid w:val="00BF74F7"/>
    <w:rsid w:val="00BF7812"/>
    <w:rsid w:val="00BF78A1"/>
    <w:rsid w:val="00BF792A"/>
    <w:rsid w:val="00BF79DC"/>
    <w:rsid w:val="00BF7ABC"/>
    <w:rsid w:val="00BF7E29"/>
    <w:rsid w:val="00C00008"/>
    <w:rsid w:val="00C0017E"/>
    <w:rsid w:val="00C007FA"/>
    <w:rsid w:val="00C00B8E"/>
    <w:rsid w:val="00C00BE4"/>
    <w:rsid w:val="00C00F0F"/>
    <w:rsid w:val="00C01056"/>
    <w:rsid w:val="00C016BF"/>
    <w:rsid w:val="00C016DA"/>
    <w:rsid w:val="00C01818"/>
    <w:rsid w:val="00C01AFC"/>
    <w:rsid w:val="00C01CCD"/>
    <w:rsid w:val="00C01D89"/>
    <w:rsid w:val="00C0205E"/>
    <w:rsid w:val="00C020E5"/>
    <w:rsid w:val="00C02225"/>
    <w:rsid w:val="00C025E6"/>
    <w:rsid w:val="00C028CC"/>
    <w:rsid w:val="00C02B5A"/>
    <w:rsid w:val="00C02BA1"/>
    <w:rsid w:val="00C02BF7"/>
    <w:rsid w:val="00C02C3B"/>
    <w:rsid w:val="00C02C40"/>
    <w:rsid w:val="00C02EAE"/>
    <w:rsid w:val="00C02F90"/>
    <w:rsid w:val="00C03275"/>
    <w:rsid w:val="00C033B0"/>
    <w:rsid w:val="00C035A5"/>
    <w:rsid w:val="00C036C1"/>
    <w:rsid w:val="00C038F6"/>
    <w:rsid w:val="00C03A27"/>
    <w:rsid w:val="00C041B0"/>
    <w:rsid w:val="00C044F5"/>
    <w:rsid w:val="00C0452C"/>
    <w:rsid w:val="00C0485B"/>
    <w:rsid w:val="00C04994"/>
    <w:rsid w:val="00C04C50"/>
    <w:rsid w:val="00C04CAE"/>
    <w:rsid w:val="00C0558C"/>
    <w:rsid w:val="00C05621"/>
    <w:rsid w:val="00C056AF"/>
    <w:rsid w:val="00C05816"/>
    <w:rsid w:val="00C05897"/>
    <w:rsid w:val="00C0599E"/>
    <w:rsid w:val="00C05A27"/>
    <w:rsid w:val="00C05DFA"/>
    <w:rsid w:val="00C05FCF"/>
    <w:rsid w:val="00C06224"/>
    <w:rsid w:val="00C063AE"/>
    <w:rsid w:val="00C063DA"/>
    <w:rsid w:val="00C06453"/>
    <w:rsid w:val="00C06763"/>
    <w:rsid w:val="00C06982"/>
    <w:rsid w:val="00C06A7C"/>
    <w:rsid w:val="00C06B27"/>
    <w:rsid w:val="00C06B61"/>
    <w:rsid w:val="00C06CDE"/>
    <w:rsid w:val="00C06D71"/>
    <w:rsid w:val="00C07109"/>
    <w:rsid w:val="00C07125"/>
    <w:rsid w:val="00C074C9"/>
    <w:rsid w:val="00C07673"/>
    <w:rsid w:val="00C07709"/>
    <w:rsid w:val="00C10019"/>
    <w:rsid w:val="00C101A2"/>
    <w:rsid w:val="00C10458"/>
    <w:rsid w:val="00C10BF9"/>
    <w:rsid w:val="00C10F32"/>
    <w:rsid w:val="00C11068"/>
    <w:rsid w:val="00C1120B"/>
    <w:rsid w:val="00C11307"/>
    <w:rsid w:val="00C115E7"/>
    <w:rsid w:val="00C1195C"/>
    <w:rsid w:val="00C11EB6"/>
    <w:rsid w:val="00C1251F"/>
    <w:rsid w:val="00C12BA5"/>
    <w:rsid w:val="00C12BDF"/>
    <w:rsid w:val="00C12DAE"/>
    <w:rsid w:val="00C12ED6"/>
    <w:rsid w:val="00C12EFC"/>
    <w:rsid w:val="00C1314C"/>
    <w:rsid w:val="00C13771"/>
    <w:rsid w:val="00C13A99"/>
    <w:rsid w:val="00C13CDC"/>
    <w:rsid w:val="00C13F6A"/>
    <w:rsid w:val="00C14142"/>
    <w:rsid w:val="00C14160"/>
    <w:rsid w:val="00C1417D"/>
    <w:rsid w:val="00C142B8"/>
    <w:rsid w:val="00C14434"/>
    <w:rsid w:val="00C14888"/>
    <w:rsid w:val="00C148F6"/>
    <w:rsid w:val="00C14AE3"/>
    <w:rsid w:val="00C14DBE"/>
    <w:rsid w:val="00C14ED1"/>
    <w:rsid w:val="00C152D7"/>
    <w:rsid w:val="00C15348"/>
    <w:rsid w:val="00C15918"/>
    <w:rsid w:val="00C1622E"/>
    <w:rsid w:val="00C1628F"/>
    <w:rsid w:val="00C16320"/>
    <w:rsid w:val="00C16492"/>
    <w:rsid w:val="00C16526"/>
    <w:rsid w:val="00C1666C"/>
    <w:rsid w:val="00C16701"/>
    <w:rsid w:val="00C168DD"/>
    <w:rsid w:val="00C16AEB"/>
    <w:rsid w:val="00C17C50"/>
    <w:rsid w:val="00C17EE9"/>
    <w:rsid w:val="00C17F3A"/>
    <w:rsid w:val="00C203D7"/>
    <w:rsid w:val="00C2052E"/>
    <w:rsid w:val="00C205CF"/>
    <w:rsid w:val="00C20830"/>
    <w:rsid w:val="00C20957"/>
    <w:rsid w:val="00C209BA"/>
    <w:rsid w:val="00C20AC1"/>
    <w:rsid w:val="00C2131F"/>
    <w:rsid w:val="00C217B8"/>
    <w:rsid w:val="00C21996"/>
    <w:rsid w:val="00C21A2C"/>
    <w:rsid w:val="00C22400"/>
    <w:rsid w:val="00C22819"/>
    <w:rsid w:val="00C2298C"/>
    <w:rsid w:val="00C2310E"/>
    <w:rsid w:val="00C236E0"/>
    <w:rsid w:val="00C2396E"/>
    <w:rsid w:val="00C23C06"/>
    <w:rsid w:val="00C23E6A"/>
    <w:rsid w:val="00C23FDB"/>
    <w:rsid w:val="00C24125"/>
    <w:rsid w:val="00C2416D"/>
    <w:rsid w:val="00C241E3"/>
    <w:rsid w:val="00C2474F"/>
    <w:rsid w:val="00C24966"/>
    <w:rsid w:val="00C249F1"/>
    <w:rsid w:val="00C24AD6"/>
    <w:rsid w:val="00C24B7F"/>
    <w:rsid w:val="00C24D2F"/>
    <w:rsid w:val="00C24FB5"/>
    <w:rsid w:val="00C257B0"/>
    <w:rsid w:val="00C25AD3"/>
    <w:rsid w:val="00C25B8D"/>
    <w:rsid w:val="00C261C6"/>
    <w:rsid w:val="00C2624B"/>
    <w:rsid w:val="00C2697B"/>
    <w:rsid w:val="00C26C5B"/>
    <w:rsid w:val="00C26D26"/>
    <w:rsid w:val="00C26EF0"/>
    <w:rsid w:val="00C276D3"/>
    <w:rsid w:val="00C27772"/>
    <w:rsid w:val="00C27AFE"/>
    <w:rsid w:val="00C27FC7"/>
    <w:rsid w:val="00C3013C"/>
    <w:rsid w:val="00C305AE"/>
    <w:rsid w:val="00C30605"/>
    <w:rsid w:val="00C30622"/>
    <w:rsid w:val="00C30C6F"/>
    <w:rsid w:val="00C313B7"/>
    <w:rsid w:val="00C3171D"/>
    <w:rsid w:val="00C31846"/>
    <w:rsid w:val="00C318E8"/>
    <w:rsid w:val="00C31913"/>
    <w:rsid w:val="00C3196A"/>
    <w:rsid w:val="00C31CC9"/>
    <w:rsid w:val="00C31DA3"/>
    <w:rsid w:val="00C32178"/>
    <w:rsid w:val="00C32643"/>
    <w:rsid w:val="00C32686"/>
    <w:rsid w:val="00C3280E"/>
    <w:rsid w:val="00C32AEF"/>
    <w:rsid w:val="00C32B4B"/>
    <w:rsid w:val="00C32DB3"/>
    <w:rsid w:val="00C32F4B"/>
    <w:rsid w:val="00C3302E"/>
    <w:rsid w:val="00C3346B"/>
    <w:rsid w:val="00C33558"/>
    <w:rsid w:val="00C3370B"/>
    <w:rsid w:val="00C33737"/>
    <w:rsid w:val="00C3373C"/>
    <w:rsid w:val="00C34218"/>
    <w:rsid w:val="00C34238"/>
    <w:rsid w:val="00C348FE"/>
    <w:rsid w:val="00C349ED"/>
    <w:rsid w:val="00C34B52"/>
    <w:rsid w:val="00C34F4F"/>
    <w:rsid w:val="00C352EA"/>
    <w:rsid w:val="00C35328"/>
    <w:rsid w:val="00C3536D"/>
    <w:rsid w:val="00C35708"/>
    <w:rsid w:val="00C35787"/>
    <w:rsid w:val="00C35CB0"/>
    <w:rsid w:val="00C362BB"/>
    <w:rsid w:val="00C3646E"/>
    <w:rsid w:val="00C36619"/>
    <w:rsid w:val="00C367C7"/>
    <w:rsid w:val="00C368DF"/>
    <w:rsid w:val="00C36B05"/>
    <w:rsid w:val="00C36B30"/>
    <w:rsid w:val="00C36C7F"/>
    <w:rsid w:val="00C36E29"/>
    <w:rsid w:val="00C3703D"/>
    <w:rsid w:val="00C3789B"/>
    <w:rsid w:val="00C379E8"/>
    <w:rsid w:val="00C37EA9"/>
    <w:rsid w:val="00C37FD2"/>
    <w:rsid w:val="00C40194"/>
    <w:rsid w:val="00C401C2"/>
    <w:rsid w:val="00C401DC"/>
    <w:rsid w:val="00C40479"/>
    <w:rsid w:val="00C404B6"/>
    <w:rsid w:val="00C4051C"/>
    <w:rsid w:val="00C406CF"/>
    <w:rsid w:val="00C407D2"/>
    <w:rsid w:val="00C40A86"/>
    <w:rsid w:val="00C40A96"/>
    <w:rsid w:val="00C40FCE"/>
    <w:rsid w:val="00C4121A"/>
    <w:rsid w:val="00C4135D"/>
    <w:rsid w:val="00C4172A"/>
    <w:rsid w:val="00C417C8"/>
    <w:rsid w:val="00C417D6"/>
    <w:rsid w:val="00C4187B"/>
    <w:rsid w:val="00C418E7"/>
    <w:rsid w:val="00C42539"/>
    <w:rsid w:val="00C42575"/>
    <w:rsid w:val="00C42854"/>
    <w:rsid w:val="00C42892"/>
    <w:rsid w:val="00C42CEF"/>
    <w:rsid w:val="00C42FC4"/>
    <w:rsid w:val="00C4319B"/>
    <w:rsid w:val="00C43785"/>
    <w:rsid w:val="00C4382E"/>
    <w:rsid w:val="00C43999"/>
    <w:rsid w:val="00C439E3"/>
    <w:rsid w:val="00C43A6D"/>
    <w:rsid w:val="00C43A75"/>
    <w:rsid w:val="00C44706"/>
    <w:rsid w:val="00C44784"/>
    <w:rsid w:val="00C447AC"/>
    <w:rsid w:val="00C44B2A"/>
    <w:rsid w:val="00C44B9D"/>
    <w:rsid w:val="00C44C98"/>
    <w:rsid w:val="00C45057"/>
    <w:rsid w:val="00C454C5"/>
    <w:rsid w:val="00C45905"/>
    <w:rsid w:val="00C459B3"/>
    <w:rsid w:val="00C459E6"/>
    <w:rsid w:val="00C45B52"/>
    <w:rsid w:val="00C45E62"/>
    <w:rsid w:val="00C45FB3"/>
    <w:rsid w:val="00C46358"/>
    <w:rsid w:val="00C464FE"/>
    <w:rsid w:val="00C46678"/>
    <w:rsid w:val="00C47465"/>
    <w:rsid w:val="00C478D1"/>
    <w:rsid w:val="00C47B13"/>
    <w:rsid w:val="00C503A5"/>
    <w:rsid w:val="00C50468"/>
    <w:rsid w:val="00C504BA"/>
    <w:rsid w:val="00C5051E"/>
    <w:rsid w:val="00C50BD4"/>
    <w:rsid w:val="00C50BDB"/>
    <w:rsid w:val="00C51110"/>
    <w:rsid w:val="00C51323"/>
    <w:rsid w:val="00C51462"/>
    <w:rsid w:val="00C51475"/>
    <w:rsid w:val="00C5161E"/>
    <w:rsid w:val="00C51652"/>
    <w:rsid w:val="00C51BE1"/>
    <w:rsid w:val="00C51BF3"/>
    <w:rsid w:val="00C51E1F"/>
    <w:rsid w:val="00C52104"/>
    <w:rsid w:val="00C523BB"/>
    <w:rsid w:val="00C523C3"/>
    <w:rsid w:val="00C525A2"/>
    <w:rsid w:val="00C52B42"/>
    <w:rsid w:val="00C53391"/>
    <w:rsid w:val="00C534E1"/>
    <w:rsid w:val="00C5395F"/>
    <w:rsid w:val="00C53CC6"/>
    <w:rsid w:val="00C53D7A"/>
    <w:rsid w:val="00C53EDA"/>
    <w:rsid w:val="00C53FAD"/>
    <w:rsid w:val="00C541D8"/>
    <w:rsid w:val="00C54840"/>
    <w:rsid w:val="00C54875"/>
    <w:rsid w:val="00C549B8"/>
    <w:rsid w:val="00C54B6A"/>
    <w:rsid w:val="00C54B81"/>
    <w:rsid w:val="00C54DFD"/>
    <w:rsid w:val="00C54E0F"/>
    <w:rsid w:val="00C54F98"/>
    <w:rsid w:val="00C55072"/>
    <w:rsid w:val="00C55095"/>
    <w:rsid w:val="00C552E3"/>
    <w:rsid w:val="00C555B8"/>
    <w:rsid w:val="00C55617"/>
    <w:rsid w:val="00C5565E"/>
    <w:rsid w:val="00C5582F"/>
    <w:rsid w:val="00C5588C"/>
    <w:rsid w:val="00C55CD9"/>
    <w:rsid w:val="00C56184"/>
    <w:rsid w:val="00C56476"/>
    <w:rsid w:val="00C56485"/>
    <w:rsid w:val="00C5681F"/>
    <w:rsid w:val="00C568D1"/>
    <w:rsid w:val="00C56975"/>
    <w:rsid w:val="00C56D10"/>
    <w:rsid w:val="00C56D38"/>
    <w:rsid w:val="00C56F3A"/>
    <w:rsid w:val="00C57089"/>
    <w:rsid w:val="00C57234"/>
    <w:rsid w:val="00C574F4"/>
    <w:rsid w:val="00C57D51"/>
    <w:rsid w:val="00C57F56"/>
    <w:rsid w:val="00C601AB"/>
    <w:rsid w:val="00C60475"/>
    <w:rsid w:val="00C60641"/>
    <w:rsid w:val="00C60714"/>
    <w:rsid w:val="00C608DF"/>
    <w:rsid w:val="00C60995"/>
    <w:rsid w:val="00C60A65"/>
    <w:rsid w:val="00C60A9E"/>
    <w:rsid w:val="00C60E03"/>
    <w:rsid w:val="00C60F97"/>
    <w:rsid w:val="00C61024"/>
    <w:rsid w:val="00C61266"/>
    <w:rsid w:val="00C61315"/>
    <w:rsid w:val="00C616F0"/>
    <w:rsid w:val="00C617D6"/>
    <w:rsid w:val="00C618B7"/>
    <w:rsid w:val="00C61912"/>
    <w:rsid w:val="00C61A6C"/>
    <w:rsid w:val="00C61B0C"/>
    <w:rsid w:val="00C61C81"/>
    <w:rsid w:val="00C61D1B"/>
    <w:rsid w:val="00C61DB5"/>
    <w:rsid w:val="00C61DDD"/>
    <w:rsid w:val="00C61E40"/>
    <w:rsid w:val="00C62A88"/>
    <w:rsid w:val="00C62C67"/>
    <w:rsid w:val="00C62D73"/>
    <w:rsid w:val="00C63331"/>
    <w:rsid w:val="00C63A46"/>
    <w:rsid w:val="00C63AA0"/>
    <w:rsid w:val="00C63B34"/>
    <w:rsid w:val="00C63BDE"/>
    <w:rsid w:val="00C63C27"/>
    <w:rsid w:val="00C63EA8"/>
    <w:rsid w:val="00C63F2D"/>
    <w:rsid w:val="00C64115"/>
    <w:rsid w:val="00C64BD9"/>
    <w:rsid w:val="00C64C6C"/>
    <w:rsid w:val="00C64F36"/>
    <w:rsid w:val="00C65260"/>
    <w:rsid w:val="00C65527"/>
    <w:rsid w:val="00C656C1"/>
    <w:rsid w:val="00C6573E"/>
    <w:rsid w:val="00C65785"/>
    <w:rsid w:val="00C65A33"/>
    <w:rsid w:val="00C65CE9"/>
    <w:rsid w:val="00C65E15"/>
    <w:rsid w:val="00C65EC2"/>
    <w:rsid w:val="00C65FBD"/>
    <w:rsid w:val="00C66699"/>
    <w:rsid w:val="00C6699C"/>
    <w:rsid w:val="00C66B10"/>
    <w:rsid w:val="00C66C22"/>
    <w:rsid w:val="00C66C27"/>
    <w:rsid w:val="00C66C58"/>
    <w:rsid w:val="00C66D47"/>
    <w:rsid w:val="00C674BC"/>
    <w:rsid w:val="00C6754B"/>
    <w:rsid w:val="00C6761B"/>
    <w:rsid w:val="00C677A7"/>
    <w:rsid w:val="00C67F79"/>
    <w:rsid w:val="00C67FD1"/>
    <w:rsid w:val="00C702AF"/>
    <w:rsid w:val="00C70622"/>
    <w:rsid w:val="00C707CC"/>
    <w:rsid w:val="00C70D9A"/>
    <w:rsid w:val="00C70F35"/>
    <w:rsid w:val="00C71147"/>
    <w:rsid w:val="00C713C0"/>
    <w:rsid w:val="00C71E21"/>
    <w:rsid w:val="00C71FE2"/>
    <w:rsid w:val="00C7226E"/>
    <w:rsid w:val="00C723C6"/>
    <w:rsid w:val="00C7270B"/>
    <w:rsid w:val="00C72A0E"/>
    <w:rsid w:val="00C72B21"/>
    <w:rsid w:val="00C72BA2"/>
    <w:rsid w:val="00C72C1E"/>
    <w:rsid w:val="00C72F1F"/>
    <w:rsid w:val="00C73291"/>
    <w:rsid w:val="00C73A7B"/>
    <w:rsid w:val="00C73BB1"/>
    <w:rsid w:val="00C74012"/>
    <w:rsid w:val="00C740C7"/>
    <w:rsid w:val="00C74131"/>
    <w:rsid w:val="00C7448C"/>
    <w:rsid w:val="00C7492C"/>
    <w:rsid w:val="00C74958"/>
    <w:rsid w:val="00C749EE"/>
    <w:rsid w:val="00C74CD7"/>
    <w:rsid w:val="00C74CEF"/>
    <w:rsid w:val="00C74D98"/>
    <w:rsid w:val="00C74F2C"/>
    <w:rsid w:val="00C74FE4"/>
    <w:rsid w:val="00C754C5"/>
    <w:rsid w:val="00C75539"/>
    <w:rsid w:val="00C75964"/>
    <w:rsid w:val="00C75CA7"/>
    <w:rsid w:val="00C76190"/>
    <w:rsid w:val="00C76299"/>
    <w:rsid w:val="00C7635A"/>
    <w:rsid w:val="00C764F7"/>
    <w:rsid w:val="00C76544"/>
    <w:rsid w:val="00C7669B"/>
    <w:rsid w:val="00C766F3"/>
    <w:rsid w:val="00C76E8C"/>
    <w:rsid w:val="00C76FE7"/>
    <w:rsid w:val="00C7709B"/>
    <w:rsid w:val="00C7723F"/>
    <w:rsid w:val="00C775FE"/>
    <w:rsid w:val="00C776C1"/>
    <w:rsid w:val="00C77B69"/>
    <w:rsid w:val="00C77CCF"/>
    <w:rsid w:val="00C77E3A"/>
    <w:rsid w:val="00C77FAE"/>
    <w:rsid w:val="00C8076F"/>
    <w:rsid w:val="00C8078C"/>
    <w:rsid w:val="00C808BD"/>
    <w:rsid w:val="00C80C63"/>
    <w:rsid w:val="00C81132"/>
    <w:rsid w:val="00C819D9"/>
    <w:rsid w:val="00C81AB7"/>
    <w:rsid w:val="00C81D8A"/>
    <w:rsid w:val="00C821C5"/>
    <w:rsid w:val="00C82348"/>
    <w:rsid w:val="00C82672"/>
    <w:rsid w:val="00C828E0"/>
    <w:rsid w:val="00C8347B"/>
    <w:rsid w:val="00C8377F"/>
    <w:rsid w:val="00C83CEE"/>
    <w:rsid w:val="00C83EBD"/>
    <w:rsid w:val="00C84AFE"/>
    <w:rsid w:val="00C84FF1"/>
    <w:rsid w:val="00C85210"/>
    <w:rsid w:val="00C8529D"/>
    <w:rsid w:val="00C8538A"/>
    <w:rsid w:val="00C856CA"/>
    <w:rsid w:val="00C859B0"/>
    <w:rsid w:val="00C85A31"/>
    <w:rsid w:val="00C85BD6"/>
    <w:rsid w:val="00C85BDD"/>
    <w:rsid w:val="00C86227"/>
    <w:rsid w:val="00C8654E"/>
    <w:rsid w:val="00C86A69"/>
    <w:rsid w:val="00C86C46"/>
    <w:rsid w:val="00C871FC"/>
    <w:rsid w:val="00C873B4"/>
    <w:rsid w:val="00C876F3"/>
    <w:rsid w:val="00C87C1E"/>
    <w:rsid w:val="00C87FC0"/>
    <w:rsid w:val="00C90005"/>
    <w:rsid w:val="00C90016"/>
    <w:rsid w:val="00C90295"/>
    <w:rsid w:val="00C902E2"/>
    <w:rsid w:val="00C9087E"/>
    <w:rsid w:val="00C908DA"/>
    <w:rsid w:val="00C90B80"/>
    <w:rsid w:val="00C91180"/>
    <w:rsid w:val="00C9166C"/>
    <w:rsid w:val="00C917E9"/>
    <w:rsid w:val="00C91CF4"/>
    <w:rsid w:val="00C91E69"/>
    <w:rsid w:val="00C922CA"/>
    <w:rsid w:val="00C9236B"/>
    <w:rsid w:val="00C92528"/>
    <w:rsid w:val="00C927E2"/>
    <w:rsid w:val="00C931D0"/>
    <w:rsid w:val="00C934D9"/>
    <w:rsid w:val="00C938BD"/>
    <w:rsid w:val="00C93C0A"/>
    <w:rsid w:val="00C93DAC"/>
    <w:rsid w:val="00C943B3"/>
    <w:rsid w:val="00C944EA"/>
    <w:rsid w:val="00C945CB"/>
    <w:rsid w:val="00C94642"/>
    <w:rsid w:val="00C94707"/>
    <w:rsid w:val="00C94782"/>
    <w:rsid w:val="00C94910"/>
    <w:rsid w:val="00C9492C"/>
    <w:rsid w:val="00C94A98"/>
    <w:rsid w:val="00C94EBA"/>
    <w:rsid w:val="00C9517B"/>
    <w:rsid w:val="00C95332"/>
    <w:rsid w:val="00C95720"/>
    <w:rsid w:val="00C9583F"/>
    <w:rsid w:val="00C9586F"/>
    <w:rsid w:val="00C95B6C"/>
    <w:rsid w:val="00C95C39"/>
    <w:rsid w:val="00C95D3F"/>
    <w:rsid w:val="00C95D78"/>
    <w:rsid w:val="00C960CD"/>
    <w:rsid w:val="00C9621F"/>
    <w:rsid w:val="00C96354"/>
    <w:rsid w:val="00C965FA"/>
    <w:rsid w:val="00C96710"/>
    <w:rsid w:val="00C96FF4"/>
    <w:rsid w:val="00CA0119"/>
    <w:rsid w:val="00CA019B"/>
    <w:rsid w:val="00CA0683"/>
    <w:rsid w:val="00CA0910"/>
    <w:rsid w:val="00CA0941"/>
    <w:rsid w:val="00CA0E09"/>
    <w:rsid w:val="00CA12E9"/>
    <w:rsid w:val="00CA1359"/>
    <w:rsid w:val="00CA1638"/>
    <w:rsid w:val="00CA1A8B"/>
    <w:rsid w:val="00CA1D61"/>
    <w:rsid w:val="00CA1D8F"/>
    <w:rsid w:val="00CA1E1D"/>
    <w:rsid w:val="00CA1FB3"/>
    <w:rsid w:val="00CA2047"/>
    <w:rsid w:val="00CA262C"/>
    <w:rsid w:val="00CA281E"/>
    <w:rsid w:val="00CA3087"/>
    <w:rsid w:val="00CA3252"/>
    <w:rsid w:val="00CA3373"/>
    <w:rsid w:val="00CA3774"/>
    <w:rsid w:val="00CA3915"/>
    <w:rsid w:val="00CA3A7C"/>
    <w:rsid w:val="00CA3E6B"/>
    <w:rsid w:val="00CA4001"/>
    <w:rsid w:val="00CA41A5"/>
    <w:rsid w:val="00CA452B"/>
    <w:rsid w:val="00CA45D7"/>
    <w:rsid w:val="00CA464C"/>
    <w:rsid w:val="00CA4A83"/>
    <w:rsid w:val="00CA4AEB"/>
    <w:rsid w:val="00CA4C94"/>
    <w:rsid w:val="00CA532D"/>
    <w:rsid w:val="00CA56B7"/>
    <w:rsid w:val="00CA5795"/>
    <w:rsid w:val="00CA5BE7"/>
    <w:rsid w:val="00CA5C05"/>
    <w:rsid w:val="00CA5C56"/>
    <w:rsid w:val="00CA5F60"/>
    <w:rsid w:val="00CA628E"/>
    <w:rsid w:val="00CA68E6"/>
    <w:rsid w:val="00CA69D4"/>
    <w:rsid w:val="00CA6A16"/>
    <w:rsid w:val="00CA6F9A"/>
    <w:rsid w:val="00CA7DF6"/>
    <w:rsid w:val="00CB00DA"/>
    <w:rsid w:val="00CB0221"/>
    <w:rsid w:val="00CB04D1"/>
    <w:rsid w:val="00CB0530"/>
    <w:rsid w:val="00CB0620"/>
    <w:rsid w:val="00CB0824"/>
    <w:rsid w:val="00CB08D1"/>
    <w:rsid w:val="00CB0C91"/>
    <w:rsid w:val="00CB0F46"/>
    <w:rsid w:val="00CB0F64"/>
    <w:rsid w:val="00CB18FE"/>
    <w:rsid w:val="00CB1963"/>
    <w:rsid w:val="00CB1C11"/>
    <w:rsid w:val="00CB212A"/>
    <w:rsid w:val="00CB25BA"/>
    <w:rsid w:val="00CB289D"/>
    <w:rsid w:val="00CB290C"/>
    <w:rsid w:val="00CB29A6"/>
    <w:rsid w:val="00CB2A12"/>
    <w:rsid w:val="00CB2D7A"/>
    <w:rsid w:val="00CB2DB4"/>
    <w:rsid w:val="00CB301F"/>
    <w:rsid w:val="00CB34C1"/>
    <w:rsid w:val="00CB3A16"/>
    <w:rsid w:val="00CB3B91"/>
    <w:rsid w:val="00CB3D2B"/>
    <w:rsid w:val="00CB3E20"/>
    <w:rsid w:val="00CB4453"/>
    <w:rsid w:val="00CB44E2"/>
    <w:rsid w:val="00CB4693"/>
    <w:rsid w:val="00CB4895"/>
    <w:rsid w:val="00CB4A35"/>
    <w:rsid w:val="00CB4C69"/>
    <w:rsid w:val="00CB535C"/>
    <w:rsid w:val="00CB53C5"/>
    <w:rsid w:val="00CB5593"/>
    <w:rsid w:val="00CB5BB2"/>
    <w:rsid w:val="00CB5EFD"/>
    <w:rsid w:val="00CB5FF9"/>
    <w:rsid w:val="00CB6144"/>
    <w:rsid w:val="00CB6240"/>
    <w:rsid w:val="00CB66D9"/>
    <w:rsid w:val="00CB677F"/>
    <w:rsid w:val="00CB6830"/>
    <w:rsid w:val="00CB694F"/>
    <w:rsid w:val="00CB6ABC"/>
    <w:rsid w:val="00CB72A0"/>
    <w:rsid w:val="00CB73B0"/>
    <w:rsid w:val="00CB7505"/>
    <w:rsid w:val="00CB7A33"/>
    <w:rsid w:val="00CB7B11"/>
    <w:rsid w:val="00CB7C80"/>
    <w:rsid w:val="00CB7D20"/>
    <w:rsid w:val="00CB7D53"/>
    <w:rsid w:val="00CB7E86"/>
    <w:rsid w:val="00CB7ECF"/>
    <w:rsid w:val="00CC0180"/>
    <w:rsid w:val="00CC025B"/>
    <w:rsid w:val="00CC051B"/>
    <w:rsid w:val="00CC0CAF"/>
    <w:rsid w:val="00CC1312"/>
    <w:rsid w:val="00CC1793"/>
    <w:rsid w:val="00CC1853"/>
    <w:rsid w:val="00CC1D07"/>
    <w:rsid w:val="00CC1E54"/>
    <w:rsid w:val="00CC1E76"/>
    <w:rsid w:val="00CC1FB1"/>
    <w:rsid w:val="00CC223E"/>
    <w:rsid w:val="00CC2264"/>
    <w:rsid w:val="00CC2271"/>
    <w:rsid w:val="00CC24B4"/>
    <w:rsid w:val="00CC272C"/>
    <w:rsid w:val="00CC2943"/>
    <w:rsid w:val="00CC2944"/>
    <w:rsid w:val="00CC2AD3"/>
    <w:rsid w:val="00CC2BB0"/>
    <w:rsid w:val="00CC2BDA"/>
    <w:rsid w:val="00CC2CA6"/>
    <w:rsid w:val="00CC2ECA"/>
    <w:rsid w:val="00CC2EEB"/>
    <w:rsid w:val="00CC3138"/>
    <w:rsid w:val="00CC3208"/>
    <w:rsid w:val="00CC3866"/>
    <w:rsid w:val="00CC3B30"/>
    <w:rsid w:val="00CC3F74"/>
    <w:rsid w:val="00CC474A"/>
    <w:rsid w:val="00CC497D"/>
    <w:rsid w:val="00CC4B2F"/>
    <w:rsid w:val="00CC4D4B"/>
    <w:rsid w:val="00CC55FF"/>
    <w:rsid w:val="00CC577A"/>
    <w:rsid w:val="00CC57C6"/>
    <w:rsid w:val="00CC587B"/>
    <w:rsid w:val="00CC58E4"/>
    <w:rsid w:val="00CC5A17"/>
    <w:rsid w:val="00CC5B0C"/>
    <w:rsid w:val="00CC5DAB"/>
    <w:rsid w:val="00CC6020"/>
    <w:rsid w:val="00CC6074"/>
    <w:rsid w:val="00CC612E"/>
    <w:rsid w:val="00CC622B"/>
    <w:rsid w:val="00CC6392"/>
    <w:rsid w:val="00CC63C8"/>
    <w:rsid w:val="00CC66DD"/>
    <w:rsid w:val="00CC68EB"/>
    <w:rsid w:val="00CC6A53"/>
    <w:rsid w:val="00CC70B4"/>
    <w:rsid w:val="00CC72C0"/>
    <w:rsid w:val="00CC758B"/>
    <w:rsid w:val="00CC7854"/>
    <w:rsid w:val="00CC7A82"/>
    <w:rsid w:val="00CC7B26"/>
    <w:rsid w:val="00CC7B3D"/>
    <w:rsid w:val="00CC7CE6"/>
    <w:rsid w:val="00CC7DB0"/>
    <w:rsid w:val="00CD0082"/>
    <w:rsid w:val="00CD025E"/>
    <w:rsid w:val="00CD0BAA"/>
    <w:rsid w:val="00CD0EEA"/>
    <w:rsid w:val="00CD11F7"/>
    <w:rsid w:val="00CD127F"/>
    <w:rsid w:val="00CD20FD"/>
    <w:rsid w:val="00CD217C"/>
    <w:rsid w:val="00CD23CA"/>
    <w:rsid w:val="00CD2466"/>
    <w:rsid w:val="00CD25E2"/>
    <w:rsid w:val="00CD272A"/>
    <w:rsid w:val="00CD2737"/>
    <w:rsid w:val="00CD299C"/>
    <w:rsid w:val="00CD2A2D"/>
    <w:rsid w:val="00CD2DB0"/>
    <w:rsid w:val="00CD2DE6"/>
    <w:rsid w:val="00CD2EBA"/>
    <w:rsid w:val="00CD2F2E"/>
    <w:rsid w:val="00CD357A"/>
    <w:rsid w:val="00CD3614"/>
    <w:rsid w:val="00CD3C50"/>
    <w:rsid w:val="00CD3CF8"/>
    <w:rsid w:val="00CD3EEC"/>
    <w:rsid w:val="00CD4035"/>
    <w:rsid w:val="00CD408E"/>
    <w:rsid w:val="00CD43D8"/>
    <w:rsid w:val="00CD45D3"/>
    <w:rsid w:val="00CD4638"/>
    <w:rsid w:val="00CD4CA3"/>
    <w:rsid w:val="00CD5380"/>
    <w:rsid w:val="00CD5589"/>
    <w:rsid w:val="00CD55F3"/>
    <w:rsid w:val="00CD5664"/>
    <w:rsid w:val="00CD5915"/>
    <w:rsid w:val="00CD594F"/>
    <w:rsid w:val="00CD5ABC"/>
    <w:rsid w:val="00CD5B55"/>
    <w:rsid w:val="00CD5BE0"/>
    <w:rsid w:val="00CD5E93"/>
    <w:rsid w:val="00CD5EC9"/>
    <w:rsid w:val="00CD5F5F"/>
    <w:rsid w:val="00CD6581"/>
    <w:rsid w:val="00CD66F9"/>
    <w:rsid w:val="00CD671E"/>
    <w:rsid w:val="00CD6AEA"/>
    <w:rsid w:val="00CD6C77"/>
    <w:rsid w:val="00CD6D16"/>
    <w:rsid w:val="00CD6E7F"/>
    <w:rsid w:val="00CD700B"/>
    <w:rsid w:val="00CD73FE"/>
    <w:rsid w:val="00CD7801"/>
    <w:rsid w:val="00CD780C"/>
    <w:rsid w:val="00CD7A35"/>
    <w:rsid w:val="00CD7E20"/>
    <w:rsid w:val="00CD7FD7"/>
    <w:rsid w:val="00CE0601"/>
    <w:rsid w:val="00CE0747"/>
    <w:rsid w:val="00CE0ACB"/>
    <w:rsid w:val="00CE0B99"/>
    <w:rsid w:val="00CE0DBB"/>
    <w:rsid w:val="00CE0FFA"/>
    <w:rsid w:val="00CE137D"/>
    <w:rsid w:val="00CE14E0"/>
    <w:rsid w:val="00CE1593"/>
    <w:rsid w:val="00CE166C"/>
    <w:rsid w:val="00CE1926"/>
    <w:rsid w:val="00CE1A5A"/>
    <w:rsid w:val="00CE1E94"/>
    <w:rsid w:val="00CE1EDF"/>
    <w:rsid w:val="00CE2180"/>
    <w:rsid w:val="00CE23C3"/>
    <w:rsid w:val="00CE2523"/>
    <w:rsid w:val="00CE25F7"/>
    <w:rsid w:val="00CE2781"/>
    <w:rsid w:val="00CE2EBA"/>
    <w:rsid w:val="00CE307C"/>
    <w:rsid w:val="00CE311D"/>
    <w:rsid w:val="00CE3176"/>
    <w:rsid w:val="00CE31FE"/>
    <w:rsid w:val="00CE3406"/>
    <w:rsid w:val="00CE340F"/>
    <w:rsid w:val="00CE3723"/>
    <w:rsid w:val="00CE3C23"/>
    <w:rsid w:val="00CE3FB3"/>
    <w:rsid w:val="00CE40FB"/>
    <w:rsid w:val="00CE439A"/>
    <w:rsid w:val="00CE473D"/>
    <w:rsid w:val="00CE475D"/>
    <w:rsid w:val="00CE4AC2"/>
    <w:rsid w:val="00CE4D8D"/>
    <w:rsid w:val="00CE4F43"/>
    <w:rsid w:val="00CE5099"/>
    <w:rsid w:val="00CE5246"/>
    <w:rsid w:val="00CE538B"/>
    <w:rsid w:val="00CE53F6"/>
    <w:rsid w:val="00CE55D6"/>
    <w:rsid w:val="00CE55D9"/>
    <w:rsid w:val="00CE58B9"/>
    <w:rsid w:val="00CE594B"/>
    <w:rsid w:val="00CE63F8"/>
    <w:rsid w:val="00CE648F"/>
    <w:rsid w:val="00CE64CC"/>
    <w:rsid w:val="00CE663B"/>
    <w:rsid w:val="00CE696D"/>
    <w:rsid w:val="00CE6A43"/>
    <w:rsid w:val="00CE6B45"/>
    <w:rsid w:val="00CE6F3C"/>
    <w:rsid w:val="00CE73E6"/>
    <w:rsid w:val="00CE7561"/>
    <w:rsid w:val="00CE7673"/>
    <w:rsid w:val="00CE79DC"/>
    <w:rsid w:val="00CE7B44"/>
    <w:rsid w:val="00CE7DAD"/>
    <w:rsid w:val="00CF00AD"/>
    <w:rsid w:val="00CF065E"/>
    <w:rsid w:val="00CF0886"/>
    <w:rsid w:val="00CF0A39"/>
    <w:rsid w:val="00CF0A4A"/>
    <w:rsid w:val="00CF0FE1"/>
    <w:rsid w:val="00CF1747"/>
    <w:rsid w:val="00CF1A5A"/>
    <w:rsid w:val="00CF2053"/>
    <w:rsid w:val="00CF20C5"/>
    <w:rsid w:val="00CF22FB"/>
    <w:rsid w:val="00CF2431"/>
    <w:rsid w:val="00CF24E8"/>
    <w:rsid w:val="00CF2754"/>
    <w:rsid w:val="00CF2917"/>
    <w:rsid w:val="00CF2A7A"/>
    <w:rsid w:val="00CF30CB"/>
    <w:rsid w:val="00CF3205"/>
    <w:rsid w:val="00CF34AA"/>
    <w:rsid w:val="00CF3687"/>
    <w:rsid w:val="00CF36A9"/>
    <w:rsid w:val="00CF379D"/>
    <w:rsid w:val="00CF383C"/>
    <w:rsid w:val="00CF3A4D"/>
    <w:rsid w:val="00CF3D53"/>
    <w:rsid w:val="00CF41E0"/>
    <w:rsid w:val="00CF4204"/>
    <w:rsid w:val="00CF4342"/>
    <w:rsid w:val="00CF44C9"/>
    <w:rsid w:val="00CF470F"/>
    <w:rsid w:val="00CF49BA"/>
    <w:rsid w:val="00CF49BD"/>
    <w:rsid w:val="00CF4EF5"/>
    <w:rsid w:val="00CF4F81"/>
    <w:rsid w:val="00CF5408"/>
    <w:rsid w:val="00CF58C2"/>
    <w:rsid w:val="00CF5DA5"/>
    <w:rsid w:val="00CF5F17"/>
    <w:rsid w:val="00CF6266"/>
    <w:rsid w:val="00CF6637"/>
    <w:rsid w:val="00CF68CC"/>
    <w:rsid w:val="00CF68E5"/>
    <w:rsid w:val="00CF6C4F"/>
    <w:rsid w:val="00CF6ED2"/>
    <w:rsid w:val="00CF6F45"/>
    <w:rsid w:val="00CF73BA"/>
    <w:rsid w:val="00CF7D46"/>
    <w:rsid w:val="00D0004D"/>
    <w:rsid w:val="00D00263"/>
    <w:rsid w:val="00D0045D"/>
    <w:rsid w:val="00D004D9"/>
    <w:rsid w:val="00D006AD"/>
    <w:rsid w:val="00D00936"/>
    <w:rsid w:val="00D00B31"/>
    <w:rsid w:val="00D00BCF"/>
    <w:rsid w:val="00D00D88"/>
    <w:rsid w:val="00D01245"/>
    <w:rsid w:val="00D0132A"/>
    <w:rsid w:val="00D0147A"/>
    <w:rsid w:val="00D014FD"/>
    <w:rsid w:val="00D01837"/>
    <w:rsid w:val="00D01897"/>
    <w:rsid w:val="00D018BC"/>
    <w:rsid w:val="00D01A7A"/>
    <w:rsid w:val="00D01BF4"/>
    <w:rsid w:val="00D01C94"/>
    <w:rsid w:val="00D01CFE"/>
    <w:rsid w:val="00D01D7D"/>
    <w:rsid w:val="00D01DCC"/>
    <w:rsid w:val="00D029A6"/>
    <w:rsid w:val="00D029FA"/>
    <w:rsid w:val="00D02BC8"/>
    <w:rsid w:val="00D0305C"/>
    <w:rsid w:val="00D0305D"/>
    <w:rsid w:val="00D030A7"/>
    <w:rsid w:val="00D030ED"/>
    <w:rsid w:val="00D0367C"/>
    <w:rsid w:val="00D037D1"/>
    <w:rsid w:val="00D03864"/>
    <w:rsid w:val="00D039D8"/>
    <w:rsid w:val="00D03B5D"/>
    <w:rsid w:val="00D041F4"/>
    <w:rsid w:val="00D043EC"/>
    <w:rsid w:val="00D044F6"/>
    <w:rsid w:val="00D05100"/>
    <w:rsid w:val="00D05573"/>
    <w:rsid w:val="00D0601D"/>
    <w:rsid w:val="00D06080"/>
    <w:rsid w:val="00D067E2"/>
    <w:rsid w:val="00D06AA8"/>
    <w:rsid w:val="00D06E2D"/>
    <w:rsid w:val="00D0793B"/>
    <w:rsid w:val="00D07D7A"/>
    <w:rsid w:val="00D07EB1"/>
    <w:rsid w:val="00D07F01"/>
    <w:rsid w:val="00D102EF"/>
    <w:rsid w:val="00D10445"/>
    <w:rsid w:val="00D1072A"/>
    <w:rsid w:val="00D1076A"/>
    <w:rsid w:val="00D108BC"/>
    <w:rsid w:val="00D10C26"/>
    <w:rsid w:val="00D11106"/>
    <w:rsid w:val="00D1117F"/>
    <w:rsid w:val="00D11245"/>
    <w:rsid w:val="00D115A9"/>
    <w:rsid w:val="00D11871"/>
    <w:rsid w:val="00D11A08"/>
    <w:rsid w:val="00D11A60"/>
    <w:rsid w:val="00D11B7A"/>
    <w:rsid w:val="00D11D35"/>
    <w:rsid w:val="00D11E18"/>
    <w:rsid w:val="00D120B1"/>
    <w:rsid w:val="00D120C9"/>
    <w:rsid w:val="00D120F9"/>
    <w:rsid w:val="00D1253B"/>
    <w:rsid w:val="00D12703"/>
    <w:rsid w:val="00D12794"/>
    <w:rsid w:val="00D12D61"/>
    <w:rsid w:val="00D12F4C"/>
    <w:rsid w:val="00D13390"/>
    <w:rsid w:val="00D13436"/>
    <w:rsid w:val="00D13596"/>
    <w:rsid w:val="00D139A3"/>
    <w:rsid w:val="00D13C51"/>
    <w:rsid w:val="00D13CBA"/>
    <w:rsid w:val="00D13FF2"/>
    <w:rsid w:val="00D142A1"/>
    <w:rsid w:val="00D1435C"/>
    <w:rsid w:val="00D14765"/>
    <w:rsid w:val="00D14DD1"/>
    <w:rsid w:val="00D14E8A"/>
    <w:rsid w:val="00D1534B"/>
    <w:rsid w:val="00D15E83"/>
    <w:rsid w:val="00D164E7"/>
    <w:rsid w:val="00D166D4"/>
    <w:rsid w:val="00D1692A"/>
    <w:rsid w:val="00D16CBE"/>
    <w:rsid w:val="00D16E69"/>
    <w:rsid w:val="00D17049"/>
    <w:rsid w:val="00D17420"/>
    <w:rsid w:val="00D17469"/>
    <w:rsid w:val="00D174B8"/>
    <w:rsid w:val="00D17575"/>
    <w:rsid w:val="00D17603"/>
    <w:rsid w:val="00D1769F"/>
    <w:rsid w:val="00D1790F"/>
    <w:rsid w:val="00D17C8E"/>
    <w:rsid w:val="00D17DDE"/>
    <w:rsid w:val="00D17E74"/>
    <w:rsid w:val="00D17EB1"/>
    <w:rsid w:val="00D17F11"/>
    <w:rsid w:val="00D202CB"/>
    <w:rsid w:val="00D205ED"/>
    <w:rsid w:val="00D20877"/>
    <w:rsid w:val="00D20A19"/>
    <w:rsid w:val="00D20EBA"/>
    <w:rsid w:val="00D20F28"/>
    <w:rsid w:val="00D21355"/>
    <w:rsid w:val="00D21555"/>
    <w:rsid w:val="00D215B4"/>
    <w:rsid w:val="00D21E8A"/>
    <w:rsid w:val="00D21F04"/>
    <w:rsid w:val="00D220D2"/>
    <w:rsid w:val="00D2213F"/>
    <w:rsid w:val="00D221A5"/>
    <w:rsid w:val="00D2230D"/>
    <w:rsid w:val="00D22588"/>
    <w:rsid w:val="00D2262D"/>
    <w:rsid w:val="00D22D81"/>
    <w:rsid w:val="00D22FD0"/>
    <w:rsid w:val="00D2318C"/>
    <w:rsid w:val="00D2358B"/>
    <w:rsid w:val="00D236A2"/>
    <w:rsid w:val="00D236A7"/>
    <w:rsid w:val="00D236AD"/>
    <w:rsid w:val="00D23869"/>
    <w:rsid w:val="00D23E6E"/>
    <w:rsid w:val="00D241CE"/>
    <w:rsid w:val="00D247CA"/>
    <w:rsid w:val="00D24CDE"/>
    <w:rsid w:val="00D24EC3"/>
    <w:rsid w:val="00D24F1D"/>
    <w:rsid w:val="00D24FE6"/>
    <w:rsid w:val="00D2500D"/>
    <w:rsid w:val="00D252D8"/>
    <w:rsid w:val="00D25412"/>
    <w:rsid w:val="00D2590E"/>
    <w:rsid w:val="00D25C9A"/>
    <w:rsid w:val="00D25D8D"/>
    <w:rsid w:val="00D26127"/>
    <w:rsid w:val="00D263E6"/>
    <w:rsid w:val="00D265EE"/>
    <w:rsid w:val="00D26818"/>
    <w:rsid w:val="00D268A4"/>
    <w:rsid w:val="00D26CB6"/>
    <w:rsid w:val="00D26DB1"/>
    <w:rsid w:val="00D275FD"/>
    <w:rsid w:val="00D2760C"/>
    <w:rsid w:val="00D2784A"/>
    <w:rsid w:val="00D278B2"/>
    <w:rsid w:val="00D27DE8"/>
    <w:rsid w:val="00D3033C"/>
    <w:rsid w:val="00D305DC"/>
    <w:rsid w:val="00D30DD5"/>
    <w:rsid w:val="00D30FA7"/>
    <w:rsid w:val="00D31646"/>
    <w:rsid w:val="00D31700"/>
    <w:rsid w:val="00D3182F"/>
    <w:rsid w:val="00D31D23"/>
    <w:rsid w:val="00D31EBF"/>
    <w:rsid w:val="00D32777"/>
    <w:rsid w:val="00D32E09"/>
    <w:rsid w:val="00D32F61"/>
    <w:rsid w:val="00D3358D"/>
    <w:rsid w:val="00D335E7"/>
    <w:rsid w:val="00D3366A"/>
    <w:rsid w:val="00D33798"/>
    <w:rsid w:val="00D33ABE"/>
    <w:rsid w:val="00D33E5C"/>
    <w:rsid w:val="00D343DD"/>
    <w:rsid w:val="00D3449D"/>
    <w:rsid w:val="00D34752"/>
    <w:rsid w:val="00D347DB"/>
    <w:rsid w:val="00D3512C"/>
    <w:rsid w:val="00D35289"/>
    <w:rsid w:val="00D355C6"/>
    <w:rsid w:val="00D3575E"/>
    <w:rsid w:val="00D35933"/>
    <w:rsid w:val="00D35D77"/>
    <w:rsid w:val="00D3612B"/>
    <w:rsid w:val="00D36229"/>
    <w:rsid w:val="00D36476"/>
    <w:rsid w:val="00D365ED"/>
    <w:rsid w:val="00D36703"/>
    <w:rsid w:val="00D36754"/>
    <w:rsid w:val="00D369BD"/>
    <w:rsid w:val="00D3729A"/>
    <w:rsid w:val="00D37501"/>
    <w:rsid w:val="00D379D0"/>
    <w:rsid w:val="00D37E26"/>
    <w:rsid w:val="00D400AC"/>
    <w:rsid w:val="00D40265"/>
    <w:rsid w:val="00D40313"/>
    <w:rsid w:val="00D403FD"/>
    <w:rsid w:val="00D405C0"/>
    <w:rsid w:val="00D40618"/>
    <w:rsid w:val="00D4083E"/>
    <w:rsid w:val="00D40A63"/>
    <w:rsid w:val="00D40D60"/>
    <w:rsid w:val="00D40DB9"/>
    <w:rsid w:val="00D40FB5"/>
    <w:rsid w:val="00D41457"/>
    <w:rsid w:val="00D41485"/>
    <w:rsid w:val="00D41598"/>
    <w:rsid w:val="00D419AF"/>
    <w:rsid w:val="00D41AF4"/>
    <w:rsid w:val="00D41C17"/>
    <w:rsid w:val="00D42230"/>
    <w:rsid w:val="00D422C7"/>
    <w:rsid w:val="00D423EE"/>
    <w:rsid w:val="00D4266B"/>
    <w:rsid w:val="00D42A08"/>
    <w:rsid w:val="00D42ADB"/>
    <w:rsid w:val="00D42BA8"/>
    <w:rsid w:val="00D42BEB"/>
    <w:rsid w:val="00D42D31"/>
    <w:rsid w:val="00D432F7"/>
    <w:rsid w:val="00D43707"/>
    <w:rsid w:val="00D4433D"/>
    <w:rsid w:val="00D44943"/>
    <w:rsid w:val="00D449F4"/>
    <w:rsid w:val="00D44A93"/>
    <w:rsid w:val="00D44AD0"/>
    <w:rsid w:val="00D44BEE"/>
    <w:rsid w:val="00D44C56"/>
    <w:rsid w:val="00D45244"/>
    <w:rsid w:val="00D455C9"/>
    <w:rsid w:val="00D45818"/>
    <w:rsid w:val="00D4581B"/>
    <w:rsid w:val="00D459F4"/>
    <w:rsid w:val="00D45C4E"/>
    <w:rsid w:val="00D45CBB"/>
    <w:rsid w:val="00D45E0B"/>
    <w:rsid w:val="00D46063"/>
    <w:rsid w:val="00D4621E"/>
    <w:rsid w:val="00D46380"/>
    <w:rsid w:val="00D469D7"/>
    <w:rsid w:val="00D46B31"/>
    <w:rsid w:val="00D46BD3"/>
    <w:rsid w:val="00D46DF1"/>
    <w:rsid w:val="00D46DF6"/>
    <w:rsid w:val="00D46DF7"/>
    <w:rsid w:val="00D47176"/>
    <w:rsid w:val="00D47441"/>
    <w:rsid w:val="00D4752D"/>
    <w:rsid w:val="00D475E1"/>
    <w:rsid w:val="00D476BB"/>
    <w:rsid w:val="00D47819"/>
    <w:rsid w:val="00D4798F"/>
    <w:rsid w:val="00D47A2A"/>
    <w:rsid w:val="00D47DA3"/>
    <w:rsid w:val="00D47DA4"/>
    <w:rsid w:val="00D47DEE"/>
    <w:rsid w:val="00D50A26"/>
    <w:rsid w:val="00D50E32"/>
    <w:rsid w:val="00D515A0"/>
    <w:rsid w:val="00D51BBF"/>
    <w:rsid w:val="00D51D01"/>
    <w:rsid w:val="00D51D92"/>
    <w:rsid w:val="00D51DE7"/>
    <w:rsid w:val="00D51E00"/>
    <w:rsid w:val="00D523BA"/>
    <w:rsid w:val="00D52AB8"/>
    <w:rsid w:val="00D5305B"/>
    <w:rsid w:val="00D530AC"/>
    <w:rsid w:val="00D53783"/>
    <w:rsid w:val="00D53C04"/>
    <w:rsid w:val="00D53D81"/>
    <w:rsid w:val="00D53FB0"/>
    <w:rsid w:val="00D54071"/>
    <w:rsid w:val="00D54574"/>
    <w:rsid w:val="00D550F0"/>
    <w:rsid w:val="00D55278"/>
    <w:rsid w:val="00D55997"/>
    <w:rsid w:val="00D55AF0"/>
    <w:rsid w:val="00D55B4B"/>
    <w:rsid w:val="00D55DC4"/>
    <w:rsid w:val="00D5614B"/>
    <w:rsid w:val="00D56433"/>
    <w:rsid w:val="00D56434"/>
    <w:rsid w:val="00D566E7"/>
    <w:rsid w:val="00D566EB"/>
    <w:rsid w:val="00D56BE0"/>
    <w:rsid w:val="00D57857"/>
    <w:rsid w:val="00D579FC"/>
    <w:rsid w:val="00D57A8C"/>
    <w:rsid w:val="00D57B0B"/>
    <w:rsid w:val="00D57CC0"/>
    <w:rsid w:val="00D57E21"/>
    <w:rsid w:val="00D6022E"/>
    <w:rsid w:val="00D60593"/>
    <w:rsid w:val="00D606A0"/>
    <w:rsid w:val="00D60712"/>
    <w:rsid w:val="00D6095D"/>
    <w:rsid w:val="00D609BC"/>
    <w:rsid w:val="00D60A41"/>
    <w:rsid w:val="00D60A83"/>
    <w:rsid w:val="00D60F29"/>
    <w:rsid w:val="00D6126A"/>
    <w:rsid w:val="00D61587"/>
    <w:rsid w:val="00D61716"/>
    <w:rsid w:val="00D617C1"/>
    <w:rsid w:val="00D61DF3"/>
    <w:rsid w:val="00D61F12"/>
    <w:rsid w:val="00D6207D"/>
    <w:rsid w:val="00D6208B"/>
    <w:rsid w:val="00D6209D"/>
    <w:rsid w:val="00D624B2"/>
    <w:rsid w:val="00D62621"/>
    <w:rsid w:val="00D6295F"/>
    <w:rsid w:val="00D62F2C"/>
    <w:rsid w:val="00D62FAA"/>
    <w:rsid w:val="00D63680"/>
    <w:rsid w:val="00D637A9"/>
    <w:rsid w:val="00D63D70"/>
    <w:rsid w:val="00D63DB2"/>
    <w:rsid w:val="00D63FC9"/>
    <w:rsid w:val="00D64658"/>
    <w:rsid w:val="00D64856"/>
    <w:rsid w:val="00D64B96"/>
    <w:rsid w:val="00D64CA0"/>
    <w:rsid w:val="00D6506E"/>
    <w:rsid w:val="00D653F5"/>
    <w:rsid w:val="00D6586E"/>
    <w:rsid w:val="00D65956"/>
    <w:rsid w:val="00D65C3E"/>
    <w:rsid w:val="00D65D6D"/>
    <w:rsid w:val="00D662BE"/>
    <w:rsid w:val="00D662D3"/>
    <w:rsid w:val="00D664D6"/>
    <w:rsid w:val="00D666A2"/>
    <w:rsid w:val="00D666E4"/>
    <w:rsid w:val="00D666EC"/>
    <w:rsid w:val="00D6675B"/>
    <w:rsid w:val="00D6689E"/>
    <w:rsid w:val="00D668EF"/>
    <w:rsid w:val="00D6696B"/>
    <w:rsid w:val="00D66A25"/>
    <w:rsid w:val="00D66A6B"/>
    <w:rsid w:val="00D66B0C"/>
    <w:rsid w:val="00D6711B"/>
    <w:rsid w:val="00D675FA"/>
    <w:rsid w:val="00D676EC"/>
    <w:rsid w:val="00D6771A"/>
    <w:rsid w:val="00D67A38"/>
    <w:rsid w:val="00D67A9A"/>
    <w:rsid w:val="00D67B02"/>
    <w:rsid w:val="00D67B13"/>
    <w:rsid w:val="00D67B68"/>
    <w:rsid w:val="00D67ECC"/>
    <w:rsid w:val="00D67EFD"/>
    <w:rsid w:val="00D703BD"/>
    <w:rsid w:val="00D705AB"/>
    <w:rsid w:val="00D709EC"/>
    <w:rsid w:val="00D70F01"/>
    <w:rsid w:val="00D71708"/>
    <w:rsid w:val="00D71B75"/>
    <w:rsid w:val="00D71CF0"/>
    <w:rsid w:val="00D71F23"/>
    <w:rsid w:val="00D720AA"/>
    <w:rsid w:val="00D720F8"/>
    <w:rsid w:val="00D721B2"/>
    <w:rsid w:val="00D7250D"/>
    <w:rsid w:val="00D725CA"/>
    <w:rsid w:val="00D72605"/>
    <w:rsid w:val="00D726F9"/>
    <w:rsid w:val="00D7276F"/>
    <w:rsid w:val="00D72912"/>
    <w:rsid w:val="00D72BDE"/>
    <w:rsid w:val="00D73453"/>
    <w:rsid w:val="00D73791"/>
    <w:rsid w:val="00D7384F"/>
    <w:rsid w:val="00D74319"/>
    <w:rsid w:val="00D74578"/>
    <w:rsid w:val="00D747B7"/>
    <w:rsid w:val="00D74AE6"/>
    <w:rsid w:val="00D74DD4"/>
    <w:rsid w:val="00D75359"/>
    <w:rsid w:val="00D75501"/>
    <w:rsid w:val="00D7589B"/>
    <w:rsid w:val="00D75B40"/>
    <w:rsid w:val="00D75BE2"/>
    <w:rsid w:val="00D76086"/>
    <w:rsid w:val="00D76153"/>
    <w:rsid w:val="00D7615E"/>
    <w:rsid w:val="00D762F5"/>
    <w:rsid w:val="00D76467"/>
    <w:rsid w:val="00D764AE"/>
    <w:rsid w:val="00D765CB"/>
    <w:rsid w:val="00D76C04"/>
    <w:rsid w:val="00D76CFC"/>
    <w:rsid w:val="00D76F63"/>
    <w:rsid w:val="00D77116"/>
    <w:rsid w:val="00D77123"/>
    <w:rsid w:val="00D77214"/>
    <w:rsid w:val="00D773D8"/>
    <w:rsid w:val="00D773F3"/>
    <w:rsid w:val="00D77541"/>
    <w:rsid w:val="00D7790C"/>
    <w:rsid w:val="00D77957"/>
    <w:rsid w:val="00D77CC9"/>
    <w:rsid w:val="00D77D85"/>
    <w:rsid w:val="00D77ED8"/>
    <w:rsid w:val="00D77F1F"/>
    <w:rsid w:val="00D77FEE"/>
    <w:rsid w:val="00D805B3"/>
    <w:rsid w:val="00D8073A"/>
    <w:rsid w:val="00D807BD"/>
    <w:rsid w:val="00D8087D"/>
    <w:rsid w:val="00D80BAB"/>
    <w:rsid w:val="00D80BDE"/>
    <w:rsid w:val="00D80C2B"/>
    <w:rsid w:val="00D80E68"/>
    <w:rsid w:val="00D811F8"/>
    <w:rsid w:val="00D814B6"/>
    <w:rsid w:val="00D81543"/>
    <w:rsid w:val="00D81A66"/>
    <w:rsid w:val="00D81FC7"/>
    <w:rsid w:val="00D820AE"/>
    <w:rsid w:val="00D820FD"/>
    <w:rsid w:val="00D821A2"/>
    <w:rsid w:val="00D822FC"/>
    <w:rsid w:val="00D82A68"/>
    <w:rsid w:val="00D82B4A"/>
    <w:rsid w:val="00D82BED"/>
    <w:rsid w:val="00D82E29"/>
    <w:rsid w:val="00D83363"/>
    <w:rsid w:val="00D83A8F"/>
    <w:rsid w:val="00D83AB5"/>
    <w:rsid w:val="00D83B2E"/>
    <w:rsid w:val="00D8436E"/>
    <w:rsid w:val="00D8451A"/>
    <w:rsid w:val="00D8482F"/>
    <w:rsid w:val="00D84B0F"/>
    <w:rsid w:val="00D84B9B"/>
    <w:rsid w:val="00D84DAC"/>
    <w:rsid w:val="00D84DD2"/>
    <w:rsid w:val="00D84E8B"/>
    <w:rsid w:val="00D84F52"/>
    <w:rsid w:val="00D851FD"/>
    <w:rsid w:val="00D85527"/>
    <w:rsid w:val="00D856F2"/>
    <w:rsid w:val="00D857D3"/>
    <w:rsid w:val="00D8583B"/>
    <w:rsid w:val="00D85B84"/>
    <w:rsid w:val="00D85CA7"/>
    <w:rsid w:val="00D85DFF"/>
    <w:rsid w:val="00D862A5"/>
    <w:rsid w:val="00D862FB"/>
    <w:rsid w:val="00D8630F"/>
    <w:rsid w:val="00D86442"/>
    <w:rsid w:val="00D86592"/>
    <w:rsid w:val="00D8660D"/>
    <w:rsid w:val="00D869BC"/>
    <w:rsid w:val="00D86D76"/>
    <w:rsid w:val="00D871E8"/>
    <w:rsid w:val="00D8759B"/>
    <w:rsid w:val="00D875AD"/>
    <w:rsid w:val="00D87642"/>
    <w:rsid w:val="00D87866"/>
    <w:rsid w:val="00D878E0"/>
    <w:rsid w:val="00D87AD7"/>
    <w:rsid w:val="00D87B67"/>
    <w:rsid w:val="00D87D4D"/>
    <w:rsid w:val="00D903C9"/>
    <w:rsid w:val="00D90B0C"/>
    <w:rsid w:val="00D90EF8"/>
    <w:rsid w:val="00D9113C"/>
    <w:rsid w:val="00D91259"/>
    <w:rsid w:val="00D9155B"/>
    <w:rsid w:val="00D915A3"/>
    <w:rsid w:val="00D917B2"/>
    <w:rsid w:val="00D91B07"/>
    <w:rsid w:val="00D91D19"/>
    <w:rsid w:val="00D91D69"/>
    <w:rsid w:val="00D91EE5"/>
    <w:rsid w:val="00D91F9B"/>
    <w:rsid w:val="00D92381"/>
    <w:rsid w:val="00D92638"/>
    <w:rsid w:val="00D92891"/>
    <w:rsid w:val="00D92CCA"/>
    <w:rsid w:val="00D92DBF"/>
    <w:rsid w:val="00D92E24"/>
    <w:rsid w:val="00D92E6A"/>
    <w:rsid w:val="00D9318D"/>
    <w:rsid w:val="00D931B1"/>
    <w:rsid w:val="00D93298"/>
    <w:rsid w:val="00D9372D"/>
    <w:rsid w:val="00D9379F"/>
    <w:rsid w:val="00D93879"/>
    <w:rsid w:val="00D93884"/>
    <w:rsid w:val="00D938D5"/>
    <w:rsid w:val="00D938E5"/>
    <w:rsid w:val="00D939B1"/>
    <w:rsid w:val="00D93AFB"/>
    <w:rsid w:val="00D93D5C"/>
    <w:rsid w:val="00D93E55"/>
    <w:rsid w:val="00D94012"/>
    <w:rsid w:val="00D94134"/>
    <w:rsid w:val="00D94203"/>
    <w:rsid w:val="00D94295"/>
    <w:rsid w:val="00D942B0"/>
    <w:rsid w:val="00D942C0"/>
    <w:rsid w:val="00D942C5"/>
    <w:rsid w:val="00D94471"/>
    <w:rsid w:val="00D94649"/>
    <w:rsid w:val="00D94A99"/>
    <w:rsid w:val="00D94ADF"/>
    <w:rsid w:val="00D94B4C"/>
    <w:rsid w:val="00D94C2D"/>
    <w:rsid w:val="00D94D5E"/>
    <w:rsid w:val="00D94F6C"/>
    <w:rsid w:val="00D952FB"/>
    <w:rsid w:val="00D95377"/>
    <w:rsid w:val="00D953AE"/>
    <w:rsid w:val="00D957C5"/>
    <w:rsid w:val="00D95ABC"/>
    <w:rsid w:val="00D95B8D"/>
    <w:rsid w:val="00D95C50"/>
    <w:rsid w:val="00D95DB5"/>
    <w:rsid w:val="00D95E9A"/>
    <w:rsid w:val="00D95ED7"/>
    <w:rsid w:val="00D96638"/>
    <w:rsid w:val="00D96BFF"/>
    <w:rsid w:val="00D96DA1"/>
    <w:rsid w:val="00D970A9"/>
    <w:rsid w:val="00D97138"/>
    <w:rsid w:val="00D97183"/>
    <w:rsid w:val="00D972AB"/>
    <w:rsid w:val="00D972F9"/>
    <w:rsid w:val="00D973D9"/>
    <w:rsid w:val="00D974C3"/>
    <w:rsid w:val="00D97F5D"/>
    <w:rsid w:val="00D97F62"/>
    <w:rsid w:val="00DA0008"/>
    <w:rsid w:val="00DA00E4"/>
    <w:rsid w:val="00DA08BD"/>
    <w:rsid w:val="00DA099B"/>
    <w:rsid w:val="00DA0BBA"/>
    <w:rsid w:val="00DA12C0"/>
    <w:rsid w:val="00DA1D50"/>
    <w:rsid w:val="00DA21A1"/>
    <w:rsid w:val="00DA26F7"/>
    <w:rsid w:val="00DA287E"/>
    <w:rsid w:val="00DA2924"/>
    <w:rsid w:val="00DA2ECE"/>
    <w:rsid w:val="00DA31B5"/>
    <w:rsid w:val="00DA3265"/>
    <w:rsid w:val="00DA3278"/>
    <w:rsid w:val="00DA3293"/>
    <w:rsid w:val="00DA3610"/>
    <w:rsid w:val="00DA3B21"/>
    <w:rsid w:val="00DA3CC7"/>
    <w:rsid w:val="00DA3D3E"/>
    <w:rsid w:val="00DA40B5"/>
    <w:rsid w:val="00DA40DD"/>
    <w:rsid w:val="00DA42A6"/>
    <w:rsid w:val="00DA42D4"/>
    <w:rsid w:val="00DA495F"/>
    <w:rsid w:val="00DA4AF6"/>
    <w:rsid w:val="00DA4BE0"/>
    <w:rsid w:val="00DA4D7F"/>
    <w:rsid w:val="00DA4FB7"/>
    <w:rsid w:val="00DA5172"/>
    <w:rsid w:val="00DA5328"/>
    <w:rsid w:val="00DA551B"/>
    <w:rsid w:val="00DA5ACA"/>
    <w:rsid w:val="00DA5B61"/>
    <w:rsid w:val="00DA5E0E"/>
    <w:rsid w:val="00DA5E20"/>
    <w:rsid w:val="00DA6415"/>
    <w:rsid w:val="00DA659A"/>
    <w:rsid w:val="00DA6852"/>
    <w:rsid w:val="00DA688C"/>
    <w:rsid w:val="00DA6F29"/>
    <w:rsid w:val="00DA7169"/>
    <w:rsid w:val="00DA72BF"/>
    <w:rsid w:val="00DA72D6"/>
    <w:rsid w:val="00DA73D3"/>
    <w:rsid w:val="00DA7703"/>
    <w:rsid w:val="00DA796E"/>
    <w:rsid w:val="00DA7B23"/>
    <w:rsid w:val="00DA7B68"/>
    <w:rsid w:val="00DA7C26"/>
    <w:rsid w:val="00DA7D8F"/>
    <w:rsid w:val="00DB003F"/>
    <w:rsid w:val="00DB004A"/>
    <w:rsid w:val="00DB0169"/>
    <w:rsid w:val="00DB067D"/>
    <w:rsid w:val="00DB07B5"/>
    <w:rsid w:val="00DB0AAF"/>
    <w:rsid w:val="00DB0CE1"/>
    <w:rsid w:val="00DB0F18"/>
    <w:rsid w:val="00DB0F91"/>
    <w:rsid w:val="00DB10D9"/>
    <w:rsid w:val="00DB11E2"/>
    <w:rsid w:val="00DB124A"/>
    <w:rsid w:val="00DB1321"/>
    <w:rsid w:val="00DB1906"/>
    <w:rsid w:val="00DB1BCE"/>
    <w:rsid w:val="00DB1CCA"/>
    <w:rsid w:val="00DB1F24"/>
    <w:rsid w:val="00DB2013"/>
    <w:rsid w:val="00DB2194"/>
    <w:rsid w:val="00DB274F"/>
    <w:rsid w:val="00DB2978"/>
    <w:rsid w:val="00DB29A7"/>
    <w:rsid w:val="00DB2E0F"/>
    <w:rsid w:val="00DB2F0E"/>
    <w:rsid w:val="00DB30B3"/>
    <w:rsid w:val="00DB3361"/>
    <w:rsid w:val="00DB3AA4"/>
    <w:rsid w:val="00DB3BEA"/>
    <w:rsid w:val="00DB3CE5"/>
    <w:rsid w:val="00DB3EC1"/>
    <w:rsid w:val="00DB3F81"/>
    <w:rsid w:val="00DB4198"/>
    <w:rsid w:val="00DB45DF"/>
    <w:rsid w:val="00DB4625"/>
    <w:rsid w:val="00DB487F"/>
    <w:rsid w:val="00DB48A0"/>
    <w:rsid w:val="00DB4A14"/>
    <w:rsid w:val="00DB4A63"/>
    <w:rsid w:val="00DB4C2B"/>
    <w:rsid w:val="00DB4CA3"/>
    <w:rsid w:val="00DB4D59"/>
    <w:rsid w:val="00DB4F1F"/>
    <w:rsid w:val="00DB521A"/>
    <w:rsid w:val="00DB533C"/>
    <w:rsid w:val="00DB53A8"/>
    <w:rsid w:val="00DB58FA"/>
    <w:rsid w:val="00DB5A53"/>
    <w:rsid w:val="00DB5DFA"/>
    <w:rsid w:val="00DB6442"/>
    <w:rsid w:val="00DB6A10"/>
    <w:rsid w:val="00DB6AE3"/>
    <w:rsid w:val="00DB6B4F"/>
    <w:rsid w:val="00DB7085"/>
    <w:rsid w:val="00DB72A9"/>
    <w:rsid w:val="00DB7523"/>
    <w:rsid w:val="00DB76A8"/>
    <w:rsid w:val="00DB77B9"/>
    <w:rsid w:val="00DB7884"/>
    <w:rsid w:val="00DB794E"/>
    <w:rsid w:val="00DB7C7D"/>
    <w:rsid w:val="00DC080C"/>
    <w:rsid w:val="00DC08BC"/>
    <w:rsid w:val="00DC0B9C"/>
    <w:rsid w:val="00DC0BD4"/>
    <w:rsid w:val="00DC0D05"/>
    <w:rsid w:val="00DC0EEF"/>
    <w:rsid w:val="00DC115F"/>
    <w:rsid w:val="00DC13EA"/>
    <w:rsid w:val="00DC1530"/>
    <w:rsid w:val="00DC1563"/>
    <w:rsid w:val="00DC1CA5"/>
    <w:rsid w:val="00DC1D12"/>
    <w:rsid w:val="00DC1D57"/>
    <w:rsid w:val="00DC1F31"/>
    <w:rsid w:val="00DC2168"/>
    <w:rsid w:val="00DC2300"/>
    <w:rsid w:val="00DC2350"/>
    <w:rsid w:val="00DC2496"/>
    <w:rsid w:val="00DC25B5"/>
    <w:rsid w:val="00DC2797"/>
    <w:rsid w:val="00DC2F57"/>
    <w:rsid w:val="00DC3048"/>
    <w:rsid w:val="00DC33AE"/>
    <w:rsid w:val="00DC3511"/>
    <w:rsid w:val="00DC3754"/>
    <w:rsid w:val="00DC3BCB"/>
    <w:rsid w:val="00DC3CD4"/>
    <w:rsid w:val="00DC4085"/>
    <w:rsid w:val="00DC4198"/>
    <w:rsid w:val="00DC4415"/>
    <w:rsid w:val="00DC4662"/>
    <w:rsid w:val="00DC4781"/>
    <w:rsid w:val="00DC4847"/>
    <w:rsid w:val="00DC4ABC"/>
    <w:rsid w:val="00DC4AC0"/>
    <w:rsid w:val="00DC4C8F"/>
    <w:rsid w:val="00DC4F9B"/>
    <w:rsid w:val="00DC4FFE"/>
    <w:rsid w:val="00DC5836"/>
    <w:rsid w:val="00DC5A5C"/>
    <w:rsid w:val="00DC6248"/>
    <w:rsid w:val="00DC6445"/>
    <w:rsid w:val="00DC65E0"/>
    <w:rsid w:val="00DC6A0E"/>
    <w:rsid w:val="00DC6AE0"/>
    <w:rsid w:val="00DC6CBF"/>
    <w:rsid w:val="00DC6FF9"/>
    <w:rsid w:val="00DC70B1"/>
    <w:rsid w:val="00DC71A0"/>
    <w:rsid w:val="00DC78EE"/>
    <w:rsid w:val="00DC7C57"/>
    <w:rsid w:val="00DC7DFA"/>
    <w:rsid w:val="00DC7EDD"/>
    <w:rsid w:val="00DC7FB1"/>
    <w:rsid w:val="00DD004C"/>
    <w:rsid w:val="00DD0386"/>
    <w:rsid w:val="00DD06CB"/>
    <w:rsid w:val="00DD07B9"/>
    <w:rsid w:val="00DD0949"/>
    <w:rsid w:val="00DD09BF"/>
    <w:rsid w:val="00DD0F3E"/>
    <w:rsid w:val="00DD11AC"/>
    <w:rsid w:val="00DD13C9"/>
    <w:rsid w:val="00DD13D4"/>
    <w:rsid w:val="00DD1716"/>
    <w:rsid w:val="00DD1FDA"/>
    <w:rsid w:val="00DD2330"/>
    <w:rsid w:val="00DD2B12"/>
    <w:rsid w:val="00DD2DF5"/>
    <w:rsid w:val="00DD312F"/>
    <w:rsid w:val="00DD3157"/>
    <w:rsid w:val="00DD39B6"/>
    <w:rsid w:val="00DD39D0"/>
    <w:rsid w:val="00DD3E0B"/>
    <w:rsid w:val="00DD40A5"/>
    <w:rsid w:val="00DD4741"/>
    <w:rsid w:val="00DD488C"/>
    <w:rsid w:val="00DD4B8B"/>
    <w:rsid w:val="00DD4BDF"/>
    <w:rsid w:val="00DD4DD8"/>
    <w:rsid w:val="00DD4F98"/>
    <w:rsid w:val="00DD507B"/>
    <w:rsid w:val="00DD50EF"/>
    <w:rsid w:val="00DD5279"/>
    <w:rsid w:val="00DD54F3"/>
    <w:rsid w:val="00DD56DD"/>
    <w:rsid w:val="00DD5794"/>
    <w:rsid w:val="00DD5800"/>
    <w:rsid w:val="00DD5950"/>
    <w:rsid w:val="00DD5E39"/>
    <w:rsid w:val="00DD5ED8"/>
    <w:rsid w:val="00DD5FC1"/>
    <w:rsid w:val="00DD66AA"/>
    <w:rsid w:val="00DD69AD"/>
    <w:rsid w:val="00DD6BE8"/>
    <w:rsid w:val="00DD6D08"/>
    <w:rsid w:val="00DD6E76"/>
    <w:rsid w:val="00DD6E8D"/>
    <w:rsid w:val="00DD6EF5"/>
    <w:rsid w:val="00DD7316"/>
    <w:rsid w:val="00DD732A"/>
    <w:rsid w:val="00DD745E"/>
    <w:rsid w:val="00DD746D"/>
    <w:rsid w:val="00DD75CB"/>
    <w:rsid w:val="00DD7836"/>
    <w:rsid w:val="00DD7937"/>
    <w:rsid w:val="00DD795A"/>
    <w:rsid w:val="00DD7A51"/>
    <w:rsid w:val="00DD7A6A"/>
    <w:rsid w:val="00DD7C19"/>
    <w:rsid w:val="00DE0377"/>
    <w:rsid w:val="00DE061C"/>
    <w:rsid w:val="00DE0667"/>
    <w:rsid w:val="00DE094C"/>
    <w:rsid w:val="00DE0DBB"/>
    <w:rsid w:val="00DE0FF1"/>
    <w:rsid w:val="00DE109F"/>
    <w:rsid w:val="00DE1657"/>
    <w:rsid w:val="00DE1977"/>
    <w:rsid w:val="00DE1D14"/>
    <w:rsid w:val="00DE216B"/>
    <w:rsid w:val="00DE217E"/>
    <w:rsid w:val="00DE2496"/>
    <w:rsid w:val="00DE25E1"/>
    <w:rsid w:val="00DE2770"/>
    <w:rsid w:val="00DE2F45"/>
    <w:rsid w:val="00DE3546"/>
    <w:rsid w:val="00DE3B9B"/>
    <w:rsid w:val="00DE3BA5"/>
    <w:rsid w:val="00DE3E22"/>
    <w:rsid w:val="00DE3EA3"/>
    <w:rsid w:val="00DE4D4F"/>
    <w:rsid w:val="00DE5136"/>
    <w:rsid w:val="00DE533A"/>
    <w:rsid w:val="00DE5590"/>
    <w:rsid w:val="00DE56F7"/>
    <w:rsid w:val="00DE5A52"/>
    <w:rsid w:val="00DE5FC2"/>
    <w:rsid w:val="00DE6415"/>
    <w:rsid w:val="00DE64CC"/>
    <w:rsid w:val="00DE6ACC"/>
    <w:rsid w:val="00DE6CC1"/>
    <w:rsid w:val="00DE6DA3"/>
    <w:rsid w:val="00DE6E95"/>
    <w:rsid w:val="00DE70A6"/>
    <w:rsid w:val="00DE71C2"/>
    <w:rsid w:val="00DE757B"/>
    <w:rsid w:val="00DE76AE"/>
    <w:rsid w:val="00DE771D"/>
    <w:rsid w:val="00DE7FDC"/>
    <w:rsid w:val="00DF003B"/>
    <w:rsid w:val="00DF00AD"/>
    <w:rsid w:val="00DF045F"/>
    <w:rsid w:val="00DF0506"/>
    <w:rsid w:val="00DF0931"/>
    <w:rsid w:val="00DF0DFF"/>
    <w:rsid w:val="00DF128D"/>
    <w:rsid w:val="00DF16B0"/>
    <w:rsid w:val="00DF189B"/>
    <w:rsid w:val="00DF1A7E"/>
    <w:rsid w:val="00DF1C4D"/>
    <w:rsid w:val="00DF1E71"/>
    <w:rsid w:val="00DF2038"/>
    <w:rsid w:val="00DF26BA"/>
    <w:rsid w:val="00DF2A82"/>
    <w:rsid w:val="00DF2A98"/>
    <w:rsid w:val="00DF2B04"/>
    <w:rsid w:val="00DF2BAA"/>
    <w:rsid w:val="00DF2C8C"/>
    <w:rsid w:val="00DF2CB5"/>
    <w:rsid w:val="00DF2EFA"/>
    <w:rsid w:val="00DF33F4"/>
    <w:rsid w:val="00DF3C15"/>
    <w:rsid w:val="00DF3C4F"/>
    <w:rsid w:val="00DF3DDD"/>
    <w:rsid w:val="00DF418D"/>
    <w:rsid w:val="00DF47C5"/>
    <w:rsid w:val="00DF4BF9"/>
    <w:rsid w:val="00DF546A"/>
    <w:rsid w:val="00DF5543"/>
    <w:rsid w:val="00DF59DF"/>
    <w:rsid w:val="00DF5A15"/>
    <w:rsid w:val="00DF5C33"/>
    <w:rsid w:val="00DF5D1B"/>
    <w:rsid w:val="00DF5E57"/>
    <w:rsid w:val="00DF64EB"/>
    <w:rsid w:val="00DF6A41"/>
    <w:rsid w:val="00DF6B77"/>
    <w:rsid w:val="00DF6D8B"/>
    <w:rsid w:val="00DF738B"/>
    <w:rsid w:val="00DF74D1"/>
    <w:rsid w:val="00DF7521"/>
    <w:rsid w:val="00DF7BA2"/>
    <w:rsid w:val="00DF7D13"/>
    <w:rsid w:val="00DF7D71"/>
    <w:rsid w:val="00DF7D95"/>
    <w:rsid w:val="00DF7F08"/>
    <w:rsid w:val="00DF7F85"/>
    <w:rsid w:val="00DF7FF5"/>
    <w:rsid w:val="00E00019"/>
    <w:rsid w:val="00E007B1"/>
    <w:rsid w:val="00E007FB"/>
    <w:rsid w:val="00E00948"/>
    <w:rsid w:val="00E00D9F"/>
    <w:rsid w:val="00E00E2C"/>
    <w:rsid w:val="00E00E4C"/>
    <w:rsid w:val="00E00F4D"/>
    <w:rsid w:val="00E013E9"/>
    <w:rsid w:val="00E0145F"/>
    <w:rsid w:val="00E01734"/>
    <w:rsid w:val="00E01B32"/>
    <w:rsid w:val="00E01BBA"/>
    <w:rsid w:val="00E02019"/>
    <w:rsid w:val="00E0225D"/>
    <w:rsid w:val="00E0241E"/>
    <w:rsid w:val="00E02525"/>
    <w:rsid w:val="00E02657"/>
    <w:rsid w:val="00E0279D"/>
    <w:rsid w:val="00E02850"/>
    <w:rsid w:val="00E02942"/>
    <w:rsid w:val="00E02F17"/>
    <w:rsid w:val="00E02F92"/>
    <w:rsid w:val="00E03014"/>
    <w:rsid w:val="00E0317F"/>
    <w:rsid w:val="00E032D6"/>
    <w:rsid w:val="00E03D2B"/>
    <w:rsid w:val="00E04250"/>
    <w:rsid w:val="00E045A0"/>
    <w:rsid w:val="00E0471B"/>
    <w:rsid w:val="00E04A9A"/>
    <w:rsid w:val="00E04ADB"/>
    <w:rsid w:val="00E04C32"/>
    <w:rsid w:val="00E04D65"/>
    <w:rsid w:val="00E04E5C"/>
    <w:rsid w:val="00E05801"/>
    <w:rsid w:val="00E058C3"/>
    <w:rsid w:val="00E05938"/>
    <w:rsid w:val="00E05DA4"/>
    <w:rsid w:val="00E05DC9"/>
    <w:rsid w:val="00E05F37"/>
    <w:rsid w:val="00E06014"/>
    <w:rsid w:val="00E06186"/>
    <w:rsid w:val="00E06491"/>
    <w:rsid w:val="00E068C4"/>
    <w:rsid w:val="00E06965"/>
    <w:rsid w:val="00E06C17"/>
    <w:rsid w:val="00E06C1D"/>
    <w:rsid w:val="00E06D62"/>
    <w:rsid w:val="00E0752E"/>
    <w:rsid w:val="00E077A6"/>
    <w:rsid w:val="00E07A82"/>
    <w:rsid w:val="00E07EA2"/>
    <w:rsid w:val="00E103F7"/>
    <w:rsid w:val="00E107C6"/>
    <w:rsid w:val="00E10922"/>
    <w:rsid w:val="00E10D97"/>
    <w:rsid w:val="00E11E15"/>
    <w:rsid w:val="00E11F39"/>
    <w:rsid w:val="00E120D9"/>
    <w:rsid w:val="00E12173"/>
    <w:rsid w:val="00E122DD"/>
    <w:rsid w:val="00E12803"/>
    <w:rsid w:val="00E12A24"/>
    <w:rsid w:val="00E12AAD"/>
    <w:rsid w:val="00E12BA9"/>
    <w:rsid w:val="00E12C5E"/>
    <w:rsid w:val="00E12D1F"/>
    <w:rsid w:val="00E13815"/>
    <w:rsid w:val="00E13EDB"/>
    <w:rsid w:val="00E143D0"/>
    <w:rsid w:val="00E144AB"/>
    <w:rsid w:val="00E14C7D"/>
    <w:rsid w:val="00E14DA2"/>
    <w:rsid w:val="00E14DF2"/>
    <w:rsid w:val="00E150BC"/>
    <w:rsid w:val="00E1576C"/>
    <w:rsid w:val="00E15939"/>
    <w:rsid w:val="00E159A8"/>
    <w:rsid w:val="00E159B0"/>
    <w:rsid w:val="00E15EEE"/>
    <w:rsid w:val="00E161D3"/>
    <w:rsid w:val="00E16295"/>
    <w:rsid w:val="00E163B4"/>
    <w:rsid w:val="00E164B0"/>
    <w:rsid w:val="00E1676C"/>
    <w:rsid w:val="00E16F2D"/>
    <w:rsid w:val="00E17134"/>
    <w:rsid w:val="00E171FA"/>
    <w:rsid w:val="00E1727D"/>
    <w:rsid w:val="00E1794B"/>
    <w:rsid w:val="00E17B0A"/>
    <w:rsid w:val="00E17B18"/>
    <w:rsid w:val="00E17FC2"/>
    <w:rsid w:val="00E20097"/>
    <w:rsid w:val="00E206BA"/>
    <w:rsid w:val="00E206F5"/>
    <w:rsid w:val="00E20711"/>
    <w:rsid w:val="00E20942"/>
    <w:rsid w:val="00E20C6A"/>
    <w:rsid w:val="00E21118"/>
    <w:rsid w:val="00E2112A"/>
    <w:rsid w:val="00E211A0"/>
    <w:rsid w:val="00E21208"/>
    <w:rsid w:val="00E21389"/>
    <w:rsid w:val="00E216C6"/>
    <w:rsid w:val="00E219B2"/>
    <w:rsid w:val="00E21AAF"/>
    <w:rsid w:val="00E21C16"/>
    <w:rsid w:val="00E21DCF"/>
    <w:rsid w:val="00E22334"/>
    <w:rsid w:val="00E22965"/>
    <w:rsid w:val="00E22CDF"/>
    <w:rsid w:val="00E22D35"/>
    <w:rsid w:val="00E22EFB"/>
    <w:rsid w:val="00E23380"/>
    <w:rsid w:val="00E2384B"/>
    <w:rsid w:val="00E23A24"/>
    <w:rsid w:val="00E2428F"/>
    <w:rsid w:val="00E2429F"/>
    <w:rsid w:val="00E2436A"/>
    <w:rsid w:val="00E244E0"/>
    <w:rsid w:val="00E245C0"/>
    <w:rsid w:val="00E254EE"/>
    <w:rsid w:val="00E256DA"/>
    <w:rsid w:val="00E257F4"/>
    <w:rsid w:val="00E25AF7"/>
    <w:rsid w:val="00E25F89"/>
    <w:rsid w:val="00E26030"/>
    <w:rsid w:val="00E268D9"/>
    <w:rsid w:val="00E27083"/>
    <w:rsid w:val="00E2716F"/>
    <w:rsid w:val="00E272C0"/>
    <w:rsid w:val="00E273CC"/>
    <w:rsid w:val="00E27750"/>
    <w:rsid w:val="00E27822"/>
    <w:rsid w:val="00E279E1"/>
    <w:rsid w:val="00E279EE"/>
    <w:rsid w:val="00E27A24"/>
    <w:rsid w:val="00E27C52"/>
    <w:rsid w:val="00E27CE1"/>
    <w:rsid w:val="00E300B4"/>
    <w:rsid w:val="00E30404"/>
    <w:rsid w:val="00E30777"/>
    <w:rsid w:val="00E30780"/>
    <w:rsid w:val="00E30A27"/>
    <w:rsid w:val="00E310B1"/>
    <w:rsid w:val="00E310F6"/>
    <w:rsid w:val="00E3110B"/>
    <w:rsid w:val="00E3136F"/>
    <w:rsid w:val="00E31880"/>
    <w:rsid w:val="00E31928"/>
    <w:rsid w:val="00E31BC9"/>
    <w:rsid w:val="00E31F9D"/>
    <w:rsid w:val="00E31FF4"/>
    <w:rsid w:val="00E32445"/>
    <w:rsid w:val="00E3253C"/>
    <w:rsid w:val="00E32555"/>
    <w:rsid w:val="00E32629"/>
    <w:rsid w:val="00E3266A"/>
    <w:rsid w:val="00E326DA"/>
    <w:rsid w:val="00E329DA"/>
    <w:rsid w:val="00E32C46"/>
    <w:rsid w:val="00E32D7C"/>
    <w:rsid w:val="00E32E4B"/>
    <w:rsid w:val="00E32EF2"/>
    <w:rsid w:val="00E32F7C"/>
    <w:rsid w:val="00E3336F"/>
    <w:rsid w:val="00E337D1"/>
    <w:rsid w:val="00E33861"/>
    <w:rsid w:val="00E338DA"/>
    <w:rsid w:val="00E33A0A"/>
    <w:rsid w:val="00E33DAA"/>
    <w:rsid w:val="00E33F8E"/>
    <w:rsid w:val="00E34134"/>
    <w:rsid w:val="00E34290"/>
    <w:rsid w:val="00E343AA"/>
    <w:rsid w:val="00E345C5"/>
    <w:rsid w:val="00E3479D"/>
    <w:rsid w:val="00E3487C"/>
    <w:rsid w:val="00E34973"/>
    <w:rsid w:val="00E34A72"/>
    <w:rsid w:val="00E35158"/>
    <w:rsid w:val="00E35369"/>
    <w:rsid w:val="00E355E1"/>
    <w:rsid w:val="00E35DB6"/>
    <w:rsid w:val="00E3635D"/>
    <w:rsid w:val="00E3642B"/>
    <w:rsid w:val="00E3660D"/>
    <w:rsid w:val="00E36BBC"/>
    <w:rsid w:val="00E36BFD"/>
    <w:rsid w:val="00E36C2E"/>
    <w:rsid w:val="00E371CA"/>
    <w:rsid w:val="00E37335"/>
    <w:rsid w:val="00E373F5"/>
    <w:rsid w:val="00E37639"/>
    <w:rsid w:val="00E3767B"/>
    <w:rsid w:val="00E376B5"/>
    <w:rsid w:val="00E376BA"/>
    <w:rsid w:val="00E37BAE"/>
    <w:rsid w:val="00E37CD4"/>
    <w:rsid w:val="00E37D6D"/>
    <w:rsid w:val="00E37F34"/>
    <w:rsid w:val="00E40466"/>
    <w:rsid w:val="00E40938"/>
    <w:rsid w:val="00E40BA2"/>
    <w:rsid w:val="00E40DB3"/>
    <w:rsid w:val="00E40E58"/>
    <w:rsid w:val="00E411FE"/>
    <w:rsid w:val="00E414AC"/>
    <w:rsid w:val="00E417B3"/>
    <w:rsid w:val="00E418F0"/>
    <w:rsid w:val="00E4190E"/>
    <w:rsid w:val="00E41EEA"/>
    <w:rsid w:val="00E4204F"/>
    <w:rsid w:val="00E4222B"/>
    <w:rsid w:val="00E4226D"/>
    <w:rsid w:val="00E42312"/>
    <w:rsid w:val="00E4237C"/>
    <w:rsid w:val="00E4250A"/>
    <w:rsid w:val="00E4297E"/>
    <w:rsid w:val="00E43256"/>
    <w:rsid w:val="00E43C69"/>
    <w:rsid w:val="00E43E02"/>
    <w:rsid w:val="00E43EB6"/>
    <w:rsid w:val="00E43ECE"/>
    <w:rsid w:val="00E443C4"/>
    <w:rsid w:val="00E444E2"/>
    <w:rsid w:val="00E44914"/>
    <w:rsid w:val="00E44B9A"/>
    <w:rsid w:val="00E44C50"/>
    <w:rsid w:val="00E44CE1"/>
    <w:rsid w:val="00E44D36"/>
    <w:rsid w:val="00E44F0F"/>
    <w:rsid w:val="00E45013"/>
    <w:rsid w:val="00E45333"/>
    <w:rsid w:val="00E4541D"/>
    <w:rsid w:val="00E454D2"/>
    <w:rsid w:val="00E45749"/>
    <w:rsid w:val="00E458B5"/>
    <w:rsid w:val="00E45D3F"/>
    <w:rsid w:val="00E45EE9"/>
    <w:rsid w:val="00E464F4"/>
    <w:rsid w:val="00E4652C"/>
    <w:rsid w:val="00E466F4"/>
    <w:rsid w:val="00E4681A"/>
    <w:rsid w:val="00E469EE"/>
    <w:rsid w:val="00E46CBA"/>
    <w:rsid w:val="00E4717C"/>
    <w:rsid w:val="00E4796D"/>
    <w:rsid w:val="00E47D1A"/>
    <w:rsid w:val="00E47EC9"/>
    <w:rsid w:val="00E47F55"/>
    <w:rsid w:val="00E5020F"/>
    <w:rsid w:val="00E506B8"/>
    <w:rsid w:val="00E50708"/>
    <w:rsid w:val="00E50AAF"/>
    <w:rsid w:val="00E50CD1"/>
    <w:rsid w:val="00E50DBB"/>
    <w:rsid w:val="00E50E2A"/>
    <w:rsid w:val="00E515C0"/>
    <w:rsid w:val="00E516A0"/>
    <w:rsid w:val="00E51C7F"/>
    <w:rsid w:val="00E52071"/>
    <w:rsid w:val="00E52103"/>
    <w:rsid w:val="00E525DD"/>
    <w:rsid w:val="00E52846"/>
    <w:rsid w:val="00E5297B"/>
    <w:rsid w:val="00E52B56"/>
    <w:rsid w:val="00E52C10"/>
    <w:rsid w:val="00E52D07"/>
    <w:rsid w:val="00E52F0E"/>
    <w:rsid w:val="00E53150"/>
    <w:rsid w:val="00E533B3"/>
    <w:rsid w:val="00E53534"/>
    <w:rsid w:val="00E53933"/>
    <w:rsid w:val="00E53C04"/>
    <w:rsid w:val="00E53CB8"/>
    <w:rsid w:val="00E53D55"/>
    <w:rsid w:val="00E5402E"/>
    <w:rsid w:val="00E5440A"/>
    <w:rsid w:val="00E544CA"/>
    <w:rsid w:val="00E54518"/>
    <w:rsid w:val="00E5454E"/>
    <w:rsid w:val="00E54718"/>
    <w:rsid w:val="00E54E26"/>
    <w:rsid w:val="00E54EA8"/>
    <w:rsid w:val="00E54F29"/>
    <w:rsid w:val="00E54F3E"/>
    <w:rsid w:val="00E5517C"/>
    <w:rsid w:val="00E551B4"/>
    <w:rsid w:val="00E551E7"/>
    <w:rsid w:val="00E55619"/>
    <w:rsid w:val="00E5565B"/>
    <w:rsid w:val="00E55A7D"/>
    <w:rsid w:val="00E55AEA"/>
    <w:rsid w:val="00E55AEE"/>
    <w:rsid w:val="00E55B64"/>
    <w:rsid w:val="00E55E95"/>
    <w:rsid w:val="00E56385"/>
    <w:rsid w:val="00E5649E"/>
    <w:rsid w:val="00E56546"/>
    <w:rsid w:val="00E568A4"/>
    <w:rsid w:val="00E569DF"/>
    <w:rsid w:val="00E56AB8"/>
    <w:rsid w:val="00E56C45"/>
    <w:rsid w:val="00E56D49"/>
    <w:rsid w:val="00E56D5B"/>
    <w:rsid w:val="00E56E7B"/>
    <w:rsid w:val="00E56F91"/>
    <w:rsid w:val="00E57D31"/>
    <w:rsid w:val="00E600A6"/>
    <w:rsid w:val="00E603D8"/>
    <w:rsid w:val="00E606B8"/>
    <w:rsid w:val="00E60887"/>
    <w:rsid w:val="00E60980"/>
    <w:rsid w:val="00E60C4C"/>
    <w:rsid w:val="00E60EBD"/>
    <w:rsid w:val="00E6102E"/>
    <w:rsid w:val="00E61288"/>
    <w:rsid w:val="00E615E1"/>
    <w:rsid w:val="00E616FA"/>
    <w:rsid w:val="00E61BA0"/>
    <w:rsid w:val="00E61BDC"/>
    <w:rsid w:val="00E61CE5"/>
    <w:rsid w:val="00E61D39"/>
    <w:rsid w:val="00E61D76"/>
    <w:rsid w:val="00E621F8"/>
    <w:rsid w:val="00E62213"/>
    <w:rsid w:val="00E62767"/>
    <w:rsid w:val="00E6277A"/>
    <w:rsid w:val="00E6291C"/>
    <w:rsid w:val="00E62BB9"/>
    <w:rsid w:val="00E62EE8"/>
    <w:rsid w:val="00E6319E"/>
    <w:rsid w:val="00E63678"/>
    <w:rsid w:val="00E63822"/>
    <w:rsid w:val="00E63E99"/>
    <w:rsid w:val="00E63FC9"/>
    <w:rsid w:val="00E63FF0"/>
    <w:rsid w:val="00E6440E"/>
    <w:rsid w:val="00E645EE"/>
    <w:rsid w:val="00E65841"/>
    <w:rsid w:val="00E65F17"/>
    <w:rsid w:val="00E660FB"/>
    <w:rsid w:val="00E6685D"/>
    <w:rsid w:val="00E6694D"/>
    <w:rsid w:val="00E66B74"/>
    <w:rsid w:val="00E66D98"/>
    <w:rsid w:val="00E66EA0"/>
    <w:rsid w:val="00E672F7"/>
    <w:rsid w:val="00E67473"/>
    <w:rsid w:val="00E67507"/>
    <w:rsid w:val="00E675AD"/>
    <w:rsid w:val="00E676D8"/>
    <w:rsid w:val="00E67724"/>
    <w:rsid w:val="00E67C50"/>
    <w:rsid w:val="00E67DAA"/>
    <w:rsid w:val="00E67E82"/>
    <w:rsid w:val="00E67EB8"/>
    <w:rsid w:val="00E7031F"/>
    <w:rsid w:val="00E7060D"/>
    <w:rsid w:val="00E70644"/>
    <w:rsid w:val="00E70B68"/>
    <w:rsid w:val="00E70CEC"/>
    <w:rsid w:val="00E70E0A"/>
    <w:rsid w:val="00E70E93"/>
    <w:rsid w:val="00E70FFB"/>
    <w:rsid w:val="00E71371"/>
    <w:rsid w:val="00E7175C"/>
    <w:rsid w:val="00E71B81"/>
    <w:rsid w:val="00E71BED"/>
    <w:rsid w:val="00E7230A"/>
    <w:rsid w:val="00E7263A"/>
    <w:rsid w:val="00E7275C"/>
    <w:rsid w:val="00E7278B"/>
    <w:rsid w:val="00E72F6F"/>
    <w:rsid w:val="00E7327F"/>
    <w:rsid w:val="00E736BC"/>
    <w:rsid w:val="00E740FC"/>
    <w:rsid w:val="00E741E0"/>
    <w:rsid w:val="00E742EB"/>
    <w:rsid w:val="00E7436F"/>
    <w:rsid w:val="00E747E5"/>
    <w:rsid w:val="00E7494E"/>
    <w:rsid w:val="00E74BB0"/>
    <w:rsid w:val="00E74CEB"/>
    <w:rsid w:val="00E75614"/>
    <w:rsid w:val="00E75699"/>
    <w:rsid w:val="00E75831"/>
    <w:rsid w:val="00E75C9C"/>
    <w:rsid w:val="00E75CF3"/>
    <w:rsid w:val="00E75E1C"/>
    <w:rsid w:val="00E75E93"/>
    <w:rsid w:val="00E75F6F"/>
    <w:rsid w:val="00E761C1"/>
    <w:rsid w:val="00E761C9"/>
    <w:rsid w:val="00E76462"/>
    <w:rsid w:val="00E7657A"/>
    <w:rsid w:val="00E768AC"/>
    <w:rsid w:val="00E76935"/>
    <w:rsid w:val="00E76E38"/>
    <w:rsid w:val="00E779B3"/>
    <w:rsid w:val="00E77AAA"/>
    <w:rsid w:val="00E80030"/>
    <w:rsid w:val="00E80200"/>
    <w:rsid w:val="00E80232"/>
    <w:rsid w:val="00E802DB"/>
    <w:rsid w:val="00E804EA"/>
    <w:rsid w:val="00E80633"/>
    <w:rsid w:val="00E8091B"/>
    <w:rsid w:val="00E80D03"/>
    <w:rsid w:val="00E80D0F"/>
    <w:rsid w:val="00E810A4"/>
    <w:rsid w:val="00E810F1"/>
    <w:rsid w:val="00E813CD"/>
    <w:rsid w:val="00E81574"/>
    <w:rsid w:val="00E816D0"/>
    <w:rsid w:val="00E81C16"/>
    <w:rsid w:val="00E81CEB"/>
    <w:rsid w:val="00E81DCA"/>
    <w:rsid w:val="00E82129"/>
    <w:rsid w:val="00E82135"/>
    <w:rsid w:val="00E8219D"/>
    <w:rsid w:val="00E821EA"/>
    <w:rsid w:val="00E82302"/>
    <w:rsid w:val="00E829EA"/>
    <w:rsid w:val="00E82C6E"/>
    <w:rsid w:val="00E82E4E"/>
    <w:rsid w:val="00E82ED1"/>
    <w:rsid w:val="00E830FA"/>
    <w:rsid w:val="00E8318F"/>
    <w:rsid w:val="00E8359A"/>
    <w:rsid w:val="00E835B0"/>
    <w:rsid w:val="00E83E57"/>
    <w:rsid w:val="00E8438F"/>
    <w:rsid w:val="00E843B8"/>
    <w:rsid w:val="00E846C5"/>
    <w:rsid w:val="00E846F1"/>
    <w:rsid w:val="00E84E9F"/>
    <w:rsid w:val="00E85190"/>
    <w:rsid w:val="00E85354"/>
    <w:rsid w:val="00E853CD"/>
    <w:rsid w:val="00E8565F"/>
    <w:rsid w:val="00E85DDE"/>
    <w:rsid w:val="00E85F25"/>
    <w:rsid w:val="00E86032"/>
    <w:rsid w:val="00E860A1"/>
    <w:rsid w:val="00E86517"/>
    <w:rsid w:val="00E86586"/>
    <w:rsid w:val="00E86700"/>
    <w:rsid w:val="00E86750"/>
    <w:rsid w:val="00E8681A"/>
    <w:rsid w:val="00E86979"/>
    <w:rsid w:val="00E8697A"/>
    <w:rsid w:val="00E86C73"/>
    <w:rsid w:val="00E86C8A"/>
    <w:rsid w:val="00E86FD4"/>
    <w:rsid w:val="00E8724B"/>
    <w:rsid w:val="00E877B0"/>
    <w:rsid w:val="00E87827"/>
    <w:rsid w:val="00E87BD5"/>
    <w:rsid w:val="00E87C18"/>
    <w:rsid w:val="00E87F21"/>
    <w:rsid w:val="00E9015A"/>
    <w:rsid w:val="00E9040F"/>
    <w:rsid w:val="00E9107B"/>
    <w:rsid w:val="00E9190E"/>
    <w:rsid w:val="00E91A86"/>
    <w:rsid w:val="00E91B35"/>
    <w:rsid w:val="00E91CB7"/>
    <w:rsid w:val="00E91D6F"/>
    <w:rsid w:val="00E91EBC"/>
    <w:rsid w:val="00E921C0"/>
    <w:rsid w:val="00E9245C"/>
    <w:rsid w:val="00E92614"/>
    <w:rsid w:val="00E9275F"/>
    <w:rsid w:val="00E92D59"/>
    <w:rsid w:val="00E92E80"/>
    <w:rsid w:val="00E92F25"/>
    <w:rsid w:val="00E9303D"/>
    <w:rsid w:val="00E930A5"/>
    <w:rsid w:val="00E930B3"/>
    <w:rsid w:val="00E93176"/>
    <w:rsid w:val="00E9317B"/>
    <w:rsid w:val="00E93450"/>
    <w:rsid w:val="00E935F1"/>
    <w:rsid w:val="00E93959"/>
    <w:rsid w:val="00E93D7C"/>
    <w:rsid w:val="00E94454"/>
    <w:rsid w:val="00E944C4"/>
    <w:rsid w:val="00E94722"/>
    <w:rsid w:val="00E94C41"/>
    <w:rsid w:val="00E954AF"/>
    <w:rsid w:val="00E95631"/>
    <w:rsid w:val="00E95715"/>
    <w:rsid w:val="00E9582A"/>
    <w:rsid w:val="00E958B2"/>
    <w:rsid w:val="00E95A67"/>
    <w:rsid w:val="00E95B43"/>
    <w:rsid w:val="00E95D13"/>
    <w:rsid w:val="00E95DAE"/>
    <w:rsid w:val="00E95E28"/>
    <w:rsid w:val="00E95E33"/>
    <w:rsid w:val="00E95EFC"/>
    <w:rsid w:val="00E96010"/>
    <w:rsid w:val="00E9602F"/>
    <w:rsid w:val="00E9622E"/>
    <w:rsid w:val="00E96432"/>
    <w:rsid w:val="00E96AF7"/>
    <w:rsid w:val="00E96CA4"/>
    <w:rsid w:val="00E97160"/>
    <w:rsid w:val="00E973FC"/>
    <w:rsid w:val="00E97403"/>
    <w:rsid w:val="00E9751F"/>
    <w:rsid w:val="00E978E6"/>
    <w:rsid w:val="00E97A38"/>
    <w:rsid w:val="00EA005D"/>
    <w:rsid w:val="00EA030A"/>
    <w:rsid w:val="00EA0740"/>
    <w:rsid w:val="00EA0DBF"/>
    <w:rsid w:val="00EA0F2B"/>
    <w:rsid w:val="00EA10DE"/>
    <w:rsid w:val="00EA11A3"/>
    <w:rsid w:val="00EA16BD"/>
    <w:rsid w:val="00EA1806"/>
    <w:rsid w:val="00EA1FC2"/>
    <w:rsid w:val="00EA2034"/>
    <w:rsid w:val="00EA21B1"/>
    <w:rsid w:val="00EA22C2"/>
    <w:rsid w:val="00EA234D"/>
    <w:rsid w:val="00EA2707"/>
    <w:rsid w:val="00EA2B7B"/>
    <w:rsid w:val="00EA2F66"/>
    <w:rsid w:val="00EA302E"/>
    <w:rsid w:val="00EA323B"/>
    <w:rsid w:val="00EA3256"/>
    <w:rsid w:val="00EA3531"/>
    <w:rsid w:val="00EA35FA"/>
    <w:rsid w:val="00EA3617"/>
    <w:rsid w:val="00EA374D"/>
    <w:rsid w:val="00EA3958"/>
    <w:rsid w:val="00EA3CD0"/>
    <w:rsid w:val="00EA3D19"/>
    <w:rsid w:val="00EA409B"/>
    <w:rsid w:val="00EA4155"/>
    <w:rsid w:val="00EA43FA"/>
    <w:rsid w:val="00EA4634"/>
    <w:rsid w:val="00EA483D"/>
    <w:rsid w:val="00EA48AA"/>
    <w:rsid w:val="00EA4F73"/>
    <w:rsid w:val="00EA52F5"/>
    <w:rsid w:val="00EA5C13"/>
    <w:rsid w:val="00EA5DB9"/>
    <w:rsid w:val="00EA67BF"/>
    <w:rsid w:val="00EA6806"/>
    <w:rsid w:val="00EA6ACB"/>
    <w:rsid w:val="00EA6B73"/>
    <w:rsid w:val="00EA6D22"/>
    <w:rsid w:val="00EA6DEB"/>
    <w:rsid w:val="00EA6EAE"/>
    <w:rsid w:val="00EA7421"/>
    <w:rsid w:val="00EA74FF"/>
    <w:rsid w:val="00EA7552"/>
    <w:rsid w:val="00EA775E"/>
    <w:rsid w:val="00EA7760"/>
    <w:rsid w:val="00EA7CDC"/>
    <w:rsid w:val="00EA7F0D"/>
    <w:rsid w:val="00EB0041"/>
    <w:rsid w:val="00EB0056"/>
    <w:rsid w:val="00EB0595"/>
    <w:rsid w:val="00EB0EA0"/>
    <w:rsid w:val="00EB0EF5"/>
    <w:rsid w:val="00EB0FD0"/>
    <w:rsid w:val="00EB1AC4"/>
    <w:rsid w:val="00EB1D00"/>
    <w:rsid w:val="00EB277C"/>
    <w:rsid w:val="00EB28C7"/>
    <w:rsid w:val="00EB2E95"/>
    <w:rsid w:val="00EB32FC"/>
    <w:rsid w:val="00EB33BF"/>
    <w:rsid w:val="00EB33DA"/>
    <w:rsid w:val="00EB37C8"/>
    <w:rsid w:val="00EB3A13"/>
    <w:rsid w:val="00EB3D23"/>
    <w:rsid w:val="00EB40B9"/>
    <w:rsid w:val="00EB4170"/>
    <w:rsid w:val="00EB43D5"/>
    <w:rsid w:val="00EB443F"/>
    <w:rsid w:val="00EB49F3"/>
    <w:rsid w:val="00EB5143"/>
    <w:rsid w:val="00EB55D3"/>
    <w:rsid w:val="00EB564A"/>
    <w:rsid w:val="00EB5A75"/>
    <w:rsid w:val="00EB5C81"/>
    <w:rsid w:val="00EB5DB1"/>
    <w:rsid w:val="00EB5F1F"/>
    <w:rsid w:val="00EB62F4"/>
    <w:rsid w:val="00EB64F1"/>
    <w:rsid w:val="00EB6606"/>
    <w:rsid w:val="00EB6D23"/>
    <w:rsid w:val="00EB6DEA"/>
    <w:rsid w:val="00EB6EF8"/>
    <w:rsid w:val="00EB7058"/>
    <w:rsid w:val="00EB7CC4"/>
    <w:rsid w:val="00EC0117"/>
    <w:rsid w:val="00EC03C8"/>
    <w:rsid w:val="00EC06A1"/>
    <w:rsid w:val="00EC07EF"/>
    <w:rsid w:val="00EC087E"/>
    <w:rsid w:val="00EC0FC6"/>
    <w:rsid w:val="00EC10FD"/>
    <w:rsid w:val="00EC12BD"/>
    <w:rsid w:val="00EC142F"/>
    <w:rsid w:val="00EC1A5D"/>
    <w:rsid w:val="00EC1B64"/>
    <w:rsid w:val="00EC1C58"/>
    <w:rsid w:val="00EC1CF5"/>
    <w:rsid w:val="00EC2049"/>
    <w:rsid w:val="00EC27C4"/>
    <w:rsid w:val="00EC2999"/>
    <w:rsid w:val="00EC2AA9"/>
    <w:rsid w:val="00EC2B43"/>
    <w:rsid w:val="00EC33EB"/>
    <w:rsid w:val="00EC3868"/>
    <w:rsid w:val="00EC3945"/>
    <w:rsid w:val="00EC3C0A"/>
    <w:rsid w:val="00EC3DF4"/>
    <w:rsid w:val="00EC3E47"/>
    <w:rsid w:val="00EC4400"/>
    <w:rsid w:val="00EC45C6"/>
    <w:rsid w:val="00EC4809"/>
    <w:rsid w:val="00EC489E"/>
    <w:rsid w:val="00EC4AF9"/>
    <w:rsid w:val="00EC4C06"/>
    <w:rsid w:val="00EC4E6E"/>
    <w:rsid w:val="00EC540C"/>
    <w:rsid w:val="00EC5468"/>
    <w:rsid w:val="00EC54BA"/>
    <w:rsid w:val="00EC55B1"/>
    <w:rsid w:val="00EC575E"/>
    <w:rsid w:val="00EC5A22"/>
    <w:rsid w:val="00EC5A48"/>
    <w:rsid w:val="00EC5AB2"/>
    <w:rsid w:val="00EC60F0"/>
    <w:rsid w:val="00EC616A"/>
    <w:rsid w:val="00EC625F"/>
    <w:rsid w:val="00EC6316"/>
    <w:rsid w:val="00EC6492"/>
    <w:rsid w:val="00EC6825"/>
    <w:rsid w:val="00EC68B2"/>
    <w:rsid w:val="00EC68D4"/>
    <w:rsid w:val="00EC6CAB"/>
    <w:rsid w:val="00EC6DA6"/>
    <w:rsid w:val="00EC6E27"/>
    <w:rsid w:val="00EC6F2E"/>
    <w:rsid w:val="00EC753A"/>
    <w:rsid w:val="00EC7727"/>
    <w:rsid w:val="00EC7CB6"/>
    <w:rsid w:val="00EC7D36"/>
    <w:rsid w:val="00ED0425"/>
    <w:rsid w:val="00ED046B"/>
    <w:rsid w:val="00ED08D2"/>
    <w:rsid w:val="00ED09B2"/>
    <w:rsid w:val="00ED0BA1"/>
    <w:rsid w:val="00ED0C0C"/>
    <w:rsid w:val="00ED122B"/>
    <w:rsid w:val="00ED1296"/>
    <w:rsid w:val="00ED1319"/>
    <w:rsid w:val="00ED1C68"/>
    <w:rsid w:val="00ED1DEC"/>
    <w:rsid w:val="00ED1EEA"/>
    <w:rsid w:val="00ED1F66"/>
    <w:rsid w:val="00ED1FA2"/>
    <w:rsid w:val="00ED29F0"/>
    <w:rsid w:val="00ED302B"/>
    <w:rsid w:val="00ED3130"/>
    <w:rsid w:val="00ED31F3"/>
    <w:rsid w:val="00ED33B7"/>
    <w:rsid w:val="00ED36D4"/>
    <w:rsid w:val="00ED3960"/>
    <w:rsid w:val="00ED3F04"/>
    <w:rsid w:val="00ED3FCD"/>
    <w:rsid w:val="00ED41BC"/>
    <w:rsid w:val="00ED45BC"/>
    <w:rsid w:val="00ED4951"/>
    <w:rsid w:val="00ED4A0D"/>
    <w:rsid w:val="00ED4BCB"/>
    <w:rsid w:val="00ED4E6C"/>
    <w:rsid w:val="00ED53B8"/>
    <w:rsid w:val="00ED551C"/>
    <w:rsid w:val="00ED55CD"/>
    <w:rsid w:val="00ED5A7B"/>
    <w:rsid w:val="00ED5E1A"/>
    <w:rsid w:val="00ED6005"/>
    <w:rsid w:val="00ED61C1"/>
    <w:rsid w:val="00ED6688"/>
    <w:rsid w:val="00ED677A"/>
    <w:rsid w:val="00ED67AB"/>
    <w:rsid w:val="00ED68FB"/>
    <w:rsid w:val="00ED6A75"/>
    <w:rsid w:val="00ED6AB7"/>
    <w:rsid w:val="00ED6ADF"/>
    <w:rsid w:val="00ED6D0D"/>
    <w:rsid w:val="00ED6E75"/>
    <w:rsid w:val="00ED70BD"/>
    <w:rsid w:val="00ED71C3"/>
    <w:rsid w:val="00ED76BE"/>
    <w:rsid w:val="00ED783A"/>
    <w:rsid w:val="00ED7D6F"/>
    <w:rsid w:val="00ED7F1A"/>
    <w:rsid w:val="00EE0246"/>
    <w:rsid w:val="00EE033A"/>
    <w:rsid w:val="00EE051E"/>
    <w:rsid w:val="00EE0C90"/>
    <w:rsid w:val="00EE0CEF"/>
    <w:rsid w:val="00EE0E08"/>
    <w:rsid w:val="00EE0E5C"/>
    <w:rsid w:val="00EE117B"/>
    <w:rsid w:val="00EE13B4"/>
    <w:rsid w:val="00EE13B5"/>
    <w:rsid w:val="00EE155A"/>
    <w:rsid w:val="00EE16B9"/>
    <w:rsid w:val="00EE1821"/>
    <w:rsid w:val="00EE1AB6"/>
    <w:rsid w:val="00EE1B89"/>
    <w:rsid w:val="00EE1D4B"/>
    <w:rsid w:val="00EE226B"/>
    <w:rsid w:val="00EE22FD"/>
    <w:rsid w:val="00EE28D1"/>
    <w:rsid w:val="00EE2B54"/>
    <w:rsid w:val="00EE2C20"/>
    <w:rsid w:val="00EE2FB3"/>
    <w:rsid w:val="00EE305C"/>
    <w:rsid w:val="00EE341D"/>
    <w:rsid w:val="00EE3488"/>
    <w:rsid w:val="00EE350E"/>
    <w:rsid w:val="00EE3590"/>
    <w:rsid w:val="00EE3AD0"/>
    <w:rsid w:val="00EE3AE1"/>
    <w:rsid w:val="00EE3AEF"/>
    <w:rsid w:val="00EE46FC"/>
    <w:rsid w:val="00EE4739"/>
    <w:rsid w:val="00EE4A81"/>
    <w:rsid w:val="00EE4B0A"/>
    <w:rsid w:val="00EE4C03"/>
    <w:rsid w:val="00EE4D21"/>
    <w:rsid w:val="00EE4D67"/>
    <w:rsid w:val="00EE4ECE"/>
    <w:rsid w:val="00EE511D"/>
    <w:rsid w:val="00EE5666"/>
    <w:rsid w:val="00EE5676"/>
    <w:rsid w:val="00EE5A04"/>
    <w:rsid w:val="00EE610B"/>
    <w:rsid w:val="00EE65FE"/>
    <w:rsid w:val="00EE674F"/>
    <w:rsid w:val="00EE67B7"/>
    <w:rsid w:val="00EE6A9F"/>
    <w:rsid w:val="00EE6B71"/>
    <w:rsid w:val="00EE6DC1"/>
    <w:rsid w:val="00EE6EA5"/>
    <w:rsid w:val="00EE70B8"/>
    <w:rsid w:val="00EE72F9"/>
    <w:rsid w:val="00EE74EA"/>
    <w:rsid w:val="00EE7633"/>
    <w:rsid w:val="00EE7657"/>
    <w:rsid w:val="00EE77C3"/>
    <w:rsid w:val="00EE7957"/>
    <w:rsid w:val="00EE7E6E"/>
    <w:rsid w:val="00EE7FCC"/>
    <w:rsid w:val="00EE7FE8"/>
    <w:rsid w:val="00EE7FF0"/>
    <w:rsid w:val="00EF0359"/>
    <w:rsid w:val="00EF0584"/>
    <w:rsid w:val="00EF06EA"/>
    <w:rsid w:val="00EF09D7"/>
    <w:rsid w:val="00EF0BB6"/>
    <w:rsid w:val="00EF0EC2"/>
    <w:rsid w:val="00EF0F82"/>
    <w:rsid w:val="00EF1027"/>
    <w:rsid w:val="00EF113B"/>
    <w:rsid w:val="00EF1789"/>
    <w:rsid w:val="00EF17DE"/>
    <w:rsid w:val="00EF20E4"/>
    <w:rsid w:val="00EF23AB"/>
    <w:rsid w:val="00EF2574"/>
    <w:rsid w:val="00EF27DF"/>
    <w:rsid w:val="00EF32AF"/>
    <w:rsid w:val="00EF3508"/>
    <w:rsid w:val="00EF35D1"/>
    <w:rsid w:val="00EF3602"/>
    <w:rsid w:val="00EF3A92"/>
    <w:rsid w:val="00EF3E62"/>
    <w:rsid w:val="00EF3F55"/>
    <w:rsid w:val="00EF405F"/>
    <w:rsid w:val="00EF43F4"/>
    <w:rsid w:val="00EF4618"/>
    <w:rsid w:val="00EF46D8"/>
    <w:rsid w:val="00EF46F8"/>
    <w:rsid w:val="00EF4818"/>
    <w:rsid w:val="00EF4A8D"/>
    <w:rsid w:val="00EF4F79"/>
    <w:rsid w:val="00EF5407"/>
    <w:rsid w:val="00EF570A"/>
    <w:rsid w:val="00EF57B5"/>
    <w:rsid w:val="00EF591E"/>
    <w:rsid w:val="00EF59B4"/>
    <w:rsid w:val="00EF5AC7"/>
    <w:rsid w:val="00EF5B6C"/>
    <w:rsid w:val="00EF6356"/>
    <w:rsid w:val="00EF6418"/>
    <w:rsid w:val="00EF6500"/>
    <w:rsid w:val="00EF655F"/>
    <w:rsid w:val="00EF6628"/>
    <w:rsid w:val="00EF66BD"/>
    <w:rsid w:val="00EF6B47"/>
    <w:rsid w:val="00EF7055"/>
    <w:rsid w:val="00EF725C"/>
    <w:rsid w:val="00EF7338"/>
    <w:rsid w:val="00EF7497"/>
    <w:rsid w:val="00EF74F2"/>
    <w:rsid w:val="00EF7919"/>
    <w:rsid w:val="00EF7A21"/>
    <w:rsid w:val="00EF7AD8"/>
    <w:rsid w:val="00EF7BEB"/>
    <w:rsid w:val="00EF7C19"/>
    <w:rsid w:val="00EF7CD9"/>
    <w:rsid w:val="00F0054E"/>
    <w:rsid w:val="00F008BB"/>
    <w:rsid w:val="00F00B56"/>
    <w:rsid w:val="00F010BB"/>
    <w:rsid w:val="00F01158"/>
    <w:rsid w:val="00F012F2"/>
    <w:rsid w:val="00F0144A"/>
    <w:rsid w:val="00F0188B"/>
    <w:rsid w:val="00F01B2C"/>
    <w:rsid w:val="00F01EEE"/>
    <w:rsid w:val="00F0212A"/>
    <w:rsid w:val="00F02190"/>
    <w:rsid w:val="00F02722"/>
    <w:rsid w:val="00F02812"/>
    <w:rsid w:val="00F028AE"/>
    <w:rsid w:val="00F02C64"/>
    <w:rsid w:val="00F02E52"/>
    <w:rsid w:val="00F03110"/>
    <w:rsid w:val="00F0311E"/>
    <w:rsid w:val="00F034FD"/>
    <w:rsid w:val="00F035A6"/>
    <w:rsid w:val="00F03641"/>
    <w:rsid w:val="00F03902"/>
    <w:rsid w:val="00F040F5"/>
    <w:rsid w:val="00F0418B"/>
    <w:rsid w:val="00F041DE"/>
    <w:rsid w:val="00F0431F"/>
    <w:rsid w:val="00F04726"/>
    <w:rsid w:val="00F04A9D"/>
    <w:rsid w:val="00F04E33"/>
    <w:rsid w:val="00F04E4B"/>
    <w:rsid w:val="00F050E4"/>
    <w:rsid w:val="00F05710"/>
    <w:rsid w:val="00F05AAD"/>
    <w:rsid w:val="00F05ED2"/>
    <w:rsid w:val="00F0624C"/>
    <w:rsid w:val="00F0626F"/>
    <w:rsid w:val="00F06579"/>
    <w:rsid w:val="00F06629"/>
    <w:rsid w:val="00F066A0"/>
    <w:rsid w:val="00F06BFB"/>
    <w:rsid w:val="00F06E87"/>
    <w:rsid w:val="00F07505"/>
    <w:rsid w:val="00F07981"/>
    <w:rsid w:val="00F079F0"/>
    <w:rsid w:val="00F07A20"/>
    <w:rsid w:val="00F10175"/>
    <w:rsid w:val="00F1021B"/>
    <w:rsid w:val="00F1021C"/>
    <w:rsid w:val="00F10288"/>
    <w:rsid w:val="00F1037F"/>
    <w:rsid w:val="00F109C6"/>
    <w:rsid w:val="00F10B36"/>
    <w:rsid w:val="00F10C60"/>
    <w:rsid w:val="00F10CD6"/>
    <w:rsid w:val="00F1126D"/>
    <w:rsid w:val="00F11F6B"/>
    <w:rsid w:val="00F11F82"/>
    <w:rsid w:val="00F12366"/>
    <w:rsid w:val="00F12488"/>
    <w:rsid w:val="00F124AA"/>
    <w:rsid w:val="00F12BA9"/>
    <w:rsid w:val="00F1317B"/>
    <w:rsid w:val="00F13C4C"/>
    <w:rsid w:val="00F13FBD"/>
    <w:rsid w:val="00F1420C"/>
    <w:rsid w:val="00F144BF"/>
    <w:rsid w:val="00F1498E"/>
    <w:rsid w:val="00F14CD9"/>
    <w:rsid w:val="00F14DF8"/>
    <w:rsid w:val="00F15302"/>
    <w:rsid w:val="00F154BC"/>
    <w:rsid w:val="00F154DF"/>
    <w:rsid w:val="00F15586"/>
    <w:rsid w:val="00F15DB0"/>
    <w:rsid w:val="00F15FC2"/>
    <w:rsid w:val="00F16010"/>
    <w:rsid w:val="00F1646C"/>
    <w:rsid w:val="00F16659"/>
    <w:rsid w:val="00F168D0"/>
    <w:rsid w:val="00F16D67"/>
    <w:rsid w:val="00F16ECA"/>
    <w:rsid w:val="00F17190"/>
    <w:rsid w:val="00F17D93"/>
    <w:rsid w:val="00F17EB5"/>
    <w:rsid w:val="00F17EFF"/>
    <w:rsid w:val="00F20051"/>
    <w:rsid w:val="00F20348"/>
    <w:rsid w:val="00F204DA"/>
    <w:rsid w:val="00F20A44"/>
    <w:rsid w:val="00F20E60"/>
    <w:rsid w:val="00F20E6E"/>
    <w:rsid w:val="00F20E94"/>
    <w:rsid w:val="00F211B1"/>
    <w:rsid w:val="00F214B8"/>
    <w:rsid w:val="00F21689"/>
    <w:rsid w:val="00F21912"/>
    <w:rsid w:val="00F2196E"/>
    <w:rsid w:val="00F21A20"/>
    <w:rsid w:val="00F21B73"/>
    <w:rsid w:val="00F21D9B"/>
    <w:rsid w:val="00F22272"/>
    <w:rsid w:val="00F22365"/>
    <w:rsid w:val="00F22846"/>
    <w:rsid w:val="00F2299E"/>
    <w:rsid w:val="00F229D9"/>
    <w:rsid w:val="00F236C4"/>
    <w:rsid w:val="00F23892"/>
    <w:rsid w:val="00F238B1"/>
    <w:rsid w:val="00F23969"/>
    <w:rsid w:val="00F23E56"/>
    <w:rsid w:val="00F23F6B"/>
    <w:rsid w:val="00F24A78"/>
    <w:rsid w:val="00F24B03"/>
    <w:rsid w:val="00F250C0"/>
    <w:rsid w:val="00F259A8"/>
    <w:rsid w:val="00F25A3E"/>
    <w:rsid w:val="00F25A9B"/>
    <w:rsid w:val="00F25AB7"/>
    <w:rsid w:val="00F25ADA"/>
    <w:rsid w:val="00F25DA0"/>
    <w:rsid w:val="00F263E8"/>
    <w:rsid w:val="00F266CD"/>
    <w:rsid w:val="00F2696F"/>
    <w:rsid w:val="00F26D5B"/>
    <w:rsid w:val="00F26F7B"/>
    <w:rsid w:val="00F26FC0"/>
    <w:rsid w:val="00F2793C"/>
    <w:rsid w:val="00F27C03"/>
    <w:rsid w:val="00F30201"/>
    <w:rsid w:val="00F30282"/>
    <w:rsid w:val="00F302DB"/>
    <w:rsid w:val="00F3062D"/>
    <w:rsid w:val="00F3083A"/>
    <w:rsid w:val="00F30A24"/>
    <w:rsid w:val="00F30A7D"/>
    <w:rsid w:val="00F30A91"/>
    <w:rsid w:val="00F30B0C"/>
    <w:rsid w:val="00F30F8B"/>
    <w:rsid w:val="00F311E8"/>
    <w:rsid w:val="00F31427"/>
    <w:rsid w:val="00F31525"/>
    <w:rsid w:val="00F3162D"/>
    <w:rsid w:val="00F316C4"/>
    <w:rsid w:val="00F317D7"/>
    <w:rsid w:val="00F31AD3"/>
    <w:rsid w:val="00F31BAB"/>
    <w:rsid w:val="00F31CE8"/>
    <w:rsid w:val="00F31F66"/>
    <w:rsid w:val="00F320F3"/>
    <w:rsid w:val="00F32753"/>
    <w:rsid w:val="00F327C7"/>
    <w:rsid w:val="00F32B8C"/>
    <w:rsid w:val="00F32D05"/>
    <w:rsid w:val="00F331DC"/>
    <w:rsid w:val="00F33442"/>
    <w:rsid w:val="00F335E9"/>
    <w:rsid w:val="00F33B02"/>
    <w:rsid w:val="00F33E2E"/>
    <w:rsid w:val="00F33F2A"/>
    <w:rsid w:val="00F34A04"/>
    <w:rsid w:val="00F34C0D"/>
    <w:rsid w:val="00F34F45"/>
    <w:rsid w:val="00F34FF7"/>
    <w:rsid w:val="00F350CF"/>
    <w:rsid w:val="00F350D9"/>
    <w:rsid w:val="00F35188"/>
    <w:rsid w:val="00F353EC"/>
    <w:rsid w:val="00F355A9"/>
    <w:rsid w:val="00F356C0"/>
    <w:rsid w:val="00F3580E"/>
    <w:rsid w:val="00F3584C"/>
    <w:rsid w:val="00F35A19"/>
    <w:rsid w:val="00F35B79"/>
    <w:rsid w:val="00F35D15"/>
    <w:rsid w:val="00F3617E"/>
    <w:rsid w:val="00F363A9"/>
    <w:rsid w:val="00F364C9"/>
    <w:rsid w:val="00F364D1"/>
    <w:rsid w:val="00F365A3"/>
    <w:rsid w:val="00F36A6F"/>
    <w:rsid w:val="00F36EC4"/>
    <w:rsid w:val="00F370BA"/>
    <w:rsid w:val="00F37411"/>
    <w:rsid w:val="00F374CB"/>
    <w:rsid w:val="00F37745"/>
    <w:rsid w:val="00F40302"/>
    <w:rsid w:val="00F40379"/>
    <w:rsid w:val="00F40687"/>
    <w:rsid w:val="00F40791"/>
    <w:rsid w:val="00F40E24"/>
    <w:rsid w:val="00F40EAD"/>
    <w:rsid w:val="00F41159"/>
    <w:rsid w:val="00F41381"/>
    <w:rsid w:val="00F41663"/>
    <w:rsid w:val="00F41B64"/>
    <w:rsid w:val="00F41BE0"/>
    <w:rsid w:val="00F41C86"/>
    <w:rsid w:val="00F41DB2"/>
    <w:rsid w:val="00F42074"/>
    <w:rsid w:val="00F420B0"/>
    <w:rsid w:val="00F42234"/>
    <w:rsid w:val="00F422CA"/>
    <w:rsid w:val="00F423F1"/>
    <w:rsid w:val="00F425DD"/>
    <w:rsid w:val="00F42601"/>
    <w:rsid w:val="00F42628"/>
    <w:rsid w:val="00F4274C"/>
    <w:rsid w:val="00F428CB"/>
    <w:rsid w:val="00F4290D"/>
    <w:rsid w:val="00F42BBA"/>
    <w:rsid w:val="00F42CCB"/>
    <w:rsid w:val="00F436A4"/>
    <w:rsid w:val="00F43705"/>
    <w:rsid w:val="00F4372B"/>
    <w:rsid w:val="00F43AD0"/>
    <w:rsid w:val="00F440E0"/>
    <w:rsid w:val="00F44478"/>
    <w:rsid w:val="00F446C5"/>
    <w:rsid w:val="00F44762"/>
    <w:rsid w:val="00F44859"/>
    <w:rsid w:val="00F44F2F"/>
    <w:rsid w:val="00F44F4F"/>
    <w:rsid w:val="00F4519C"/>
    <w:rsid w:val="00F4530A"/>
    <w:rsid w:val="00F454AD"/>
    <w:rsid w:val="00F4588D"/>
    <w:rsid w:val="00F45A93"/>
    <w:rsid w:val="00F46670"/>
    <w:rsid w:val="00F469CE"/>
    <w:rsid w:val="00F46A56"/>
    <w:rsid w:val="00F46D97"/>
    <w:rsid w:val="00F46E1D"/>
    <w:rsid w:val="00F46E46"/>
    <w:rsid w:val="00F46F40"/>
    <w:rsid w:val="00F476B5"/>
    <w:rsid w:val="00F47797"/>
    <w:rsid w:val="00F479E4"/>
    <w:rsid w:val="00F47DC2"/>
    <w:rsid w:val="00F47FB5"/>
    <w:rsid w:val="00F50055"/>
    <w:rsid w:val="00F50482"/>
    <w:rsid w:val="00F504B8"/>
    <w:rsid w:val="00F50582"/>
    <w:rsid w:val="00F50637"/>
    <w:rsid w:val="00F50CF4"/>
    <w:rsid w:val="00F5150C"/>
    <w:rsid w:val="00F51590"/>
    <w:rsid w:val="00F51D84"/>
    <w:rsid w:val="00F51EE1"/>
    <w:rsid w:val="00F51F15"/>
    <w:rsid w:val="00F51FCF"/>
    <w:rsid w:val="00F52600"/>
    <w:rsid w:val="00F5284D"/>
    <w:rsid w:val="00F52A1C"/>
    <w:rsid w:val="00F52AB1"/>
    <w:rsid w:val="00F52E8C"/>
    <w:rsid w:val="00F52F1B"/>
    <w:rsid w:val="00F52F96"/>
    <w:rsid w:val="00F53165"/>
    <w:rsid w:val="00F539DB"/>
    <w:rsid w:val="00F53BF4"/>
    <w:rsid w:val="00F53C1E"/>
    <w:rsid w:val="00F54555"/>
    <w:rsid w:val="00F54577"/>
    <w:rsid w:val="00F54A62"/>
    <w:rsid w:val="00F54BD2"/>
    <w:rsid w:val="00F54CBA"/>
    <w:rsid w:val="00F54D21"/>
    <w:rsid w:val="00F54D25"/>
    <w:rsid w:val="00F54D29"/>
    <w:rsid w:val="00F553DD"/>
    <w:rsid w:val="00F558C1"/>
    <w:rsid w:val="00F5619B"/>
    <w:rsid w:val="00F56499"/>
    <w:rsid w:val="00F56F3D"/>
    <w:rsid w:val="00F570AF"/>
    <w:rsid w:val="00F57235"/>
    <w:rsid w:val="00F5727B"/>
    <w:rsid w:val="00F57307"/>
    <w:rsid w:val="00F57442"/>
    <w:rsid w:val="00F574AC"/>
    <w:rsid w:val="00F575D0"/>
    <w:rsid w:val="00F576E9"/>
    <w:rsid w:val="00F60161"/>
    <w:rsid w:val="00F6027D"/>
    <w:rsid w:val="00F604C6"/>
    <w:rsid w:val="00F60640"/>
    <w:rsid w:val="00F60692"/>
    <w:rsid w:val="00F60BB5"/>
    <w:rsid w:val="00F60D5D"/>
    <w:rsid w:val="00F60E31"/>
    <w:rsid w:val="00F611F9"/>
    <w:rsid w:val="00F612B6"/>
    <w:rsid w:val="00F618CB"/>
    <w:rsid w:val="00F61934"/>
    <w:rsid w:val="00F61D92"/>
    <w:rsid w:val="00F61F0A"/>
    <w:rsid w:val="00F61F41"/>
    <w:rsid w:val="00F61F68"/>
    <w:rsid w:val="00F61FA1"/>
    <w:rsid w:val="00F6205C"/>
    <w:rsid w:val="00F6219F"/>
    <w:rsid w:val="00F62207"/>
    <w:rsid w:val="00F622C1"/>
    <w:rsid w:val="00F62606"/>
    <w:rsid w:val="00F629CC"/>
    <w:rsid w:val="00F62A85"/>
    <w:rsid w:val="00F62B1F"/>
    <w:rsid w:val="00F631F6"/>
    <w:rsid w:val="00F638DC"/>
    <w:rsid w:val="00F639F4"/>
    <w:rsid w:val="00F63A74"/>
    <w:rsid w:val="00F63CCC"/>
    <w:rsid w:val="00F63D3F"/>
    <w:rsid w:val="00F63D6B"/>
    <w:rsid w:val="00F64133"/>
    <w:rsid w:val="00F64153"/>
    <w:rsid w:val="00F641D0"/>
    <w:rsid w:val="00F6486B"/>
    <w:rsid w:val="00F64874"/>
    <w:rsid w:val="00F64EAF"/>
    <w:rsid w:val="00F64F90"/>
    <w:rsid w:val="00F65260"/>
    <w:rsid w:val="00F65FFC"/>
    <w:rsid w:val="00F662E3"/>
    <w:rsid w:val="00F66373"/>
    <w:rsid w:val="00F666C9"/>
    <w:rsid w:val="00F66DCC"/>
    <w:rsid w:val="00F6700D"/>
    <w:rsid w:val="00F67023"/>
    <w:rsid w:val="00F67086"/>
    <w:rsid w:val="00F6710F"/>
    <w:rsid w:val="00F673FD"/>
    <w:rsid w:val="00F674EE"/>
    <w:rsid w:val="00F67BAB"/>
    <w:rsid w:val="00F7002C"/>
    <w:rsid w:val="00F70638"/>
    <w:rsid w:val="00F70E6E"/>
    <w:rsid w:val="00F70EF7"/>
    <w:rsid w:val="00F70F5B"/>
    <w:rsid w:val="00F70FBE"/>
    <w:rsid w:val="00F7130D"/>
    <w:rsid w:val="00F7148A"/>
    <w:rsid w:val="00F7183B"/>
    <w:rsid w:val="00F71F59"/>
    <w:rsid w:val="00F720D7"/>
    <w:rsid w:val="00F723FA"/>
    <w:rsid w:val="00F72459"/>
    <w:rsid w:val="00F7254F"/>
    <w:rsid w:val="00F725B7"/>
    <w:rsid w:val="00F72890"/>
    <w:rsid w:val="00F7338F"/>
    <w:rsid w:val="00F733AC"/>
    <w:rsid w:val="00F7343A"/>
    <w:rsid w:val="00F73660"/>
    <w:rsid w:val="00F73FBA"/>
    <w:rsid w:val="00F74595"/>
    <w:rsid w:val="00F747E9"/>
    <w:rsid w:val="00F7481F"/>
    <w:rsid w:val="00F74C63"/>
    <w:rsid w:val="00F750FD"/>
    <w:rsid w:val="00F75523"/>
    <w:rsid w:val="00F75BB5"/>
    <w:rsid w:val="00F75C8A"/>
    <w:rsid w:val="00F75D08"/>
    <w:rsid w:val="00F764EF"/>
    <w:rsid w:val="00F769AE"/>
    <w:rsid w:val="00F76ADF"/>
    <w:rsid w:val="00F76D17"/>
    <w:rsid w:val="00F76FB3"/>
    <w:rsid w:val="00F770F9"/>
    <w:rsid w:val="00F77653"/>
    <w:rsid w:val="00F776F5"/>
    <w:rsid w:val="00F7777D"/>
    <w:rsid w:val="00F77F6B"/>
    <w:rsid w:val="00F802F7"/>
    <w:rsid w:val="00F80597"/>
    <w:rsid w:val="00F806DF"/>
    <w:rsid w:val="00F80732"/>
    <w:rsid w:val="00F80766"/>
    <w:rsid w:val="00F80B06"/>
    <w:rsid w:val="00F80C37"/>
    <w:rsid w:val="00F80DC3"/>
    <w:rsid w:val="00F81169"/>
    <w:rsid w:val="00F81555"/>
    <w:rsid w:val="00F815EB"/>
    <w:rsid w:val="00F81982"/>
    <w:rsid w:val="00F81F7F"/>
    <w:rsid w:val="00F820FF"/>
    <w:rsid w:val="00F824CB"/>
    <w:rsid w:val="00F8285F"/>
    <w:rsid w:val="00F82928"/>
    <w:rsid w:val="00F829DD"/>
    <w:rsid w:val="00F82A0A"/>
    <w:rsid w:val="00F82B8E"/>
    <w:rsid w:val="00F82DB1"/>
    <w:rsid w:val="00F82F2D"/>
    <w:rsid w:val="00F832F3"/>
    <w:rsid w:val="00F83356"/>
    <w:rsid w:val="00F833AB"/>
    <w:rsid w:val="00F83480"/>
    <w:rsid w:val="00F8353D"/>
    <w:rsid w:val="00F83F5E"/>
    <w:rsid w:val="00F847BC"/>
    <w:rsid w:val="00F84829"/>
    <w:rsid w:val="00F8483B"/>
    <w:rsid w:val="00F8493B"/>
    <w:rsid w:val="00F84C25"/>
    <w:rsid w:val="00F850E0"/>
    <w:rsid w:val="00F85680"/>
    <w:rsid w:val="00F8593A"/>
    <w:rsid w:val="00F85A49"/>
    <w:rsid w:val="00F85E1B"/>
    <w:rsid w:val="00F85FDD"/>
    <w:rsid w:val="00F860C4"/>
    <w:rsid w:val="00F86470"/>
    <w:rsid w:val="00F867B0"/>
    <w:rsid w:val="00F86C84"/>
    <w:rsid w:val="00F86CED"/>
    <w:rsid w:val="00F86D7C"/>
    <w:rsid w:val="00F86E50"/>
    <w:rsid w:val="00F86E73"/>
    <w:rsid w:val="00F87098"/>
    <w:rsid w:val="00F871B8"/>
    <w:rsid w:val="00F8721E"/>
    <w:rsid w:val="00F873F1"/>
    <w:rsid w:val="00F874B8"/>
    <w:rsid w:val="00F874D9"/>
    <w:rsid w:val="00F87595"/>
    <w:rsid w:val="00F87704"/>
    <w:rsid w:val="00F87801"/>
    <w:rsid w:val="00F87A61"/>
    <w:rsid w:val="00F87B0F"/>
    <w:rsid w:val="00F87FDD"/>
    <w:rsid w:val="00F90021"/>
    <w:rsid w:val="00F90072"/>
    <w:rsid w:val="00F90448"/>
    <w:rsid w:val="00F90627"/>
    <w:rsid w:val="00F907AF"/>
    <w:rsid w:val="00F90920"/>
    <w:rsid w:val="00F90A6D"/>
    <w:rsid w:val="00F90B79"/>
    <w:rsid w:val="00F90BD6"/>
    <w:rsid w:val="00F90F6B"/>
    <w:rsid w:val="00F90F86"/>
    <w:rsid w:val="00F90FA9"/>
    <w:rsid w:val="00F90FED"/>
    <w:rsid w:val="00F91038"/>
    <w:rsid w:val="00F91152"/>
    <w:rsid w:val="00F91420"/>
    <w:rsid w:val="00F91538"/>
    <w:rsid w:val="00F9155E"/>
    <w:rsid w:val="00F91731"/>
    <w:rsid w:val="00F918BC"/>
    <w:rsid w:val="00F91A03"/>
    <w:rsid w:val="00F9209C"/>
    <w:rsid w:val="00F92341"/>
    <w:rsid w:val="00F9273E"/>
    <w:rsid w:val="00F92BC1"/>
    <w:rsid w:val="00F92DD6"/>
    <w:rsid w:val="00F92FEC"/>
    <w:rsid w:val="00F92FFA"/>
    <w:rsid w:val="00F93044"/>
    <w:rsid w:val="00F930D3"/>
    <w:rsid w:val="00F932A8"/>
    <w:rsid w:val="00F9346F"/>
    <w:rsid w:val="00F93997"/>
    <w:rsid w:val="00F93B50"/>
    <w:rsid w:val="00F93DC3"/>
    <w:rsid w:val="00F93F60"/>
    <w:rsid w:val="00F942AE"/>
    <w:rsid w:val="00F94490"/>
    <w:rsid w:val="00F944CD"/>
    <w:rsid w:val="00F94756"/>
    <w:rsid w:val="00F948C0"/>
    <w:rsid w:val="00F94B4B"/>
    <w:rsid w:val="00F94BEC"/>
    <w:rsid w:val="00F94E9B"/>
    <w:rsid w:val="00F94FF4"/>
    <w:rsid w:val="00F951A5"/>
    <w:rsid w:val="00F95377"/>
    <w:rsid w:val="00F95416"/>
    <w:rsid w:val="00F9548E"/>
    <w:rsid w:val="00F95595"/>
    <w:rsid w:val="00F956C6"/>
    <w:rsid w:val="00F95A60"/>
    <w:rsid w:val="00F95FAA"/>
    <w:rsid w:val="00F9616A"/>
    <w:rsid w:val="00F96308"/>
    <w:rsid w:val="00F967B1"/>
    <w:rsid w:val="00F968CD"/>
    <w:rsid w:val="00F96927"/>
    <w:rsid w:val="00F96B46"/>
    <w:rsid w:val="00F9709A"/>
    <w:rsid w:val="00F97293"/>
    <w:rsid w:val="00F975CA"/>
    <w:rsid w:val="00F97C8F"/>
    <w:rsid w:val="00F97DFB"/>
    <w:rsid w:val="00FA0200"/>
    <w:rsid w:val="00FA021C"/>
    <w:rsid w:val="00FA087F"/>
    <w:rsid w:val="00FA12F3"/>
    <w:rsid w:val="00FA140B"/>
    <w:rsid w:val="00FA1743"/>
    <w:rsid w:val="00FA17A6"/>
    <w:rsid w:val="00FA17D3"/>
    <w:rsid w:val="00FA19D2"/>
    <w:rsid w:val="00FA1BD5"/>
    <w:rsid w:val="00FA2084"/>
    <w:rsid w:val="00FA2204"/>
    <w:rsid w:val="00FA2227"/>
    <w:rsid w:val="00FA22AB"/>
    <w:rsid w:val="00FA24D3"/>
    <w:rsid w:val="00FA2569"/>
    <w:rsid w:val="00FA29C4"/>
    <w:rsid w:val="00FA2D01"/>
    <w:rsid w:val="00FA2E0C"/>
    <w:rsid w:val="00FA2E18"/>
    <w:rsid w:val="00FA2E47"/>
    <w:rsid w:val="00FA303F"/>
    <w:rsid w:val="00FA3173"/>
    <w:rsid w:val="00FA37D3"/>
    <w:rsid w:val="00FA3C8C"/>
    <w:rsid w:val="00FA3EF0"/>
    <w:rsid w:val="00FA3F78"/>
    <w:rsid w:val="00FA418B"/>
    <w:rsid w:val="00FA4269"/>
    <w:rsid w:val="00FA47A7"/>
    <w:rsid w:val="00FA47AF"/>
    <w:rsid w:val="00FA499E"/>
    <w:rsid w:val="00FA4DDE"/>
    <w:rsid w:val="00FA508E"/>
    <w:rsid w:val="00FA524C"/>
    <w:rsid w:val="00FA53CB"/>
    <w:rsid w:val="00FA54C4"/>
    <w:rsid w:val="00FA5B87"/>
    <w:rsid w:val="00FA5BE5"/>
    <w:rsid w:val="00FA5C20"/>
    <w:rsid w:val="00FA5D74"/>
    <w:rsid w:val="00FA5DD6"/>
    <w:rsid w:val="00FA6216"/>
    <w:rsid w:val="00FA636C"/>
    <w:rsid w:val="00FA6CD0"/>
    <w:rsid w:val="00FA6F68"/>
    <w:rsid w:val="00FA7004"/>
    <w:rsid w:val="00FA73B2"/>
    <w:rsid w:val="00FA7752"/>
    <w:rsid w:val="00FA791B"/>
    <w:rsid w:val="00FA7CE7"/>
    <w:rsid w:val="00FA7E3B"/>
    <w:rsid w:val="00FA7F77"/>
    <w:rsid w:val="00FB0146"/>
    <w:rsid w:val="00FB048C"/>
    <w:rsid w:val="00FB0B80"/>
    <w:rsid w:val="00FB0B96"/>
    <w:rsid w:val="00FB0CBD"/>
    <w:rsid w:val="00FB0F41"/>
    <w:rsid w:val="00FB113D"/>
    <w:rsid w:val="00FB11D4"/>
    <w:rsid w:val="00FB120F"/>
    <w:rsid w:val="00FB1317"/>
    <w:rsid w:val="00FB169E"/>
    <w:rsid w:val="00FB1C67"/>
    <w:rsid w:val="00FB1D9B"/>
    <w:rsid w:val="00FB1F71"/>
    <w:rsid w:val="00FB2382"/>
    <w:rsid w:val="00FB2706"/>
    <w:rsid w:val="00FB2818"/>
    <w:rsid w:val="00FB2A93"/>
    <w:rsid w:val="00FB2B42"/>
    <w:rsid w:val="00FB2D2A"/>
    <w:rsid w:val="00FB2FC8"/>
    <w:rsid w:val="00FB3787"/>
    <w:rsid w:val="00FB380D"/>
    <w:rsid w:val="00FB38EE"/>
    <w:rsid w:val="00FB3A0E"/>
    <w:rsid w:val="00FB3D36"/>
    <w:rsid w:val="00FB3E76"/>
    <w:rsid w:val="00FB3F50"/>
    <w:rsid w:val="00FB3FB2"/>
    <w:rsid w:val="00FB4570"/>
    <w:rsid w:val="00FB46CF"/>
    <w:rsid w:val="00FB4FFC"/>
    <w:rsid w:val="00FB524B"/>
    <w:rsid w:val="00FB5427"/>
    <w:rsid w:val="00FB5A90"/>
    <w:rsid w:val="00FB5FA4"/>
    <w:rsid w:val="00FB603C"/>
    <w:rsid w:val="00FB625B"/>
    <w:rsid w:val="00FB6639"/>
    <w:rsid w:val="00FB672D"/>
    <w:rsid w:val="00FB6746"/>
    <w:rsid w:val="00FB6905"/>
    <w:rsid w:val="00FB7170"/>
    <w:rsid w:val="00FB7A78"/>
    <w:rsid w:val="00FC01DD"/>
    <w:rsid w:val="00FC0988"/>
    <w:rsid w:val="00FC0C20"/>
    <w:rsid w:val="00FC0CEA"/>
    <w:rsid w:val="00FC1277"/>
    <w:rsid w:val="00FC12DB"/>
    <w:rsid w:val="00FC184A"/>
    <w:rsid w:val="00FC1A62"/>
    <w:rsid w:val="00FC1D6C"/>
    <w:rsid w:val="00FC2033"/>
    <w:rsid w:val="00FC205C"/>
    <w:rsid w:val="00FC2848"/>
    <w:rsid w:val="00FC29D3"/>
    <w:rsid w:val="00FC2B27"/>
    <w:rsid w:val="00FC31BB"/>
    <w:rsid w:val="00FC334F"/>
    <w:rsid w:val="00FC38FA"/>
    <w:rsid w:val="00FC39C3"/>
    <w:rsid w:val="00FC3B4D"/>
    <w:rsid w:val="00FC3BE0"/>
    <w:rsid w:val="00FC43D9"/>
    <w:rsid w:val="00FC4EEC"/>
    <w:rsid w:val="00FC51EE"/>
    <w:rsid w:val="00FC5345"/>
    <w:rsid w:val="00FC55F7"/>
    <w:rsid w:val="00FC5A3A"/>
    <w:rsid w:val="00FC5C16"/>
    <w:rsid w:val="00FC5D52"/>
    <w:rsid w:val="00FC5DEA"/>
    <w:rsid w:val="00FC61E4"/>
    <w:rsid w:val="00FC632F"/>
    <w:rsid w:val="00FC6334"/>
    <w:rsid w:val="00FC6555"/>
    <w:rsid w:val="00FC69B6"/>
    <w:rsid w:val="00FC6DA7"/>
    <w:rsid w:val="00FC6EDC"/>
    <w:rsid w:val="00FC72DC"/>
    <w:rsid w:val="00FC7800"/>
    <w:rsid w:val="00FC79EF"/>
    <w:rsid w:val="00FC7A76"/>
    <w:rsid w:val="00FC7BC2"/>
    <w:rsid w:val="00FC7BE6"/>
    <w:rsid w:val="00FC7D4D"/>
    <w:rsid w:val="00FD0B02"/>
    <w:rsid w:val="00FD0B88"/>
    <w:rsid w:val="00FD0CCF"/>
    <w:rsid w:val="00FD13C7"/>
    <w:rsid w:val="00FD1489"/>
    <w:rsid w:val="00FD1546"/>
    <w:rsid w:val="00FD1F38"/>
    <w:rsid w:val="00FD278E"/>
    <w:rsid w:val="00FD28B5"/>
    <w:rsid w:val="00FD28DA"/>
    <w:rsid w:val="00FD297C"/>
    <w:rsid w:val="00FD2C00"/>
    <w:rsid w:val="00FD2E12"/>
    <w:rsid w:val="00FD31FD"/>
    <w:rsid w:val="00FD3216"/>
    <w:rsid w:val="00FD36BD"/>
    <w:rsid w:val="00FD3960"/>
    <w:rsid w:val="00FD3A29"/>
    <w:rsid w:val="00FD3BAA"/>
    <w:rsid w:val="00FD4220"/>
    <w:rsid w:val="00FD42A0"/>
    <w:rsid w:val="00FD42CD"/>
    <w:rsid w:val="00FD4844"/>
    <w:rsid w:val="00FD4B90"/>
    <w:rsid w:val="00FD4C17"/>
    <w:rsid w:val="00FD4D33"/>
    <w:rsid w:val="00FD5386"/>
    <w:rsid w:val="00FD53B5"/>
    <w:rsid w:val="00FD54D4"/>
    <w:rsid w:val="00FD557C"/>
    <w:rsid w:val="00FD5684"/>
    <w:rsid w:val="00FD585A"/>
    <w:rsid w:val="00FD5B2C"/>
    <w:rsid w:val="00FD5DA1"/>
    <w:rsid w:val="00FD62B8"/>
    <w:rsid w:val="00FD645C"/>
    <w:rsid w:val="00FD6552"/>
    <w:rsid w:val="00FD656C"/>
    <w:rsid w:val="00FD665D"/>
    <w:rsid w:val="00FD6A0B"/>
    <w:rsid w:val="00FD6B9C"/>
    <w:rsid w:val="00FD6E60"/>
    <w:rsid w:val="00FD6F4D"/>
    <w:rsid w:val="00FD780C"/>
    <w:rsid w:val="00FD7810"/>
    <w:rsid w:val="00FE038C"/>
    <w:rsid w:val="00FE03FA"/>
    <w:rsid w:val="00FE0543"/>
    <w:rsid w:val="00FE06ED"/>
    <w:rsid w:val="00FE08B4"/>
    <w:rsid w:val="00FE0906"/>
    <w:rsid w:val="00FE0A27"/>
    <w:rsid w:val="00FE0A94"/>
    <w:rsid w:val="00FE0F06"/>
    <w:rsid w:val="00FE1064"/>
    <w:rsid w:val="00FE129C"/>
    <w:rsid w:val="00FE133B"/>
    <w:rsid w:val="00FE148E"/>
    <w:rsid w:val="00FE1556"/>
    <w:rsid w:val="00FE177D"/>
    <w:rsid w:val="00FE1C02"/>
    <w:rsid w:val="00FE22F3"/>
    <w:rsid w:val="00FE2828"/>
    <w:rsid w:val="00FE2AAC"/>
    <w:rsid w:val="00FE32B1"/>
    <w:rsid w:val="00FE372A"/>
    <w:rsid w:val="00FE379A"/>
    <w:rsid w:val="00FE3A25"/>
    <w:rsid w:val="00FE3ABD"/>
    <w:rsid w:val="00FE3C90"/>
    <w:rsid w:val="00FE43AA"/>
    <w:rsid w:val="00FE43D1"/>
    <w:rsid w:val="00FE4A40"/>
    <w:rsid w:val="00FE4B91"/>
    <w:rsid w:val="00FE4EAD"/>
    <w:rsid w:val="00FE522B"/>
    <w:rsid w:val="00FE5712"/>
    <w:rsid w:val="00FE57EE"/>
    <w:rsid w:val="00FE59DF"/>
    <w:rsid w:val="00FE5B26"/>
    <w:rsid w:val="00FE5F7C"/>
    <w:rsid w:val="00FE621C"/>
    <w:rsid w:val="00FE6592"/>
    <w:rsid w:val="00FE6649"/>
    <w:rsid w:val="00FE6863"/>
    <w:rsid w:val="00FE6A4E"/>
    <w:rsid w:val="00FE6A6A"/>
    <w:rsid w:val="00FE6CBE"/>
    <w:rsid w:val="00FE6FA1"/>
    <w:rsid w:val="00FE7302"/>
    <w:rsid w:val="00FE7743"/>
    <w:rsid w:val="00FE7764"/>
    <w:rsid w:val="00FE7BB2"/>
    <w:rsid w:val="00FE7CFC"/>
    <w:rsid w:val="00FE7ED1"/>
    <w:rsid w:val="00FF011B"/>
    <w:rsid w:val="00FF0AFF"/>
    <w:rsid w:val="00FF0B9E"/>
    <w:rsid w:val="00FF1261"/>
    <w:rsid w:val="00FF16C6"/>
    <w:rsid w:val="00FF1A41"/>
    <w:rsid w:val="00FF20E8"/>
    <w:rsid w:val="00FF25B4"/>
    <w:rsid w:val="00FF25CA"/>
    <w:rsid w:val="00FF25EF"/>
    <w:rsid w:val="00FF297A"/>
    <w:rsid w:val="00FF2B60"/>
    <w:rsid w:val="00FF2DCE"/>
    <w:rsid w:val="00FF2EE7"/>
    <w:rsid w:val="00FF2F99"/>
    <w:rsid w:val="00FF2FD5"/>
    <w:rsid w:val="00FF30AC"/>
    <w:rsid w:val="00FF348E"/>
    <w:rsid w:val="00FF3A20"/>
    <w:rsid w:val="00FF3F13"/>
    <w:rsid w:val="00FF420C"/>
    <w:rsid w:val="00FF431C"/>
    <w:rsid w:val="00FF4BC7"/>
    <w:rsid w:val="00FF4CFD"/>
    <w:rsid w:val="00FF4E15"/>
    <w:rsid w:val="00FF4FE7"/>
    <w:rsid w:val="00FF50AD"/>
    <w:rsid w:val="00FF5103"/>
    <w:rsid w:val="00FF516B"/>
    <w:rsid w:val="00FF51BC"/>
    <w:rsid w:val="00FF572C"/>
    <w:rsid w:val="00FF5936"/>
    <w:rsid w:val="00FF5964"/>
    <w:rsid w:val="00FF5A86"/>
    <w:rsid w:val="00FF5D35"/>
    <w:rsid w:val="00FF5F08"/>
    <w:rsid w:val="00FF64C4"/>
    <w:rsid w:val="00FF6EB9"/>
    <w:rsid w:val="00FF70C9"/>
    <w:rsid w:val="00FF730E"/>
    <w:rsid w:val="00FF7321"/>
    <w:rsid w:val="00FF7553"/>
    <w:rsid w:val="00FF7856"/>
    <w:rsid w:val="00FF79D0"/>
    <w:rsid w:val="00FF7D7C"/>
    <w:rsid w:val="00FF7DAE"/>
    <w:rsid w:val="00FF7EAD"/>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color="red" weight="2.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semiHidden="0" w:uiPriority="39" w:unhideWhenUsed="0" w:qFormat="1"/>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nadpis 1,N 1,Dipl 1,título 1,H1,h1,h11,h12,h13,h14,h15,h16,h17,h111,h121,h131,h141,h151,h161,h18,h112,h122,h132,h142,h152,h162,h19,h113,h123,h133,h143,h153,h163,l1,II+,I,Section Head,Chapter Heading,h:1,h:1app,app heading 1,Titre§,adpis 1"/>
    <w:basedOn w:val="Normln"/>
    <w:next w:val="Normln"/>
    <w:link w:val="Nadpis1Char1"/>
    <w:qFormat/>
    <w:rsid w:val="009679AD"/>
    <w:pPr>
      <w:widowControl w:val="0"/>
      <w:numPr>
        <w:numId w:val="1"/>
      </w:numPr>
      <w:outlineLvl w:val="0"/>
    </w:pPr>
    <w:rPr>
      <w:rFonts w:ascii="Cambria" w:eastAsia="Times New Roman" w:hAnsi="Cambria"/>
      <w:b/>
      <w:bCs/>
      <w:color w:val="B6B002"/>
      <w:sz w:val="28"/>
      <w:szCs w:val="28"/>
    </w:rPr>
  </w:style>
  <w:style w:type="paragraph" w:styleId="Nadpis2">
    <w:name w:val="heading 2"/>
    <w:aliases w:val="Heading 2 Firm,Heading 2 Firm1,nadpis 2,Nadpis 2 Z,Dipl2,Heading 2 Firm11"/>
    <w:basedOn w:val="Normln"/>
    <w:next w:val="Normln"/>
    <w:link w:val="Nadpis2Char1"/>
    <w:qFormat/>
    <w:rsid w:val="0015726B"/>
    <w:pPr>
      <w:keepNext/>
      <w:numPr>
        <w:ilvl w:val="1"/>
        <w:numId w:val="1"/>
      </w:numPr>
      <w:outlineLvl w:val="1"/>
    </w:pPr>
    <w:rPr>
      <w:rFonts w:ascii="Cambria" w:eastAsia="Times New Roman" w:hAnsi="Cambria"/>
      <w:b/>
      <w:bCs/>
      <w:color w:val="B6B002"/>
      <w:sz w:val="26"/>
      <w:szCs w:val="26"/>
    </w:rPr>
  </w:style>
  <w:style w:type="paragraph" w:styleId="Nadpis3">
    <w:name w:val="heading 3"/>
    <w:aliases w:val="nadpis 3,Nadpis 3 Z,Dipl3"/>
    <w:basedOn w:val="Normln"/>
    <w:next w:val="Normln"/>
    <w:link w:val="Nadpis3Char1"/>
    <w:qFormat/>
    <w:rsid w:val="00E97160"/>
    <w:pPr>
      <w:keepNext/>
      <w:numPr>
        <w:ilvl w:val="2"/>
        <w:numId w:val="1"/>
      </w:numPr>
      <w:outlineLvl w:val="2"/>
    </w:pPr>
    <w:rPr>
      <w:rFonts w:ascii="Cambria" w:eastAsia="Times New Roman" w:hAnsi="Cambria"/>
      <w:b/>
      <w:bCs/>
      <w:color w:val="B6B002"/>
    </w:rPr>
  </w:style>
  <w:style w:type="paragraph" w:styleId="Nadpis4">
    <w:name w:val="heading 4"/>
    <w:aliases w:val="nadpis 4,Nadpis 4 Z,1-1"/>
    <w:basedOn w:val="Normln"/>
    <w:next w:val="Normln"/>
    <w:link w:val="Nadpis4Char1"/>
    <w:uiPriority w:val="9"/>
    <w:qFormat/>
    <w:rsid w:val="00F41B64"/>
    <w:pPr>
      <w:keepNext/>
      <w:keepLines/>
      <w:numPr>
        <w:ilvl w:val="3"/>
        <w:numId w:val="1"/>
      </w:numPr>
      <w:spacing w:before="200" w:after="0"/>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D4266B"/>
    <w:pPr>
      <w:numPr>
        <w:ilvl w:val="4"/>
        <w:numId w:val="1"/>
      </w:numPr>
      <w:spacing w:before="240" w:after="60"/>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1"/>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_Odstavec se seznamem,Seznam - odrážky,Tučné,Odstavec cíl se seznamem,A-Odrážky1,Odstavec_muj,Nad,Odstavec_muj1,Odstavec_muj2,Odstavec_muj3,Nad1,Odstavec_muj4,Nad2,List Paragraph2,Odstavec_muj5,Odstavec_muj6,Odstavec_muj7,Odstavec1"/>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nhideWhenUsed/>
    <w:rsid w:val="00243636"/>
    <w:rPr>
      <w:sz w:val="16"/>
      <w:szCs w:val="16"/>
    </w:rPr>
  </w:style>
  <w:style w:type="paragraph" w:styleId="Textkomente">
    <w:name w:val="annotation text"/>
    <w:aliases w:val="Text poznámky"/>
    <w:basedOn w:val="Normln"/>
    <w:link w:val="TextkomenteChar1"/>
    <w:unhideWhenUsed/>
    <w:rsid w:val="00243636"/>
    <w:rPr>
      <w:sz w:val="20"/>
      <w:szCs w:val="20"/>
    </w:rPr>
  </w:style>
  <w:style w:type="character" w:customStyle="1" w:styleId="TextkomenteChar">
    <w:name w:val="Text komentáře Char"/>
    <w:aliases w:val="Text poznámky Char"/>
    <w:basedOn w:val="Standardnpsmoodstavce"/>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nadpis 2 Char,Nadpis 2 Z Char,Dipl2 Char"/>
    <w:basedOn w:val="Standardnpsmoodstavce"/>
    <w:uiPriority w:val="9"/>
    <w:rsid w:val="00243636"/>
    <w:rPr>
      <w:rFonts w:ascii="Cambria" w:eastAsia="Times New Roman" w:hAnsi="Cambria"/>
      <w:b/>
      <w:bCs/>
      <w:color w:val="B6B002"/>
      <w:sz w:val="26"/>
      <w:szCs w:val="26"/>
      <w:lang w:eastAsia="en-US"/>
    </w:rPr>
  </w:style>
  <w:style w:type="character" w:customStyle="1" w:styleId="Nadpis1Char">
    <w:name w:val="Nadpis 1 Char"/>
    <w:aliases w:val="nadpis 1 Char,N 1 Char,Dipl 1 Char"/>
    <w:basedOn w:val="Standardnpsmoodstavce"/>
    <w:uiPriority w:val="9"/>
    <w:rsid w:val="00243636"/>
    <w:rPr>
      <w:rFonts w:ascii="Cambria" w:eastAsia="Times New Roman" w:hAnsi="Cambria"/>
      <w:b/>
      <w:bCs/>
      <w:color w:val="B6B002"/>
      <w:sz w:val="28"/>
      <w:szCs w:val="28"/>
      <w:lang w:eastAsia="en-US"/>
    </w:rPr>
  </w:style>
  <w:style w:type="character" w:customStyle="1" w:styleId="Nadpis3Char">
    <w:name w:val="Nadpis 3 Char"/>
    <w:aliases w:val="nadpis 3 Char,Nadpis 3 Z Char,Dipl3 Char"/>
    <w:basedOn w:val="Standardnpsmoodstavce"/>
    <w:uiPriority w:val="9"/>
    <w:rsid w:val="00243636"/>
    <w:rPr>
      <w:rFonts w:ascii="Cambria" w:eastAsia="Times New Roman" w:hAnsi="Cambria"/>
      <w:b/>
      <w:bCs/>
      <w:color w:val="B6B002"/>
      <w:sz w:val="24"/>
      <w:szCs w:val="22"/>
      <w:lang w:eastAsia="en-US"/>
    </w:rPr>
  </w:style>
  <w:style w:type="character" w:customStyle="1" w:styleId="Nadpis4Char">
    <w:name w:val="Nadpis 4 Char"/>
    <w:aliases w:val="nadpis 4 Char,Nadpis 4 Z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Text poznámky pod čiarou 007,_Poznámka pod čiarou,Poznámka,Footnote text,Fußnotentextf,Char1,Schriftart: 9 pt,Schriftart: 10 pt,Schriftart: 8 pt,Geneva 9,Font: Geneva 9,Boston 10,f,Text pozn. pod čarou1,o,Char,Char3,fn"/>
    <w:basedOn w:val="Normln"/>
    <w:link w:val="TextpoznpodarouChar1"/>
    <w:qFormat/>
    <w:rsid w:val="00140ED7"/>
    <w:pPr>
      <w:spacing w:before="0" w:after="0"/>
    </w:pPr>
    <w:rPr>
      <w:rFonts w:eastAsia="Times New Roman"/>
      <w:sz w:val="18"/>
      <w:szCs w:val="20"/>
      <w:lang w:eastAsia="cs-CZ"/>
    </w:rPr>
  </w:style>
  <w:style w:type="character" w:customStyle="1" w:styleId="TextpoznpodarouChar">
    <w:name w:val="Text pozn. pod čarou Char"/>
    <w:aliases w:val="Text poznámky pod čiarou 007 Char,_Poznámka pod čiarou Char,Poznámka Char,Footnote text Char,Fußnotentextf Char,Char1 Char,Schriftart: 9 pt Char,Schriftart: 10 pt Char,Schriftart: 8 pt Char,Geneva 9 Char,Footnote Text Char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Footnote Reference Number,Footnote symbol,Footnote,PGI Fußnote Ziffer,BVI fnr,Footnote Reference Superscript,Appel note de bas de p,Appel note de bas de page,Légende,Char Car Car Car Car,Voetnootverwijzing,text pozn. pod čarou,fr"/>
    <w:basedOn w:val="Standardnpsmoodstavce"/>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39"/>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uiPriority w:val="99"/>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uiPriority w:val="99"/>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v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9"/>
    <w:rsid w:val="00243636"/>
    <w:rPr>
      <w:rFonts w:eastAsia="Times New Roman"/>
      <w:b/>
      <w:bCs/>
      <w:i/>
      <w:iCs/>
      <w:sz w:val="26"/>
      <w:szCs w:val="26"/>
      <w:lang w:eastAsia="en-US"/>
    </w:rPr>
  </w:style>
  <w:style w:type="character" w:customStyle="1" w:styleId="Nadpis6Char">
    <w:name w:val="Nadpis 6 Char"/>
    <w:basedOn w:val="Standardnpsmoodstavce"/>
    <w:uiPriority w:val="9"/>
    <w:rsid w:val="00243636"/>
    <w:rPr>
      <w:rFonts w:eastAsia="Times New Roman"/>
      <w:b/>
      <w:bCs/>
      <w:sz w:val="24"/>
      <w:szCs w:val="22"/>
      <w:lang w:eastAsia="en-US"/>
    </w:rPr>
  </w:style>
  <w:style w:type="character" w:customStyle="1" w:styleId="Nadpis7Char">
    <w:name w:val="Nadpis 7 Char"/>
    <w:basedOn w:val="Standardnpsmoodstavce"/>
    <w:uiPriority w:val="9"/>
    <w:rsid w:val="00243636"/>
    <w:rPr>
      <w:rFonts w:eastAsia="Times New Roman"/>
      <w:sz w:val="24"/>
      <w:szCs w:val="24"/>
      <w:lang w:eastAsia="en-US"/>
    </w:rPr>
  </w:style>
  <w:style w:type="character" w:customStyle="1" w:styleId="Nadpis8Char">
    <w:name w:val="Nadpis 8 Char"/>
    <w:basedOn w:val="Standardnpsmoodstavce"/>
    <w:uiPriority w:val="9"/>
    <w:rsid w:val="00243636"/>
    <w:rPr>
      <w:rFonts w:eastAsia="Times New Roman"/>
      <w:i/>
      <w:iCs/>
      <w:sz w:val="24"/>
      <w:szCs w:val="24"/>
      <w:lang w:eastAsia="en-US"/>
    </w:rPr>
  </w:style>
  <w:style w:type="character" w:customStyle="1" w:styleId="Nadpis9Char">
    <w:name w:val="Nadpis 9 Char"/>
    <w:basedOn w:val="Standardnpsmoodstavce"/>
    <w:uiPriority w:val="9"/>
    <w:rsid w:val="00243636"/>
    <w:rPr>
      <w:rFonts w:ascii="Cambria" w:eastAsia="Times New Roman" w:hAnsi="Cambria"/>
      <w:sz w:val="24"/>
      <w:szCs w:val="22"/>
      <w:lang w:eastAsia="en-US"/>
    </w:rPr>
  </w:style>
  <w:style w:type="paragraph" w:styleId="Normlnweb">
    <w:name w:val="Normal (Web)"/>
    <w:basedOn w:val="Normln"/>
    <w:link w:val="NormlnwebChar"/>
    <w:uiPriority w:val="99"/>
    <w:qFormat/>
    <w:rsid w:val="00243636"/>
    <w:pPr>
      <w:spacing w:before="100" w:beforeAutospacing="1" w:after="100" w:afterAutospacing="1"/>
      <w:jc w:val="left"/>
    </w:pPr>
    <w:rPr>
      <w:rFonts w:ascii="Times New Roman" w:eastAsia="Times New Roman" w:hAnsi="Times New Roman"/>
      <w:szCs w:val="24"/>
      <w:lang w:eastAsia="cs-CZ"/>
    </w:rPr>
  </w:style>
  <w:style w:type="table" w:customStyle="1" w:styleId="Svtlstnovn1">
    <w:name w:val="Světlé stínování1"/>
    <w:basedOn w:val="Normlntabulka"/>
    <w:uiPriority w:val="60"/>
    <w:rsid w:val="007D72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nhideWhenUsed/>
    <w:rsid w:val="00A34BC8"/>
  </w:style>
  <w:style w:type="character" w:customStyle="1" w:styleId="ZkladntextChar">
    <w:name w:val="Základní text Char"/>
    <w:basedOn w:val="Standardnpsmoodstavce"/>
    <w:link w:val="Zkladntext"/>
    <w:rsid w:val="00A34BC8"/>
    <w:rPr>
      <w:rFonts w:ascii="Garamond" w:hAnsi="Garamond"/>
      <w:sz w:val="24"/>
      <w:szCs w:val="22"/>
      <w:lang w:eastAsia="en-US"/>
    </w:rPr>
  </w:style>
  <w:style w:type="paragraph" w:customStyle="1" w:styleId="Citace1">
    <w:name w:val="Citace1"/>
    <w:aliases w:val="Quote,Quote2"/>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Text poznámky pod čiarou 007 Char1,_Poznámka pod čiarou Char1,Poznámka Char1,Footnote text Char1,Fußnotentextf Char1,Char1 Char1,Schriftart: 9 pt Char1,Schriftart: 10 pt Char1,Schriftart: 8 pt Char1,Geneva 9 Char1,f Char"/>
    <w:basedOn w:val="Standardnpsmoodstavce"/>
    <w:link w:val="Textpoznpodarou"/>
    <w:uiPriority w:val="99"/>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numbering" w:customStyle="1" w:styleId="NoList1">
    <w:name w:val="No List1"/>
    <w:next w:val="Bezseznamu"/>
    <w:semiHidden/>
    <w:rsid w:val="00D8660D"/>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titul">
    <w:name w:val="Subtitle"/>
    <w:aliases w:val="Heading5,NADPES00"/>
    <w:basedOn w:val="Normln"/>
    <w:link w:val="PodtitulChar"/>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NADPES00 Char"/>
    <w:basedOn w:val="Standardnpsmoodstavce"/>
    <w:link w:val="Podtitul"/>
    <w:rsid w:val="00D8660D"/>
    <w:rPr>
      <w:rFonts w:ascii="AT*Switzerland" w:eastAsia="Times New Roman" w:hAnsi="AT*Switzerland"/>
      <w:b/>
      <w:sz w:val="24"/>
      <w:lang w:val="sk-SK"/>
    </w:rPr>
  </w:style>
  <w:style w:type="table" w:styleId="Mkatabulky">
    <w:name w:val="Table Grid"/>
    <w:basedOn w:val="Normlntabulka"/>
    <w:uiPriority w:val="59"/>
    <w:rsid w:val="00D8660D"/>
    <w:rPr>
      <w:rFonts w:ascii="Times New Roman" w:eastAsia="MS Mincho"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Heading 2 Firm Char,Heading 2 Firm1 Char,nadpis 2 Char1,Nadpis 2 Z Char1,Dipl2 Char1,Heading 2 Firm11 Char"/>
    <w:basedOn w:val="Standardnpsmoodstavce"/>
    <w:link w:val="Nadpis2"/>
    <w:rsid w:val="0015726B"/>
    <w:rPr>
      <w:rFonts w:ascii="Cambria" w:eastAsia="Times New Roman" w:hAnsi="Cambria"/>
      <w:b/>
      <w:bCs/>
      <w:color w:val="B6B002"/>
      <w:sz w:val="26"/>
      <w:szCs w:val="26"/>
    </w:rPr>
  </w:style>
  <w:style w:type="character" w:customStyle="1" w:styleId="Nadpis1Char1">
    <w:name w:val="Nadpis 1 Char1"/>
    <w:aliases w:val="nadpis 1 Char1,N 1 Char1,Dipl 1 Char1,título 1 Char,H1 Char,h1 Char,h11 Char,h12 Char,h13 Char,h14 Char,h15 Char,h16 Char,h17 Char,h111 Char,h121 Char,h131 Char,h141 Char,h151 Char,h161 Char,h18 Char,h112 Char,h122 Char,h132 Char,h19 Char"/>
    <w:basedOn w:val="Standardnpsmoodstavce"/>
    <w:link w:val="Nadpis1"/>
    <w:rsid w:val="009679AD"/>
    <w:rPr>
      <w:rFonts w:ascii="Cambria" w:eastAsia="Times New Roman" w:hAnsi="Cambria"/>
      <w:b/>
      <w:bCs/>
      <w:color w:val="B6B002"/>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rsid w:val="00D866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numbering" w:customStyle="1" w:styleId="NoList2">
    <w:name w:val="No List2"/>
    <w:next w:val="Bezseznamu"/>
    <w:uiPriority w:val="99"/>
    <w:semiHidden/>
    <w:unhideWhenUsed/>
    <w:rsid w:val="003C606D"/>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uiPriority w:val="99"/>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uiPriority w:val="99"/>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uiPriority w:val="99"/>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semiHidden/>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uiPriority w:val="99"/>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uiPriority w:val="99"/>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basedOn w:val="Standardnpsmoodstavce"/>
    <w:link w:val="Citt"/>
    <w:uiPriority w:val="29"/>
    <w:rsid w:val="00B80ACE"/>
    <w:rPr>
      <w:rFonts w:ascii="Garamond" w:eastAsia="Times New Roman" w:hAnsi="Garamond"/>
      <w:i/>
      <w:iCs/>
      <w:color w:val="000000"/>
      <w:sz w:val="22"/>
      <w:lang w:eastAsia="cs-CZ"/>
    </w:rPr>
  </w:style>
  <w:style w:type="numbering" w:customStyle="1" w:styleId="NoList3">
    <w:name w:val="No List3"/>
    <w:next w:val="Bezseznamu"/>
    <w:uiPriority w:val="99"/>
    <w:semiHidden/>
    <w:unhideWhenUsed/>
    <w:rsid w:val="00FA7752"/>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sion">
    <w:name w:val="Vision"/>
    <w:basedOn w:val="Normln"/>
    <w:rsid w:val="00465CC5"/>
    <w:rPr>
      <w:i/>
    </w:rPr>
  </w:style>
  <w:style w:type="numbering" w:customStyle="1" w:styleId="NoList4">
    <w:name w:val="No List4"/>
    <w:next w:val="Bezseznamu"/>
    <w:uiPriority w:val="99"/>
    <w:semiHidden/>
    <w:unhideWhenUsed/>
    <w:rsid w:val="008D11FE"/>
  </w:style>
  <w:style w:type="paragraph" w:styleId="Nzev">
    <w:name w:val="Title"/>
    <w:aliases w:val="Heading4"/>
    <w:basedOn w:val="Normln"/>
    <w:link w:val="NzevChar"/>
    <w:uiPriority w:val="10"/>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rsid w:val="00E4652C"/>
    <w:rPr>
      <w:rFonts w:ascii="Garamond" w:hAnsi="Garamond"/>
      <w:sz w:val="24"/>
      <w:szCs w:val="22"/>
      <w:lang w:val="en-GB"/>
    </w:rPr>
  </w:style>
  <w:style w:type="character" w:customStyle="1" w:styleId="Nadpis3Char1">
    <w:name w:val="Nadpis 3 Char1"/>
    <w:aliases w:val="nadpis 3 Char1,Nadpis 3 Z Char1,Dipl3 Char1"/>
    <w:basedOn w:val="Standardnpsmoodstavce"/>
    <w:link w:val="Nadpis3"/>
    <w:rsid w:val="00E97160"/>
    <w:rPr>
      <w:rFonts w:ascii="Cambria" w:eastAsia="Times New Roman" w:hAnsi="Cambria"/>
      <w:b/>
      <w:bCs/>
      <w:color w:val="B6B002"/>
      <w:sz w:val="24"/>
      <w:szCs w:val="22"/>
    </w:rPr>
  </w:style>
  <w:style w:type="character" w:customStyle="1" w:styleId="Nadpis4Char1">
    <w:name w:val="Nadpis 4 Char1"/>
    <w:aliases w:val="nadpis 4 Char1,Nadpis 4 Z Char1,1-1 Char"/>
    <w:basedOn w:val="Standardnpsmoodstavce"/>
    <w:link w:val="Nadpis4"/>
    <w:uiPriority w:val="9"/>
    <w:rsid w:val="00F41B64"/>
    <w:rPr>
      <w:rFonts w:ascii="Cambria" w:eastAsia="Times New Roman" w:hAnsi="Cambria"/>
      <w:b/>
      <w:bCs/>
      <w:i/>
      <w:iCs/>
      <w:color w:val="AC9B02"/>
      <w:sz w:val="22"/>
      <w:szCs w:val="22"/>
    </w:rPr>
  </w:style>
  <w:style w:type="paragraph" w:customStyle="1" w:styleId="Note">
    <w:name w:val="Note"/>
    <w:basedOn w:val="Titulek"/>
    <w:link w:val="NoteChar"/>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D4266B"/>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semiHidden/>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_Odstavec se seznamem Char,Seznam - odrážky Char,Tučné Char,Odstavec cíl se seznamem Char,A-Odrážky1 Char,Odstavec_muj Char,Nad Char,Odstavec_muj1 Char,Odstavec_muj2 Char,Odstavec_muj3 Char,Nad1 Char,Odstavec_muj4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E4652C"/>
    <w:rPr>
      <w:rFonts w:ascii="Times New Roman" w:eastAsia="Times New Roman" w:hAnsi="Times New Roman"/>
      <w:sz w:val="24"/>
      <w:szCs w:val="24"/>
      <w:lang w:val="en-GB" w:eastAsia="cs-CZ"/>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uiPriority w:val="99"/>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E4652C"/>
    <w:rPr>
      <w:rFonts w:ascii="Times New Roman" w:eastAsia="Times New Roman" w:hAnsi="Times New Roman"/>
    </w:rPr>
  </w:style>
  <w:style w:type="character" w:styleId="Odkaznavysvtlivky">
    <w:name w:val="endnote reference"/>
    <w:basedOn w:val="Standardnpsmoodstavce"/>
    <w:uiPriority w:val="99"/>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numbering" w:customStyle="1" w:styleId="NoList5">
    <w:name w:val="No List5"/>
    <w:next w:val="Bezseznamu"/>
    <w:uiPriority w:val="99"/>
    <w:semiHidden/>
    <w:unhideWhenUsed/>
    <w:rsid w:val="00F1317B"/>
  </w:style>
  <w:style w:type="table" w:customStyle="1" w:styleId="TableGrid4">
    <w:name w:val="Table Grid4"/>
    <w:basedOn w:val="Normlntabulka"/>
    <w:next w:val="Mkatabulky"/>
    <w:uiPriority w:val="59"/>
    <w:rsid w:val="00F131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numbering" w:customStyle="1" w:styleId="NoList6">
    <w:name w:val="No List6"/>
    <w:next w:val="Bezseznamu"/>
    <w:uiPriority w:val="99"/>
    <w:semiHidden/>
    <w:unhideWhenUsed/>
    <w:rsid w:val="006C6681"/>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9679AD"/>
  </w:style>
  <w:style w:type="paragraph" w:customStyle="1" w:styleId="Nadpis20">
    <w:name w:val="Nadpis (2)"/>
    <w:basedOn w:val="Nadpis2"/>
    <w:link w:val="Nadpis2Char0"/>
    <w:qFormat/>
    <w:rsid w:val="009679AD"/>
    <w:rPr>
      <w:rFonts w:eastAsia="Calibri"/>
    </w:rPr>
  </w:style>
  <w:style w:type="character" w:customStyle="1" w:styleId="Nadpis1Char0">
    <w:name w:val="Nadpis (1) Char"/>
    <w:basedOn w:val="Nadpis1Char1"/>
    <w:link w:val="Nadpis10"/>
    <w:rsid w:val="009679AD"/>
    <w:rPr>
      <w:rFonts w:ascii="Cambria" w:eastAsia="Times New Roman" w:hAnsi="Cambria"/>
      <w:b/>
      <w:bCs/>
      <w:color w:val="B6B002"/>
      <w:sz w:val="28"/>
      <w:szCs w:val="28"/>
    </w:rPr>
  </w:style>
  <w:style w:type="paragraph" w:customStyle="1" w:styleId="Nadpis30">
    <w:name w:val="Nadpis (3)"/>
    <w:basedOn w:val="Nadpis3"/>
    <w:link w:val="Nadpis3Char0"/>
    <w:qFormat/>
    <w:rsid w:val="00391E39"/>
    <w:pPr>
      <w:ind w:left="720"/>
    </w:pPr>
  </w:style>
  <w:style w:type="character" w:customStyle="1" w:styleId="Nadpis2Char0">
    <w:name w:val="Nadpis (2) Char"/>
    <w:basedOn w:val="Nadpis2Char1"/>
    <w:link w:val="Nadpis20"/>
    <w:rsid w:val="009679AD"/>
    <w:rPr>
      <w:rFonts w:ascii="Cambria" w:eastAsia="Times New Roman" w:hAnsi="Cambria"/>
      <w:b/>
      <w:bCs/>
      <w:color w:val="B6B002"/>
      <w:sz w:val="26"/>
      <w:szCs w:val="26"/>
    </w:rPr>
  </w:style>
  <w:style w:type="paragraph" w:customStyle="1" w:styleId="Text-Normaln">
    <w:name w:val="Text - Normalní"/>
    <w:basedOn w:val="Normln"/>
    <w:link w:val="Text-NormalnChar"/>
    <w:qFormat/>
    <w:rsid w:val="009679AD"/>
  </w:style>
  <w:style w:type="character" w:customStyle="1" w:styleId="Nadpis3Char0">
    <w:name w:val="Nadpis (3) Char"/>
    <w:basedOn w:val="Nadpis3Char1"/>
    <w:link w:val="Nadpis30"/>
    <w:rsid w:val="00391E39"/>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9679AD"/>
    <w:rPr>
      <w:rFonts w:ascii="Garamond" w:hAnsi="Garamond"/>
      <w:sz w:val="24"/>
      <w:szCs w:val="22"/>
      <w:lang w:val="cs-CZ"/>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4864F4"/>
    <w:pPr>
      <w:widowControl w:val="0"/>
      <w:spacing w:after="0"/>
    </w:pPr>
    <w:rPr>
      <w:rFonts w:eastAsia="Times New Roman"/>
      <w:i/>
      <w:iCs/>
      <w:color w:val="000000"/>
      <w:sz w:val="20"/>
      <w:szCs w:val="20"/>
      <w:lang w:eastAsia="cs-CZ"/>
    </w:rPr>
  </w:style>
  <w:style w:type="paragraph" w:customStyle="1" w:styleId="Nadpis2a">
    <w:name w:val="Nadpis (2a)"/>
    <w:basedOn w:val="Nadpis2"/>
    <w:link w:val="Nadpis2aChar"/>
    <w:qFormat/>
    <w:rsid w:val="008F009D"/>
    <w:pPr>
      <w:keepNext w:val="0"/>
      <w:numPr>
        <w:numId w:val="14"/>
      </w:numPr>
    </w:pPr>
    <w:rPr>
      <w:rFonts w:eastAsia="Calibri"/>
      <w:color w:val="auto"/>
      <w:sz w:val="24"/>
      <w:szCs w:val="24"/>
      <w:u w:val="single"/>
    </w:rPr>
  </w:style>
  <w:style w:type="character" w:customStyle="1" w:styleId="Zdroj1Char">
    <w:name w:val="Zdroj (1) Char"/>
    <w:basedOn w:val="Standardnpsmoodstavce"/>
    <w:link w:val="Zdroj1"/>
    <w:rsid w:val="004864F4"/>
    <w:rPr>
      <w:rFonts w:ascii="Garamond" w:eastAsia="Times New Roman" w:hAnsi="Garamond"/>
      <w:i/>
      <w:iCs/>
      <w:color w:val="000000"/>
      <w:lang w:eastAsia="cs-CZ"/>
    </w:rPr>
  </w:style>
  <w:style w:type="character" w:customStyle="1" w:styleId="Nadpis2aChar">
    <w:name w:val="Nadpis (2a) Char"/>
    <w:basedOn w:val="Nadpis2Char1"/>
    <w:link w:val="Nadpis2a"/>
    <w:rsid w:val="008F009D"/>
    <w:rPr>
      <w:rFonts w:ascii="Cambria" w:eastAsia="Times New Roman" w:hAnsi="Cambria"/>
      <w:b/>
      <w:bCs/>
      <w:color w:val="B6B002"/>
      <w:sz w:val="24"/>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pPr>
    <w:rPr>
      <w:b/>
    </w:rPr>
  </w:style>
  <w:style w:type="character" w:customStyle="1" w:styleId="Nadpis3aChar">
    <w:name w:val="Nadpis (3a) Char"/>
    <w:basedOn w:val="Text-NormalnChar"/>
    <w:link w:val="Nadpis3a"/>
    <w:rsid w:val="00F8483B"/>
    <w:rPr>
      <w:rFonts w:ascii="Garamond" w:hAnsi="Garamond"/>
      <w:b/>
      <w:sz w:val="24"/>
      <w:szCs w:val="22"/>
      <w:lang w:val="cs-CZ"/>
    </w:rPr>
  </w:style>
  <w:style w:type="paragraph" w:customStyle="1" w:styleId="Normln-tun">
    <w:name w:val="Normální - tučné"/>
    <w:basedOn w:val="Normln"/>
    <w:uiPriority w:val="99"/>
    <w:qFormat/>
    <w:rsid w:val="00C618B7"/>
    <w:rPr>
      <w:rFonts w:eastAsia="MS Mincho"/>
    </w:rPr>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32"/>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2"/>
    <w:basedOn w:val="odsazentext2"/>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1"/>
    <w:basedOn w:val="odsazentext1"/>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7"/>
      </w:numPr>
    </w:pPr>
    <w:rPr>
      <w:b/>
    </w:rPr>
  </w:style>
  <w:style w:type="character" w:customStyle="1" w:styleId="zelenChar">
    <w:name w:val="zelená Char"/>
    <w:basedOn w:val="Nadpis1Char"/>
    <w:link w:val="zelen"/>
    <w:rsid w:val="00CB7505"/>
    <w:rPr>
      <w:rFonts w:ascii="Garamond" w:eastAsia="Times New Roman" w:hAnsi="Garamond"/>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
    <w:name w:val="Table Normal"/>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basedOn w:val="Normln"/>
    <w:autoRedefine/>
    <w:qFormat/>
    <w:rsid w:val="00271B14"/>
    <w:pPr>
      <w:numPr>
        <w:numId w:val="30"/>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Ind w:w="0" w:type="dxa"/>
      <w:tblBorders>
        <w:top w:val="single" w:sz="4" w:space="0" w:color="262626" w:themeColor="accent5"/>
        <w:bottom w:val="single" w:sz="4" w:space="0" w:color="262626" w:themeColor="accent5"/>
      </w:tblBorders>
      <w:tblCellMar>
        <w:top w:w="0" w:type="dxa"/>
        <w:left w:w="108" w:type="dxa"/>
        <w:bottom w:w="0" w:type="dxa"/>
        <w:right w:w="108" w:type="dxa"/>
      </w:tblCellMar>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tblInd w:w="0" w:type="dxa"/>
      <w:tblCellMar>
        <w:top w:w="0" w:type="dxa"/>
        <w:left w:w="108" w:type="dxa"/>
        <w:bottom w:w="0" w:type="dxa"/>
        <w:right w:w="108" w:type="dxa"/>
      </w:tblCellMar>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Ind w:w="0" w:type="dxa"/>
      <w:tblBorders>
        <w:top w:val="single" w:sz="8" w:space="0" w:color="7F7F7F" w:themeColor="accent2"/>
        <w:left w:val="single" w:sz="8" w:space="0" w:color="7F7F7F" w:themeColor="accent2"/>
        <w:bottom w:val="single" w:sz="8" w:space="0" w:color="7F7F7F" w:themeColor="accent2"/>
        <w:right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Ind w:w="0" w:type="dxa"/>
      <w:tblBorders>
        <w:top w:val="single" w:sz="8" w:space="0" w:color="7F7F7F" w:themeColor="accent2"/>
        <w:bottom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
    <w:name w:val="podnadpis"/>
    <w:basedOn w:val="N6normln"/>
    <w:link w:val="podnadpisChar"/>
    <w:rsid w:val="0050396A"/>
    <w:pPr>
      <w:keepNext/>
      <w:ind w:firstLine="0"/>
    </w:pPr>
    <w:rPr>
      <w:rFonts w:ascii="Segoe UI" w:hAnsi="Segoe UI" w:cs="Segoe UI"/>
      <w:b/>
      <w:szCs w:val="24"/>
    </w:rPr>
  </w:style>
  <w:style w:type="character" w:customStyle="1" w:styleId="podnadpisChar">
    <w:name w:val="podnadpis Char"/>
    <w:basedOn w:val="N6normlnChar"/>
    <w:link w:val="podnadpis"/>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Ind w:w="0" w:type="dxa"/>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CellMar>
        <w:top w:w="0" w:type="dxa"/>
        <w:left w:w="108" w:type="dxa"/>
        <w:bottom w:w="0" w:type="dxa"/>
        <w:right w:w="108" w:type="dxa"/>
      </w:tblCellMar>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basedOn w:val="Normln"/>
    <w:rsid w:val="0050396A"/>
    <w:pPr>
      <w:numPr>
        <w:numId w:val="41"/>
      </w:numPr>
      <w:autoSpaceDE w:val="0"/>
      <w:autoSpaceDN w:val="0"/>
    </w:pPr>
    <w:rPr>
      <w:rFonts w:ascii="Times New Roman" w:eastAsia="Times New Roman" w:hAnsi="Times New Roman"/>
      <w:szCs w:val="24"/>
      <w:lang w:eastAsia="cs-CZ"/>
    </w:rPr>
  </w:style>
  <w:style w:type="numbering" w:customStyle="1" w:styleId="Bezseznamu1">
    <w:name w:val="Bez seznamu1"/>
    <w:next w:val="Bezseznamu"/>
    <w:uiPriority w:val="99"/>
    <w:semiHidden/>
    <w:unhideWhenUsed/>
    <w:rsid w:val="0050396A"/>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basedOn w:val="Normln"/>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basedOn w:val="Normln"/>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basedOn w:val="Normln"/>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Ind w:w="0" w:type="dxa"/>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CellMar>
        <w:top w:w="0" w:type="dxa"/>
        <w:left w:w="108" w:type="dxa"/>
        <w:bottom w:w="0" w:type="dxa"/>
        <w:right w:w="108" w:type="dxa"/>
      </w:tblCellMar>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42"/>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basedOn w:val="Normln"/>
    <w:uiPriority w:val="99"/>
    <w:unhideWhenUsed/>
    <w:rsid w:val="0050396A"/>
    <w:pPr>
      <w:numPr>
        <w:numId w:val="43"/>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44"/>
      </w:numPr>
    </w:pPr>
  </w:style>
  <w:style w:type="paragraph" w:customStyle="1" w:styleId="Literatura">
    <w:name w:val="Literatura"/>
    <w:basedOn w:val="Normln"/>
    <w:rsid w:val="0050396A"/>
    <w:pPr>
      <w:numPr>
        <w:numId w:val="45"/>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Ind w:w="0" w:type="dxa"/>
      <w:tblBorders>
        <w:top w:val="single" w:sz="8" w:space="0" w:color="800000" w:themeColor="accent4"/>
        <w:bottom w:val="single" w:sz="8" w:space="0" w:color="8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CC7B38" w:themeColor="accent6"/>
        <w:bottom w:val="single" w:sz="8" w:space="0" w:color="CC7B3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Ind w:w="0" w:type="dxa"/>
      <w:tblBorders>
        <w:top w:val="single" w:sz="4" w:space="0" w:color="FCEECC"/>
        <w:bottom w:val="single" w:sz="4" w:space="0" w:color="FCEEC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Ind w:w="0" w:type="dxa"/>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Ind w:w="0" w:type="dxa"/>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46"/>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47"/>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Ind w:w="0" w:type="dxa"/>
      <w:tblBorders>
        <w:top w:val="single" w:sz="8" w:space="0" w:color="B6B002" w:themeColor="accent1"/>
        <w:bottom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31"/>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color w:val="auto"/>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color w:val="auto"/>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ilvl w:val="0"/>
        <w:numId w:val="0"/>
      </w:numPr>
      <w:tabs>
        <w:tab w:val="num" w:pos="1843"/>
      </w:tabs>
      <w:spacing w:before="120" w:after="120"/>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numPr>
        <w:ilvl w:val="0"/>
        <w:numId w:val="0"/>
      </w:numPr>
      <w:tabs>
        <w:tab w:val="num" w:pos="1843"/>
      </w:tabs>
      <w:spacing w:before="120" w:after="120"/>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61"/>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semiHidden="0" w:uiPriority="39" w:unhideWhenUsed="0" w:qFormat="1"/>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nadpis 1,N 1,Dipl 1,título 1,H1,h1,h11,h12,h13,h14,h15,h16,h17,h111,h121,h131,h141,h151,h161,h18,h112,h122,h132,h142,h152,h162,h19,h113,h123,h133,h143,h153,h163,l1,II+,I,Section Head,Chapter Heading,h:1,h:1app,app heading 1,Titre§,adpis 1"/>
    <w:basedOn w:val="Normln"/>
    <w:next w:val="Normln"/>
    <w:link w:val="Nadpis1Char1"/>
    <w:qFormat/>
    <w:rsid w:val="009679AD"/>
    <w:pPr>
      <w:widowControl w:val="0"/>
      <w:numPr>
        <w:numId w:val="1"/>
      </w:numPr>
      <w:outlineLvl w:val="0"/>
    </w:pPr>
    <w:rPr>
      <w:rFonts w:ascii="Cambria" w:eastAsia="Times New Roman" w:hAnsi="Cambria"/>
      <w:b/>
      <w:bCs/>
      <w:color w:val="B6B002"/>
      <w:sz w:val="28"/>
      <w:szCs w:val="28"/>
    </w:rPr>
  </w:style>
  <w:style w:type="paragraph" w:styleId="Nadpis2">
    <w:name w:val="heading 2"/>
    <w:aliases w:val="Heading 2 Firm,Heading 2 Firm1,nadpis 2,Nadpis 2 Z,Dipl2,Heading 2 Firm11"/>
    <w:basedOn w:val="Normln"/>
    <w:next w:val="Normln"/>
    <w:link w:val="Nadpis2Char1"/>
    <w:qFormat/>
    <w:rsid w:val="0015726B"/>
    <w:pPr>
      <w:keepNext/>
      <w:numPr>
        <w:ilvl w:val="1"/>
        <w:numId w:val="1"/>
      </w:numPr>
      <w:outlineLvl w:val="1"/>
    </w:pPr>
    <w:rPr>
      <w:rFonts w:ascii="Cambria" w:eastAsia="Times New Roman" w:hAnsi="Cambria"/>
      <w:b/>
      <w:bCs/>
      <w:color w:val="B6B002"/>
      <w:sz w:val="26"/>
      <w:szCs w:val="26"/>
    </w:rPr>
  </w:style>
  <w:style w:type="paragraph" w:styleId="Nadpis3">
    <w:name w:val="heading 3"/>
    <w:aliases w:val="nadpis 3,Nadpis 3 Z,Dipl3"/>
    <w:basedOn w:val="Normln"/>
    <w:next w:val="Normln"/>
    <w:link w:val="Nadpis3Char1"/>
    <w:qFormat/>
    <w:rsid w:val="00E97160"/>
    <w:pPr>
      <w:keepNext/>
      <w:numPr>
        <w:ilvl w:val="2"/>
        <w:numId w:val="1"/>
      </w:numPr>
      <w:outlineLvl w:val="2"/>
    </w:pPr>
    <w:rPr>
      <w:rFonts w:ascii="Cambria" w:eastAsia="Times New Roman" w:hAnsi="Cambria"/>
      <w:b/>
      <w:bCs/>
      <w:color w:val="B6B002"/>
    </w:rPr>
  </w:style>
  <w:style w:type="paragraph" w:styleId="Nadpis4">
    <w:name w:val="heading 4"/>
    <w:aliases w:val="nadpis 4,Nadpis 4 Z,1-1"/>
    <w:basedOn w:val="Normln"/>
    <w:next w:val="Normln"/>
    <w:link w:val="Nadpis4Char1"/>
    <w:uiPriority w:val="9"/>
    <w:qFormat/>
    <w:rsid w:val="00F41B64"/>
    <w:pPr>
      <w:keepNext/>
      <w:keepLines/>
      <w:numPr>
        <w:ilvl w:val="3"/>
        <w:numId w:val="1"/>
      </w:numPr>
      <w:spacing w:before="200" w:after="0"/>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D4266B"/>
    <w:pPr>
      <w:numPr>
        <w:ilvl w:val="4"/>
        <w:numId w:val="1"/>
      </w:numPr>
      <w:spacing w:before="240" w:after="60"/>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1"/>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_Odstavec se seznamem,Seznam - odrážky,Tučné,Odstavec cíl se seznamem,A-Odrážky1,Odstavec_muj,Nad,Odstavec_muj1,Odstavec_muj2,Odstavec_muj3,Nad1,Odstavec_muj4,Nad2,List Paragraph2,Odstavec_muj5,Odstavec_muj6,Odstavec_muj7,Odstavec1"/>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nhideWhenUsed/>
    <w:rsid w:val="00243636"/>
    <w:rPr>
      <w:sz w:val="16"/>
      <w:szCs w:val="16"/>
    </w:rPr>
  </w:style>
  <w:style w:type="paragraph" w:styleId="Textkomente">
    <w:name w:val="annotation text"/>
    <w:aliases w:val="Text poznámky"/>
    <w:basedOn w:val="Normln"/>
    <w:link w:val="TextkomenteChar1"/>
    <w:unhideWhenUsed/>
    <w:rsid w:val="00243636"/>
    <w:rPr>
      <w:sz w:val="20"/>
      <w:szCs w:val="20"/>
    </w:rPr>
  </w:style>
  <w:style w:type="character" w:customStyle="1" w:styleId="TextkomenteChar">
    <w:name w:val="Text komentáře Char"/>
    <w:aliases w:val="Text poznámky Char"/>
    <w:basedOn w:val="Standardnpsmoodstavce"/>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nadpis 2 Char,Nadpis 2 Z Char,Dipl2 Char"/>
    <w:basedOn w:val="Standardnpsmoodstavce"/>
    <w:uiPriority w:val="9"/>
    <w:rsid w:val="00243636"/>
    <w:rPr>
      <w:rFonts w:ascii="Cambria" w:eastAsia="Times New Roman" w:hAnsi="Cambria"/>
      <w:b/>
      <w:bCs/>
      <w:color w:val="B6B002"/>
      <w:sz w:val="26"/>
      <w:szCs w:val="26"/>
      <w:lang w:eastAsia="en-US"/>
    </w:rPr>
  </w:style>
  <w:style w:type="character" w:customStyle="1" w:styleId="Nadpis1Char">
    <w:name w:val="Nadpis 1 Char"/>
    <w:aliases w:val="nadpis 1 Char,N 1 Char,Dipl 1 Char"/>
    <w:basedOn w:val="Standardnpsmoodstavce"/>
    <w:uiPriority w:val="9"/>
    <w:rsid w:val="00243636"/>
    <w:rPr>
      <w:rFonts w:ascii="Cambria" w:eastAsia="Times New Roman" w:hAnsi="Cambria"/>
      <w:b/>
      <w:bCs/>
      <w:color w:val="B6B002"/>
      <w:sz w:val="28"/>
      <w:szCs w:val="28"/>
      <w:lang w:eastAsia="en-US"/>
    </w:rPr>
  </w:style>
  <w:style w:type="character" w:customStyle="1" w:styleId="Nadpis3Char">
    <w:name w:val="Nadpis 3 Char"/>
    <w:aliases w:val="nadpis 3 Char,Nadpis 3 Z Char,Dipl3 Char"/>
    <w:basedOn w:val="Standardnpsmoodstavce"/>
    <w:uiPriority w:val="9"/>
    <w:rsid w:val="00243636"/>
    <w:rPr>
      <w:rFonts w:ascii="Cambria" w:eastAsia="Times New Roman" w:hAnsi="Cambria"/>
      <w:b/>
      <w:bCs/>
      <w:color w:val="B6B002"/>
      <w:sz w:val="24"/>
      <w:szCs w:val="22"/>
      <w:lang w:eastAsia="en-US"/>
    </w:rPr>
  </w:style>
  <w:style w:type="character" w:customStyle="1" w:styleId="Nadpis4Char">
    <w:name w:val="Nadpis 4 Char"/>
    <w:aliases w:val="nadpis 4 Char,Nadpis 4 Z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Text poznámky pod čiarou 007,_Poznámka pod čiarou,Poznámka,Footnote text,Fußnotentextf,Char1,Schriftart: 9 pt,Schriftart: 10 pt,Schriftart: 8 pt,Geneva 9,Font: Geneva 9,Boston 10,f,Text pozn. pod čarou1,o,Char,Char3,fn"/>
    <w:basedOn w:val="Normln"/>
    <w:link w:val="TextpoznpodarouChar1"/>
    <w:qFormat/>
    <w:rsid w:val="00140ED7"/>
    <w:pPr>
      <w:spacing w:before="0" w:after="0"/>
    </w:pPr>
    <w:rPr>
      <w:rFonts w:eastAsia="Times New Roman"/>
      <w:sz w:val="18"/>
      <w:szCs w:val="20"/>
      <w:lang w:eastAsia="cs-CZ"/>
    </w:rPr>
  </w:style>
  <w:style w:type="character" w:customStyle="1" w:styleId="TextpoznpodarouChar">
    <w:name w:val="Text pozn. pod čarou Char"/>
    <w:aliases w:val="Text poznámky pod čiarou 007 Char,_Poznámka pod čiarou Char,Poznámka Char,Footnote text Char,Fußnotentextf Char,Char1 Char,Schriftart: 9 pt Char,Schriftart: 10 pt Char,Schriftart: 8 pt Char,Geneva 9 Char,Footnote Text Char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Footnote Reference Number,Footnote symbol,Footnote,PGI Fußnote Ziffer,BVI fnr,Footnote Reference Superscript,Appel note de bas de p,Appel note de bas de page,Légende,Char Car Car Car Car,Voetnootverwijzing,text pozn. pod čarou,fr"/>
    <w:basedOn w:val="Standardnpsmoodstavce"/>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39"/>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uiPriority w:val="99"/>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uiPriority w:val="99"/>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v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9"/>
    <w:rsid w:val="00243636"/>
    <w:rPr>
      <w:rFonts w:eastAsia="Times New Roman"/>
      <w:b/>
      <w:bCs/>
      <w:i/>
      <w:iCs/>
      <w:sz w:val="26"/>
      <w:szCs w:val="26"/>
      <w:lang w:eastAsia="en-US"/>
    </w:rPr>
  </w:style>
  <w:style w:type="character" w:customStyle="1" w:styleId="Nadpis6Char">
    <w:name w:val="Nadpis 6 Char"/>
    <w:basedOn w:val="Standardnpsmoodstavce"/>
    <w:uiPriority w:val="9"/>
    <w:rsid w:val="00243636"/>
    <w:rPr>
      <w:rFonts w:eastAsia="Times New Roman"/>
      <w:b/>
      <w:bCs/>
      <w:sz w:val="24"/>
      <w:szCs w:val="22"/>
      <w:lang w:eastAsia="en-US"/>
    </w:rPr>
  </w:style>
  <w:style w:type="character" w:customStyle="1" w:styleId="Nadpis7Char">
    <w:name w:val="Nadpis 7 Char"/>
    <w:basedOn w:val="Standardnpsmoodstavce"/>
    <w:uiPriority w:val="9"/>
    <w:rsid w:val="00243636"/>
    <w:rPr>
      <w:rFonts w:eastAsia="Times New Roman"/>
      <w:sz w:val="24"/>
      <w:szCs w:val="24"/>
      <w:lang w:eastAsia="en-US"/>
    </w:rPr>
  </w:style>
  <w:style w:type="character" w:customStyle="1" w:styleId="Nadpis8Char">
    <w:name w:val="Nadpis 8 Char"/>
    <w:basedOn w:val="Standardnpsmoodstavce"/>
    <w:uiPriority w:val="9"/>
    <w:rsid w:val="00243636"/>
    <w:rPr>
      <w:rFonts w:eastAsia="Times New Roman"/>
      <w:i/>
      <w:iCs/>
      <w:sz w:val="24"/>
      <w:szCs w:val="24"/>
      <w:lang w:eastAsia="en-US"/>
    </w:rPr>
  </w:style>
  <w:style w:type="character" w:customStyle="1" w:styleId="Nadpis9Char">
    <w:name w:val="Nadpis 9 Char"/>
    <w:basedOn w:val="Standardnpsmoodstavce"/>
    <w:uiPriority w:val="9"/>
    <w:rsid w:val="00243636"/>
    <w:rPr>
      <w:rFonts w:ascii="Cambria" w:eastAsia="Times New Roman" w:hAnsi="Cambria"/>
      <w:sz w:val="24"/>
      <w:szCs w:val="22"/>
      <w:lang w:eastAsia="en-US"/>
    </w:rPr>
  </w:style>
  <w:style w:type="paragraph" w:styleId="Normlnweb">
    <w:name w:val="Normal (Web)"/>
    <w:basedOn w:val="Normln"/>
    <w:link w:val="NormlnwebChar"/>
    <w:uiPriority w:val="99"/>
    <w:qFormat/>
    <w:rsid w:val="00243636"/>
    <w:pPr>
      <w:spacing w:before="100" w:beforeAutospacing="1" w:after="100" w:afterAutospacing="1"/>
      <w:jc w:val="left"/>
    </w:pPr>
    <w:rPr>
      <w:rFonts w:ascii="Times New Roman" w:eastAsia="Times New Roman" w:hAnsi="Times New Roman"/>
      <w:szCs w:val="24"/>
      <w:lang w:eastAsia="cs-CZ"/>
    </w:rPr>
  </w:style>
  <w:style w:type="table" w:customStyle="1" w:styleId="Svtlstnovn1">
    <w:name w:val="Světlé stínování1"/>
    <w:basedOn w:val="Normlntabulka"/>
    <w:uiPriority w:val="60"/>
    <w:rsid w:val="007D72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nhideWhenUsed/>
    <w:rsid w:val="00A34BC8"/>
  </w:style>
  <w:style w:type="character" w:customStyle="1" w:styleId="ZkladntextChar">
    <w:name w:val="Základní text Char"/>
    <w:basedOn w:val="Standardnpsmoodstavce"/>
    <w:link w:val="Zkladntext"/>
    <w:rsid w:val="00A34BC8"/>
    <w:rPr>
      <w:rFonts w:ascii="Garamond" w:hAnsi="Garamond"/>
      <w:sz w:val="24"/>
      <w:szCs w:val="22"/>
      <w:lang w:eastAsia="en-US"/>
    </w:rPr>
  </w:style>
  <w:style w:type="paragraph" w:customStyle="1" w:styleId="Citace1">
    <w:name w:val="Citace1"/>
    <w:aliases w:val="Quote,Quote2"/>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Text poznámky pod čiarou 007 Char1,_Poznámka pod čiarou Char1,Poznámka Char1,Footnote text Char1,Fußnotentextf Char1,Char1 Char1,Schriftart: 9 pt Char1,Schriftart: 10 pt Char1,Schriftart: 8 pt Char1,Geneva 9 Char1,f Char"/>
    <w:basedOn w:val="Standardnpsmoodstavce"/>
    <w:link w:val="Textpoznpodarou"/>
    <w:uiPriority w:val="99"/>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numbering" w:customStyle="1" w:styleId="NoList1">
    <w:name w:val="No List1"/>
    <w:next w:val="Bezseznamu"/>
    <w:semiHidden/>
    <w:rsid w:val="00D8660D"/>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titul">
    <w:name w:val="Subtitle"/>
    <w:aliases w:val="Heading5,NADPES00"/>
    <w:basedOn w:val="Normln"/>
    <w:link w:val="PodtitulChar"/>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NADPES00 Char"/>
    <w:basedOn w:val="Standardnpsmoodstavce"/>
    <w:link w:val="Podtitul"/>
    <w:rsid w:val="00D8660D"/>
    <w:rPr>
      <w:rFonts w:ascii="AT*Switzerland" w:eastAsia="Times New Roman" w:hAnsi="AT*Switzerland"/>
      <w:b/>
      <w:sz w:val="24"/>
      <w:lang w:val="sk-SK"/>
    </w:rPr>
  </w:style>
  <w:style w:type="table" w:styleId="Mkatabulky">
    <w:name w:val="Table Grid"/>
    <w:basedOn w:val="Normlntabulka"/>
    <w:uiPriority w:val="59"/>
    <w:rsid w:val="00D8660D"/>
    <w:rPr>
      <w:rFonts w:ascii="Times New Roman" w:eastAsia="MS Mincho"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Heading 2 Firm Char,Heading 2 Firm1 Char,nadpis 2 Char1,Nadpis 2 Z Char1,Dipl2 Char1,Heading 2 Firm11 Char"/>
    <w:basedOn w:val="Standardnpsmoodstavce"/>
    <w:link w:val="Nadpis2"/>
    <w:rsid w:val="0015726B"/>
    <w:rPr>
      <w:rFonts w:ascii="Cambria" w:eastAsia="Times New Roman" w:hAnsi="Cambria"/>
      <w:b/>
      <w:bCs/>
      <w:color w:val="B6B002"/>
      <w:sz w:val="26"/>
      <w:szCs w:val="26"/>
    </w:rPr>
  </w:style>
  <w:style w:type="character" w:customStyle="1" w:styleId="Nadpis1Char1">
    <w:name w:val="Nadpis 1 Char1"/>
    <w:aliases w:val="nadpis 1 Char1,N 1 Char1,Dipl 1 Char1,título 1 Char,H1 Char,h1 Char,h11 Char,h12 Char,h13 Char,h14 Char,h15 Char,h16 Char,h17 Char,h111 Char,h121 Char,h131 Char,h141 Char,h151 Char,h161 Char,h18 Char,h112 Char,h122 Char,h132 Char,h19 Char"/>
    <w:basedOn w:val="Standardnpsmoodstavce"/>
    <w:link w:val="Nadpis1"/>
    <w:rsid w:val="009679AD"/>
    <w:rPr>
      <w:rFonts w:ascii="Cambria" w:eastAsia="Times New Roman" w:hAnsi="Cambria"/>
      <w:b/>
      <w:bCs/>
      <w:color w:val="B6B002"/>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rsid w:val="00D866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numbering" w:customStyle="1" w:styleId="NoList2">
    <w:name w:val="No List2"/>
    <w:next w:val="Bezseznamu"/>
    <w:uiPriority w:val="99"/>
    <w:semiHidden/>
    <w:unhideWhenUsed/>
    <w:rsid w:val="003C606D"/>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uiPriority w:val="99"/>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uiPriority w:val="99"/>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uiPriority w:val="99"/>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semiHidden/>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uiPriority w:val="99"/>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uiPriority w:val="99"/>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basedOn w:val="Standardnpsmoodstavce"/>
    <w:link w:val="Citt"/>
    <w:uiPriority w:val="29"/>
    <w:rsid w:val="00B80ACE"/>
    <w:rPr>
      <w:rFonts w:ascii="Garamond" w:eastAsia="Times New Roman" w:hAnsi="Garamond"/>
      <w:i/>
      <w:iCs/>
      <w:color w:val="000000"/>
      <w:sz w:val="22"/>
      <w:lang w:eastAsia="cs-CZ"/>
    </w:rPr>
  </w:style>
  <w:style w:type="numbering" w:customStyle="1" w:styleId="NoList3">
    <w:name w:val="No List3"/>
    <w:next w:val="Bezseznamu"/>
    <w:uiPriority w:val="99"/>
    <w:semiHidden/>
    <w:unhideWhenUsed/>
    <w:rsid w:val="00FA7752"/>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sion">
    <w:name w:val="Vision"/>
    <w:basedOn w:val="Normln"/>
    <w:rsid w:val="00465CC5"/>
    <w:rPr>
      <w:i/>
    </w:rPr>
  </w:style>
  <w:style w:type="numbering" w:customStyle="1" w:styleId="NoList4">
    <w:name w:val="No List4"/>
    <w:next w:val="Bezseznamu"/>
    <w:uiPriority w:val="99"/>
    <w:semiHidden/>
    <w:unhideWhenUsed/>
    <w:rsid w:val="008D11FE"/>
  </w:style>
  <w:style w:type="paragraph" w:styleId="Nzev">
    <w:name w:val="Title"/>
    <w:aliases w:val="Heading4"/>
    <w:basedOn w:val="Normln"/>
    <w:link w:val="NzevChar"/>
    <w:uiPriority w:val="10"/>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rsid w:val="00E4652C"/>
    <w:rPr>
      <w:rFonts w:ascii="Garamond" w:hAnsi="Garamond"/>
      <w:sz w:val="24"/>
      <w:szCs w:val="22"/>
      <w:lang w:val="en-GB"/>
    </w:rPr>
  </w:style>
  <w:style w:type="character" w:customStyle="1" w:styleId="Nadpis3Char1">
    <w:name w:val="Nadpis 3 Char1"/>
    <w:aliases w:val="nadpis 3 Char1,Nadpis 3 Z Char1,Dipl3 Char1"/>
    <w:basedOn w:val="Standardnpsmoodstavce"/>
    <w:link w:val="Nadpis3"/>
    <w:rsid w:val="00E97160"/>
    <w:rPr>
      <w:rFonts w:ascii="Cambria" w:eastAsia="Times New Roman" w:hAnsi="Cambria"/>
      <w:b/>
      <w:bCs/>
      <w:color w:val="B6B002"/>
      <w:sz w:val="24"/>
      <w:szCs w:val="22"/>
    </w:rPr>
  </w:style>
  <w:style w:type="character" w:customStyle="1" w:styleId="Nadpis4Char1">
    <w:name w:val="Nadpis 4 Char1"/>
    <w:aliases w:val="nadpis 4 Char1,Nadpis 4 Z Char1,1-1 Char"/>
    <w:basedOn w:val="Standardnpsmoodstavce"/>
    <w:link w:val="Nadpis4"/>
    <w:uiPriority w:val="9"/>
    <w:rsid w:val="00F41B64"/>
    <w:rPr>
      <w:rFonts w:ascii="Cambria" w:eastAsia="Times New Roman" w:hAnsi="Cambria"/>
      <w:b/>
      <w:bCs/>
      <w:i/>
      <w:iCs/>
      <w:color w:val="AC9B02"/>
      <w:sz w:val="22"/>
      <w:szCs w:val="22"/>
    </w:rPr>
  </w:style>
  <w:style w:type="paragraph" w:customStyle="1" w:styleId="Note">
    <w:name w:val="Note"/>
    <w:basedOn w:val="Titulek"/>
    <w:link w:val="NoteChar"/>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D4266B"/>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semiHidden/>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_Odstavec se seznamem Char,Seznam - odrážky Char,Tučné Char,Odstavec cíl se seznamem Char,A-Odrážky1 Char,Odstavec_muj Char,Nad Char,Odstavec_muj1 Char,Odstavec_muj2 Char,Odstavec_muj3 Char,Nad1 Char,Odstavec_muj4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E4652C"/>
    <w:rPr>
      <w:rFonts w:ascii="Times New Roman" w:eastAsia="Times New Roman" w:hAnsi="Times New Roman"/>
      <w:sz w:val="24"/>
      <w:szCs w:val="24"/>
      <w:lang w:val="en-GB" w:eastAsia="cs-CZ"/>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uiPriority w:val="99"/>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E4652C"/>
    <w:rPr>
      <w:rFonts w:ascii="Times New Roman" w:eastAsia="Times New Roman" w:hAnsi="Times New Roman"/>
    </w:rPr>
  </w:style>
  <w:style w:type="character" w:styleId="Odkaznavysvtlivky">
    <w:name w:val="endnote reference"/>
    <w:basedOn w:val="Standardnpsmoodstavce"/>
    <w:uiPriority w:val="99"/>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numbering" w:customStyle="1" w:styleId="NoList5">
    <w:name w:val="No List5"/>
    <w:next w:val="Bezseznamu"/>
    <w:uiPriority w:val="99"/>
    <w:semiHidden/>
    <w:unhideWhenUsed/>
    <w:rsid w:val="00F1317B"/>
  </w:style>
  <w:style w:type="table" w:customStyle="1" w:styleId="TableGrid4">
    <w:name w:val="Table Grid4"/>
    <w:basedOn w:val="Normlntabulka"/>
    <w:next w:val="Mkatabulky"/>
    <w:uiPriority w:val="59"/>
    <w:rsid w:val="00F131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numbering" w:customStyle="1" w:styleId="NoList6">
    <w:name w:val="No List6"/>
    <w:next w:val="Bezseznamu"/>
    <w:uiPriority w:val="99"/>
    <w:semiHidden/>
    <w:unhideWhenUsed/>
    <w:rsid w:val="006C6681"/>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9679AD"/>
  </w:style>
  <w:style w:type="paragraph" w:customStyle="1" w:styleId="Nadpis20">
    <w:name w:val="Nadpis (2)"/>
    <w:basedOn w:val="Nadpis2"/>
    <w:link w:val="Nadpis2Char0"/>
    <w:qFormat/>
    <w:rsid w:val="009679AD"/>
    <w:rPr>
      <w:rFonts w:eastAsia="Calibri"/>
    </w:rPr>
  </w:style>
  <w:style w:type="character" w:customStyle="1" w:styleId="Nadpis1Char0">
    <w:name w:val="Nadpis (1) Char"/>
    <w:basedOn w:val="Nadpis1Char1"/>
    <w:link w:val="Nadpis10"/>
    <w:rsid w:val="009679AD"/>
    <w:rPr>
      <w:rFonts w:ascii="Cambria" w:eastAsia="Times New Roman" w:hAnsi="Cambria"/>
      <w:b/>
      <w:bCs/>
      <w:color w:val="B6B002"/>
      <w:sz w:val="28"/>
      <w:szCs w:val="28"/>
    </w:rPr>
  </w:style>
  <w:style w:type="paragraph" w:customStyle="1" w:styleId="Nadpis30">
    <w:name w:val="Nadpis (3)"/>
    <w:basedOn w:val="Nadpis3"/>
    <w:link w:val="Nadpis3Char0"/>
    <w:qFormat/>
    <w:rsid w:val="00391E39"/>
    <w:pPr>
      <w:ind w:left="720"/>
    </w:pPr>
  </w:style>
  <w:style w:type="character" w:customStyle="1" w:styleId="Nadpis2Char0">
    <w:name w:val="Nadpis (2) Char"/>
    <w:basedOn w:val="Nadpis2Char1"/>
    <w:link w:val="Nadpis20"/>
    <w:rsid w:val="009679AD"/>
    <w:rPr>
      <w:rFonts w:ascii="Cambria" w:eastAsia="Times New Roman" w:hAnsi="Cambria"/>
      <w:b/>
      <w:bCs/>
      <w:color w:val="B6B002"/>
      <w:sz w:val="26"/>
      <w:szCs w:val="26"/>
    </w:rPr>
  </w:style>
  <w:style w:type="paragraph" w:customStyle="1" w:styleId="Text-Normaln">
    <w:name w:val="Text - Normalní"/>
    <w:basedOn w:val="Normln"/>
    <w:link w:val="Text-NormalnChar"/>
    <w:qFormat/>
    <w:rsid w:val="009679AD"/>
  </w:style>
  <w:style w:type="character" w:customStyle="1" w:styleId="Nadpis3Char0">
    <w:name w:val="Nadpis (3) Char"/>
    <w:basedOn w:val="Nadpis3Char1"/>
    <w:link w:val="Nadpis30"/>
    <w:rsid w:val="00391E39"/>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9679AD"/>
    <w:rPr>
      <w:rFonts w:ascii="Garamond" w:hAnsi="Garamond"/>
      <w:sz w:val="24"/>
      <w:szCs w:val="22"/>
      <w:lang w:val="cs-CZ"/>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4864F4"/>
    <w:pPr>
      <w:widowControl w:val="0"/>
      <w:spacing w:after="0"/>
    </w:pPr>
    <w:rPr>
      <w:rFonts w:eastAsia="Times New Roman"/>
      <w:i/>
      <w:iCs/>
      <w:color w:val="000000"/>
      <w:sz w:val="20"/>
      <w:szCs w:val="20"/>
      <w:lang w:eastAsia="cs-CZ"/>
    </w:rPr>
  </w:style>
  <w:style w:type="paragraph" w:customStyle="1" w:styleId="Nadpis2a">
    <w:name w:val="Nadpis (2a)"/>
    <w:basedOn w:val="Nadpis2"/>
    <w:link w:val="Nadpis2aChar"/>
    <w:qFormat/>
    <w:rsid w:val="008F009D"/>
    <w:pPr>
      <w:keepNext w:val="0"/>
      <w:numPr>
        <w:numId w:val="14"/>
      </w:numPr>
    </w:pPr>
    <w:rPr>
      <w:rFonts w:eastAsia="Calibri"/>
      <w:color w:val="auto"/>
      <w:sz w:val="24"/>
      <w:szCs w:val="24"/>
      <w:u w:val="single"/>
    </w:rPr>
  </w:style>
  <w:style w:type="character" w:customStyle="1" w:styleId="Zdroj1Char">
    <w:name w:val="Zdroj (1) Char"/>
    <w:basedOn w:val="Standardnpsmoodstavce"/>
    <w:link w:val="Zdroj1"/>
    <w:rsid w:val="004864F4"/>
    <w:rPr>
      <w:rFonts w:ascii="Garamond" w:eastAsia="Times New Roman" w:hAnsi="Garamond"/>
      <w:i/>
      <w:iCs/>
      <w:color w:val="000000"/>
      <w:lang w:eastAsia="cs-CZ"/>
    </w:rPr>
  </w:style>
  <w:style w:type="character" w:customStyle="1" w:styleId="Nadpis2aChar">
    <w:name w:val="Nadpis (2a) Char"/>
    <w:basedOn w:val="Nadpis2Char1"/>
    <w:link w:val="Nadpis2a"/>
    <w:rsid w:val="008F009D"/>
    <w:rPr>
      <w:rFonts w:ascii="Cambria" w:eastAsia="Times New Roman" w:hAnsi="Cambria"/>
      <w:b/>
      <w:bCs/>
      <w:color w:val="B6B002"/>
      <w:sz w:val="24"/>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pPr>
    <w:rPr>
      <w:b/>
    </w:rPr>
  </w:style>
  <w:style w:type="character" w:customStyle="1" w:styleId="Nadpis3aChar">
    <w:name w:val="Nadpis (3a) Char"/>
    <w:basedOn w:val="Text-NormalnChar"/>
    <w:link w:val="Nadpis3a"/>
    <w:rsid w:val="00F8483B"/>
    <w:rPr>
      <w:rFonts w:ascii="Garamond" w:hAnsi="Garamond"/>
      <w:b/>
      <w:sz w:val="24"/>
      <w:szCs w:val="22"/>
      <w:lang w:val="cs-CZ"/>
    </w:rPr>
  </w:style>
  <w:style w:type="paragraph" w:customStyle="1" w:styleId="Normln-tun">
    <w:name w:val="Normální - tučné"/>
    <w:basedOn w:val="Normln"/>
    <w:uiPriority w:val="99"/>
    <w:qFormat/>
    <w:rsid w:val="00C618B7"/>
    <w:rPr>
      <w:rFonts w:eastAsia="MS Mincho"/>
    </w:rPr>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32"/>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2"/>
    <w:basedOn w:val="odsazentext2"/>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1"/>
    <w:basedOn w:val="odsazentext1"/>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7"/>
      </w:numPr>
    </w:pPr>
    <w:rPr>
      <w:b/>
    </w:rPr>
  </w:style>
  <w:style w:type="character" w:customStyle="1" w:styleId="zelenChar">
    <w:name w:val="zelená Char"/>
    <w:basedOn w:val="Nadpis1Char"/>
    <w:link w:val="zelen"/>
    <w:rsid w:val="00CB7505"/>
    <w:rPr>
      <w:rFonts w:ascii="Garamond" w:eastAsia="Times New Roman" w:hAnsi="Garamond"/>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
    <w:name w:val="Table Normal"/>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basedOn w:val="Normln"/>
    <w:autoRedefine/>
    <w:qFormat/>
    <w:rsid w:val="00271B14"/>
    <w:pPr>
      <w:numPr>
        <w:numId w:val="30"/>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Ind w:w="0" w:type="dxa"/>
      <w:tblBorders>
        <w:top w:val="single" w:sz="4" w:space="0" w:color="262626" w:themeColor="accent5"/>
        <w:bottom w:val="single" w:sz="4" w:space="0" w:color="262626" w:themeColor="accent5"/>
      </w:tblBorders>
      <w:tblCellMar>
        <w:top w:w="0" w:type="dxa"/>
        <w:left w:w="108" w:type="dxa"/>
        <w:bottom w:w="0" w:type="dxa"/>
        <w:right w:w="108" w:type="dxa"/>
      </w:tblCellMar>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tblInd w:w="0" w:type="dxa"/>
      <w:tblCellMar>
        <w:top w:w="0" w:type="dxa"/>
        <w:left w:w="108" w:type="dxa"/>
        <w:bottom w:w="0" w:type="dxa"/>
        <w:right w:w="108" w:type="dxa"/>
      </w:tblCellMar>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Ind w:w="0" w:type="dxa"/>
      <w:tblBorders>
        <w:top w:val="single" w:sz="8" w:space="0" w:color="7F7F7F" w:themeColor="accent2"/>
        <w:left w:val="single" w:sz="8" w:space="0" w:color="7F7F7F" w:themeColor="accent2"/>
        <w:bottom w:val="single" w:sz="8" w:space="0" w:color="7F7F7F" w:themeColor="accent2"/>
        <w:right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Ind w:w="0" w:type="dxa"/>
      <w:tblBorders>
        <w:top w:val="single" w:sz="8" w:space="0" w:color="7F7F7F" w:themeColor="accent2"/>
        <w:bottom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
    <w:name w:val="podnadpis"/>
    <w:basedOn w:val="N6normln"/>
    <w:link w:val="podnadpisChar"/>
    <w:rsid w:val="0050396A"/>
    <w:pPr>
      <w:keepNext/>
      <w:ind w:firstLine="0"/>
    </w:pPr>
    <w:rPr>
      <w:rFonts w:ascii="Segoe UI" w:hAnsi="Segoe UI" w:cs="Segoe UI"/>
      <w:b/>
      <w:szCs w:val="24"/>
    </w:rPr>
  </w:style>
  <w:style w:type="character" w:customStyle="1" w:styleId="podnadpisChar">
    <w:name w:val="podnadpis Char"/>
    <w:basedOn w:val="N6normlnChar"/>
    <w:link w:val="podnadpis"/>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Ind w:w="0" w:type="dxa"/>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CellMar>
        <w:top w:w="0" w:type="dxa"/>
        <w:left w:w="108" w:type="dxa"/>
        <w:bottom w:w="0" w:type="dxa"/>
        <w:right w:w="108" w:type="dxa"/>
      </w:tblCellMar>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basedOn w:val="Normln"/>
    <w:rsid w:val="0050396A"/>
    <w:pPr>
      <w:numPr>
        <w:numId w:val="41"/>
      </w:numPr>
      <w:autoSpaceDE w:val="0"/>
      <w:autoSpaceDN w:val="0"/>
    </w:pPr>
    <w:rPr>
      <w:rFonts w:ascii="Times New Roman" w:eastAsia="Times New Roman" w:hAnsi="Times New Roman"/>
      <w:szCs w:val="24"/>
      <w:lang w:eastAsia="cs-CZ"/>
    </w:rPr>
  </w:style>
  <w:style w:type="numbering" w:customStyle="1" w:styleId="Bezseznamu1">
    <w:name w:val="Bez seznamu1"/>
    <w:next w:val="Bezseznamu"/>
    <w:uiPriority w:val="99"/>
    <w:semiHidden/>
    <w:unhideWhenUsed/>
    <w:rsid w:val="0050396A"/>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basedOn w:val="Normln"/>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basedOn w:val="Normln"/>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basedOn w:val="Normln"/>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Ind w:w="0" w:type="dxa"/>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CellMar>
        <w:top w:w="0" w:type="dxa"/>
        <w:left w:w="108" w:type="dxa"/>
        <w:bottom w:w="0" w:type="dxa"/>
        <w:right w:w="108" w:type="dxa"/>
      </w:tblCellMar>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42"/>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basedOn w:val="Normln"/>
    <w:uiPriority w:val="99"/>
    <w:unhideWhenUsed/>
    <w:rsid w:val="0050396A"/>
    <w:pPr>
      <w:numPr>
        <w:numId w:val="43"/>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44"/>
      </w:numPr>
    </w:pPr>
  </w:style>
  <w:style w:type="paragraph" w:customStyle="1" w:styleId="Literatura">
    <w:name w:val="Literatura"/>
    <w:basedOn w:val="Normln"/>
    <w:rsid w:val="0050396A"/>
    <w:pPr>
      <w:numPr>
        <w:numId w:val="45"/>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Ind w:w="0" w:type="dxa"/>
      <w:tblBorders>
        <w:top w:val="single" w:sz="8" w:space="0" w:color="800000" w:themeColor="accent4"/>
        <w:bottom w:val="single" w:sz="8" w:space="0" w:color="8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CC7B38" w:themeColor="accent6"/>
        <w:bottom w:val="single" w:sz="8" w:space="0" w:color="CC7B3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Ind w:w="0" w:type="dxa"/>
      <w:tblBorders>
        <w:top w:val="single" w:sz="4" w:space="0" w:color="FCEECC"/>
        <w:bottom w:val="single" w:sz="4" w:space="0" w:color="FCEEC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Ind w:w="0" w:type="dxa"/>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Ind w:w="0" w:type="dxa"/>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46"/>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47"/>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Ind w:w="0" w:type="dxa"/>
      <w:tblBorders>
        <w:top w:val="single" w:sz="8" w:space="0" w:color="B6B002" w:themeColor="accent1"/>
        <w:bottom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31"/>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color w:val="auto"/>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color w:val="auto"/>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ilvl w:val="0"/>
        <w:numId w:val="0"/>
      </w:numPr>
      <w:tabs>
        <w:tab w:val="num" w:pos="1843"/>
      </w:tabs>
      <w:spacing w:before="120" w:after="120"/>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numPr>
        <w:ilvl w:val="0"/>
        <w:numId w:val="0"/>
      </w:numPr>
      <w:tabs>
        <w:tab w:val="num" w:pos="1843"/>
      </w:tabs>
      <w:spacing w:before="120" w:after="120"/>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61"/>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927">
      <w:bodyDiv w:val="1"/>
      <w:marLeft w:val="0"/>
      <w:marRight w:val="0"/>
      <w:marTop w:val="0"/>
      <w:marBottom w:val="0"/>
      <w:divBdr>
        <w:top w:val="none" w:sz="0" w:space="0" w:color="auto"/>
        <w:left w:val="none" w:sz="0" w:space="0" w:color="auto"/>
        <w:bottom w:val="none" w:sz="0" w:space="0" w:color="auto"/>
        <w:right w:val="none" w:sz="0" w:space="0" w:color="auto"/>
      </w:divBdr>
    </w:div>
    <w:div w:id="22050179">
      <w:bodyDiv w:val="1"/>
      <w:marLeft w:val="0"/>
      <w:marRight w:val="0"/>
      <w:marTop w:val="0"/>
      <w:marBottom w:val="0"/>
      <w:divBdr>
        <w:top w:val="none" w:sz="0" w:space="0" w:color="auto"/>
        <w:left w:val="none" w:sz="0" w:space="0" w:color="auto"/>
        <w:bottom w:val="none" w:sz="0" w:space="0" w:color="auto"/>
        <w:right w:val="none" w:sz="0" w:space="0" w:color="auto"/>
      </w:divBdr>
      <w:divsChild>
        <w:div w:id="519127644">
          <w:marLeft w:val="475"/>
          <w:marRight w:val="0"/>
          <w:marTop w:val="168"/>
          <w:marBottom w:val="0"/>
          <w:divBdr>
            <w:top w:val="none" w:sz="0" w:space="0" w:color="auto"/>
            <w:left w:val="none" w:sz="0" w:space="0" w:color="auto"/>
            <w:bottom w:val="none" w:sz="0" w:space="0" w:color="auto"/>
            <w:right w:val="none" w:sz="0" w:space="0" w:color="auto"/>
          </w:divBdr>
        </w:div>
        <w:div w:id="537593191">
          <w:marLeft w:val="475"/>
          <w:marRight w:val="0"/>
          <w:marTop w:val="168"/>
          <w:marBottom w:val="0"/>
          <w:divBdr>
            <w:top w:val="none" w:sz="0" w:space="0" w:color="auto"/>
            <w:left w:val="none" w:sz="0" w:space="0" w:color="auto"/>
            <w:bottom w:val="none" w:sz="0" w:space="0" w:color="auto"/>
            <w:right w:val="none" w:sz="0" w:space="0" w:color="auto"/>
          </w:divBdr>
        </w:div>
        <w:div w:id="540484739">
          <w:marLeft w:val="1181"/>
          <w:marRight w:val="0"/>
          <w:marTop w:val="168"/>
          <w:marBottom w:val="0"/>
          <w:divBdr>
            <w:top w:val="none" w:sz="0" w:space="0" w:color="auto"/>
            <w:left w:val="none" w:sz="0" w:space="0" w:color="auto"/>
            <w:bottom w:val="none" w:sz="0" w:space="0" w:color="auto"/>
            <w:right w:val="none" w:sz="0" w:space="0" w:color="auto"/>
          </w:divBdr>
        </w:div>
        <w:div w:id="595746670">
          <w:marLeft w:val="1181"/>
          <w:marRight w:val="0"/>
          <w:marTop w:val="168"/>
          <w:marBottom w:val="0"/>
          <w:divBdr>
            <w:top w:val="none" w:sz="0" w:space="0" w:color="auto"/>
            <w:left w:val="none" w:sz="0" w:space="0" w:color="auto"/>
            <w:bottom w:val="none" w:sz="0" w:space="0" w:color="auto"/>
            <w:right w:val="none" w:sz="0" w:space="0" w:color="auto"/>
          </w:divBdr>
        </w:div>
        <w:div w:id="720401287">
          <w:marLeft w:val="475"/>
          <w:marRight w:val="0"/>
          <w:marTop w:val="168"/>
          <w:marBottom w:val="0"/>
          <w:divBdr>
            <w:top w:val="none" w:sz="0" w:space="0" w:color="auto"/>
            <w:left w:val="none" w:sz="0" w:space="0" w:color="auto"/>
            <w:bottom w:val="none" w:sz="0" w:space="0" w:color="auto"/>
            <w:right w:val="none" w:sz="0" w:space="0" w:color="auto"/>
          </w:divBdr>
        </w:div>
        <w:div w:id="976028945">
          <w:marLeft w:val="475"/>
          <w:marRight w:val="0"/>
          <w:marTop w:val="168"/>
          <w:marBottom w:val="0"/>
          <w:divBdr>
            <w:top w:val="none" w:sz="0" w:space="0" w:color="auto"/>
            <w:left w:val="none" w:sz="0" w:space="0" w:color="auto"/>
            <w:bottom w:val="none" w:sz="0" w:space="0" w:color="auto"/>
            <w:right w:val="none" w:sz="0" w:space="0" w:color="auto"/>
          </w:divBdr>
        </w:div>
        <w:div w:id="1289239323">
          <w:marLeft w:val="1181"/>
          <w:marRight w:val="0"/>
          <w:marTop w:val="168"/>
          <w:marBottom w:val="0"/>
          <w:divBdr>
            <w:top w:val="none" w:sz="0" w:space="0" w:color="auto"/>
            <w:left w:val="none" w:sz="0" w:space="0" w:color="auto"/>
            <w:bottom w:val="none" w:sz="0" w:space="0" w:color="auto"/>
            <w:right w:val="none" w:sz="0" w:space="0" w:color="auto"/>
          </w:divBdr>
        </w:div>
        <w:div w:id="1297568985">
          <w:marLeft w:val="475"/>
          <w:marRight w:val="0"/>
          <w:marTop w:val="168"/>
          <w:marBottom w:val="0"/>
          <w:divBdr>
            <w:top w:val="none" w:sz="0" w:space="0" w:color="auto"/>
            <w:left w:val="none" w:sz="0" w:space="0" w:color="auto"/>
            <w:bottom w:val="none" w:sz="0" w:space="0" w:color="auto"/>
            <w:right w:val="none" w:sz="0" w:space="0" w:color="auto"/>
          </w:divBdr>
        </w:div>
        <w:div w:id="1438603952">
          <w:marLeft w:val="1181"/>
          <w:marRight w:val="0"/>
          <w:marTop w:val="168"/>
          <w:marBottom w:val="0"/>
          <w:divBdr>
            <w:top w:val="none" w:sz="0" w:space="0" w:color="auto"/>
            <w:left w:val="none" w:sz="0" w:space="0" w:color="auto"/>
            <w:bottom w:val="none" w:sz="0" w:space="0" w:color="auto"/>
            <w:right w:val="none" w:sz="0" w:space="0" w:color="auto"/>
          </w:divBdr>
        </w:div>
        <w:div w:id="1464499034">
          <w:marLeft w:val="475"/>
          <w:marRight w:val="0"/>
          <w:marTop w:val="168"/>
          <w:marBottom w:val="0"/>
          <w:divBdr>
            <w:top w:val="none" w:sz="0" w:space="0" w:color="auto"/>
            <w:left w:val="none" w:sz="0" w:space="0" w:color="auto"/>
            <w:bottom w:val="none" w:sz="0" w:space="0" w:color="auto"/>
            <w:right w:val="none" w:sz="0" w:space="0" w:color="auto"/>
          </w:divBdr>
        </w:div>
        <w:div w:id="1538158024">
          <w:marLeft w:val="475"/>
          <w:marRight w:val="0"/>
          <w:marTop w:val="168"/>
          <w:marBottom w:val="0"/>
          <w:divBdr>
            <w:top w:val="none" w:sz="0" w:space="0" w:color="auto"/>
            <w:left w:val="none" w:sz="0" w:space="0" w:color="auto"/>
            <w:bottom w:val="none" w:sz="0" w:space="0" w:color="auto"/>
            <w:right w:val="none" w:sz="0" w:space="0" w:color="auto"/>
          </w:divBdr>
        </w:div>
        <w:div w:id="1815681702">
          <w:marLeft w:val="1181"/>
          <w:marRight w:val="0"/>
          <w:marTop w:val="168"/>
          <w:marBottom w:val="0"/>
          <w:divBdr>
            <w:top w:val="none" w:sz="0" w:space="0" w:color="auto"/>
            <w:left w:val="none" w:sz="0" w:space="0" w:color="auto"/>
            <w:bottom w:val="none" w:sz="0" w:space="0" w:color="auto"/>
            <w:right w:val="none" w:sz="0" w:space="0" w:color="auto"/>
          </w:divBdr>
        </w:div>
      </w:divsChild>
    </w:div>
    <w:div w:id="22482221">
      <w:bodyDiv w:val="1"/>
      <w:marLeft w:val="0"/>
      <w:marRight w:val="0"/>
      <w:marTop w:val="0"/>
      <w:marBottom w:val="0"/>
      <w:divBdr>
        <w:top w:val="none" w:sz="0" w:space="0" w:color="auto"/>
        <w:left w:val="none" w:sz="0" w:space="0" w:color="auto"/>
        <w:bottom w:val="none" w:sz="0" w:space="0" w:color="auto"/>
        <w:right w:val="none" w:sz="0" w:space="0" w:color="auto"/>
      </w:divBdr>
    </w:div>
    <w:div w:id="25178917">
      <w:bodyDiv w:val="1"/>
      <w:marLeft w:val="0"/>
      <w:marRight w:val="0"/>
      <w:marTop w:val="0"/>
      <w:marBottom w:val="0"/>
      <w:divBdr>
        <w:top w:val="none" w:sz="0" w:space="0" w:color="auto"/>
        <w:left w:val="none" w:sz="0" w:space="0" w:color="auto"/>
        <w:bottom w:val="none" w:sz="0" w:space="0" w:color="auto"/>
        <w:right w:val="none" w:sz="0" w:space="0" w:color="auto"/>
      </w:divBdr>
    </w:div>
    <w:div w:id="26490653">
      <w:bodyDiv w:val="1"/>
      <w:marLeft w:val="0"/>
      <w:marRight w:val="0"/>
      <w:marTop w:val="0"/>
      <w:marBottom w:val="0"/>
      <w:divBdr>
        <w:top w:val="none" w:sz="0" w:space="0" w:color="auto"/>
        <w:left w:val="none" w:sz="0" w:space="0" w:color="auto"/>
        <w:bottom w:val="none" w:sz="0" w:space="0" w:color="auto"/>
        <w:right w:val="none" w:sz="0" w:space="0" w:color="auto"/>
      </w:divBdr>
    </w:div>
    <w:div w:id="43526892">
      <w:bodyDiv w:val="1"/>
      <w:marLeft w:val="0"/>
      <w:marRight w:val="0"/>
      <w:marTop w:val="0"/>
      <w:marBottom w:val="0"/>
      <w:divBdr>
        <w:top w:val="none" w:sz="0" w:space="0" w:color="auto"/>
        <w:left w:val="none" w:sz="0" w:space="0" w:color="auto"/>
        <w:bottom w:val="none" w:sz="0" w:space="0" w:color="auto"/>
        <w:right w:val="none" w:sz="0" w:space="0" w:color="auto"/>
      </w:divBdr>
    </w:div>
    <w:div w:id="51122483">
      <w:bodyDiv w:val="1"/>
      <w:marLeft w:val="0"/>
      <w:marRight w:val="0"/>
      <w:marTop w:val="0"/>
      <w:marBottom w:val="0"/>
      <w:divBdr>
        <w:top w:val="none" w:sz="0" w:space="0" w:color="auto"/>
        <w:left w:val="none" w:sz="0" w:space="0" w:color="auto"/>
        <w:bottom w:val="none" w:sz="0" w:space="0" w:color="auto"/>
        <w:right w:val="none" w:sz="0" w:space="0" w:color="auto"/>
      </w:divBdr>
      <w:divsChild>
        <w:div w:id="117066248">
          <w:marLeft w:val="1829"/>
          <w:marRight w:val="0"/>
          <w:marTop w:val="144"/>
          <w:marBottom w:val="0"/>
          <w:divBdr>
            <w:top w:val="none" w:sz="0" w:space="0" w:color="auto"/>
            <w:left w:val="none" w:sz="0" w:space="0" w:color="auto"/>
            <w:bottom w:val="none" w:sz="0" w:space="0" w:color="auto"/>
            <w:right w:val="none" w:sz="0" w:space="0" w:color="auto"/>
          </w:divBdr>
        </w:div>
        <w:div w:id="190998781">
          <w:marLeft w:val="1181"/>
          <w:marRight w:val="0"/>
          <w:marTop w:val="168"/>
          <w:marBottom w:val="0"/>
          <w:divBdr>
            <w:top w:val="none" w:sz="0" w:space="0" w:color="auto"/>
            <w:left w:val="none" w:sz="0" w:space="0" w:color="auto"/>
            <w:bottom w:val="none" w:sz="0" w:space="0" w:color="auto"/>
            <w:right w:val="none" w:sz="0" w:space="0" w:color="auto"/>
          </w:divBdr>
        </w:div>
        <w:div w:id="290748698">
          <w:marLeft w:val="1181"/>
          <w:marRight w:val="0"/>
          <w:marTop w:val="168"/>
          <w:marBottom w:val="0"/>
          <w:divBdr>
            <w:top w:val="none" w:sz="0" w:space="0" w:color="auto"/>
            <w:left w:val="none" w:sz="0" w:space="0" w:color="auto"/>
            <w:bottom w:val="none" w:sz="0" w:space="0" w:color="auto"/>
            <w:right w:val="none" w:sz="0" w:space="0" w:color="auto"/>
          </w:divBdr>
        </w:div>
        <w:div w:id="496578643">
          <w:marLeft w:val="1829"/>
          <w:marRight w:val="0"/>
          <w:marTop w:val="144"/>
          <w:marBottom w:val="0"/>
          <w:divBdr>
            <w:top w:val="none" w:sz="0" w:space="0" w:color="auto"/>
            <w:left w:val="none" w:sz="0" w:space="0" w:color="auto"/>
            <w:bottom w:val="none" w:sz="0" w:space="0" w:color="auto"/>
            <w:right w:val="none" w:sz="0" w:space="0" w:color="auto"/>
          </w:divBdr>
        </w:div>
        <w:div w:id="578489154">
          <w:marLeft w:val="1181"/>
          <w:marRight w:val="0"/>
          <w:marTop w:val="168"/>
          <w:marBottom w:val="0"/>
          <w:divBdr>
            <w:top w:val="none" w:sz="0" w:space="0" w:color="auto"/>
            <w:left w:val="none" w:sz="0" w:space="0" w:color="auto"/>
            <w:bottom w:val="none" w:sz="0" w:space="0" w:color="auto"/>
            <w:right w:val="none" w:sz="0" w:space="0" w:color="auto"/>
          </w:divBdr>
        </w:div>
        <w:div w:id="808787917">
          <w:marLeft w:val="1829"/>
          <w:marRight w:val="0"/>
          <w:marTop w:val="144"/>
          <w:marBottom w:val="0"/>
          <w:divBdr>
            <w:top w:val="none" w:sz="0" w:space="0" w:color="auto"/>
            <w:left w:val="none" w:sz="0" w:space="0" w:color="auto"/>
            <w:bottom w:val="none" w:sz="0" w:space="0" w:color="auto"/>
            <w:right w:val="none" w:sz="0" w:space="0" w:color="auto"/>
          </w:divBdr>
        </w:div>
        <w:div w:id="1581718149">
          <w:marLeft w:val="1829"/>
          <w:marRight w:val="0"/>
          <w:marTop w:val="144"/>
          <w:marBottom w:val="0"/>
          <w:divBdr>
            <w:top w:val="none" w:sz="0" w:space="0" w:color="auto"/>
            <w:left w:val="none" w:sz="0" w:space="0" w:color="auto"/>
            <w:bottom w:val="none" w:sz="0" w:space="0" w:color="auto"/>
            <w:right w:val="none" w:sz="0" w:space="0" w:color="auto"/>
          </w:divBdr>
        </w:div>
        <w:div w:id="1725829919">
          <w:marLeft w:val="1181"/>
          <w:marRight w:val="0"/>
          <w:marTop w:val="168"/>
          <w:marBottom w:val="0"/>
          <w:divBdr>
            <w:top w:val="none" w:sz="0" w:space="0" w:color="auto"/>
            <w:left w:val="none" w:sz="0" w:space="0" w:color="auto"/>
            <w:bottom w:val="none" w:sz="0" w:space="0" w:color="auto"/>
            <w:right w:val="none" w:sz="0" w:space="0" w:color="auto"/>
          </w:divBdr>
        </w:div>
        <w:div w:id="1813251851">
          <w:marLeft w:val="1829"/>
          <w:marRight w:val="0"/>
          <w:marTop w:val="144"/>
          <w:marBottom w:val="0"/>
          <w:divBdr>
            <w:top w:val="none" w:sz="0" w:space="0" w:color="auto"/>
            <w:left w:val="none" w:sz="0" w:space="0" w:color="auto"/>
            <w:bottom w:val="none" w:sz="0" w:space="0" w:color="auto"/>
            <w:right w:val="none" w:sz="0" w:space="0" w:color="auto"/>
          </w:divBdr>
        </w:div>
        <w:div w:id="1888294092">
          <w:marLeft w:val="475"/>
          <w:marRight w:val="0"/>
          <w:marTop w:val="168"/>
          <w:marBottom w:val="0"/>
          <w:divBdr>
            <w:top w:val="none" w:sz="0" w:space="0" w:color="auto"/>
            <w:left w:val="none" w:sz="0" w:space="0" w:color="auto"/>
            <w:bottom w:val="none" w:sz="0" w:space="0" w:color="auto"/>
            <w:right w:val="none" w:sz="0" w:space="0" w:color="auto"/>
          </w:divBdr>
        </w:div>
        <w:div w:id="1965381654">
          <w:marLeft w:val="1829"/>
          <w:marRight w:val="0"/>
          <w:marTop w:val="144"/>
          <w:marBottom w:val="0"/>
          <w:divBdr>
            <w:top w:val="none" w:sz="0" w:space="0" w:color="auto"/>
            <w:left w:val="none" w:sz="0" w:space="0" w:color="auto"/>
            <w:bottom w:val="none" w:sz="0" w:space="0" w:color="auto"/>
            <w:right w:val="none" w:sz="0" w:space="0" w:color="auto"/>
          </w:divBdr>
        </w:div>
        <w:div w:id="2060543180">
          <w:marLeft w:val="1829"/>
          <w:marRight w:val="0"/>
          <w:marTop w:val="144"/>
          <w:marBottom w:val="0"/>
          <w:divBdr>
            <w:top w:val="none" w:sz="0" w:space="0" w:color="auto"/>
            <w:left w:val="none" w:sz="0" w:space="0" w:color="auto"/>
            <w:bottom w:val="none" w:sz="0" w:space="0" w:color="auto"/>
            <w:right w:val="none" w:sz="0" w:space="0" w:color="auto"/>
          </w:divBdr>
        </w:div>
      </w:divsChild>
    </w:div>
    <w:div w:id="54133276">
      <w:bodyDiv w:val="1"/>
      <w:marLeft w:val="0"/>
      <w:marRight w:val="0"/>
      <w:marTop w:val="0"/>
      <w:marBottom w:val="0"/>
      <w:divBdr>
        <w:top w:val="none" w:sz="0" w:space="0" w:color="auto"/>
        <w:left w:val="none" w:sz="0" w:space="0" w:color="auto"/>
        <w:bottom w:val="none" w:sz="0" w:space="0" w:color="auto"/>
        <w:right w:val="none" w:sz="0" w:space="0" w:color="auto"/>
      </w:divBdr>
    </w:div>
    <w:div w:id="74523692">
      <w:bodyDiv w:val="1"/>
      <w:marLeft w:val="0"/>
      <w:marRight w:val="0"/>
      <w:marTop w:val="0"/>
      <w:marBottom w:val="0"/>
      <w:divBdr>
        <w:top w:val="none" w:sz="0" w:space="0" w:color="auto"/>
        <w:left w:val="none" w:sz="0" w:space="0" w:color="auto"/>
        <w:bottom w:val="none" w:sz="0" w:space="0" w:color="auto"/>
        <w:right w:val="none" w:sz="0" w:space="0" w:color="auto"/>
      </w:divBdr>
    </w:div>
    <w:div w:id="79915201">
      <w:bodyDiv w:val="1"/>
      <w:marLeft w:val="0"/>
      <w:marRight w:val="0"/>
      <w:marTop w:val="0"/>
      <w:marBottom w:val="0"/>
      <w:divBdr>
        <w:top w:val="none" w:sz="0" w:space="0" w:color="auto"/>
        <w:left w:val="none" w:sz="0" w:space="0" w:color="auto"/>
        <w:bottom w:val="none" w:sz="0" w:space="0" w:color="auto"/>
        <w:right w:val="none" w:sz="0" w:space="0" w:color="auto"/>
      </w:divBdr>
    </w:div>
    <w:div w:id="83696470">
      <w:bodyDiv w:val="1"/>
      <w:marLeft w:val="0"/>
      <w:marRight w:val="0"/>
      <w:marTop w:val="0"/>
      <w:marBottom w:val="0"/>
      <w:divBdr>
        <w:top w:val="none" w:sz="0" w:space="0" w:color="auto"/>
        <w:left w:val="none" w:sz="0" w:space="0" w:color="auto"/>
        <w:bottom w:val="none" w:sz="0" w:space="0" w:color="auto"/>
        <w:right w:val="none" w:sz="0" w:space="0" w:color="auto"/>
      </w:divBdr>
    </w:div>
    <w:div w:id="84498368">
      <w:bodyDiv w:val="1"/>
      <w:marLeft w:val="0"/>
      <w:marRight w:val="0"/>
      <w:marTop w:val="0"/>
      <w:marBottom w:val="0"/>
      <w:divBdr>
        <w:top w:val="none" w:sz="0" w:space="0" w:color="auto"/>
        <w:left w:val="none" w:sz="0" w:space="0" w:color="auto"/>
        <w:bottom w:val="none" w:sz="0" w:space="0" w:color="auto"/>
        <w:right w:val="none" w:sz="0" w:space="0" w:color="auto"/>
      </w:divBdr>
    </w:div>
    <w:div w:id="86276256">
      <w:bodyDiv w:val="1"/>
      <w:marLeft w:val="0"/>
      <w:marRight w:val="0"/>
      <w:marTop w:val="0"/>
      <w:marBottom w:val="0"/>
      <w:divBdr>
        <w:top w:val="none" w:sz="0" w:space="0" w:color="auto"/>
        <w:left w:val="none" w:sz="0" w:space="0" w:color="auto"/>
        <w:bottom w:val="none" w:sz="0" w:space="0" w:color="auto"/>
        <w:right w:val="none" w:sz="0" w:space="0" w:color="auto"/>
      </w:divBdr>
    </w:div>
    <w:div w:id="86780143">
      <w:bodyDiv w:val="1"/>
      <w:marLeft w:val="0"/>
      <w:marRight w:val="0"/>
      <w:marTop w:val="0"/>
      <w:marBottom w:val="0"/>
      <w:divBdr>
        <w:top w:val="none" w:sz="0" w:space="0" w:color="auto"/>
        <w:left w:val="none" w:sz="0" w:space="0" w:color="auto"/>
        <w:bottom w:val="none" w:sz="0" w:space="0" w:color="auto"/>
        <w:right w:val="none" w:sz="0" w:space="0" w:color="auto"/>
      </w:divBdr>
    </w:div>
    <w:div w:id="88160967">
      <w:bodyDiv w:val="1"/>
      <w:marLeft w:val="0"/>
      <w:marRight w:val="0"/>
      <w:marTop w:val="0"/>
      <w:marBottom w:val="0"/>
      <w:divBdr>
        <w:top w:val="none" w:sz="0" w:space="0" w:color="auto"/>
        <w:left w:val="none" w:sz="0" w:space="0" w:color="auto"/>
        <w:bottom w:val="none" w:sz="0" w:space="0" w:color="auto"/>
        <w:right w:val="none" w:sz="0" w:space="0" w:color="auto"/>
      </w:divBdr>
    </w:div>
    <w:div w:id="90708147">
      <w:bodyDiv w:val="1"/>
      <w:marLeft w:val="0"/>
      <w:marRight w:val="0"/>
      <w:marTop w:val="0"/>
      <w:marBottom w:val="0"/>
      <w:divBdr>
        <w:top w:val="none" w:sz="0" w:space="0" w:color="auto"/>
        <w:left w:val="none" w:sz="0" w:space="0" w:color="auto"/>
        <w:bottom w:val="none" w:sz="0" w:space="0" w:color="auto"/>
        <w:right w:val="none" w:sz="0" w:space="0" w:color="auto"/>
      </w:divBdr>
    </w:div>
    <w:div w:id="97721149">
      <w:bodyDiv w:val="1"/>
      <w:marLeft w:val="0"/>
      <w:marRight w:val="0"/>
      <w:marTop w:val="0"/>
      <w:marBottom w:val="0"/>
      <w:divBdr>
        <w:top w:val="none" w:sz="0" w:space="0" w:color="auto"/>
        <w:left w:val="none" w:sz="0" w:space="0" w:color="auto"/>
        <w:bottom w:val="none" w:sz="0" w:space="0" w:color="auto"/>
        <w:right w:val="none" w:sz="0" w:space="0" w:color="auto"/>
      </w:divBdr>
    </w:div>
    <w:div w:id="106773288">
      <w:bodyDiv w:val="1"/>
      <w:marLeft w:val="0"/>
      <w:marRight w:val="0"/>
      <w:marTop w:val="0"/>
      <w:marBottom w:val="0"/>
      <w:divBdr>
        <w:top w:val="none" w:sz="0" w:space="0" w:color="auto"/>
        <w:left w:val="none" w:sz="0" w:space="0" w:color="auto"/>
        <w:bottom w:val="none" w:sz="0" w:space="0" w:color="auto"/>
        <w:right w:val="none" w:sz="0" w:space="0" w:color="auto"/>
      </w:divBdr>
    </w:div>
    <w:div w:id="115954164">
      <w:bodyDiv w:val="1"/>
      <w:marLeft w:val="0"/>
      <w:marRight w:val="0"/>
      <w:marTop w:val="0"/>
      <w:marBottom w:val="0"/>
      <w:divBdr>
        <w:top w:val="none" w:sz="0" w:space="0" w:color="auto"/>
        <w:left w:val="none" w:sz="0" w:space="0" w:color="auto"/>
        <w:bottom w:val="none" w:sz="0" w:space="0" w:color="auto"/>
        <w:right w:val="none" w:sz="0" w:space="0" w:color="auto"/>
      </w:divBdr>
      <w:divsChild>
        <w:div w:id="257564304">
          <w:marLeft w:val="475"/>
          <w:marRight w:val="0"/>
          <w:marTop w:val="168"/>
          <w:marBottom w:val="0"/>
          <w:divBdr>
            <w:top w:val="none" w:sz="0" w:space="0" w:color="auto"/>
            <w:left w:val="none" w:sz="0" w:space="0" w:color="auto"/>
            <w:bottom w:val="none" w:sz="0" w:space="0" w:color="auto"/>
            <w:right w:val="none" w:sz="0" w:space="0" w:color="auto"/>
          </w:divBdr>
        </w:div>
        <w:div w:id="397822011">
          <w:marLeft w:val="1181"/>
          <w:marRight w:val="0"/>
          <w:marTop w:val="168"/>
          <w:marBottom w:val="0"/>
          <w:divBdr>
            <w:top w:val="none" w:sz="0" w:space="0" w:color="auto"/>
            <w:left w:val="none" w:sz="0" w:space="0" w:color="auto"/>
            <w:bottom w:val="none" w:sz="0" w:space="0" w:color="auto"/>
            <w:right w:val="none" w:sz="0" w:space="0" w:color="auto"/>
          </w:divBdr>
        </w:div>
        <w:div w:id="415858223">
          <w:marLeft w:val="1181"/>
          <w:marRight w:val="0"/>
          <w:marTop w:val="168"/>
          <w:marBottom w:val="0"/>
          <w:divBdr>
            <w:top w:val="none" w:sz="0" w:space="0" w:color="auto"/>
            <w:left w:val="none" w:sz="0" w:space="0" w:color="auto"/>
            <w:bottom w:val="none" w:sz="0" w:space="0" w:color="auto"/>
            <w:right w:val="none" w:sz="0" w:space="0" w:color="auto"/>
          </w:divBdr>
        </w:div>
        <w:div w:id="636378111">
          <w:marLeft w:val="1181"/>
          <w:marRight w:val="0"/>
          <w:marTop w:val="168"/>
          <w:marBottom w:val="0"/>
          <w:divBdr>
            <w:top w:val="none" w:sz="0" w:space="0" w:color="auto"/>
            <w:left w:val="none" w:sz="0" w:space="0" w:color="auto"/>
            <w:bottom w:val="none" w:sz="0" w:space="0" w:color="auto"/>
            <w:right w:val="none" w:sz="0" w:space="0" w:color="auto"/>
          </w:divBdr>
        </w:div>
        <w:div w:id="1018265523">
          <w:marLeft w:val="475"/>
          <w:marRight w:val="0"/>
          <w:marTop w:val="168"/>
          <w:marBottom w:val="0"/>
          <w:divBdr>
            <w:top w:val="none" w:sz="0" w:space="0" w:color="auto"/>
            <w:left w:val="none" w:sz="0" w:space="0" w:color="auto"/>
            <w:bottom w:val="none" w:sz="0" w:space="0" w:color="auto"/>
            <w:right w:val="none" w:sz="0" w:space="0" w:color="auto"/>
          </w:divBdr>
        </w:div>
        <w:div w:id="1323267862">
          <w:marLeft w:val="475"/>
          <w:marRight w:val="0"/>
          <w:marTop w:val="168"/>
          <w:marBottom w:val="0"/>
          <w:divBdr>
            <w:top w:val="none" w:sz="0" w:space="0" w:color="auto"/>
            <w:left w:val="none" w:sz="0" w:space="0" w:color="auto"/>
            <w:bottom w:val="none" w:sz="0" w:space="0" w:color="auto"/>
            <w:right w:val="none" w:sz="0" w:space="0" w:color="auto"/>
          </w:divBdr>
        </w:div>
        <w:div w:id="1814522541">
          <w:marLeft w:val="1181"/>
          <w:marRight w:val="0"/>
          <w:marTop w:val="168"/>
          <w:marBottom w:val="0"/>
          <w:divBdr>
            <w:top w:val="none" w:sz="0" w:space="0" w:color="auto"/>
            <w:left w:val="none" w:sz="0" w:space="0" w:color="auto"/>
            <w:bottom w:val="none" w:sz="0" w:space="0" w:color="auto"/>
            <w:right w:val="none" w:sz="0" w:space="0" w:color="auto"/>
          </w:divBdr>
        </w:div>
        <w:div w:id="2062249358">
          <w:marLeft w:val="1181"/>
          <w:marRight w:val="0"/>
          <w:marTop w:val="168"/>
          <w:marBottom w:val="0"/>
          <w:divBdr>
            <w:top w:val="none" w:sz="0" w:space="0" w:color="auto"/>
            <w:left w:val="none" w:sz="0" w:space="0" w:color="auto"/>
            <w:bottom w:val="none" w:sz="0" w:space="0" w:color="auto"/>
            <w:right w:val="none" w:sz="0" w:space="0" w:color="auto"/>
          </w:divBdr>
        </w:div>
      </w:divsChild>
    </w:div>
    <w:div w:id="120727707">
      <w:bodyDiv w:val="1"/>
      <w:marLeft w:val="0"/>
      <w:marRight w:val="0"/>
      <w:marTop w:val="0"/>
      <w:marBottom w:val="0"/>
      <w:divBdr>
        <w:top w:val="none" w:sz="0" w:space="0" w:color="auto"/>
        <w:left w:val="none" w:sz="0" w:space="0" w:color="auto"/>
        <w:bottom w:val="none" w:sz="0" w:space="0" w:color="auto"/>
        <w:right w:val="none" w:sz="0" w:space="0" w:color="auto"/>
      </w:divBdr>
    </w:div>
    <w:div w:id="135339021">
      <w:bodyDiv w:val="1"/>
      <w:marLeft w:val="0"/>
      <w:marRight w:val="0"/>
      <w:marTop w:val="0"/>
      <w:marBottom w:val="0"/>
      <w:divBdr>
        <w:top w:val="none" w:sz="0" w:space="0" w:color="auto"/>
        <w:left w:val="none" w:sz="0" w:space="0" w:color="auto"/>
        <w:bottom w:val="none" w:sz="0" w:space="0" w:color="auto"/>
        <w:right w:val="none" w:sz="0" w:space="0" w:color="auto"/>
      </w:divBdr>
    </w:div>
    <w:div w:id="135924953">
      <w:bodyDiv w:val="1"/>
      <w:marLeft w:val="0"/>
      <w:marRight w:val="0"/>
      <w:marTop w:val="0"/>
      <w:marBottom w:val="0"/>
      <w:divBdr>
        <w:top w:val="none" w:sz="0" w:space="0" w:color="auto"/>
        <w:left w:val="none" w:sz="0" w:space="0" w:color="auto"/>
        <w:bottom w:val="none" w:sz="0" w:space="0" w:color="auto"/>
        <w:right w:val="none" w:sz="0" w:space="0" w:color="auto"/>
      </w:divBdr>
      <w:divsChild>
        <w:div w:id="161050522">
          <w:marLeft w:val="475"/>
          <w:marRight w:val="0"/>
          <w:marTop w:val="168"/>
          <w:marBottom w:val="0"/>
          <w:divBdr>
            <w:top w:val="none" w:sz="0" w:space="0" w:color="auto"/>
            <w:left w:val="none" w:sz="0" w:space="0" w:color="auto"/>
            <w:bottom w:val="none" w:sz="0" w:space="0" w:color="auto"/>
            <w:right w:val="none" w:sz="0" w:space="0" w:color="auto"/>
          </w:divBdr>
        </w:div>
        <w:div w:id="193469641">
          <w:marLeft w:val="475"/>
          <w:marRight w:val="0"/>
          <w:marTop w:val="168"/>
          <w:marBottom w:val="0"/>
          <w:divBdr>
            <w:top w:val="none" w:sz="0" w:space="0" w:color="auto"/>
            <w:left w:val="none" w:sz="0" w:space="0" w:color="auto"/>
            <w:bottom w:val="none" w:sz="0" w:space="0" w:color="auto"/>
            <w:right w:val="none" w:sz="0" w:space="0" w:color="auto"/>
          </w:divBdr>
        </w:div>
        <w:div w:id="424614677">
          <w:marLeft w:val="1181"/>
          <w:marRight w:val="0"/>
          <w:marTop w:val="168"/>
          <w:marBottom w:val="0"/>
          <w:divBdr>
            <w:top w:val="none" w:sz="0" w:space="0" w:color="auto"/>
            <w:left w:val="none" w:sz="0" w:space="0" w:color="auto"/>
            <w:bottom w:val="none" w:sz="0" w:space="0" w:color="auto"/>
            <w:right w:val="none" w:sz="0" w:space="0" w:color="auto"/>
          </w:divBdr>
        </w:div>
        <w:div w:id="455224489">
          <w:marLeft w:val="475"/>
          <w:marRight w:val="0"/>
          <w:marTop w:val="168"/>
          <w:marBottom w:val="0"/>
          <w:divBdr>
            <w:top w:val="none" w:sz="0" w:space="0" w:color="auto"/>
            <w:left w:val="none" w:sz="0" w:space="0" w:color="auto"/>
            <w:bottom w:val="none" w:sz="0" w:space="0" w:color="auto"/>
            <w:right w:val="none" w:sz="0" w:space="0" w:color="auto"/>
          </w:divBdr>
        </w:div>
        <w:div w:id="1039665315">
          <w:marLeft w:val="1181"/>
          <w:marRight w:val="0"/>
          <w:marTop w:val="168"/>
          <w:marBottom w:val="0"/>
          <w:divBdr>
            <w:top w:val="none" w:sz="0" w:space="0" w:color="auto"/>
            <w:left w:val="none" w:sz="0" w:space="0" w:color="auto"/>
            <w:bottom w:val="none" w:sz="0" w:space="0" w:color="auto"/>
            <w:right w:val="none" w:sz="0" w:space="0" w:color="auto"/>
          </w:divBdr>
        </w:div>
        <w:div w:id="1472557136">
          <w:marLeft w:val="475"/>
          <w:marRight w:val="0"/>
          <w:marTop w:val="168"/>
          <w:marBottom w:val="0"/>
          <w:divBdr>
            <w:top w:val="none" w:sz="0" w:space="0" w:color="auto"/>
            <w:left w:val="none" w:sz="0" w:space="0" w:color="auto"/>
            <w:bottom w:val="none" w:sz="0" w:space="0" w:color="auto"/>
            <w:right w:val="none" w:sz="0" w:space="0" w:color="auto"/>
          </w:divBdr>
        </w:div>
        <w:div w:id="1508207825">
          <w:marLeft w:val="475"/>
          <w:marRight w:val="0"/>
          <w:marTop w:val="168"/>
          <w:marBottom w:val="0"/>
          <w:divBdr>
            <w:top w:val="none" w:sz="0" w:space="0" w:color="auto"/>
            <w:left w:val="none" w:sz="0" w:space="0" w:color="auto"/>
            <w:bottom w:val="none" w:sz="0" w:space="0" w:color="auto"/>
            <w:right w:val="none" w:sz="0" w:space="0" w:color="auto"/>
          </w:divBdr>
        </w:div>
        <w:div w:id="1521820378">
          <w:marLeft w:val="475"/>
          <w:marRight w:val="0"/>
          <w:marTop w:val="168"/>
          <w:marBottom w:val="0"/>
          <w:divBdr>
            <w:top w:val="none" w:sz="0" w:space="0" w:color="auto"/>
            <w:left w:val="none" w:sz="0" w:space="0" w:color="auto"/>
            <w:bottom w:val="none" w:sz="0" w:space="0" w:color="auto"/>
            <w:right w:val="none" w:sz="0" w:space="0" w:color="auto"/>
          </w:divBdr>
        </w:div>
        <w:div w:id="1742097917">
          <w:marLeft w:val="1181"/>
          <w:marRight w:val="0"/>
          <w:marTop w:val="168"/>
          <w:marBottom w:val="0"/>
          <w:divBdr>
            <w:top w:val="none" w:sz="0" w:space="0" w:color="auto"/>
            <w:left w:val="none" w:sz="0" w:space="0" w:color="auto"/>
            <w:bottom w:val="none" w:sz="0" w:space="0" w:color="auto"/>
            <w:right w:val="none" w:sz="0" w:space="0" w:color="auto"/>
          </w:divBdr>
        </w:div>
        <w:div w:id="1789926691">
          <w:marLeft w:val="475"/>
          <w:marRight w:val="0"/>
          <w:marTop w:val="168"/>
          <w:marBottom w:val="0"/>
          <w:divBdr>
            <w:top w:val="none" w:sz="0" w:space="0" w:color="auto"/>
            <w:left w:val="none" w:sz="0" w:space="0" w:color="auto"/>
            <w:bottom w:val="none" w:sz="0" w:space="0" w:color="auto"/>
            <w:right w:val="none" w:sz="0" w:space="0" w:color="auto"/>
          </w:divBdr>
        </w:div>
        <w:div w:id="1914125727">
          <w:marLeft w:val="1181"/>
          <w:marRight w:val="0"/>
          <w:marTop w:val="168"/>
          <w:marBottom w:val="0"/>
          <w:divBdr>
            <w:top w:val="none" w:sz="0" w:space="0" w:color="auto"/>
            <w:left w:val="none" w:sz="0" w:space="0" w:color="auto"/>
            <w:bottom w:val="none" w:sz="0" w:space="0" w:color="auto"/>
            <w:right w:val="none" w:sz="0" w:space="0" w:color="auto"/>
          </w:divBdr>
        </w:div>
      </w:divsChild>
    </w:div>
    <w:div w:id="138499657">
      <w:bodyDiv w:val="1"/>
      <w:marLeft w:val="0"/>
      <w:marRight w:val="0"/>
      <w:marTop w:val="0"/>
      <w:marBottom w:val="0"/>
      <w:divBdr>
        <w:top w:val="none" w:sz="0" w:space="0" w:color="auto"/>
        <w:left w:val="none" w:sz="0" w:space="0" w:color="auto"/>
        <w:bottom w:val="none" w:sz="0" w:space="0" w:color="auto"/>
        <w:right w:val="none" w:sz="0" w:space="0" w:color="auto"/>
      </w:divBdr>
    </w:div>
    <w:div w:id="149030581">
      <w:bodyDiv w:val="1"/>
      <w:marLeft w:val="0"/>
      <w:marRight w:val="0"/>
      <w:marTop w:val="0"/>
      <w:marBottom w:val="0"/>
      <w:divBdr>
        <w:top w:val="none" w:sz="0" w:space="0" w:color="auto"/>
        <w:left w:val="none" w:sz="0" w:space="0" w:color="auto"/>
        <w:bottom w:val="none" w:sz="0" w:space="0" w:color="auto"/>
        <w:right w:val="none" w:sz="0" w:space="0" w:color="auto"/>
      </w:divBdr>
      <w:divsChild>
        <w:div w:id="514458798">
          <w:marLeft w:val="259"/>
          <w:marRight w:val="0"/>
          <w:marTop w:val="132"/>
          <w:marBottom w:val="0"/>
          <w:divBdr>
            <w:top w:val="none" w:sz="0" w:space="0" w:color="auto"/>
            <w:left w:val="none" w:sz="0" w:space="0" w:color="auto"/>
            <w:bottom w:val="none" w:sz="0" w:space="0" w:color="auto"/>
            <w:right w:val="none" w:sz="0" w:space="0" w:color="auto"/>
          </w:divBdr>
        </w:div>
        <w:div w:id="716663000">
          <w:marLeft w:val="259"/>
          <w:marRight w:val="0"/>
          <w:marTop w:val="132"/>
          <w:marBottom w:val="0"/>
          <w:divBdr>
            <w:top w:val="none" w:sz="0" w:space="0" w:color="auto"/>
            <w:left w:val="none" w:sz="0" w:space="0" w:color="auto"/>
            <w:bottom w:val="none" w:sz="0" w:space="0" w:color="auto"/>
            <w:right w:val="none" w:sz="0" w:space="0" w:color="auto"/>
          </w:divBdr>
        </w:div>
        <w:div w:id="755244749">
          <w:marLeft w:val="259"/>
          <w:marRight w:val="0"/>
          <w:marTop w:val="132"/>
          <w:marBottom w:val="0"/>
          <w:divBdr>
            <w:top w:val="none" w:sz="0" w:space="0" w:color="auto"/>
            <w:left w:val="none" w:sz="0" w:space="0" w:color="auto"/>
            <w:bottom w:val="none" w:sz="0" w:space="0" w:color="auto"/>
            <w:right w:val="none" w:sz="0" w:space="0" w:color="auto"/>
          </w:divBdr>
        </w:div>
        <w:div w:id="768238089">
          <w:marLeft w:val="259"/>
          <w:marRight w:val="0"/>
          <w:marTop w:val="132"/>
          <w:marBottom w:val="0"/>
          <w:divBdr>
            <w:top w:val="none" w:sz="0" w:space="0" w:color="auto"/>
            <w:left w:val="none" w:sz="0" w:space="0" w:color="auto"/>
            <w:bottom w:val="none" w:sz="0" w:space="0" w:color="auto"/>
            <w:right w:val="none" w:sz="0" w:space="0" w:color="auto"/>
          </w:divBdr>
        </w:div>
        <w:div w:id="775103635">
          <w:marLeft w:val="259"/>
          <w:marRight w:val="0"/>
          <w:marTop w:val="132"/>
          <w:marBottom w:val="0"/>
          <w:divBdr>
            <w:top w:val="none" w:sz="0" w:space="0" w:color="auto"/>
            <w:left w:val="none" w:sz="0" w:space="0" w:color="auto"/>
            <w:bottom w:val="none" w:sz="0" w:space="0" w:color="auto"/>
            <w:right w:val="none" w:sz="0" w:space="0" w:color="auto"/>
          </w:divBdr>
        </w:div>
        <w:div w:id="1144272946">
          <w:marLeft w:val="259"/>
          <w:marRight w:val="0"/>
          <w:marTop w:val="132"/>
          <w:marBottom w:val="0"/>
          <w:divBdr>
            <w:top w:val="none" w:sz="0" w:space="0" w:color="auto"/>
            <w:left w:val="none" w:sz="0" w:space="0" w:color="auto"/>
            <w:bottom w:val="none" w:sz="0" w:space="0" w:color="auto"/>
            <w:right w:val="none" w:sz="0" w:space="0" w:color="auto"/>
          </w:divBdr>
        </w:div>
        <w:div w:id="1261179906">
          <w:marLeft w:val="259"/>
          <w:marRight w:val="0"/>
          <w:marTop w:val="132"/>
          <w:marBottom w:val="0"/>
          <w:divBdr>
            <w:top w:val="none" w:sz="0" w:space="0" w:color="auto"/>
            <w:left w:val="none" w:sz="0" w:space="0" w:color="auto"/>
            <w:bottom w:val="none" w:sz="0" w:space="0" w:color="auto"/>
            <w:right w:val="none" w:sz="0" w:space="0" w:color="auto"/>
          </w:divBdr>
        </w:div>
        <w:div w:id="1392575539">
          <w:marLeft w:val="259"/>
          <w:marRight w:val="0"/>
          <w:marTop w:val="132"/>
          <w:marBottom w:val="0"/>
          <w:divBdr>
            <w:top w:val="none" w:sz="0" w:space="0" w:color="auto"/>
            <w:left w:val="none" w:sz="0" w:space="0" w:color="auto"/>
            <w:bottom w:val="none" w:sz="0" w:space="0" w:color="auto"/>
            <w:right w:val="none" w:sz="0" w:space="0" w:color="auto"/>
          </w:divBdr>
        </w:div>
        <w:div w:id="1573080567">
          <w:marLeft w:val="259"/>
          <w:marRight w:val="0"/>
          <w:marTop w:val="132"/>
          <w:marBottom w:val="0"/>
          <w:divBdr>
            <w:top w:val="none" w:sz="0" w:space="0" w:color="auto"/>
            <w:left w:val="none" w:sz="0" w:space="0" w:color="auto"/>
            <w:bottom w:val="none" w:sz="0" w:space="0" w:color="auto"/>
            <w:right w:val="none" w:sz="0" w:space="0" w:color="auto"/>
          </w:divBdr>
        </w:div>
        <w:div w:id="1724135053">
          <w:marLeft w:val="259"/>
          <w:marRight w:val="0"/>
          <w:marTop w:val="132"/>
          <w:marBottom w:val="0"/>
          <w:divBdr>
            <w:top w:val="none" w:sz="0" w:space="0" w:color="auto"/>
            <w:left w:val="none" w:sz="0" w:space="0" w:color="auto"/>
            <w:bottom w:val="none" w:sz="0" w:space="0" w:color="auto"/>
            <w:right w:val="none" w:sz="0" w:space="0" w:color="auto"/>
          </w:divBdr>
        </w:div>
        <w:div w:id="1772434701">
          <w:marLeft w:val="259"/>
          <w:marRight w:val="0"/>
          <w:marTop w:val="132"/>
          <w:marBottom w:val="0"/>
          <w:divBdr>
            <w:top w:val="none" w:sz="0" w:space="0" w:color="auto"/>
            <w:left w:val="none" w:sz="0" w:space="0" w:color="auto"/>
            <w:bottom w:val="none" w:sz="0" w:space="0" w:color="auto"/>
            <w:right w:val="none" w:sz="0" w:space="0" w:color="auto"/>
          </w:divBdr>
        </w:div>
        <w:div w:id="2145852654">
          <w:marLeft w:val="259"/>
          <w:marRight w:val="0"/>
          <w:marTop w:val="132"/>
          <w:marBottom w:val="0"/>
          <w:divBdr>
            <w:top w:val="none" w:sz="0" w:space="0" w:color="auto"/>
            <w:left w:val="none" w:sz="0" w:space="0" w:color="auto"/>
            <w:bottom w:val="none" w:sz="0" w:space="0" w:color="auto"/>
            <w:right w:val="none" w:sz="0" w:space="0" w:color="auto"/>
          </w:divBdr>
        </w:div>
      </w:divsChild>
    </w:div>
    <w:div w:id="150412241">
      <w:bodyDiv w:val="1"/>
      <w:marLeft w:val="0"/>
      <w:marRight w:val="0"/>
      <w:marTop w:val="0"/>
      <w:marBottom w:val="0"/>
      <w:divBdr>
        <w:top w:val="none" w:sz="0" w:space="0" w:color="auto"/>
        <w:left w:val="none" w:sz="0" w:space="0" w:color="auto"/>
        <w:bottom w:val="none" w:sz="0" w:space="0" w:color="auto"/>
        <w:right w:val="none" w:sz="0" w:space="0" w:color="auto"/>
      </w:divBdr>
    </w:div>
    <w:div w:id="156771322">
      <w:bodyDiv w:val="1"/>
      <w:marLeft w:val="0"/>
      <w:marRight w:val="0"/>
      <w:marTop w:val="0"/>
      <w:marBottom w:val="0"/>
      <w:divBdr>
        <w:top w:val="none" w:sz="0" w:space="0" w:color="auto"/>
        <w:left w:val="none" w:sz="0" w:space="0" w:color="auto"/>
        <w:bottom w:val="none" w:sz="0" w:space="0" w:color="auto"/>
        <w:right w:val="none" w:sz="0" w:space="0" w:color="auto"/>
      </w:divBdr>
    </w:div>
    <w:div w:id="157233954">
      <w:bodyDiv w:val="1"/>
      <w:marLeft w:val="0"/>
      <w:marRight w:val="0"/>
      <w:marTop w:val="0"/>
      <w:marBottom w:val="0"/>
      <w:divBdr>
        <w:top w:val="none" w:sz="0" w:space="0" w:color="auto"/>
        <w:left w:val="none" w:sz="0" w:space="0" w:color="auto"/>
        <w:bottom w:val="none" w:sz="0" w:space="0" w:color="auto"/>
        <w:right w:val="none" w:sz="0" w:space="0" w:color="auto"/>
      </w:divBdr>
    </w:div>
    <w:div w:id="160128313">
      <w:bodyDiv w:val="1"/>
      <w:marLeft w:val="0"/>
      <w:marRight w:val="0"/>
      <w:marTop w:val="0"/>
      <w:marBottom w:val="0"/>
      <w:divBdr>
        <w:top w:val="none" w:sz="0" w:space="0" w:color="auto"/>
        <w:left w:val="none" w:sz="0" w:space="0" w:color="auto"/>
        <w:bottom w:val="none" w:sz="0" w:space="0" w:color="auto"/>
        <w:right w:val="none" w:sz="0" w:space="0" w:color="auto"/>
      </w:divBdr>
    </w:div>
    <w:div w:id="164982857">
      <w:bodyDiv w:val="1"/>
      <w:marLeft w:val="0"/>
      <w:marRight w:val="0"/>
      <w:marTop w:val="0"/>
      <w:marBottom w:val="0"/>
      <w:divBdr>
        <w:top w:val="none" w:sz="0" w:space="0" w:color="auto"/>
        <w:left w:val="none" w:sz="0" w:space="0" w:color="auto"/>
        <w:bottom w:val="none" w:sz="0" w:space="0" w:color="auto"/>
        <w:right w:val="none" w:sz="0" w:space="0" w:color="auto"/>
      </w:divBdr>
    </w:div>
    <w:div w:id="167184295">
      <w:bodyDiv w:val="1"/>
      <w:marLeft w:val="0"/>
      <w:marRight w:val="0"/>
      <w:marTop w:val="0"/>
      <w:marBottom w:val="0"/>
      <w:divBdr>
        <w:top w:val="none" w:sz="0" w:space="0" w:color="auto"/>
        <w:left w:val="none" w:sz="0" w:space="0" w:color="auto"/>
        <w:bottom w:val="none" w:sz="0" w:space="0" w:color="auto"/>
        <w:right w:val="none" w:sz="0" w:space="0" w:color="auto"/>
      </w:divBdr>
    </w:div>
    <w:div w:id="172379763">
      <w:bodyDiv w:val="1"/>
      <w:marLeft w:val="0"/>
      <w:marRight w:val="0"/>
      <w:marTop w:val="0"/>
      <w:marBottom w:val="0"/>
      <w:divBdr>
        <w:top w:val="none" w:sz="0" w:space="0" w:color="auto"/>
        <w:left w:val="none" w:sz="0" w:space="0" w:color="auto"/>
        <w:bottom w:val="none" w:sz="0" w:space="0" w:color="auto"/>
        <w:right w:val="none" w:sz="0" w:space="0" w:color="auto"/>
      </w:divBdr>
      <w:divsChild>
        <w:div w:id="1991403157">
          <w:marLeft w:val="475"/>
          <w:marRight w:val="0"/>
          <w:marTop w:val="168"/>
          <w:marBottom w:val="0"/>
          <w:divBdr>
            <w:top w:val="none" w:sz="0" w:space="0" w:color="auto"/>
            <w:left w:val="none" w:sz="0" w:space="0" w:color="auto"/>
            <w:bottom w:val="none" w:sz="0" w:space="0" w:color="auto"/>
            <w:right w:val="none" w:sz="0" w:space="0" w:color="auto"/>
          </w:divBdr>
        </w:div>
      </w:divsChild>
    </w:div>
    <w:div w:id="176625146">
      <w:bodyDiv w:val="1"/>
      <w:marLeft w:val="0"/>
      <w:marRight w:val="0"/>
      <w:marTop w:val="0"/>
      <w:marBottom w:val="0"/>
      <w:divBdr>
        <w:top w:val="none" w:sz="0" w:space="0" w:color="auto"/>
        <w:left w:val="none" w:sz="0" w:space="0" w:color="auto"/>
        <w:bottom w:val="none" w:sz="0" w:space="0" w:color="auto"/>
        <w:right w:val="none" w:sz="0" w:space="0" w:color="auto"/>
      </w:divBdr>
    </w:div>
    <w:div w:id="183205532">
      <w:bodyDiv w:val="1"/>
      <w:marLeft w:val="0"/>
      <w:marRight w:val="0"/>
      <w:marTop w:val="0"/>
      <w:marBottom w:val="0"/>
      <w:divBdr>
        <w:top w:val="none" w:sz="0" w:space="0" w:color="auto"/>
        <w:left w:val="none" w:sz="0" w:space="0" w:color="auto"/>
        <w:bottom w:val="none" w:sz="0" w:space="0" w:color="auto"/>
        <w:right w:val="none" w:sz="0" w:space="0" w:color="auto"/>
      </w:divBdr>
      <w:divsChild>
        <w:div w:id="480931467">
          <w:marLeft w:val="0"/>
          <w:marRight w:val="0"/>
          <w:marTop w:val="0"/>
          <w:marBottom w:val="0"/>
          <w:divBdr>
            <w:top w:val="none" w:sz="0" w:space="0" w:color="auto"/>
            <w:left w:val="none" w:sz="0" w:space="0" w:color="auto"/>
            <w:bottom w:val="none" w:sz="0" w:space="0" w:color="auto"/>
            <w:right w:val="none" w:sz="0" w:space="0" w:color="auto"/>
          </w:divBdr>
        </w:div>
        <w:div w:id="578711047">
          <w:marLeft w:val="-115"/>
          <w:marRight w:val="-115"/>
          <w:marTop w:val="0"/>
          <w:marBottom w:val="0"/>
          <w:divBdr>
            <w:top w:val="none" w:sz="0" w:space="0" w:color="auto"/>
            <w:left w:val="none" w:sz="0" w:space="0" w:color="auto"/>
            <w:bottom w:val="none" w:sz="0" w:space="0" w:color="auto"/>
            <w:right w:val="none" w:sz="0" w:space="0" w:color="auto"/>
          </w:divBdr>
        </w:div>
        <w:div w:id="612438370">
          <w:marLeft w:val="0"/>
          <w:marRight w:val="0"/>
          <w:marTop w:val="0"/>
          <w:marBottom w:val="0"/>
          <w:divBdr>
            <w:top w:val="none" w:sz="0" w:space="0" w:color="auto"/>
            <w:left w:val="none" w:sz="0" w:space="0" w:color="auto"/>
            <w:bottom w:val="none" w:sz="0" w:space="0" w:color="auto"/>
            <w:right w:val="none" w:sz="0" w:space="0" w:color="auto"/>
          </w:divBdr>
        </w:div>
        <w:div w:id="638148607">
          <w:marLeft w:val="0"/>
          <w:marRight w:val="0"/>
          <w:marTop w:val="0"/>
          <w:marBottom w:val="0"/>
          <w:divBdr>
            <w:top w:val="none" w:sz="0" w:space="0" w:color="auto"/>
            <w:left w:val="none" w:sz="0" w:space="0" w:color="auto"/>
            <w:bottom w:val="none" w:sz="0" w:space="0" w:color="auto"/>
            <w:right w:val="none" w:sz="0" w:space="0" w:color="auto"/>
          </w:divBdr>
        </w:div>
        <w:div w:id="731469182">
          <w:marLeft w:val="0"/>
          <w:marRight w:val="0"/>
          <w:marTop w:val="0"/>
          <w:marBottom w:val="0"/>
          <w:divBdr>
            <w:top w:val="none" w:sz="0" w:space="0" w:color="auto"/>
            <w:left w:val="none" w:sz="0" w:space="0" w:color="auto"/>
            <w:bottom w:val="none" w:sz="0" w:space="0" w:color="auto"/>
            <w:right w:val="none" w:sz="0" w:space="0" w:color="auto"/>
          </w:divBdr>
        </w:div>
        <w:div w:id="880631824">
          <w:marLeft w:val="-115"/>
          <w:marRight w:val="-115"/>
          <w:marTop w:val="0"/>
          <w:marBottom w:val="0"/>
          <w:divBdr>
            <w:top w:val="none" w:sz="0" w:space="0" w:color="auto"/>
            <w:left w:val="none" w:sz="0" w:space="0" w:color="auto"/>
            <w:bottom w:val="none" w:sz="0" w:space="0" w:color="auto"/>
            <w:right w:val="none" w:sz="0" w:space="0" w:color="auto"/>
          </w:divBdr>
        </w:div>
        <w:div w:id="894781162">
          <w:marLeft w:val="-115"/>
          <w:marRight w:val="-115"/>
          <w:marTop w:val="0"/>
          <w:marBottom w:val="0"/>
          <w:divBdr>
            <w:top w:val="none" w:sz="0" w:space="0" w:color="auto"/>
            <w:left w:val="none" w:sz="0" w:space="0" w:color="auto"/>
            <w:bottom w:val="none" w:sz="0" w:space="0" w:color="auto"/>
            <w:right w:val="none" w:sz="0" w:space="0" w:color="auto"/>
          </w:divBdr>
        </w:div>
        <w:div w:id="1346899735">
          <w:marLeft w:val="-115"/>
          <w:marRight w:val="-115"/>
          <w:marTop w:val="0"/>
          <w:marBottom w:val="0"/>
          <w:divBdr>
            <w:top w:val="none" w:sz="0" w:space="0" w:color="auto"/>
            <w:left w:val="none" w:sz="0" w:space="0" w:color="auto"/>
            <w:bottom w:val="none" w:sz="0" w:space="0" w:color="auto"/>
            <w:right w:val="none" w:sz="0" w:space="0" w:color="auto"/>
          </w:divBdr>
        </w:div>
        <w:div w:id="1488937110">
          <w:marLeft w:val="-115"/>
          <w:marRight w:val="-115"/>
          <w:marTop w:val="0"/>
          <w:marBottom w:val="0"/>
          <w:divBdr>
            <w:top w:val="none" w:sz="0" w:space="0" w:color="auto"/>
            <w:left w:val="none" w:sz="0" w:space="0" w:color="auto"/>
            <w:bottom w:val="none" w:sz="0" w:space="0" w:color="auto"/>
            <w:right w:val="none" w:sz="0" w:space="0" w:color="auto"/>
          </w:divBdr>
        </w:div>
        <w:div w:id="1586721014">
          <w:marLeft w:val="-115"/>
          <w:marRight w:val="-115"/>
          <w:marTop w:val="0"/>
          <w:marBottom w:val="0"/>
          <w:divBdr>
            <w:top w:val="none" w:sz="0" w:space="0" w:color="auto"/>
            <w:left w:val="none" w:sz="0" w:space="0" w:color="auto"/>
            <w:bottom w:val="none" w:sz="0" w:space="0" w:color="auto"/>
            <w:right w:val="none" w:sz="0" w:space="0" w:color="auto"/>
          </w:divBdr>
        </w:div>
        <w:div w:id="1640039828">
          <w:marLeft w:val="-115"/>
          <w:marRight w:val="-115"/>
          <w:marTop w:val="0"/>
          <w:marBottom w:val="0"/>
          <w:divBdr>
            <w:top w:val="none" w:sz="0" w:space="0" w:color="auto"/>
            <w:left w:val="none" w:sz="0" w:space="0" w:color="auto"/>
            <w:bottom w:val="none" w:sz="0" w:space="0" w:color="auto"/>
            <w:right w:val="none" w:sz="0" w:space="0" w:color="auto"/>
          </w:divBdr>
        </w:div>
        <w:div w:id="1650481572">
          <w:marLeft w:val="-115"/>
          <w:marRight w:val="-115"/>
          <w:marTop w:val="0"/>
          <w:marBottom w:val="0"/>
          <w:divBdr>
            <w:top w:val="none" w:sz="0" w:space="0" w:color="auto"/>
            <w:left w:val="none" w:sz="0" w:space="0" w:color="auto"/>
            <w:bottom w:val="none" w:sz="0" w:space="0" w:color="auto"/>
            <w:right w:val="none" w:sz="0" w:space="0" w:color="auto"/>
          </w:divBdr>
        </w:div>
        <w:div w:id="1669095283">
          <w:marLeft w:val="0"/>
          <w:marRight w:val="0"/>
          <w:marTop w:val="0"/>
          <w:marBottom w:val="0"/>
          <w:divBdr>
            <w:top w:val="none" w:sz="0" w:space="0" w:color="auto"/>
            <w:left w:val="none" w:sz="0" w:space="0" w:color="auto"/>
            <w:bottom w:val="none" w:sz="0" w:space="0" w:color="auto"/>
            <w:right w:val="none" w:sz="0" w:space="0" w:color="auto"/>
          </w:divBdr>
        </w:div>
        <w:div w:id="1856528896">
          <w:marLeft w:val="0"/>
          <w:marRight w:val="0"/>
          <w:marTop w:val="0"/>
          <w:marBottom w:val="0"/>
          <w:divBdr>
            <w:top w:val="none" w:sz="0" w:space="0" w:color="auto"/>
            <w:left w:val="none" w:sz="0" w:space="0" w:color="auto"/>
            <w:bottom w:val="none" w:sz="0" w:space="0" w:color="auto"/>
            <w:right w:val="none" w:sz="0" w:space="0" w:color="auto"/>
          </w:divBdr>
        </w:div>
        <w:div w:id="1964461305">
          <w:marLeft w:val="-115"/>
          <w:marRight w:val="-115"/>
          <w:marTop w:val="0"/>
          <w:marBottom w:val="0"/>
          <w:divBdr>
            <w:top w:val="none" w:sz="0" w:space="0" w:color="auto"/>
            <w:left w:val="none" w:sz="0" w:space="0" w:color="auto"/>
            <w:bottom w:val="none" w:sz="0" w:space="0" w:color="auto"/>
            <w:right w:val="none" w:sz="0" w:space="0" w:color="auto"/>
          </w:divBdr>
        </w:div>
        <w:div w:id="1979914630">
          <w:marLeft w:val="0"/>
          <w:marRight w:val="0"/>
          <w:marTop w:val="0"/>
          <w:marBottom w:val="0"/>
          <w:divBdr>
            <w:top w:val="none" w:sz="0" w:space="0" w:color="auto"/>
            <w:left w:val="none" w:sz="0" w:space="0" w:color="auto"/>
            <w:bottom w:val="none" w:sz="0" w:space="0" w:color="auto"/>
            <w:right w:val="none" w:sz="0" w:space="0" w:color="auto"/>
          </w:divBdr>
        </w:div>
        <w:div w:id="2044859122">
          <w:marLeft w:val="0"/>
          <w:marRight w:val="0"/>
          <w:marTop w:val="0"/>
          <w:marBottom w:val="0"/>
          <w:divBdr>
            <w:top w:val="none" w:sz="0" w:space="0" w:color="auto"/>
            <w:left w:val="none" w:sz="0" w:space="0" w:color="auto"/>
            <w:bottom w:val="none" w:sz="0" w:space="0" w:color="auto"/>
            <w:right w:val="none" w:sz="0" w:space="0" w:color="auto"/>
          </w:divBdr>
        </w:div>
      </w:divsChild>
    </w:div>
    <w:div w:id="187570716">
      <w:bodyDiv w:val="1"/>
      <w:marLeft w:val="0"/>
      <w:marRight w:val="0"/>
      <w:marTop w:val="0"/>
      <w:marBottom w:val="0"/>
      <w:divBdr>
        <w:top w:val="none" w:sz="0" w:space="0" w:color="auto"/>
        <w:left w:val="none" w:sz="0" w:space="0" w:color="auto"/>
        <w:bottom w:val="none" w:sz="0" w:space="0" w:color="auto"/>
        <w:right w:val="none" w:sz="0" w:space="0" w:color="auto"/>
      </w:divBdr>
    </w:div>
    <w:div w:id="216016598">
      <w:bodyDiv w:val="1"/>
      <w:marLeft w:val="0"/>
      <w:marRight w:val="0"/>
      <w:marTop w:val="0"/>
      <w:marBottom w:val="0"/>
      <w:divBdr>
        <w:top w:val="none" w:sz="0" w:space="0" w:color="auto"/>
        <w:left w:val="none" w:sz="0" w:space="0" w:color="auto"/>
        <w:bottom w:val="none" w:sz="0" w:space="0" w:color="auto"/>
        <w:right w:val="none" w:sz="0" w:space="0" w:color="auto"/>
      </w:divBdr>
    </w:div>
    <w:div w:id="217863360">
      <w:bodyDiv w:val="1"/>
      <w:marLeft w:val="0"/>
      <w:marRight w:val="0"/>
      <w:marTop w:val="0"/>
      <w:marBottom w:val="0"/>
      <w:divBdr>
        <w:top w:val="none" w:sz="0" w:space="0" w:color="auto"/>
        <w:left w:val="none" w:sz="0" w:space="0" w:color="auto"/>
        <w:bottom w:val="none" w:sz="0" w:space="0" w:color="auto"/>
        <w:right w:val="none" w:sz="0" w:space="0" w:color="auto"/>
      </w:divBdr>
    </w:div>
    <w:div w:id="224754428">
      <w:bodyDiv w:val="1"/>
      <w:marLeft w:val="0"/>
      <w:marRight w:val="0"/>
      <w:marTop w:val="0"/>
      <w:marBottom w:val="0"/>
      <w:divBdr>
        <w:top w:val="none" w:sz="0" w:space="0" w:color="auto"/>
        <w:left w:val="none" w:sz="0" w:space="0" w:color="auto"/>
        <w:bottom w:val="none" w:sz="0" w:space="0" w:color="auto"/>
        <w:right w:val="none" w:sz="0" w:space="0" w:color="auto"/>
      </w:divBdr>
    </w:div>
    <w:div w:id="225841842">
      <w:bodyDiv w:val="1"/>
      <w:marLeft w:val="0"/>
      <w:marRight w:val="0"/>
      <w:marTop w:val="0"/>
      <w:marBottom w:val="0"/>
      <w:divBdr>
        <w:top w:val="none" w:sz="0" w:space="0" w:color="auto"/>
        <w:left w:val="none" w:sz="0" w:space="0" w:color="auto"/>
        <w:bottom w:val="none" w:sz="0" w:space="0" w:color="auto"/>
        <w:right w:val="none" w:sz="0" w:space="0" w:color="auto"/>
      </w:divBdr>
    </w:div>
    <w:div w:id="230699643">
      <w:bodyDiv w:val="1"/>
      <w:marLeft w:val="0"/>
      <w:marRight w:val="0"/>
      <w:marTop w:val="0"/>
      <w:marBottom w:val="0"/>
      <w:divBdr>
        <w:top w:val="none" w:sz="0" w:space="0" w:color="auto"/>
        <w:left w:val="none" w:sz="0" w:space="0" w:color="auto"/>
        <w:bottom w:val="none" w:sz="0" w:space="0" w:color="auto"/>
        <w:right w:val="none" w:sz="0" w:space="0" w:color="auto"/>
      </w:divBdr>
      <w:divsChild>
        <w:div w:id="1668284576">
          <w:marLeft w:val="0"/>
          <w:marRight w:val="0"/>
          <w:marTop w:val="0"/>
          <w:marBottom w:val="81"/>
          <w:divBdr>
            <w:top w:val="none" w:sz="0" w:space="0" w:color="auto"/>
            <w:left w:val="none" w:sz="0" w:space="0" w:color="auto"/>
            <w:bottom w:val="none" w:sz="0" w:space="0" w:color="auto"/>
            <w:right w:val="none" w:sz="0" w:space="0" w:color="auto"/>
          </w:divBdr>
          <w:divsChild>
            <w:div w:id="893538733">
              <w:marLeft w:val="0"/>
              <w:marRight w:val="0"/>
              <w:marTop w:val="0"/>
              <w:marBottom w:val="81"/>
              <w:divBdr>
                <w:top w:val="none" w:sz="0" w:space="0" w:color="auto"/>
                <w:left w:val="none" w:sz="0" w:space="0" w:color="auto"/>
                <w:bottom w:val="none" w:sz="0" w:space="0" w:color="auto"/>
                <w:right w:val="none" w:sz="0" w:space="0" w:color="auto"/>
              </w:divBdr>
            </w:div>
            <w:div w:id="2109152577">
              <w:marLeft w:val="0"/>
              <w:marRight w:val="0"/>
              <w:marTop w:val="0"/>
              <w:marBottom w:val="0"/>
              <w:divBdr>
                <w:top w:val="none" w:sz="0" w:space="0" w:color="auto"/>
                <w:left w:val="none" w:sz="0" w:space="0" w:color="auto"/>
                <w:bottom w:val="none" w:sz="0" w:space="0" w:color="auto"/>
                <w:right w:val="none" w:sz="0" w:space="0" w:color="auto"/>
              </w:divBdr>
              <w:divsChild>
                <w:div w:id="1759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5481">
      <w:bodyDiv w:val="1"/>
      <w:marLeft w:val="0"/>
      <w:marRight w:val="0"/>
      <w:marTop w:val="0"/>
      <w:marBottom w:val="0"/>
      <w:divBdr>
        <w:top w:val="none" w:sz="0" w:space="0" w:color="auto"/>
        <w:left w:val="none" w:sz="0" w:space="0" w:color="auto"/>
        <w:bottom w:val="none" w:sz="0" w:space="0" w:color="auto"/>
        <w:right w:val="none" w:sz="0" w:space="0" w:color="auto"/>
      </w:divBdr>
    </w:div>
    <w:div w:id="239221472">
      <w:bodyDiv w:val="1"/>
      <w:marLeft w:val="0"/>
      <w:marRight w:val="0"/>
      <w:marTop w:val="0"/>
      <w:marBottom w:val="0"/>
      <w:divBdr>
        <w:top w:val="none" w:sz="0" w:space="0" w:color="auto"/>
        <w:left w:val="none" w:sz="0" w:space="0" w:color="auto"/>
        <w:bottom w:val="none" w:sz="0" w:space="0" w:color="auto"/>
        <w:right w:val="none" w:sz="0" w:space="0" w:color="auto"/>
      </w:divBdr>
    </w:div>
    <w:div w:id="259870917">
      <w:bodyDiv w:val="1"/>
      <w:marLeft w:val="0"/>
      <w:marRight w:val="0"/>
      <w:marTop w:val="0"/>
      <w:marBottom w:val="0"/>
      <w:divBdr>
        <w:top w:val="none" w:sz="0" w:space="0" w:color="auto"/>
        <w:left w:val="none" w:sz="0" w:space="0" w:color="auto"/>
        <w:bottom w:val="none" w:sz="0" w:space="0" w:color="auto"/>
        <w:right w:val="none" w:sz="0" w:space="0" w:color="auto"/>
      </w:divBdr>
    </w:div>
    <w:div w:id="260453537">
      <w:bodyDiv w:val="1"/>
      <w:marLeft w:val="0"/>
      <w:marRight w:val="0"/>
      <w:marTop w:val="0"/>
      <w:marBottom w:val="0"/>
      <w:divBdr>
        <w:top w:val="none" w:sz="0" w:space="0" w:color="auto"/>
        <w:left w:val="none" w:sz="0" w:space="0" w:color="auto"/>
        <w:bottom w:val="none" w:sz="0" w:space="0" w:color="auto"/>
        <w:right w:val="none" w:sz="0" w:space="0" w:color="auto"/>
      </w:divBdr>
    </w:div>
    <w:div w:id="272248394">
      <w:bodyDiv w:val="1"/>
      <w:marLeft w:val="0"/>
      <w:marRight w:val="0"/>
      <w:marTop w:val="0"/>
      <w:marBottom w:val="0"/>
      <w:divBdr>
        <w:top w:val="none" w:sz="0" w:space="0" w:color="auto"/>
        <w:left w:val="none" w:sz="0" w:space="0" w:color="auto"/>
        <w:bottom w:val="none" w:sz="0" w:space="0" w:color="auto"/>
        <w:right w:val="none" w:sz="0" w:space="0" w:color="auto"/>
      </w:divBdr>
    </w:div>
    <w:div w:id="279460530">
      <w:bodyDiv w:val="1"/>
      <w:marLeft w:val="0"/>
      <w:marRight w:val="0"/>
      <w:marTop w:val="0"/>
      <w:marBottom w:val="0"/>
      <w:divBdr>
        <w:top w:val="none" w:sz="0" w:space="0" w:color="auto"/>
        <w:left w:val="none" w:sz="0" w:space="0" w:color="auto"/>
        <w:bottom w:val="none" w:sz="0" w:space="0" w:color="auto"/>
        <w:right w:val="none" w:sz="0" w:space="0" w:color="auto"/>
      </w:divBdr>
      <w:divsChild>
        <w:div w:id="1001468545">
          <w:marLeft w:val="0"/>
          <w:marRight w:val="0"/>
          <w:marTop w:val="0"/>
          <w:marBottom w:val="81"/>
          <w:divBdr>
            <w:top w:val="none" w:sz="0" w:space="0" w:color="auto"/>
            <w:left w:val="none" w:sz="0" w:space="0" w:color="auto"/>
            <w:bottom w:val="none" w:sz="0" w:space="0" w:color="auto"/>
            <w:right w:val="none" w:sz="0" w:space="0" w:color="auto"/>
          </w:divBdr>
          <w:divsChild>
            <w:div w:id="242449939">
              <w:marLeft w:val="0"/>
              <w:marRight w:val="0"/>
              <w:marTop w:val="0"/>
              <w:marBottom w:val="0"/>
              <w:divBdr>
                <w:top w:val="none" w:sz="0" w:space="0" w:color="auto"/>
                <w:left w:val="none" w:sz="0" w:space="0" w:color="auto"/>
                <w:bottom w:val="none" w:sz="0" w:space="0" w:color="auto"/>
                <w:right w:val="none" w:sz="0" w:space="0" w:color="auto"/>
              </w:divBdr>
              <w:divsChild>
                <w:div w:id="116067853">
                  <w:marLeft w:val="0"/>
                  <w:marRight w:val="0"/>
                  <w:marTop w:val="0"/>
                  <w:marBottom w:val="0"/>
                  <w:divBdr>
                    <w:top w:val="none" w:sz="0" w:space="0" w:color="auto"/>
                    <w:left w:val="none" w:sz="0" w:space="0" w:color="auto"/>
                    <w:bottom w:val="none" w:sz="0" w:space="0" w:color="auto"/>
                    <w:right w:val="none" w:sz="0" w:space="0" w:color="auto"/>
                  </w:divBdr>
                </w:div>
              </w:divsChild>
            </w:div>
            <w:div w:id="1506746721">
              <w:marLeft w:val="0"/>
              <w:marRight w:val="0"/>
              <w:marTop w:val="0"/>
              <w:marBottom w:val="81"/>
              <w:divBdr>
                <w:top w:val="none" w:sz="0" w:space="0" w:color="auto"/>
                <w:left w:val="none" w:sz="0" w:space="0" w:color="auto"/>
                <w:bottom w:val="none" w:sz="0" w:space="0" w:color="auto"/>
                <w:right w:val="none" w:sz="0" w:space="0" w:color="auto"/>
              </w:divBdr>
            </w:div>
          </w:divsChild>
        </w:div>
        <w:div w:id="1348947475">
          <w:marLeft w:val="0"/>
          <w:marRight w:val="0"/>
          <w:marTop w:val="0"/>
          <w:marBottom w:val="0"/>
          <w:divBdr>
            <w:top w:val="none" w:sz="0" w:space="0" w:color="auto"/>
            <w:left w:val="none" w:sz="0" w:space="0" w:color="auto"/>
            <w:bottom w:val="none" w:sz="0" w:space="0" w:color="auto"/>
            <w:right w:val="none" w:sz="0" w:space="0" w:color="auto"/>
          </w:divBdr>
        </w:div>
      </w:divsChild>
    </w:div>
    <w:div w:id="279919621">
      <w:bodyDiv w:val="1"/>
      <w:marLeft w:val="0"/>
      <w:marRight w:val="0"/>
      <w:marTop w:val="0"/>
      <w:marBottom w:val="0"/>
      <w:divBdr>
        <w:top w:val="none" w:sz="0" w:space="0" w:color="auto"/>
        <w:left w:val="none" w:sz="0" w:space="0" w:color="auto"/>
        <w:bottom w:val="none" w:sz="0" w:space="0" w:color="auto"/>
        <w:right w:val="none" w:sz="0" w:space="0" w:color="auto"/>
      </w:divBdr>
    </w:div>
    <w:div w:id="280501026">
      <w:bodyDiv w:val="1"/>
      <w:marLeft w:val="0"/>
      <w:marRight w:val="0"/>
      <w:marTop w:val="0"/>
      <w:marBottom w:val="0"/>
      <w:divBdr>
        <w:top w:val="none" w:sz="0" w:space="0" w:color="auto"/>
        <w:left w:val="none" w:sz="0" w:space="0" w:color="auto"/>
        <w:bottom w:val="none" w:sz="0" w:space="0" w:color="auto"/>
        <w:right w:val="none" w:sz="0" w:space="0" w:color="auto"/>
      </w:divBdr>
    </w:div>
    <w:div w:id="283852160">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3873128">
      <w:bodyDiv w:val="1"/>
      <w:marLeft w:val="0"/>
      <w:marRight w:val="0"/>
      <w:marTop w:val="0"/>
      <w:marBottom w:val="0"/>
      <w:divBdr>
        <w:top w:val="none" w:sz="0" w:space="0" w:color="auto"/>
        <w:left w:val="none" w:sz="0" w:space="0" w:color="auto"/>
        <w:bottom w:val="none" w:sz="0" w:space="0" w:color="auto"/>
        <w:right w:val="none" w:sz="0" w:space="0" w:color="auto"/>
      </w:divBdr>
    </w:div>
    <w:div w:id="297221692">
      <w:bodyDiv w:val="1"/>
      <w:marLeft w:val="0"/>
      <w:marRight w:val="0"/>
      <w:marTop w:val="0"/>
      <w:marBottom w:val="0"/>
      <w:divBdr>
        <w:top w:val="none" w:sz="0" w:space="0" w:color="auto"/>
        <w:left w:val="none" w:sz="0" w:space="0" w:color="auto"/>
        <w:bottom w:val="none" w:sz="0" w:space="0" w:color="auto"/>
        <w:right w:val="none" w:sz="0" w:space="0" w:color="auto"/>
      </w:divBdr>
      <w:divsChild>
        <w:div w:id="38939684">
          <w:marLeft w:val="1181"/>
          <w:marRight w:val="0"/>
          <w:marTop w:val="168"/>
          <w:marBottom w:val="0"/>
          <w:divBdr>
            <w:top w:val="none" w:sz="0" w:space="0" w:color="auto"/>
            <w:left w:val="none" w:sz="0" w:space="0" w:color="auto"/>
            <w:bottom w:val="none" w:sz="0" w:space="0" w:color="auto"/>
            <w:right w:val="none" w:sz="0" w:space="0" w:color="auto"/>
          </w:divBdr>
        </w:div>
        <w:div w:id="259683500">
          <w:marLeft w:val="475"/>
          <w:marRight w:val="0"/>
          <w:marTop w:val="168"/>
          <w:marBottom w:val="0"/>
          <w:divBdr>
            <w:top w:val="none" w:sz="0" w:space="0" w:color="auto"/>
            <w:left w:val="none" w:sz="0" w:space="0" w:color="auto"/>
            <w:bottom w:val="none" w:sz="0" w:space="0" w:color="auto"/>
            <w:right w:val="none" w:sz="0" w:space="0" w:color="auto"/>
          </w:divBdr>
        </w:div>
        <w:div w:id="297731300">
          <w:marLeft w:val="475"/>
          <w:marRight w:val="0"/>
          <w:marTop w:val="168"/>
          <w:marBottom w:val="0"/>
          <w:divBdr>
            <w:top w:val="none" w:sz="0" w:space="0" w:color="auto"/>
            <w:left w:val="none" w:sz="0" w:space="0" w:color="auto"/>
            <w:bottom w:val="none" w:sz="0" w:space="0" w:color="auto"/>
            <w:right w:val="none" w:sz="0" w:space="0" w:color="auto"/>
          </w:divBdr>
        </w:div>
        <w:div w:id="778840931">
          <w:marLeft w:val="475"/>
          <w:marRight w:val="0"/>
          <w:marTop w:val="168"/>
          <w:marBottom w:val="0"/>
          <w:divBdr>
            <w:top w:val="none" w:sz="0" w:space="0" w:color="auto"/>
            <w:left w:val="none" w:sz="0" w:space="0" w:color="auto"/>
            <w:bottom w:val="none" w:sz="0" w:space="0" w:color="auto"/>
            <w:right w:val="none" w:sz="0" w:space="0" w:color="auto"/>
          </w:divBdr>
        </w:div>
        <w:div w:id="1594051793">
          <w:marLeft w:val="475"/>
          <w:marRight w:val="0"/>
          <w:marTop w:val="168"/>
          <w:marBottom w:val="0"/>
          <w:divBdr>
            <w:top w:val="none" w:sz="0" w:space="0" w:color="auto"/>
            <w:left w:val="none" w:sz="0" w:space="0" w:color="auto"/>
            <w:bottom w:val="none" w:sz="0" w:space="0" w:color="auto"/>
            <w:right w:val="none" w:sz="0" w:space="0" w:color="auto"/>
          </w:divBdr>
        </w:div>
        <w:div w:id="1908107795">
          <w:marLeft w:val="1181"/>
          <w:marRight w:val="0"/>
          <w:marTop w:val="168"/>
          <w:marBottom w:val="0"/>
          <w:divBdr>
            <w:top w:val="none" w:sz="0" w:space="0" w:color="auto"/>
            <w:left w:val="none" w:sz="0" w:space="0" w:color="auto"/>
            <w:bottom w:val="none" w:sz="0" w:space="0" w:color="auto"/>
            <w:right w:val="none" w:sz="0" w:space="0" w:color="auto"/>
          </w:divBdr>
        </w:div>
      </w:divsChild>
    </w:div>
    <w:div w:id="304043471">
      <w:bodyDiv w:val="1"/>
      <w:marLeft w:val="0"/>
      <w:marRight w:val="0"/>
      <w:marTop w:val="0"/>
      <w:marBottom w:val="0"/>
      <w:divBdr>
        <w:top w:val="none" w:sz="0" w:space="0" w:color="auto"/>
        <w:left w:val="none" w:sz="0" w:space="0" w:color="auto"/>
        <w:bottom w:val="none" w:sz="0" w:space="0" w:color="auto"/>
        <w:right w:val="none" w:sz="0" w:space="0" w:color="auto"/>
      </w:divBdr>
    </w:div>
    <w:div w:id="307125901">
      <w:bodyDiv w:val="1"/>
      <w:marLeft w:val="0"/>
      <w:marRight w:val="0"/>
      <w:marTop w:val="0"/>
      <w:marBottom w:val="0"/>
      <w:divBdr>
        <w:top w:val="none" w:sz="0" w:space="0" w:color="auto"/>
        <w:left w:val="none" w:sz="0" w:space="0" w:color="auto"/>
        <w:bottom w:val="none" w:sz="0" w:space="0" w:color="auto"/>
        <w:right w:val="none" w:sz="0" w:space="0" w:color="auto"/>
      </w:divBdr>
    </w:div>
    <w:div w:id="314918103">
      <w:bodyDiv w:val="1"/>
      <w:marLeft w:val="0"/>
      <w:marRight w:val="0"/>
      <w:marTop w:val="0"/>
      <w:marBottom w:val="0"/>
      <w:divBdr>
        <w:top w:val="none" w:sz="0" w:space="0" w:color="auto"/>
        <w:left w:val="none" w:sz="0" w:space="0" w:color="auto"/>
        <w:bottom w:val="none" w:sz="0" w:space="0" w:color="auto"/>
        <w:right w:val="none" w:sz="0" w:space="0" w:color="auto"/>
      </w:divBdr>
    </w:div>
    <w:div w:id="320886358">
      <w:bodyDiv w:val="1"/>
      <w:marLeft w:val="0"/>
      <w:marRight w:val="0"/>
      <w:marTop w:val="0"/>
      <w:marBottom w:val="0"/>
      <w:divBdr>
        <w:top w:val="none" w:sz="0" w:space="0" w:color="auto"/>
        <w:left w:val="none" w:sz="0" w:space="0" w:color="auto"/>
        <w:bottom w:val="none" w:sz="0" w:space="0" w:color="auto"/>
        <w:right w:val="none" w:sz="0" w:space="0" w:color="auto"/>
      </w:divBdr>
    </w:div>
    <w:div w:id="321587812">
      <w:bodyDiv w:val="1"/>
      <w:marLeft w:val="0"/>
      <w:marRight w:val="0"/>
      <w:marTop w:val="0"/>
      <w:marBottom w:val="0"/>
      <w:divBdr>
        <w:top w:val="none" w:sz="0" w:space="0" w:color="auto"/>
        <w:left w:val="none" w:sz="0" w:space="0" w:color="auto"/>
        <w:bottom w:val="none" w:sz="0" w:space="0" w:color="auto"/>
        <w:right w:val="none" w:sz="0" w:space="0" w:color="auto"/>
      </w:divBdr>
    </w:div>
    <w:div w:id="322900126">
      <w:bodyDiv w:val="1"/>
      <w:marLeft w:val="0"/>
      <w:marRight w:val="0"/>
      <w:marTop w:val="0"/>
      <w:marBottom w:val="0"/>
      <w:divBdr>
        <w:top w:val="none" w:sz="0" w:space="0" w:color="auto"/>
        <w:left w:val="none" w:sz="0" w:space="0" w:color="auto"/>
        <w:bottom w:val="none" w:sz="0" w:space="0" w:color="auto"/>
        <w:right w:val="none" w:sz="0" w:space="0" w:color="auto"/>
      </w:divBdr>
    </w:div>
    <w:div w:id="323632796">
      <w:bodyDiv w:val="1"/>
      <w:marLeft w:val="0"/>
      <w:marRight w:val="0"/>
      <w:marTop w:val="0"/>
      <w:marBottom w:val="0"/>
      <w:divBdr>
        <w:top w:val="none" w:sz="0" w:space="0" w:color="auto"/>
        <w:left w:val="none" w:sz="0" w:space="0" w:color="auto"/>
        <w:bottom w:val="none" w:sz="0" w:space="0" w:color="auto"/>
        <w:right w:val="none" w:sz="0" w:space="0" w:color="auto"/>
      </w:divBdr>
      <w:divsChild>
        <w:div w:id="672874820">
          <w:marLeft w:val="475"/>
          <w:marRight w:val="0"/>
          <w:marTop w:val="168"/>
          <w:marBottom w:val="0"/>
          <w:divBdr>
            <w:top w:val="none" w:sz="0" w:space="0" w:color="auto"/>
            <w:left w:val="none" w:sz="0" w:space="0" w:color="auto"/>
            <w:bottom w:val="none" w:sz="0" w:space="0" w:color="auto"/>
            <w:right w:val="none" w:sz="0" w:space="0" w:color="auto"/>
          </w:divBdr>
        </w:div>
        <w:div w:id="1151598951">
          <w:marLeft w:val="475"/>
          <w:marRight w:val="0"/>
          <w:marTop w:val="168"/>
          <w:marBottom w:val="0"/>
          <w:divBdr>
            <w:top w:val="none" w:sz="0" w:space="0" w:color="auto"/>
            <w:left w:val="none" w:sz="0" w:space="0" w:color="auto"/>
            <w:bottom w:val="none" w:sz="0" w:space="0" w:color="auto"/>
            <w:right w:val="none" w:sz="0" w:space="0" w:color="auto"/>
          </w:divBdr>
        </w:div>
        <w:div w:id="1716273751">
          <w:marLeft w:val="1181"/>
          <w:marRight w:val="0"/>
          <w:marTop w:val="168"/>
          <w:marBottom w:val="0"/>
          <w:divBdr>
            <w:top w:val="none" w:sz="0" w:space="0" w:color="auto"/>
            <w:left w:val="none" w:sz="0" w:space="0" w:color="auto"/>
            <w:bottom w:val="none" w:sz="0" w:space="0" w:color="auto"/>
            <w:right w:val="none" w:sz="0" w:space="0" w:color="auto"/>
          </w:divBdr>
        </w:div>
        <w:div w:id="2064408393">
          <w:marLeft w:val="475"/>
          <w:marRight w:val="0"/>
          <w:marTop w:val="168"/>
          <w:marBottom w:val="0"/>
          <w:divBdr>
            <w:top w:val="none" w:sz="0" w:space="0" w:color="auto"/>
            <w:left w:val="none" w:sz="0" w:space="0" w:color="auto"/>
            <w:bottom w:val="none" w:sz="0" w:space="0" w:color="auto"/>
            <w:right w:val="none" w:sz="0" w:space="0" w:color="auto"/>
          </w:divBdr>
        </w:div>
      </w:divsChild>
    </w:div>
    <w:div w:id="325211883">
      <w:bodyDiv w:val="1"/>
      <w:marLeft w:val="0"/>
      <w:marRight w:val="0"/>
      <w:marTop w:val="0"/>
      <w:marBottom w:val="0"/>
      <w:divBdr>
        <w:top w:val="none" w:sz="0" w:space="0" w:color="auto"/>
        <w:left w:val="none" w:sz="0" w:space="0" w:color="auto"/>
        <w:bottom w:val="none" w:sz="0" w:space="0" w:color="auto"/>
        <w:right w:val="none" w:sz="0" w:space="0" w:color="auto"/>
      </w:divBdr>
    </w:div>
    <w:div w:id="329598005">
      <w:bodyDiv w:val="1"/>
      <w:marLeft w:val="0"/>
      <w:marRight w:val="0"/>
      <w:marTop w:val="0"/>
      <w:marBottom w:val="0"/>
      <w:divBdr>
        <w:top w:val="none" w:sz="0" w:space="0" w:color="auto"/>
        <w:left w:val="none" w:sz="0" w:space="0" w:color="auto"/>
        <w:bottom w:val="none" w:sz="0" w:space="0" w:color="auto"/>
        <w:right w:val="none" w:sz="0" w:space="0" w:color="auto"/>
      </w:divBdr>
    </w:div>
    <w:div w:id="340203928">
      <w:bodyDiv w:val="1"/>
      <w:marLeft w:val="0"/>
      <w:marRight w:val="0"/>
      <w:marTop w:val="0"/>
      <w:marBottom w:val="0"/>
      <w:divBdr>
        <w:top w:val="none" w:sz="0" w:space="0" w:color="auto"/>
        <w:left w:val="none" w:sz="0" w:space="0" w:color="auto"/>
        <w:bottom w:val="none" w:sz="0" w:space="0" w:color="auto"/>
        <w:right w:val="none" w:sz="0" w:space="0" w:color="auto"/>
      </w:divBdr>
    </w:div>
    <w:div w:id="348333183">
      <w:bodyDiv w:val="1"/>
      <w:marLeft w:val="0"/>
      <w:marRight w:val="0"/>
      <w:marTop w:val="0"/>
      <w:marBottom w:val="0"/>
      <w:divBdr>
        <w:top w:val="none" w:sz="0" w:space="0" w:color="auto"/>
        <w:left w:val="none" w:sz="0" w:space="0" w:color="auto"/>
        <w:bottom w:val="none" w:sz="0" w:space="0" w:color="auto"/>
        <w:right w:val="none" w:sz="0" w:space="0" w:color="auto"/>
      </w:divBdr>
    </w:div>
    <w:div w:id="353462066">
      <w:bodyDiv w:val="1"/>
      <w:marLeft w:val="0"/>
      <w:marRight w:val="0"/>
      <w:marTop w:val="0"/>
      <w:marBottom w:val="0"/>
      <w:divBdr>
        <w:top w:val="none" w:sz="0" w:space="0" w:color="auto"/>
        <w:left w:val="none" w:sz="0" w:space="0" w:color="auto"/>
        <w:bottom w:val="none" w:sz="0" w:space="0" w:color="auto"/>
        <w:right w:val="none" w:sz="0" w:space="0" w:color="auto"/>
      </w:divBdr>
    </w:div>
    <w:div w:id="359933590">
      <w:bodyDiv w:val="1"/>
      <w:marLeft w:val="0"/>
      <w:marRight w:val="0"/>
      <w:marTop w:val="0"/>
      <w:marBottom w:val="0"/>
      <w:divBdr>
        <w:top w:val="none" w:sz="0" w:space="0" w:color="auto"/>
        <w:left w:val="none" w:sz="0" w:space="0" w:color="auto"/>
        <w:bottom w:val="none" w:sz="0" w:space="0" w:color="auto"/>
        <w:right w:val="none" w:sz="0" w:space="0" w:color="auto"/>
      </w:divBdr>
    </w:div>
    <w:div w:id="366566216">
      <w:bodyDiv w:val="1"/>
      <w:marLeft w:val="0"/>
      <w:marRight w:val="0"/>
      <w:marTop w:val="0"/>
      <w:marBottom w:val="0"/>
      <w:divBdr>
        <w:top w:val="none" w:sz="0" w:space="0" w:color="auto"/>
        <w:left w:val="none" w:sz="0" w:space="0" w:color="auto"/>
        <w:bottom w:val="none" w:sz="0" w:space="0" w:color="auto"/>
        <w:right w:val="none" w:sz="0" w:space="0" w:color="auto"/>
      </w:divBdr>
    </w:div>
    <w:div w:id="367418226">
      <w:bodyDiv w:val="1"/>
      <w:marLeft w:val="0"/>
      <w:marRight w:val="0"/>
      <w:marTop w:val="0"/>
      <w:marBottom w:val="0"/>
      <w:divBdr>
        <w:top w:val="none" w:sz="0" w:space="0" w:color="auto"/>
        <w:left w:val="none" w:sz="0" w:space="0" w:color="auto"/>
        <w:bottom w:val="none" w:sz="0" w:space="0" w:color="auto"/>
        <w:right w:val="none" w:sz="0" w:space="0" w:color="auto"/>
      </w:divBdr>
    </w:div>
    <w:div w:id="371463242">
      <w:bodyDiv w:val="1"/>
      <w:marLeft w:val="0"/>
      <w:marRight w:val="0"/>
      <w:marTop w:val="0"/>
      <w:marBottom w:val="0"/>
      <w:divBdr>
        <w:top w:val="none" w:sz="0" w:space="0" w:color="auto"/>
        <w:left w:val="none" w:sz="0" w:space="0" w:color="auto"/>
        <w:bottom w:val="none" w:sz="0" w:space="0" w:color="auto"/>
        <w:right w:val="none" w:sz="0" w:space="0" w:color="auto"/>
      </w:divBdr>
    </w:div>
    <w:div w:id="375394017">
      <w:bodyDiv w:val="1"/>
      <w:marLeft w:val="0"/>
      <w:marRight w:val="0"/>
      <w:marTop w:val="0"/>
      <w:marBottom w:val="0"/>
      <w:divBdr>
        <w:top w:val="none" w:sz="0" w:space="0" w:color="auto"/>
        <w:left w:val="none" w:sz="0" w:space="0" w:color="auto"/>
        <w:bottom w:val="none" w:sz="0" w:space="0" w:color="auto"/>
        <w:right w:val="none" w:sz="0" w:space="0" w:color="auto"/>
      </w:divBdr>
    </w:div>
    <w:div w:id="377510636">
      <w:bodyDiv w:val="1"/>
      <w:marLeft w:val="0"/>
      <w:marRight w:val="0"/>
      <w:marTop w:val="0"/>
      <w:marBottom w:val="0"/>
      <w:divBdr>
        <w:top w:val="none" w:sz="0" w:space="0" w:color="auto"/>
        <w:left w:val="none" w:sz="0" w:space="0" w:color="auto"/>
        <w:bottom w:val="none" w:sz="0" w:space="0" w:color="auto"/>
        <w:right w:val="none" w:sz="0" w:space="0" w:color="auto"/>
      </w:divBdr>
    </w:div>
    <w:div w:id="379214223">
      <w:bodyDiv w:val="1"/>
      <w:marLeft w:val="0"/>
      <w:marRight w:val="0"/>
      <w:marTop w:val="0"/>
      <w:marBottom w:val="0"/>
      <w:divBdr>
        <w:top w:val="none" w:sz="0" w:space="0" w:color="auto"/>
        <w:left w:val="none" w:sz="0" w:space="0" w:color="auto"/>
        <w:bottom w:val="none" w:sz="0" w:space="0" w:color="auto"/>
        <w:right w:val="none" w:sz="0" w:space="0" w:color="auto"/>
      </w:divBdr>
    </w:div>
    <w:div w:id="379322891">
      <w:bodyDiv w:val="1"/>
      <w:marLeft w:val="0"/>
      <w:marRight w:val="0"/>
      <w:marTop w:val="0"/>
      <w:marBottom w:val="0"/>
      <w:divBdr>
        <w:top w:val="none" w:sz="0" w:space="0" w:color="auto"/>
        <w:left w:val="none" w:sz="0" w:space="0" w:color="auto"/>
        <w:bottom w:val="none" w:sz="0" w:space="0" w:color="auto"/>
        <w:right w:val="none" w:sz="0" w:space="0" w:color="auto"/>
      </w:divBdr>
      <w:divsChild>
        <w:div w:id="222833447">
          <w:marLeft w:val="0"/>
          <w:marRight w:val="0"/>
          <w:marTop w:val="0"/>
          <w:marBottom w:val="81"/>
          <w:divBdr>
            <w:top w:val="none" w:sz="0" w:space="0" w:color="auto"/>
            <w:left w:val="none" w:sz="0" w:space="0" w:color="auto"/>
            <w:bottom w:val="none" w:sz="0" w:space="0" w:color="auto"/>
            <w:right w:val="none" w:sz="0" w:space="0" w:color="auto"/>
          </w:divBdr>
          <w:divsChild>
            <w:div w:id="816653203">
              <w:marLeft w:val="0"/>
              <w:marRight w:val="0"/>
              <w:marTop w:val="0"/>
              <w:marBottom w:val="81"/>
              <w:divBdr>
                <w:top w:val="none" w:sz="0" w:space="0" w:color="auto"/>
                <w:left w:val="none" w:sz="0" w:space="0" w:color="auto"/>
                <w:bottom w:val="none" w:sz="0" w:space="0" w:color="auto"/>
                <w:right w:val="none" w:sz="0" w:space="0" w:color="auto"/>
              </w:divBdr>
            </w:div>
            <w:div w:id="1788811066">
              <w:marLeft w:val="0"/>
              <w:marRight w:val="0"/>
              <w:marTop w:val="0"/>
              <w:marBottom w:val="0"/>
              <w:divBdr>
                <w:top w:val="none" w:sz="0" w:space="0" w:color="auto"/>
                <w:left w:val="none" w:sz="0" w:space="0" w:color="auto"/>
                <w:bottom w:val="none" w:sz="0" w:space="0" w:color="auto"/>
                <w:right w:val="none" w:sz="0" w:space="0" w:color="auto"/>
              </w:divBdr>
              <w:divsChild>
                <w:div w:id="11835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0793">
      <w:bodyDiv w:val="1"/>
      <w:marLeft w:val="0"/>
      <w:marRight w:val="0"/>
      <w:marTop w:val="0"/>
      <w:marBottom w:val="0"/>
      <w:divBdr>
        <w:top w:val="none" w:sz="0" w:space="0" w:color="auto"/>
        <w:left w:val="none" w:sz="0" w:space="0" w:color="auto"/>
        <w:bottom w:val="none" w:sz="0" w:space="0" w:color="auto"/>
        <w:right w:val="none" w:sz="0" w:space="0" w:color="auto"/>
      </w:divBdr>
    </w:div>
    <w:div w:id="391931334">
      <w:bodyDiv w:val="1"/>
      <w:marLeft w:val="0"/>
      <w:marRight w:val="0"/>
      <w:marTop w:val="0"/>
      <w:marBottom w:val="0"/>
      <w:divBdr>
        <w:top w:val="none" w:sz="0" w:space="0" w:color="auto"/>
        <w:left w:val="none" w:sz="0" w:space="0" w:color="auto"/>
        <w:bottom w:val="none" w:sz="0" w:space="0" w:color="auto"/>
        <w:right w:val="none" w:sz="0" w:space="0" w:color="auto"/>
      </w:divBdr>
    </w:div>
    <w:div w:id="396244943">
      <w:bodyDiv w:val="1"/>
      <w:marLeft w:val="0"/>
      <w:marRight w:val="0"/>
      <w:marTop w:val="0"/>
      <w:marBottom w:val="0"/>
      <w:divBdr>
        <w:top w:val="none" w:sz="0" w:space="0" w:color="auto"/>
        <w:left w:val="none" w:sz="0" w:space="0" w:color="auto"/>
        <w:bottom w:val="none" w:sz="0" w:space="0" w:color="auto"/>
        <w:right w:val="none" w:sz="0" w:space="0" w:color="auto"/>
      </w:divBdr>
    </w:div>
    <w:div w:id="399333868">
      <w:bodyDiv w:val="1"/>
      <w:marLeft w:val="0"/>
      <w:marRight w:val="0"/>
      <w:marTop w:val="0"/>
      <w:marBottom w:val="0"/>
      <w:divBdr>
        <w:top w:val="none" w:sz="0" w:space="0" w:color="auto"/>
        <w:left w:val="none" w:sz="0" w:space="0" w:color="auto"/>
        <w:bottom w:val="none" w:sz="0" w:space="0" w:color="auto"/>
        <w:right w:val="none" w:sz="0" w:space="0" w:color="auto"/>
      </w:divBdr>
    </w:div>
    <w:div w:id="400258219">
      <w:bodyDiv w:val="1"/>
      <w:marLeft w:val="0"/>
      <w:marRight w:val="0"/>
      <w:marTop w:val="0"/>
      <w:marBottom w:val="0"/>
      <w:divBdr>
        <w:top w:val="none" w:sz="0" w:space="0" w:color="auto"/>
        <w:left w:val="none" w:sz="0" w:space="0" w:color="auto"/>
        <w:bottom w:val="none" w:sz="0" w:space="0" w:color="auto"/>
        <w:right w:val="none" w:sz="0" w:space="0" w:color="auto"/>
      </w:divBdr>
      <w:divsChild>
        <w:div w:id="1090587119">
          <w:marLeft w:val="0"/>
          <w:marRight w:val="0"/>
          <w:marTop w:val="0"/>
          <w:marBottom w:val="81"/>
          <w:divBdr>
            <w:top w:val="none" w:sz="0" w:space="0" w:color="auto"/>
            <w:left w:val="none" w:sz="0" w:space="0" w:color="auto"/>
            <w:bottom w:val="none" w:sz="0" w:space="0" w:color="auto"/>
            <w:right w:val="none" w:sz="0" w:space="0" w:color="auto"/>
          </w:divBdr>
          <w:divsChild>
            <w:div w:id="50420560">
              <w:marLeft w:val="0"/>
              <w:marRight w:val="0"/>
              <w:marTop w:val="0"/>
              <w:marBottom w:val="0"/>
              <w:divBdr>
                <w:top w:val="none" w:sz="0" w:space="0" w:color="auto"/>
                <w:left w:val="none" w:sz="0" w:space="0" w:color="auto"/>
                <w:bottom w:val="none" w:sz="0" w:space="0" w:color="auto"/>
                <w:right w:val="none" w:sz="0" w:space="0" w:color="auto"/>
              </w:divBdr>
              <w:divsChild>
                <w:div w:id="573196970">
                  <w:marLeft w:val="0"/>
                  <w:marRight w:val="0"/>
                  <w:marTop w:val="0"/>
                  <w:marBottom w:val="0"/>
                  <w:divBdr>
                    <w:top w:val="none" w:sz="0" w:space="0" w:color="auto"/>
                    <w:left w:val="none" w:sz="0" w:space="0" w:color="auto"/>
                    <w:bottom w:val="none" w:sz="0" w:space="0" w:color="auto"/>
                    <w:right w:val="none" w:sz="0" w:space="0" w:color="auto"/>
                  </w:divBdr>
                  <w:divsChild>
                    <w:div w:id="1351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958">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404959631">
      <w:bodyDiv w:val="1"/>
      <w:marLeft w:val="0"/>
      <w:marRight w:val="0"/>
      <w:marTop w:val="0"/>
      <w:marBottom w:val="0"/>
      <w:divBdr>
        <w:top w:val="none" w:sz="0" w:space="0" w:color="auto"/>
        <w:left w:val="none" w:sz="0" w:space="0" w:color="auto"/>
        <w:bottom w:val="none" w:sz="0" w:space="0" w:color="auto"/>
        <w:right w:val="none" w:sz="0" w:space="0" w:color="auto"/>
      </w:divBdr>
      <w:divsChild>
        <w:div w:id="794760187">
          <w:marLeft w:val="0"/>
          <w:marRight w:val="0"/>
          <w:marTop w:val="0"/>
          <w:marBottom w:val="0"/>
          <w:divBdr>
            <w:top w:val="none" w:sz="0" w:space="0" w:color="auto"/>
            <w:left w:val="none" w:sz="0" w:space="0" w:color="auto"/>
            <w:bottom w:val="none" w:sz="0" w:space="0" w:color="auto"/>
            <w:right w:val="none" w:sz="0" w:space="0" w:color="auto"/>
          </w:divBdr>
          <w:divsChild>
            <w:div w:id="2129081155">
              <w:marLeft w:val="0"/>
              <w:marRight w:val="0"/>
              <w:marTop w:val="0"/>
              <w:marBottom w:val="0"/>
              <w:divBdr>
                <w:top w:val="none" w:sz="0" w:space="0" w:color="auto"/>
                <w:left w:val="none" w:sz="0" w:space="0" w:color="auto"/>
                <w:bottom w:val="none" w:sz="0" w:space="0" w:color="auto"/>
                <w:right w:val="none" w:sz="0" w:space="0" w:color="auto"/>
              </w:divBdr>
              <w:divsChild>
                <w:div w:id="1063210997">
                  <w:marLeft w:val="0"/>
                  <w:marRight w:val="0"/>
                  <w:marTop w:val="0"/>
                  <w:marBottom w:val="0"/>
                  <w:divBdr>
                    <w:top w:val="none" w:sz="0" w:space="0" w:color="auto"/>
                    <w:left w:val="none" w:sz="0" w:space="0" w:color="auto"/>
                    <w:bottom w:val="none" w:sz="0" w:space="0" w:color="auto"/>
                    <w:right w:val="none" w:sz="0" w:space="0" w:color="auto"/>
                  </w:divBdr>
                  <w:divsChild>
                    <w:div w:id="1394085086">
                      <w:marLeft w:val="0"/>
                      <w:marRight w:val="0"/>
                      <w:marTop w:val="0"/>
                      <w:marBottom w:val="0"/>
                      <w:divBdr>
                        <w:top w:val="none" w:sz="0" w:space="0" w:color="auto"/>
                        <w:left w:val="none" w:sz="0" w:space="0" w:color="auto"/>
                        <w:bottom w:val="none" w:sz="0" w:space="0" w:color="auto"/>
                        <w:right w:val="none" w:sz="0" w:space="0" w:color="auto"/>
                      </w:divBdr>
                      <w:divsChild>
                        <w:div w:id="6659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770412">
      <w:bodyDiv w:val="1"/>
      <w:marLeft w:val="0"/>
      <w:marRight w:val="0"/>
      <w:marTop w:val="0"/>
      <w:marBottom w:val="0"/>
      <w:divBdr>
        <w:top w:val="none" w:sz="0" w:space="0" w:color="auto"/>
        <w:left w:val="none" w:sz="0" w:space="0" w:color="auto"/>
        <w:bottom w:val="none" w:sz="0" w:space="0" w:color="auto"/>
        <w:right w:val="none" w:sz="0" w:space="0" w:color="auto"/>
      </w:divBdr>
    </w:div>
    <w:div w:id="414205750">
      <w:bodyDiv w:val="1"/>
      <w:marLeft w:val="0"/>
      <w:marRight w:val="0"/>
      <w:marTop w:val="0"/>
      <w:marBottom w:val="0"/>
      <w:divBdr>
        <w:top w:val="none" w:sz="0" w:space="0" w:color="auto"/>
        <w:left w:val="none" w:sz="0" w:space="0" w:color="auto"/>
        <w:bottom w:val="none" w:sz="0" w:space="0" w:color="auto"/>
        <w:right w:val="none" w:sz="0" w:space="0" w:color="auto"/>
      </w:divBdr>
    </w:div>
    <w:div w:id="419907671">
      <w:bodyDiv w:val="1"/>
      <w:marLeft w:val="0"/>
      <w:marRight w:val="0"/>
      <w:marTop w:val="0"/>
      <w:marBottom w:val="0"/>
      <w:divBdr>
        <w:top w:val="none" w:sz="0" w:space="0" w:color="auto"/>
        <w:left w:val="none" w:sz="0" w:space="0" w:color="auto"/>
        <w:bottom w:val="none" w:sz="0" w:space="0" w:color="auto"/>
        <w:right w:val="none" w:sz="0" w:space="0" w:color="auto"/>
      </w:divBdr>
    </w:div>
    <w:div w:id="421412770">
      <w:bodyDiv w:val="1"/>
      <w:marLeft w:val="0"/>
      <w:marRight w:val="0"/>
      <w:marTop w:val="0"/>
      <w:marBottom w:val="0"/>
      <w:divBdr>
        <w:top w:val="none" w:sz="0" w:space="0" w:color="auto"/>
        <w:left w:val="none" w:sz="0" w:space="0" w:color="auto"/>
        <w:bottom w:val="none" w:sz="0" w:space="0" w:color="auto"/>
        <w:right w:val="none" w:sz="0" w:space="0" w:color="auto"/>
      </w:divBdr>
    </w:div>
    <w:div w:id="424225451">
      <w:bodyDiv w:val="1"/>
      <w:marLeft w:val="0"/>
      <w:marRight w:val="0"/>
      <w:marTop w:val="0"/>
      <w:marBottom w:val="0"/>
      <w:divBdr>
        <w:top w:val="none" w:sz="0" w:space="0" w:color="auto"/>
        <w:left w:val="none" w:sz="0" w:space="0" w:color="auto"/>
        <w:bottom w:val="none" w:sz="0" w:space="0" w:color="auto"/>
        <w:right w:val="none" w:sz="0" w:space="0" w:color="auto"/>
      </w:divBdr>
    </w:div>
    <w:div w:id="425342305">
      <w:bodyDiv w:val="1"/>
      <w:marLeft w:val="0"/>
      <w:marRight w:val="0"/>
      <w:marTop w:val="0"/>
      <w:marBottom w:val="0"/>
      <w:divBdr>
        <w:top w:val="none" w:sz="0" w:space="0" w:color="auto"/>
        <w:left w:val="none" w:sz="0" w:space="0" w:color="auto"/>
        <w:bottom w:val="none" w:sz="0" w:space="0" w:color="auto"/>
        <w:right w:val="none" w:sz="0" w:space="0" w:color="auto"/>
      </w:divBdr>
      <w:divsChild>
        <w:div w:id="209154302">
          <w:marLeft w:val="418"/>
          <w:marRight w:val="0"/>
          <w:marTop w:val="192"/>
          <w:marBottom w:val="58"/>
          <w:divBdr>
            <w:top w:val="none" w:sz="0" w:space="0" w:color="auto"/>
            <w:left w:val="none" w:sz="0" w:space="0" w:color="auto"/>
            <w:bottom w:val="none" w:sz="0" w:space="0" w:color="auto"/>
            <w:right w:val="none" w:sz="0" w:space="0" w:color="auto"/>
          </w:divBdr>
        </w:div>
        <w:div w:id="2082287336">
          <w:marLeft w:val="418"/>
          <w:marRight w:val="0"/>
          <w:marTop w:val="192"/>
          <w:marBottom w:val="58"/>
          <w:divBdr>
            <w:top w:val="none" w:sz="0" w:space="0" w:color="auto"/>
            <w:left w:val="none" w:sz="0" w:space="0" w:color="auto"/>
            <w:bottom w:val="none" w:sz="0" w:space="0" w:color="auto"/>
            <w:right w:val="none" w:sz="0" w:space="0" w:color="auto"/>
          </w:divBdr>
        </w:div>
      </w:divsChild>
    </w:div>
    <w:div w:id="426460230">
      <w:bodyDiv w:val="1"/>
      <w:marLeft w:val="0"/>
      <w:marRight w:val="0"/>
      <w:marTop w:val="0"/>
      <w:marBottom w:val="0"/>
      <w:divBdr>
        <w:top w:val="none" w:sz="0" w:space="0" w:color="auto"/>
        <w:left w:val="none" w:sz="0" w:space="0" w:color="auto"/>
        <w:bottom w:val="none" w:sz="0" w:space="0" w:color="auto"/>
        <w:right w:val="none" w:sz="0" w:space="0" w:color="auto"/>
      </w:divBdr>
    </w:div>
    <w:div w:id="427312427">
      <w:bodyDiv w:val="1"/>
      <w:marLeft w:val="0"/>
      <w:marRight w:val="0"/>
      <w:marTop w:val="0"/>
      <w:marBottom w:val="0"/>
      <w:divBdr>
        <w:top w:val="none" w:sz="0" w:space="0" w:color="auto"/>
        <w:left w:val="none" w:sz="0" w:space="0" w:color="auto"/>
        <w:bottom w:val="none" w:sz="0" w:space="0" w:color="auto"/>
        <w:right w:val="none" w:sz="0" w:space="0" w:color="auto"/>
      </w:divBdr>
    </w:div>
    <w:div w:id="429618025">
      <w:bodyDiv w:val="1"/>
      <w:marLeft w:val="0"/>
      <w:marRight w:val="0"/>
      <w:marTop w:val="0"/>
      <w:marBottom w:val="0"/>
      <w:divBdr>
        <w:top w:val="none" w:sz="0" w:space="0" w:color="auto"/>
        <w:left w:val="none" w:sz="0" w:space="0" w:color="auto"/>
        <w:bottom w:val="none" w:sz="0" w:space="0" w:color="auto"/>
        <w:right w:val="none" w:sz="0" w:space="0" w:color="auto"/>
      </w:divBdr>
    </w:div>
    <w:div w:id="430274127">
      <w:bodyDiv w:val="1"/>
      <w:marLeft w:val="0"/>
      <w:marRight w:val="0"/>
      <w:marTop w:val="0"/>
      <w:marBottom w:val="0"/>
      <w:divBdr>
        <w:top w:val="none" w:sz="0" w:space="0" w:color="auto"/>
        <w:left w:val="none" w:sz="0" w:space="0" w:color="auto"/>
        <w:bottom w:val="none" w:sz="0" w:space="0" w:color="auto"/>
        <w:right w:val="none" w:sz="0" w:space="0" w:color="auto"/>
      </w:divBdr>
    </w:div>
    <w:div w:id="431559795">
      <w:bodyDiv w:val="1"/>
      <w:marLeft w:val="0"/>
      <w:marRight w:val="0"/>
      <w:marTop w:val="0"/>
      <w:marBottom w:val="0"/>
      <w:divBdr>
        <w:top w:val="none" w:sz="0" w:space="0" w:color="auto"/>
        <w:left w:val="none" w:sz="0" w:space="0" w:color="auto"/>
        <w:bottom w:val="none" w:sz="0" w:space="0" w:color="auto"/>
        <w:right w:val="none" w:sz="0" w:space="0" w:color="auto"/>
      </w:divBdr>
    </w:div>
    <w:div w:id="434522122">
      <w:bodyDiv w:val="1"/>
      <w:marLeft w:val="0"/>
      <w:marRight w:val="0"/>
      <w:marTop w:val="0"/>
      <w:marBottom w:val="0"/>
      <w:divBdr>
        <w:top w:val="none" w:sz="0" w:space="0" w:color="auto"/>
        <w:left w:val="none" w:sz="0" w:space="0" w:color="auto"/>
        <w:bottom w:val="none" w:sz="0" w:space="0" w:color="auto"/>
        <w:right w:val="none" w:sz="0" w:space="0" w:color="auto"/>
      </w:divBdr>
      <w:divsChild>
        <w:div w:id="1483237180">
          <w:marLeft w:val="0"/>
          <w:marRight w:val="0"/>
          <w:marTop w:val="0"/>
          <w:marBottom w:val="0"/>
          <w:divBdr>
            <w:top w:val="none" w:sz="0" w:space="0" w:color="auto"/>
            <w:left w:val="none" w:sz="0" w:space="0" w:color="auto"/>
            <w:bottom w:val="none" w:sz="0" w:space="0" w:color="auto"/>
            <w:right w:val="none" w:sz="0" w:space="0" w:color="auto"/>
          </w:divBdr>
        </w:div>
      </w:divsChild>
    </w:div>
    <w:div w:id="446893259">
      <w:bodyDiv w:val="1"/>
      <w:marLeft w:val="0"/>
      <w:marRight w:val="0"/>
      <w:marTop w:val="0"/>
      <w:marBottom w:val="0"/>
      <w:divBdr>
        <w:top w:val="none" w:sz="0" w:space="0" w:color="auto"/>
        <w:left w:val="none" w:sz="0" w:space="0" w:color="auto"/>
        <w:bottom w:val="none" w:sz="0" w:space="0" w:color="auto"/>
        <w:right w:val="none" w:sz="0" w:space="0" w:color="auto"/>
      </w:divBdr>
    </w:div>
    <w:div w:id="450055966">
      <w:bodyDiv w:val="1"/>
      <w:marLeft w:val="0"/>
      <w:marRight w:val="0"/>
      <w:marTop w:val="0"/>
      <w:marBottom w:val="0"/>
      <w:divBdr>
        <w:top w:val="none" w:sz="0" w:space="0" w:color="auto"/>
        <w:left w:val="none" w:sz="0" w:space="0" w:color="auto"/>
        <w:bottom w:val="none" w:sz="0" w:space="0" w:color="auto"/>
        <w:right w:val="none" w:sz="0" w:space="0" w:color="auto"/>
      </w:divBdr>
      <w:divsChild>
        <w:div w:id="38434015">
          <w:marLeft w:val="475"/>
          <w:marRight w:val="0"/>
          <w:marTop w:val="168"/>
          <w:marBottom w:val="0"/>
          <w:divBdr>
            <w:top w:val="none" w:sz="0" w:space="0" w:color="auto"/>
            <w:left w:val="none" w:sz="0" w:space="0" w:color="auto"/>
            <w:bottom w:val="none" w:sz="0" w:space="0" w:color="auto"/>
            <w:right w:val="none" w:sz="0" w:space="0" w:color="auto"/>
          </w:divBdr>
        </w:div>
        <w:div w:id="92747359">
          <w:marLeft w:val="475"/>
          <w:marRight w:val="0"/>
          <w:marTop w:val="168"/>
          <w:marBottom w:val="0"/>
          <w:divBdr>
            <w:top w:val="none" w:sz="0" w:space="0" w:color="auto"/>
            <w:left w:val="none" w:sz="0" w:space="0" w:color="auto"/>
            <w:bottom w:val="none" w:sz="0" w:space="0" w:color="auto"/>
            <w:right w:val="none" w:sz="0" w:space="0" w:color="auto"/>
          </w:divBdr>
        </w:div>
        <w:div w:id="159272163">
          <w:marLeft w:val="1181"/>
          <w:marRight w:val="0"/>
          <w:marTop w:val="168"/>
          <w:marBottom w:val="0"/>
          <w:divBdr>
            <w:top w:val="none" w:sz="0" w:space="0" w:color="auto"/>
            <w:left w:val="none" w:sz="0" w:space="0" w:color="auto"/>
            <w:bottom w:val="none" w:sz="0" w:space="0" w:color="auto"/>
            <w:right w:val="none" w:sz="0" w:space="0" w:color="auto"/>
          </w:divBdr>
        </w:div>
        <w:div w:id="163401151">
          <w:marLeft w:val="1181"/>
          <w:marRight w:val="0"/>
          <w:marTop w:val="168"/>
          <w:marBottom w:val="0"/>
          <w:divBdr>
            <w:top w:val="none" w:sz="0" w:space="0" w:color="auto"/>
            <w:left w:val="none" w:sz="0" w:space="0" w:color="auto"/>
            <w:bottom w:val="none" w:sz="0" w:space="0" w:color="auto"/>
            <w:right w:val="none" w:sz="0" w:space="0" w:color="auto"/>
          </w:divBdr>
        </w:div>
        <w:div w:id="187375538">
          <w:marLeft w:val="1181"/>
          <w:marRight w:val="0"/>
          <w:marTop w:val="168"/>
          <w:marBottom w:val="0"/>
          <w:divBdr>
            <w:top w:val="none" w:sz="0" w:space="0" w:color="auto"/>
            <w:left w:val="none" w:sz="0" w:space="0" w:color="auto"/>
            <w:bottom w:val="none" w:sz="0" w:space="0" w:color="auto"/>
            <w:right w:val="none" w:sz="0" w:space="0" w:color="auto"/>
          </w:divBdr>
        </w:div>
        <w:div w:id="841775349">
          <w:marLeft w:val="475"/>
          <w:marRight w:val="0"/>
          <w:marTop w:val="168"/>
          <w:marBottom w:val="0"/>
          <w:divBdr>
            <w:top w:val="none" w:sz="0" w:space="0" w:color="auto"/>
            <w:left w:val="none" w:sz="0" w:space="0" w:color="auto"/>
            <w:bottom w:val="none" w:sz="0" w:space="0" w:color="auto"/>
            <w:right w:val="none" w:sz="0" w:space="0" w:color="auto"/>
          </w:divBdr>
        </w:div>
        <w:div w:id="841814791">
          <w:marLeft w:val="1181"/>
          <w:marRight w:val="0"/>
          <w:marTop w:val="168"/>
          <w:marBottom w:val="0"/>
          <w:divBdr>
            <w:top w:val="none" w:sz="0" w:space="0" w:color="auto"/>
            <w:left w:val="none" w:sz="0" w:space="0" w:color="auto"/>
            <w:bottom w:val="none" w:sz="0" w:space="0" w:color="auto"/>
            <w:right w:val="none" w:sz="0" w:space="0" w:color="auto"/>
          </w:divBdr>
        </w:div>
        <w:div w:id="876047260">
          <w:marLeft w:val="475"/>
          <w:marRight w:val="0"/>
          <w:marTop w:val="168"/>
          <w:marBottom w:val="0"/>
          <w:divBdr>
            <w:top w:val="none" w:sz="0" w:space="0" w:color="auto"/>
            <w:left w:val="none" w:sz="0" w:space="0" w:color="auto"/>
            <w:bottom w:val="none" w:sz="0" w:space="0" w:color="auto"/>
            <w:right w:val="none" w:sz="0" w:space="0" w:color="auto"/>
          </w:divBdr>
        </w:div>
        <w:div w:id="954168785">
          <w:marLeft w:val="1181"/>
          <w:marRight w:val="0"/>
          <w:marTop w:val="168"/>
          <w:marBottom w:val="0"/>
          <w:divBdr>
            <w:top w:val="none" w:sz="0" w:space="0" w:color="auto"/>
            <w:left w:val="none" w:sz="0" w:space="0" w:color="auto"/>
            <w:bottom w:val="none" w:sz="0" w:space="0" w:color="auto"/>
            <w:right w:val="none" w:sz="0" w:space="0" w:color="auto"/>
          </w:divBdr>
        </w:div>
        <w:div w:id="1024674101">
          <w:marLeft w:val="1181"/>
          <w:marRight w:val="0"/>
          <w:marTop w:val="168"/>
          <w:marBottom w:val="0"/>
          <w:divBdr>
            <w:top w:val="none" w:sz="0" w:space="0" w:color="auto"/>
            <w:left w:val="none" w:sz="0" w:space="0" w:color="auto"/>
            <w:bottom w:val="none" w:sz="0" w:space="0" w:color="auto"/>
            <w:right w:val="none" w:sz="0" w:space="0" w:color="auto"/>
          </w:divBdr>
        </w:div>
        <w:div w:id="1227449792">
          <w:marLeft w:val="1181"/>
          <w:marRight w:val="0"/>
          <w:marTop w:val="168"/>
          <w:marBottom w:val="0"/>
          <w:divBdr>
            <w:top w:val="none" w:sz="0" w:space="0" w:color="auto"/>
            <w:left w:val="none" w:sz="0" w:space="0" w:color="auto"/>
            <w:bottom w:val="none" w:sz="0" w:space="0" w:color="auto"/>
            <w:right w:val="none" w:sz="0" w:space="0" w:color="auto"/>
          </w:divBdr>
        </w:div>
        <w:div w:id="1470050193">
          <w:marLeft w:val="1181"/>
          <w:marRight w:val="0"/>
          <w:marTop w:val="168"/>
          <w:marBottom w:val="0"/>
          <w:divBdr>
            <w:top w:val="none" w:sz="0" w:space="0" w:color="auto"/>
            <w:left w:val="none" w:sz="0" w:space="0" w:color="auto"/>
            <w:bottom w:val="none" w:sz="0" w:space="0" w:color="auto"/>
            <w:right w:val="none" w:sz="0" w:space="0" w:color="auto"/>
          </w:divBdr>
        </w:div>
        <w:div w:id="1744181560">
          <w:marLeft w:val="1181"/>
          <w:marRight w:val="0"/>
          <w:marTop w:val="168"/>
          <w:marBottom w:val="0"/>
          <w:divBdr>
            <w:top w:val="none" w:sz="0" w:space="0" w:color="auto"/>
            <w:left w:val="none" w:sz="0" w:space="0" w:color="auto"/>
            <w:bottom w:val="none" w:sz="0" w:space="0" w:color="auto"/>
            <w:right w:val="none" w:sz="0" w:space="0" w:color="auto"/>
          </w:divBdr>
        </w:div>
        <w:div w:id="1932855074">
          <w:marLeft w:val="1181"/>
          <w:marRight w:val="0"/>
          <w:marTop w:val="168"/>
          <w:marBottom w:val="0"/>
          <w:divBdr>
            <w:top w:val="none" w:sz="0" w:space="0" w:color="auto"/>
            <w:left w:val="none" w:sz="0" w:space="0" w:color="auto"/>
            <w:bottom w:val="none" w:sz="0" w:space="0" w:color="auto"/>
            <w:right w:val="none" w:sz="0" w:space="0" w:color="auto"/>
          </w:divBdr>
        </w:div>
        <w:div w:id="2086609140">
          <w:marLeft w:val="1181"/>
          <w:marRight w:val="0"/>
          <w:marTop w:val="168"/>
          <w:marBottom w:val="0"/>
          <w:divBdr>
            <w:top w:val="none" w:sz="0" w:space="0" w:color="auto"/>
            <w:left w:val="none" w:sz="0" w:space="0" w:color="auto"/>
            <w:bottom w:val="none" w:sz="0" w:space="0" w:color="auto"/>
            <w:right w:val="none" w:sz="0" w:space="0" w:color="auto"/>
          </w:divBdr>
        </w:div>
      </w:divsChild>
    </w:div>
    <w:div w:id="452139608">
      <w:bodyDiv w:val="1"/>
      <w:marLeft w:val="0"/>
      <w:marRight w:val="0"/>
      <w:marTop w:val="0"/>
      <w:marBottom w:val="0"/>
      <w:divBdr>
        <w:top w:val="none" w:sz="0" w:space="0" w:color="auto"/>
        <w:left w:val="none" w:sz="0" w:space="0" w:color="auto"/>
        <w:bottom w:val="none" w:sz="0" w:space="0" w:color="auto"/>
        <w:right w:val="none" w:sz="0" w:space="0" w:color="auto"/>
      </w:divBdr>
    </w:div>
    <w:div w:id="455489039">
      <w:bodyDiv w:val="1"/>
      <w:marLeft w:val="0"/>
      <w:marRight w:val="0"/>
      <w:marTop w:val="0"/>
      <w:marBottom w:val="0"/>
      <w:divBdr>
        <w:top w:val="none" w:sz="0" w:space="0" w:color="auto"/>
        <w:left w:val="none" w:sz="0" w:space="0" w:color="auto"/>
        <w:bottom w:val="none" w:sz="0" w:space="0" w:color="auto"/>
        <w:right w:val="none" w:sz="0" w:space="0" w:color="auto"/>
      </w:divBdr>
    </w:div>
    <w:div w:id="461580739">
      <w:bodyDiv w:val="1"/>
      <w:marLeft w:val="0"/>
      <w:marRight w:val="0"/>
      <w:marTop w:val="0"/>
      <w:marBottom w:val="0"/>
      <w:divBdr>
        <w:top w:val="none" w:sz="0" w:space="0" w:color="auto"/>
        <w:left w:val="none" w:sz="0" w:space="0" w:color="auto"/>
        <w:bottom w:val="none" w:sz="0" w:space="0" w:color="auto"/>
        <w:right w:val="none" w:sz="0" w:space="0" w:color="auto"/>
      </w:divBdr>
    </w:div>
    <w:div w:id="465241286">
      <w:bodyDiv w:val="1"/>
      <w:marLeft w:val="0"/>
      <w:marRight w:val="0"/>
      <w:marTop w:val="0"/>
      <w:marBottom w:val="0"/>
      <w:divBdr>
        <w:top w:val="none" w:sz="0" w:space="0" w:color="auto"/>
        <w:left w:val="none" w:sz="0" w:space="0" w:color="auto"/>
        <w:bottom w:val="none" w:sz="0" w:space="0" w:color="auto"/>
        <w:right w:val="none" w:sz="0" w:space="0" w:color="auto"/>
      </w:divBdr>
    </w:div>
    <w:div w:id="466170648">
      <w:bodyDiv w:val="1"/>
      <w:marLeft w:val="0"/>
      <w:marRight w:val="0"/>
      <w:marTop w:val="0"/>
      <w:marBottom w:val="0"/>
      <w:divBdr>
        <w:top w:val="none" w:sz="0" w:space="0" w:color="auto"/>
        <w:left w:val="none" w:sz="0" w:space="0" w:color="auto"/>
        <w:bottom w:val="none" w:sz="0" w:space="0" w:color="auto"/>
        <w:right w:val="none" w:sz="0" w:space="0" w:color="auto"/>
      </w:divBdr>
    </w:div>
    <w:div w:id="468479088">
      <w:bodyDiv w:val="1"/>
      <w:marLeft w:val="0"/>
      <w:marRight w:val="0"/>
      <w:marTop w:val="0"/>
      <w:marBottom w:val="0"/>
      <w:divBdr>
        <w:top w:val="none" w:sz="0" w:space="0" w:color="auto"/>
        <w:left w:val="none" w:sz="0" w:space="0" w:color="auto"/>
        <w:bottom w:val="none" w:sz="0" w:space="0" w:color="auto"/>
        <w:right w:val="none" w:sz="0" w:space="0" w:color="auto"/>
      </w:divBdr>
    </w:div>
    <w:div w:id="469985131">
      <w:bodyDiv w:val="1"/>
      <w:marLeft w:val="0"/>
      <w:marRight w:val="0"/>
      <w:marTop w:val="0"/>
      <w:marBottom w:val="0"/>
      <w:divBdr>
        <w:top w:val="none" w:sz="0" w:space="0" w:color="auto"/>
        <w:left w:val="none" w:sz="0" w:space="0" w:color="auto"/>
        <w:bottom w:val="none" w:sz="0" w:space="0" w:color="auto"/>
        <w:right w:val="none" w:sz="0" w:space="0" w:color="auto"/>
      </w:divBdr>
    </w:div>
    <w:div w:id="470489299">
      <w:bodyDiv w:val="1"/>
      <w:marLeft w:val="0"/>
      <w:marRight w:val="0"/>
      <w:marTop w:val="0"/>
      <w:marBottom w:val="0"/>
      <w:divBdr>
        <w:top w:val="none" w:sz="0" w:space="0" w:color="auto"/>
        <w:left w:val="none" w:sz="0" w:space="0" w:color="auto"/>
        <w:bottom w:val="none" w:sz="0" w:space="0" w:color="auto"/>
        <w:right w:val="none" w:sz="0" w:space="0" w:color="auto"/>
      </w:divBdr>
      <w:divsChild>
        <w:div w:id="397476728">
          <w:marLeft w:val="184"/>
          <w:marRight w:val="-1843"/>
          <w:marTop w:val="0"/>
          <w:marBottom w:val="184"/>
          <w:divBdr>
            <w:top w:val="none" w:sz="0" w:space="0" w:color="auto"/>
            <w:left w:val="none" w:sz="0" w:space="0" w:color="auto"/>
            <w:bottom w:val="none" w:sz="0" w:space="0" w:color="auto"/>
            <w:right w:val="none" w:sz="0" w:space="0" w:color="auto"/>
          </w:divBdr>
          <w:divsChild>
            <w:div w:id="5439047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976">
      <w:bodyDiv w:val="1"/>
      <w:marLeft w:val="0"/>
      <w:marRight w:val="0"/>
      <w:marTop w:val="0"/>
      <w:marBottom w:val="0"/>
      <w:divBdr>
        <w:top w:val="none" w:sz="0" w:space="0" w:color="auto"/>
        <w:left w:val="none" w:sz="0" w:space="0" w:color="auto"/>
        <w:bottom w:val="none" w:sz="0" w:space="0" w:color="auto"/>
        <w:right w:val="none" w:sz="0" w:space="0" w:color="auto"/>
      </w:divBdr>
    </w:div>
    <w:div w:id="474294413">
      <w:bodyDiv w:val="1"/>
      <w:marLeft w:val="0"/>
      <w:marRight w:val="0"/>
      <w:marTop w:val="0"/>
      <w:marBottom w:val="0"/>
      <w:divBdr>
        <w:top w:val="none" w:sz="0" w:space="0" w:color="auto"/>
        <w:left w:val="none" w:sz="0" w:space="0" w:color="auto"/>
        <w:bottom w:val="none" w:sz="0" w:space="0" w:color="auto"/>
        <w:right w:val="none" w:sz="0" w:space="0" w:color="auto"/>
      </w:divBdr>
    </w:div>
    <w:div w:id="476144263">
      <w:bodyDiv w:val="1"/>
      <w:marLeft w:val="0"/>
      <w:marRight w:val="0"/>
      <w:marTop w:val="0"/>
      <w:marBottom w:val="0"/>
      <w:divBdr>
        <w:top w:val="none" w:sz="0" w:space="0" w:color="auto"/>
        <w:left w:val="none" w:sz="0" w:space="0" w:color="auto"/>
        <w:bottom w:val="none" w:sz="0" w:space="0" w:color="auto"/>
        <w:right w:val="none" w:sz="0" w:space="0" w:color="auto"/>
      </w:divBdr>
    </w:div>
    <w:div w:id="476340719">
      <w:bodyDiv w:val="1"/>
      <w:marLeft w:val="0"/>
      <w:marRight w:val="0"/>
      <w:marTop w:val="0"/>
      <w:marBottom w:val="0"/>
      <w:divBdr>
        <w:top w:val="none" w:sz="0" w:space="0" w:color="auto"/>
        <w:left w:val="none" w:sz="0" w:space="0" w:color="auto"/>
        <w:bottom w:val="none" w:sz="0" w:space="0" w:color="auto"/>
        <w:right w:val="none" w:sz="0" w:space="0" w:color="auto"/>
      </w:divBdr>
    </w:div>
    <w:div w:id="477773211">
      <w:bodyDiv w:val="1"/>
      <w:marLeft w:val="0"/>
      <w:marRight w:val="0"/>
      <w:marTop w:val="0"/>
      <w:marBottom w:val="0"/>
      <w:divBdr>
        <w:top w:val="none" w:sz="0" w:space="0" w:color="auto"/>
        <w:left w:val="none" w:sz="0" w:space="0" w:color="auto"/>
        <w:bottom w:val="none" w:sz="0" w:space="0" w:color="auto"/>
        <w:right w:val="none" w:sz="0" w:space="0" w:color="auto"/>
      </w:divBdr>
    </w:div>
    <w:div w:id="479882711">
      <w:bodyDiv w:val="1"/>
      <w:marLeft w:val="0"/>
      <w:marRight w:val="0"/>
      <w:marTop w:val="0"/>
      <w:marBottom w:val="0"/>
      <w:divBdr>
        <w:top w:val="none" w:sz="0" w:space="0" w:color="auto"/>
        <w:left w:val="none" w:sz="0" w:space="0" w:color="auto"/>
        <w:bottom w:val="none" w:sz="0" w:space="0" w:color="auto"/>
        <w:right w:val="none" w:sz="0" w:space="0" w:color="auto"/>
      </w:divBdr>
    </w:div>
    <w:div w:id="481242930">
      <w:bodyDiv w:val="1"/>
      <w:marLeft w:val="0"/>
      <w:marRight w:val="0"/>
      <w:marTop w:val="0"/>
      <w:marBottom w:val="0"/>
      <w:divBdr>
        <w:top w:val="none" w:sz="0" w:space="0" w:color="auto"/>
        <w:left w:val="none" w:sz="0" w:space="0" w:color="auto"/>
        <w:bottom w:val="none" w:sz="0" w:space="0" w:color="auto"/>
        <w:right w:val="none" w:sz="0" w:space="0" w:color="auto"/>
      </w:divBdr>
    </w:div>
    <w:div w:id="482432967">
      <w:bodyDiv w:val="1"/>
      <w:marLeft w:val="0"/>
      <w:marRight w:val="0"/>
      <w:marTop w:val="0"/>
      <w:marBottom w:val="0"/>
      <w:divBdr>
        <w:top w:val="none" w:sz="0" w:space="0" w:color="auto"/>
        <w:left w:val="none" w:sz="0" w:space="0" w:color="auto"/>
        <w:bottom w:val="none" w:sz="0" w:space="0" w:color="auto"/>
        <w:right w:val="none" w:sz="0" w:space="0" w:color="auto"/>
      </w:divBdr>
    </w:div>
    <w:div w:id="483813667">
      <w:bodyDiv w:val="1"/>
      <w:marLeft w:val="0"/>
      <w:marRight w:val="0"/>
      <w:marTop w:val="0"/>
      <w:marBottom w:val="0"/>
      <w:divBdr>
        <w:top w:val="none" w:sz="0" w:space="0" w:color="auto"/>
        <w:left w:val="none" w:sz="0" w:space="0" w:color="auto"/>
        <w:bottom w:val="none" w:sz="0" w:space="0" w:color="auto"/>
        <w:right w:val="none" w:sz="0" w:space="0" w:color="auto"/>
      </w:divBdr>
    </w:div>
    <w:div w:id="485513935">
      <w:bodyDiv w:val="1"/>
      <w:marLeft w:val="0"/>
      <w:marRight w:val="0"/>
      <w:marTop w:val="0"/>
      <w:marBottom w:val="0"/>
      <w:divBdr>
        <w:top w:val="none" w:sz="0" w:space="0" w:color="auto"/>
        <w:left w:val="none" w:sz="0" w:space="0" w:color="auto"/>
        <w:bottom w:val="none" w:sz="0" w:space="0" w:color="auto"/>
        <w:right w:val="none" w:sz="0" w:space="0" w:color="auto"/>
      </w:divBdr>
    </w:div>
    <w:div w:id="488710618">
      <w:bodyDiv w:val="1"/>
      <w:marLeft w:val="0"/>
      <w:marRight w:val="0"/>
      <w:marTop w:val="0"/>
      <w:marBottom w:val="0"/>
      <w:divBdr>
        <w:top w:val="none" w:sz="0" w:space="0" w:color="auto"/>
        <w:left w:val="none" w:sz="0" w:space="0" w:color="auto"/>
        <w:bottom w:val="none" w:sz="0" w:space="0" w:color="auto"/>
        <w:right w:val="none" w:sz="0" w:space="0" w:color="auto"/>
      </w:divBdr>
    </w:div>
    <w:div w:id="498008119">
      <w:bodyDiv w:val="1"/>
      <w:marLeft w:val="0"/>
      <w:marRight w:val="0"/>
      <w:marTop w:val="0"/>
      <w:marBottom w:val="0"/>
      <w:divBdr>
        <w:top w:val="none" w:sz="0" w:space="0" w:color="auto"/>
        <w:left w:val="none" w:sz="0" w:space="0" w:color="auto"/>
        <w:bottom w:val="none" w:sz="0" w:space="0" w:color="auto"/>
        <w:right w:val="none" w:sz="0" w:space="0" w:color="auto"/>
      </w:divBdr>
    </w:div>
    <w:div w:id="505361160">
      <w:bodyDiv w:val="1"/>
      <w:marLeft w:val="0"/>
      <w:marRight w:val="0"/>
      <w:marTop w:val="0"/>
      <w:marBottom w:val="0"/>
      <w:divBdr>
        <w:top w:val="none" w:sz="0" w:space="0" w:color="auto"/>
        <w:left w:val="none" w:sz="0" w:space="0" w:color="auto"/>
        <w:bottom w:val="none" w:sz="0" w:space="0" w:color="auto"/>
        <w:right w:val="none" w:sz="0" w:space="0" w:color="auto"/>
      </w:divBdr>
    </w:div>
    <w:div w:id="505754883">
      <w:bodyDiv w:val="1"/>
      <w:marLeft w:val="0"/>
      <w:marRight w:val="0"/>
      <w:marTop w:val="0"/>
      <w:marBottom w:val="0"/>
      <w:divBdr>
        <w:top w:val="none" w:sz="0" w:space="0" w:color="auto"/>
        <w:left w:val="none" w:sz="0" w:space="0" w:color="auto"/>
        <w:bottom w:val="none" w:sz="0" w:space="0" w:color="auto"/>
        <w:right w:val="none" w:sz="0" w:space="0" w:color="auto"/>
      </w:divBdr>
    </w:div>
    <w:div w:id="508642070">
      <w:bodyDiv w:val="1"/>
      <w:marLeft w:val="0"/>
      <w:marRight w:val="0"/>
      <w:marTop w:val="0"/>
      <w:marBottom w:val="0"/>
      <w:divBdr>
        <w:top w:val="none" w:sz="0" w:space="0" w:color="auto"/>
        <w:left w:val="none" w:sz="0" w:space="0" w:color="auto"/>
        <w:bottom w:val="none" w:sz="0" w:space="0" w:color="auto"/>
        <w:right w:val="none" w:sz="0" w:space="0" w:color="auto"/>
      </w:divBdr>
    </w:div>
    <w:div w:id="510948183">
      <w:bodyDiv w:val="1"/>
      <w:marLeft w:val="0"/>
      <w:marRight w:val="0"/>
      <w:marTop w:val="0"/>
      <w:marBottom w:val="0"/>
      <w:divBdr>
        <w:top w:val="none" w:sz="0" w:space="0" w:color="auto"/>
        <w:left w:val="none" w:sz="0" w:space="0" w:color="auto"/>
        <w:bottom w:val="none" w:sz="0" w:space="0" w:color="auto"/>
        <w:right w:val="none" w:sz="0" w:space="0" w:color="auto"/>
      </w:divBdr>
    </w:div>
    <w:div w:id="512645105">
      <w:bodyDiv w:val="1"/>
      <w:marLeft w:val="0"/>
      <w:marRight w:val="0"/>
      <w:marTop w:val="0"/>
      <w:marBottom w:val="0"/>
      <w:divBdr>
        <w:top w:val="none" w:sz="0" w:space="0" w:color="auto"/>
        <w:left w:val="none" w:sz="0" w:space="0" w:color="auto"/>
        <w:bottom w:val="none" w:sz="0" w:space="0" w:color="auto"/>
        <w:right w:val="none" w:sz="0" w:space="0" w:color="auto"/>
      </w:divBdr>
    </w:div>
    <w:div w:id="516623068">
      <w:bodyDiv w:val="1"/>
      <w:marLeft w:val="0"/>
      <w:marRight w:val="0"/>
      <w:marTop w:val="0"/>
      <w:marBottom w:val="0"/>
      <w:divBdr>
        <w:top w:val="none" w:sz="0" w:space="0" w:color="auto"/>
        <w:left w:val="none" w:sz="0" w:space="0" w:color="auto"/>
        <w:bottom w:val="none" w:sz="0" w:space="0" w:color="auto"/>
        <w:right w:val="none" w:sz="0" w:space="0" w:color="auto"/>
      </w:divBdr>
    </w:div>
    <w:div w:id="523713394">
      <w:bodyDiv w:val="1"/>
      <w:marLeft w:val="0"/>
      <w:marRight w:val="0"/>
      <w:marTop w:val="0"/>
      <w:marBottom w:val="0"/>
      <w:divBdr>
        <w:top w:val="none" w:sz="0" w:space="0" w:color="auto"/>
        <w:left w:val="none" w:sz="0" w:space="0" w:color="auto"/>
        <w:bottom w:val="none" w:sz="0" w:space="0" w:color="auto"/>
        <w:right w:val="none" w:sz="0" w:space="0" w:color="auto"/>
      </w:divBdr>
    </w:div>
    <w:div w:id="524102178">
      <w:bodyDiv w:val="1"/>
      <w:marLeft w:val="0"/>
      <w:marRight w:val="0"/>
      <w:marTop w:val="0"/>
      <w:marBottom w:val="0"/>
      <w:divBdr>
        <w:top w:val="none" w:sz="0" w:space="0" w:color="auto"/>
        <w:left w:val="none" w:sz="0" w:space="0" w:color="auto"/>
        <w:bottom w:val="none" w:sz="0" w:space="0" w:color="auto"/>
        <w:right w:val="none" w:sz="0" w:space="0" w:color="auto"/>
      </w:divBdr>
    </w:div>
    <w:div w:id="528179745">
      <w:bodyDiv w:val="1"/>
      <w:marLeft w:val="0"/>
      <w:marRight w:val="0"/>
      <w:marTop w:val="0"/>
      <w:marBottom w:val="0"/>
      <w:divBdr>
        <w:top w:val="none" w:sz="0" w:space="0" w:color="auto"/>
        <w:left w:val="none" w:sz="0" w:space="0" w:color="auto"/>
        <w:bottom w:val="none" w:sz="0" w:space="0" w:color="auto"/>
        <w:right w:val="none" w:sz="0" w:space="0" w:color="auto"/>
      </w:divBdr>
    </w:div>
    <w:div w:id="533078260">
      <w:bodyDiv w:val="1"/>
      <w:marLeft w:val="0"/>
      <w:marRight w:val="0"/>
      <w:marTop w:val="0"/>
      <w:marBottom w:val="0"/>
      <w:divBdr>
        <w:top w:val="none" w:sz="0" w:space="0" w:color="auto"/>
        <w:left w:val="none" w:sz="0" w:space="0" w:color="auto"/>
        <w:bottom w:val="none" w:sz="0" w:space="0" w:color="auto"/>
        <w:right w:val="none" w:sz="0" w:space="0" w:color="auto"/>
      </w:divBdr>
      <w:divsChild>
        <w:div w:id="1102650529">
          <w:marLeft w:val="0"/>
          <w:marRight w:val="0"/>
          <w:marTop w:val="0"/>
          <w:marBottom w:val="0"/>
          <w:divBdr>
            <w:top w:val="none" w:sz="0" w:space="0" w:color="auto"/>
            <w:left w:val="none" w:sz="0" w:space="0" w:color="auto"/>
            <w:bottom w:val="none" w:sz="0" w:space="0" w:color="auto"/>
            <w:right w:val="none" w:sz="0" w:space="0" w:color="auto"/>
          </w:divBdr>
        </w:div>
        <w:div w:id="1324548771">
          <w:marLeft w:val="0"/>
          <w:marRight w:val="0"/>
          <w:marTop w:val="0"/>
          <w:marBottom w:val="81"/>
          <w:divBdr>
            <w:top w:val="none" w:sz="0" w:space="0" w:color="auto"/>
            <w:left w:val="none" w:sz="0" w:space="0" w:color="auto"/>
            <w:bottom w:val="none" w:sz="0" w:space="0" w:color="auto"/>
            <w:right w:val="none" w:sz="0" w:space="0" w:color="auto"/>
          </w:divBdr>
          <w:divsChild>
            <w:div w:id="1335256051">
              <w:marLeft w:val="0"/>
              <w:marRight w:val="0"/>
              <w:marTop w:val="0"/>
              <w:marBottom w:val="81"/>
              <w:divBdr>
                <w:top w:val="none" w:sz="0" w:space="0" w:color="auto"/>
                <w:left w:val="none" w:sz="0" w:space="0" w:color="auto"/>
                <w:bottom w:val="none" w:sz="0" w:space="0" w:color="auto"/>
                <w:right w:val="none" w:sz="0" w:space="0" w:color="auto"/>
              </w:divBdr>
            </w:div>
            <w:div w:id="1852252901">
              <w:marLeft w:val="0"/>
              <w:marRight w:val="0"/>
              <w:marTop w:val="0"/>
              <w:marBottom w:val="0"/>
              <w:divBdr>
                <w:top w:val="none" w:sz="0" w:space="0" w:color="auto"/>
                <w:left w:val="none" w:sz="0" w:space="0" w:color="auto"/>
                <w:bottom w:val="none" w:sz="0" w:space="0" w:color="auto"/>
                <w:right w:val="none" w:sz="0" w:space="0" w:color="auto"/>
              </w:divBdr>
              <w:divsChild>
                <w:div w:id="2975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6791">
      <w:bodyDiv w:val="1"/>
      <w:marLeft w:val="0"/>
      <w:marRight w:val="0"/>
      <w:marTop w:val="0"/>
      <w:marBottom w:val="0"/>
      <w:divBdr>
        <w:top w:val="none" w:sz="0" w:space="0" w:color="auto"/>
        <w:left w:val="none" w:sz="0" w:space="0" w:color="auto"/>
        <w:bottom w:val="none" w:sz="0" w:space="0" w:color="auto"/>
        <w:right w:val="none" w:sz="0" w:space="0" w:color="auto"/>
      </w:divBdr>
    </w:div>
    <w:div w:id="543561805">
      <w:bodyDiv w:val="1"/>
      <w:marLeft w:val="0"/>
      <w:marRight w:val="0"/>
      <w:marTop w:val="0"/>
      <w:marBottom w:val="0"/>
      <w:divBdr>
        <w:top w:val="none" w:sz="0" w:space="0" w:color="auto"/>
        <w:left w:val="none" w:sz="0" w:space="0" w:color="auto"/>
        <w:bottom w:val="none" w:sz="0" w:space="0" w:color="auto"/>
        <w:right w:val="none" w:sz="0" w:space="0" w:color="auto"/>
      </w:divBdr>
    </w:div>
    <w:div w:id="545677181">
      <w:bodyDiv w:val="1"/>
      <w:marLeft w:val="0"/>
      <w:marRight w:val="0"/>
      <w:marTop w:val="0"/>
      <w:marBottom w:val="0"/>
      <w:divBdr>
        <w:top w:val="none" w:sz="0" w:space="0" w:color="auto"/>
        <w:left w:val="none" w:sz="0" w:space="0" w:color="auto"/>
        <w:bottom w:val="none" w:sz="0" w:space="0" w:color="auto"/>
        <w:right w:val="none" w:sz="0" w:space="0" w:color="auto"/>
      </w:divBdr>
    </w:div>
    <w:div w:id="548035941">
      <w:bodyDiv w:val="1"/>
      <w:marLeft w:val="0"/>
      <w:marRight w:val="0"/>
      <w:marTop w:val="0"/>
      <w:marBottom w:val="0"/>
      <w:divBdr>
        <w:top w:val="none" w:sz="0" w:space="0" w:color="auto"/>
        <w:left w:val="none" w:sz="0" w:space="0" w:color="auto"/>
        <w:bottom w:val="none" w:sz="0" w:space="0" w:color="auto"/>
        <w:right w:val="none" w:sz="0" w:space="0" w:color="auto"/>
      </w:divBdr>
    </w:div>
    <w:div w:id="554321719">
      <w:bodyDiv w:val="1"/>
      <w:marLeft w:val="0"/>
      <w:marRight w:val="0"/>
      <w:marTop w:val="0"/>
      <w:marBottom w:val="0"/>
      <w:divBdr>
        <w:top w:val="none" w:sz="0" w:space="0" w:color="auto"/>
        <w:left w:val="none" w:sz="0" w:space="0" w:color="auto"/>
        <w:bottom w:val="none" w:sz="0" w:space="0" w:color="auto"/>
        <w:right w:val="none" w:sz="0" w:space="0" w:color="auto"/>
      </w:divBdr>
    </w:div>
    <w:div w:id="554777550">
      <w:bodyDiv w:val="1"/>
      <w:marLeft w:val="0"/>
      <w:marRight w:val="0"/>
      <w:marTop w:val="0"/>
      <w:marBottom w:val="0"/>
      <w:divBdr>
        <w:top w:val="none" w:sz="0" w:space="0" w:color="auto"/>
        <w:left w:val="none" w:sz="0" w:space="0" w:color="auto"/>
        <w:bottom w:val="none" w:sz="0" w:space="0" w:color="auto"/>
        <w:right w:val="none" w:sz="0" w:space="0" w:color="auto"/>
      </w:divBdr>
      <w:divsChild>
        <w:div w:id="1965308562">
          <w:marLeft w:val="418"/>
          <w:marRight w:val="0"/>
          <w:marTop w:val="192"/>
          <w:marBottom w:val="0"/>
          <w:divBdr>
            <w:top w:val="none" w:sz="0" w:space="0" w:color="auto"/>
            <w:left w:val="none" w:sz="0" w:space="0" w:color="auto"/>
            <w:bottom w:val="none" w:sz="0" w:space="0" w:color="auto"/>
            <w:right w:val="none" w:sz="0" w:space="0" w:color="auto"/>
          </w:divBdr>
        </w:div>
        <w:div w:id="2075155470">
          <w:marLeft w:val="1123"/>
          <w:marRight w:val="0"/>
          <w:marTop w:val="192"/>
          <w:marBottom w:val="0"/>
          <w:divBdr>
            <w:top w:val="none" w:sz="0" w:space="0" w:color="auto"/>
            <w:left w:val="none" w:sz="0" w:space="0" w:color="auto"/>
            <w:bottom w:val="none" w:sz="0" w:space="0" w:color="auto"/>
            <w:right w:val="none" w:sz="0" w:space="0" w:color="auto"/>
          </w:divBdr>
        </w:div>
      </w:divsChild>
    </w:div>
    <w:div w:id="555705544">
      <w:bodyDiv w:val="1"/>
      <w:marLeft w:val="0"/>
      <w:marRight w:val="0"/>
      <w:marTop w:val="0"/>
      <w:marBottom w:val="0"/>
      <w:divBdr>
        <w:top w:val="none" w:sz="0" w:space="0" w:color="auto"/>
        <w:left w:val="none" w:sz="0" w:space="0" w:color="auto"/>
        <w:bottom w:val="none" w:sz="0" w:space="0" w:color="auto"/>
        <w:right w:val="none" w:sz="0" w:space="0" w:color="auto"/>
      </w:divBdr>
    </w:div>
    <w:div w:id="559290801">
      <w:bodyDiv w:val="1"/>
      <w:marLeft w:val="0"/>
      <w:marRight w:val="0"/>
      <w:marTop w:val="0"/>
      <w:marBottom w:val="0"/>
      <w:divBdr>
        <w:top w:val="none" w:sz="0" w:space="0" w:color="auto"/>
        <w:left w:val="none" w:sz="0" w:space="0" w:color="auto"/>
        <w:bottom w:val="none" w:sz="0" w:space="0" w:color="auto"/>
        <w:right w:val="none" w:sz="0" w:space="0" w:color="auto"/>
      </w:divBdr>
    </w:div>
    <w:div w:id="575940075">
      <w:bodyDiv w:val="1"/>
      <w:marLeft w:val="0"/>
      <w:marRight w:val="0"/>
      <w:marTop w:val="0"/>
      <w:marBottom w:val="0"/>
      <w:divBdr>
        <w:top w:val="none" w:sz="0" w:space="0" w:color="auto"/>
        <w:left w:val="none" w:sz="0" w:space="0" w:color="auto"/>
        <w:bottom w:val="none" w:sz="0" w:space="0" w:color="auto"/>
        <w:right w:val="none" w:sz="0" w:space="0" w:color="auto"/>
      </w:divBdr>
    </w:div>
    <w:div w:id="576330716">
      <w:bodyDiv w:val="1"/>
      <w:marLeft w:val="0"/>
      <w:marRight w:val="0"/>
      <w:marTop w:val="0"/>
      <w:marBottom w:val="0"/>
      <w:divBdr>
        <w:top w:val="none" w:sz="0" w:space="0" w:color="auto"/>
        <w:left w:val="none" w:sz="0" w:space="0" w:color="auto"/>
        <w:bottom w:val="none" w:sz="0" w:space="0" w:color="auto"/>
        <w:right w:val="none" w:sz="0" w:space="0" w:color="auto"/>
      </w:divBdr>
    </w:div>
    <w:div w:id="576789739">
      <w:bodyDiv w:val="1"/>
      <w:marLeft w:val="0"/>
      <w:marRight w:val="0"/>
      <w:marTop w:val="0"/>
      <w:marBottom w:val="0"/>
      <w:divBdr>
        <w:top w:val="none" w:sz="0" w:space="0" w:color="auto"/>
        <w:left w:val="none" w:sz="0" w:space="0" w:color="auto"/>
        <w:bottom w:val="none" w:sz="0" w:space="0" w:color="auto"/>
        <w:right w:val="none" w:sz="0" w:space="0" w:color="auto"/>
      </w:divBdr>
    </w:div>
    <w:div w:id="582028658">
      <w:bodyDiv w:val="1"/>
      <w:marLeft w:val="0"/>
      <w:marRight w:val="0"/>
      <w:marTop w:val="0"/>
      <w:marBottom w:val="0"/>
      <w:divBdr>
        <w:top w:val="none" w:sz="0" w:space="0" w:color="auto"/>
        <w:left w:val="none" w:sz="0" w:space="0" w:color="auto"/>
        <w:bottom w:val="none" w:sz="0" w:space="0" w:color="auto"/>
        <w:right w:val="none" w:sz="0" w:space="0" w:color="auto"/>
      </w:divBdr>
      <w:divsChild>
        <w:div w:id="407507824">
          <w:marLeft w:val="0"/>
          <w:marRight w:val="0"/>
          <w:marTop w:val="0"/>
          <w:marBottom w:val="0"/>
          <w:divBdr>
            <w:top w:val="none" w:sz="0" w:space="0" w:color="auto"/>
            <w:left w:val="none" w:sz="0" w:space="0" w:color="auto"/>
            <w:bottom w:val="none" w:sz="0" w:space="0" w:color="auto"/>
            <w:right w:val="none" w:sz="0" w:space="0" w:color="auto"/>
          </w:divBdr>
        </w:div>
        <w:div w:id="769393962">
          <w:marLeft w:val="0"/>
          <w:marRight w:val="0"/>
          <w:marTop w:val="0"/>
          <w:marBottom w:val="81"/>
          <w:divBdr>
            <w:top w:val="none" w:sz="0" w:space="0" w:color="auto"/>
            <w:left w:val="none" w:sz="0" w:space="0" w:color="auto"/>
            <w:bottom w:val="none" w:sz="0" w:space="0" w:color="auto"/>
            <w:right w:val="none" w:sz="0" w:space="0" w:color="auto"/>
          </w:divBdr>
          <w:divsChild>
            <w:div w:id="836193425">
              <w:marLeft w:val="0"/>
              <w:marRight w:val="0"/>
              <w:marTop w:val="0"/>
              <w:marBottom w:val="81"/>
              <w:divBdr>
                <w:top w:val="none" w:sz="0" w:space="0" w:color="auto"/>
                <w:left w:val="none" w:sz="0" w:space="0" w:color="auto"/>
                <w:bottom w:val="none" w:sz="0" w:space="0" w:color="auto"/>
                <w:right w:val="none" w:sz="0" w:space="0" w:color="auto"/>
              </w:divBdr>
            </w:div>
            <w:div w:id="1736321768">
              <w:marLeft w:val="0"/>
              <w:marRight w:val="0"/>
              <w:marTop w:val="0"/>
              <w:marBottom w:val="0"/>
              <w:divBdr>
                <w:top w:val="none" w:sz="0" w:space="0" w:color="auto"/>
                <w:left w:val="none" w:sz="0" w:space="0" w:color="auto"/>
                <w:bottom w:val="none" w:sz="0" w:space="0" w:color="auto"/>
                <w:right w:val="none" w:sz="0" w:space="0" w:color="auto"/>
              </w:divBdr>
              <w:divsChild>
                <w:div w:id="21389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72739">
      <w:bodyDiv w:val="1"/>
      <w:marLeft w:val="0"/>
      <w:marRight w:val="0"/>
      <w:marTop w:val="0"/>
      <w:marBottom w:val="0"/>
      <w:divBdr>
        <w:top w:val="none" w:sz="0" w:space="0" w:color="auto"/>
        <w:left w:val="none" w:sz="0" w:space="0" w:color="auto"/>
        <w:bottom w:val="none" w:sz="0" w:space="0" w:color="auto"/>
        <w:right w:val="none" w:sz="0" w:space="0" w:color="auto"/>
      </w:divBdr>
    </w:div>
    <w:div w:id="605039575">
      <w:bodyDiv w:val="1"/>
      <w:marLeft w:val="0"/>
      <w:marRight w:val="0"/>
      <w:marTop w:val="0"/>
      <w:marBottom w:val="0"/>
      <w:divBdr>
        <w:top w:val="none" w:sz="0" w:space="0" w:color="auto"/>
        <w:left w:val="none" w:sz="0" w:space="0" w:color="auto"/>
        <w:bottom w:val="none" w:sz="0" w:space="0" w:color="auto"/>
        <w:right w:val="none" w:sz="0" w:space="0" w:color="auto"/>
      </w:divBdr>
    </w:div>
    <w:div w:id="608196916">
      <w:bodyDiv w:val="1"/>
      <w:marLeft w:val="0"/>
      <w:marRight w:val="0"/>
      <w:marTop w:val="0"/>
      <w:marBottom w:val="0"/>
      <w:divBdr>
        <w:top w:val="none" w:sz="0" w:space="0" w:color="auto"/>
        <w:left w:val="none" w:sz="0" w:space="0" w:color="auto"/>
        <w:bottom w:val="none" w:sz="0" w:space="0" w:color="auto"/>
        <w:right w:val="none" w:sz="0" w:space="0" w:color="auto"/>
      </w:divBdr>
      <w:divsChild>
        <w:div w:id="519316540">
          <w:marLeft w:val="0"/>
          <w:marRight w:val="0"/>
          <w:marTop w:val="0"/>
          <w:marBottom w:val="0"/>
          <w:divBdr>
            <w:top w:val="none" w:sz="0" w:space="0" w:color="auto"/>
            <w:left w:val="none" w:sz="0" w:space="0" w:color="auto"/>
            <w:bottom w:val="none" w:sz="0" w:space="0" w:color="auto"/>
            <w:right w:val="none" w:sz="0" w:space="0" w:color="auto"/>
          </w:divBdr>
        </w:div>
        <w:div w:id="811869558">
          <w:marLeft w:val="0"/>
          <w:marRight w:val="0"/>
          <w:marTop w:val="0"/>
          <w:marBottom w:val="81"/>
          <w:divBdr>
            <w:top w:val="none" w:sz="0" w:space="0" w:color="auto"/>
            <w:left w:val="none" w:sz="0" w:space="0" w:color="auto"/>
            <w:bottom w:val="none" w:sz="0" w:space="0" w:color="auto"/>
            <w:right w:val="none" w:sz="0" w:space="0" w:color="auto"/>
          </w:divBdr>
          <w:divsChild>
            <w:div w:id="484665723">
              <w:marLeft w:val="0"/>
              <w:marRight w:val="0"/>
              <w:marTop w:val="0"/>
              <w:marBottom w:val="81"/>
              <w:divBdr>
                <w:top w:val="none" w:sz="0" w:space="0" w:color="auto"/>
                <w:left w:val="none" w:sz="0" w:space="0" w:color="auto"/>
                <w:bottom w:val="none" w:sz="0" w:space="0" w:color="auto"/>
                <w:right w:val="none" w:sz="0" w:space="0" w:color="auto"/>
              </w:divBdr>
            </w:div>
            <w:div w:id="1776243662">
              <w:marLeft w:val="0"/>
              <w:marRight w:val="0"/>
              <w:marTop w:val="0"/>
              <w:marBottom w:val="0"/>
              <w:divBdr>
                <w:top w:val="none" w:sz="0" w:space="0" w:color="auto"/>
                <w:left w:val="none" w:sz="0" w:space="0" w:color="auto"/>
                <w:bottom w:val="none" w:sz="0" w:space="0" w:color="auto"/>
                <w:right w:val="none" w:sz="0" w:space="0" w:color="auto"/>
              </w:divBdr>
              <w:divsChild>
                <w:div w:id="8204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4532">
      <w:bodyDiv w:val="1"/>
      <w:marLeft w:val="0"/>
      <w:marRight w:val="0"/>
      <w:marTop w:val="0"/>
      <w:marBottom w:val="0"/>
      <w:divBdr>
        <w:top w:val="none" w:sz="0" w:space="0" w:color="auto"/>
        <w:left w:val="none" w:sz="0" w:space="0" w:color="auto"/>
        <w:bottom w:val="none" w:sz="0" w:space="0" w:color="auto"/>
        <w:right w:val="none" w:sz="0" w:space="0" w:color="auto"/>
      </w:divBdr>
    </w:div>
    <w:div w:id="625281991">
      <w:bodyDiv w:val="1"/>
      <w:marLeft w:val="0"/>
      <w:marRight w:val="0"/>
      <w:marTop w:val="0"/>
      <w:marBottom w:val="0"/>
      <w:divBdr>
        <w:top w:val="none" w:sz="0" w:space="0" w:color="auto"/>
        <w:left w:val="none" w:sz="0" w:space="0" w:color="auto"/>
        <w:bottom w:val="none" w:sz="0" w:space="0" w:color="auto"/>
        <w:right w:val="none" w:sz="0" w:space="0" w:color="auto"/>
      </w:divBdr>
    </w:div>
    <w:div w:id="628979983">
      <w:bodyDiv w:val="1"/>
      <w:marLeft w:val="0"/>
      <w:marRight w:val="0"/>
      <w:marTop w:val="0"/>
      <w:marBottom w:val="0"/>
      <w:divBdr>
        <w:top w:val="none" w:sz="0" w:space="0" w:color="auto"/>
        <w:left w:val="none" w:sz="0" w:space="0" w:color="auto"/>
        <w:bottom w:val="none" w:sz="0" w:space="0" w:color="auto"/>
        <w:right w:val="none" w:sz="0" w:space="0" w:color="auto"/>
      </w:divBdr>
    </w:div>
    <w:div w:id="632637793">
      <w:bodyDiv w:val="1"/>
      <w:marLeft w:val="0"/>
      <w:marRight w:val="0"/>
      <w:marTop w:val="0"/>
      <w:marBottom w:val="0"/>
      <w:divBdr>
        <w:top w:val="none" w:sz="0" w:space="0" w:color="auto"/>
        <w:left w:val="none" w:sz="0" w:space="0" w:color="auto"/>
        <w:bottom w:val="none" w:sz="0" w:space="0" w:color="auto"/>
        <w:right w:val="none" w:sz="0" w:space="0" w:color="auto"/>
      </w:divBdr>
    </w:div>
    <w:div w:id="655034241">
      <w:bodyDiv w:val="1"/>
      <w:marLeft w:val="0"/>
      <w:marRight w:val="0"/>
      <w:marTop w:val="0"/>
      <w:marBottom w:val="0"/>
      <w:divBdr>
        <w:top w:val="none" w:sz="0" w:space="0" w:color="auto"/>
        <w:left w:val="none" w:sz="0" w:space="0" w:color="auto"/>
        <w:bottom w:val="none" w:sz="0" w:space="0" w:color="auto"/>
        <w:right w:val="none" w:sz="0" w:space="0" w:color="auto"/>
      </w:divBdr>
      <w:divsChild>
        <w:div w:id="45374018">
          <w:marLeft w:val="0"/>
          <w:marRight w:val="240"/>
          <w:marTop w:val="96"/>
          <w:marBottom w:val="240"/>
          <w:divBdr>
            <w:top w:val="none" w:sz="0" w:space="0" w:color="auto"/>
            <w:left w:val="none" w:sz="0" w:space="0" w:color="auto"/>
            <w:bottom w:val="none" w:sz="0" w:space="0" w:color="auto"/>
            <w:right w:val="none" w:sz="0" w:space="0" w:color="auto"/>
          </w:divBdr>
          <w:divsChild>
            <w:div w:id="1781100428">
              <w:marLeft w:val="0"/>
              <w:marRight w:val="0"/>
              <w:marTop w:val="0"/>
              <w:marBottom w:val="0"/>
              <w:divBdr>
                <w:top w:val="none" w:sz="0" w:space="0" w:color="auto"/>
                <w:left w:val="none" w:sz="0" w:space="0" w:color="auto"/>
                <w:bottom w:val="single" w:sz="4" w:space="1" w:color="D1D1D1"/>
                <w:right w:val="none" w:sz="0" w:space="0" w:color="auto"/>
              </w:divBdr>
            </w:div>
          </w:divsChild>
        </w:div>
        <w:div w:id="414598073">
          <w:marLeft w:val="0"/>
          <w:marRight w:val="240"/>
          <w:marTop w:val="96"/>
          <w:marBottom w:val="240"/>
          <w:divBdr>
            <w:top w:val="none" w:sz="0" w:space="0" w:color="auto"/>
            <w:left w:val="none" w:sz="0" w:space="0" w:color="auto"/>
            <w:bottom w:val="none" w:sz="0" w:space="0" w:color="auto"/>
            <w:right w:val="none" w:sz="0" w:space="0" w:color="auto"/>
          </w:divBdr>
          <w:divsChild>
            <w:div w:id="1198588889">
              <w:marLeft w:val="0"/>
              <w:marRight w:val="0"/>
              <w:marTop w:val="0"/>
              <w:marBottom w:val="0"/>
              <w:divBdr>
                <w:top w:val="none" w:sz="0" w:space="0" w:color="auto"/>
                <w:left w:val="none" w:sz="0" w:space="0" w:color="auto"/>
                <w:bottom w:val="single" w:sz="4" w:space="1" w:color="D1D1D1"/>
                <w:right w:val="none" w:sz="0" w:space="0" w:color="auto"/>
              </w:divBdr>
            </w:div>
          </w:divsChild>
        </w:div>
        <w:div w:id="463275367">
          <w:marLeft w:val="0"/>
          <w:marRight w:val="240"/>
          <w:marTop w:val="96"/>
          <w:marBottom w:val="240"/>
          <w:divBdr>
            <w:top w:val="none" w:sz="0" w:space="0" w:color="auto"/>
            <w:left w:val="none" w:sz="0" w:space="0" w:color="auto"/>
            <w:bottom w:val="none" w:sz="0" w:space="0" w:color="auto"/>
            <w:right w:val="none" w:sz="0" w:space="0" w:color="auto"/>
          </w:divBdr>
          <w:divsChild>
            <w:div w:id="549147825">
              <w:marLeft w:val="0"/>
              <w:marRight w:val="0"/>
              <w:marTop w:val="0"/>
              <w:marBottom w:val="0"/>
              <w:divBdr>
                <w:top w:val="none" w:sz="0" w:space="0" w:color="auto"/>
                <w:left w:val="none" w:sz="0" w:space="0" w:color="auto"/>
                <w:bottom w:val="single" w:sz="4" w:space="1" w:color="D1D1D1"/>
                <w:right w:val="none" w:sz="0" w:space="0" w:color="auto"/>
              </w:divBdr>
            </w:div>
          </w:divsChild>
        </w:div>
        <w:div w:id="787742770">
          <w:marLeft w:val="0"/>
          <w:marRight w:val="240"/>
          <w:marTop w:val="96"/>
          <w:marBottom w:val="240"/>
          <w:divBdr>
            <w:top w:val="none" w:sz="0" w:space="0" w:color="auto"/>
            <w:left w:val="none" w:sz="0" w:space="0" w:color="auto"/>
            <w:bottom w:val="none" w:sz="0" w:space="0" w:color="auto"/>
            <w:right w:val="none" w:sz="0" w:space="0" w:color="auto"/>
          </w:divBdr>
          <w:divsChild>
            <w:div w:id="1812674004">
              <w:marLeft w:val="0"/>
              <w:marRight w:val="0"/>
              <w:marTop w:val="0"/>
              <w:marBottom w:val="0"/>
              <w:divBdr>
                <w:top w:val="none" w:sz="0" w:space="0" w:color="auto"/>
                <w:left w:val="none" w:sz="0" w:space="0" w:color="auto"/>
                <w:bottom w:val="single" w:sz="4" w:space="1" w:color="D1D1D1"/>
                <w:right w:val="none" w:sz="0" w:space="0" w:color="auto"/>
              </w:divBdr>
            </w:div>
          </w:divsChild>
        </w:div>
        <w:div w:id="874318058">
          <w:marLeft w:val="0"/>
          <w:marRight w:val="240"/>
          <w:marTop w:val="96"/>
          <w:marBottom w:val="240"/>
          <w:divBdr>
            <w:top w:val="none" w:sz="0" w:space="0" w:color="auto"/>
            <w:left w:val="none" w:sz="0" w:space="0" w:color="auto"/>
            <w:bottom w:val="none" w:sz="0" w:space="0" w:color="auto"/>
            <w:right w:val="none" w:sz="0" w:space="0" w:color="auto"/>
          </w:divBdr>
          <w:divsChild>
            <w:div w:id="2110150663">
              <w:marLeft w:val="0"/>
              <w:marRight w:val="0"/>
              <w:marTop w:val="0"/>
              <w:marBottom w:val="0"/>
              <w:divBdr>
                <w:top w:val="none" w:sz="0" w:space="0" w:color="auto"/>
                <w:left w:val="none" w:sz="0" w:space="0" w:color="auto"/>
                <w:bottom w:val="single" w:sz="4" w:space="1" w:color="D1D1D1"/>
                <w:right w:val="none" w:sz="0" w:space="0" w:color="auto"/>
              </w:divBdr>
            </w:div>
          </w:divsChild>
        </w:div>
        <w:div w:id="902446933">
          <w:marLeft w:val="0"/>
          <w:marRight w:val="240"/>
          <w:marTop w:val="96"/>
          <w:marBottom w:val="240"/>
          <w:divBdr>
            <w:top w:val="none" w:sz="0" w:space="0" w:color="auto"/>
            <w:left w:val="none" w:sz="0" w:space="0" w:color="auto"/>
            <w:bottom w:val="none" w:sz="0" w:space="0" w:color="auto"/>
            <w:right w:val="none" w:sz="0" w:space="0" w:color="auto"/>
          </w:divBdr>
          <w:divsChild>
            <w:div w:id="2137479099">
              <w:marLeft w:val="0"/>
              <w:marRight w:val="0"/>
              <w:marTop w:val="0"/>
              <w:marBottom w:val="0"/>
              <w:divBdr>
                <w:top w:val="none" w:sz="0" w:space="0" w:color="auto"/>
                <w:left w:val="none" w:sz="0" w:space="0" w:color="auto"/>
                <w:bottom w:val="single" w:sz="4" w:space="1" w:color="D1D1D1"/>
                <w:right w:val="none" w:sz="0" w:space="0" w:color="auto"/>
              </w:divBdr>
            </w:div>
          </w:divsChild>
        </w:div>
        <w:div w:id="1091468287">
          <w:marLeft w:val="0"/>
          <w:marRight w:val="240"/>
          <w:marTop w:val="96"/>
          <w:marBottom w:val="240"/>
          <w:divBdr>
            <w:top w:val="none" w:sz="0" w:space="0" w:color="auto"/>
            <w:left w:val="none" w:sz="0" w:space="0" w:color="auto"/>
            <w:bottom w:val="none" w:sz="0" w:space="0" w:color="auto"/>
            <w:right w:val="none" w:sz="0" w:space="0" w:color="auto"/>
          </w:divBdr>
          <w:divsChild>
            <w:div w:id="1176577128">
              <w:marLeft w:val="0"/>
              <w:marRight w:val="0"/>
              <w:marTop w:val="0"/>
              <w:marBottom w:val="0"/>
              <w:divBdr>
                <w:top w:val="none" w:sz="0" w:space="0" w:color="auto"/>
                <w:left w:val="none" w:sz="0" w:space="0" w:color="auto"/>
                <w:bottom w:val="single" w:sz="4" w:space="1" w:color="D1D1D1"/>
                <w:right w:val="none" w:sz="0" w:space="0" w:color="auto"/>
              </w:divBdr>
            </w:div>
          </w:divsChild>
        </w:div>
        <w:div w:id="1148208866">
          <w:marLeft w:val="0"/>
          <w:marRight w:val="240"/>
          <w:marTop w:val="96"/>
          <w:marBottom w:val="240"/>
          <w:divBdr>
            <w:top w:val="none" w:sz="0" w:space="0" w:color="auto"/>
            <w:left w:val="none" w:sz="0" w:space="0" w:color="auto"/>
            <w:bottom w:val="none" w:sz="0" w:space="0" w:color="auto"/>
            <w:right w:val="none" w:sz="0" w:space="0" w:color="auto"/>
          </w:divBdr>
          <w:divsChild>
            <w:div w:id="169299652">
              <w:marLeft w:val="0"/>
              <w:marRight w:val="0"/>
              <w:marTop w:val="0"/>
              <w:marBottom w:val="0"/>
              <w:divBdr>
                <w:top w:val="none" w:sz="0" w:space="0" w:color="auto"/>
                <w:left w:val="none" w:sz="0" w:space="0" w:color="auto"/>
                <w:bottom w:val="single" w:sz="4" w:space="1" w:color="D1D1D1"/>
                <w:right w:val="none" w:sz="0" w:space="0" w:color="auto"/>
              </w:divBdr>
            </w:div>
          </w:divsChild>
        </w:div>
        <w:div w:id="1228883042">
          <w:marLeft w:val="0"/>
          <w:marRight w:val="240"/>
          <w:marTop w:val="96"/>
          <w:marBottom w:val="240"/>
          <w:divBdr>
            <w:top w:val="none" w:sz="0" w:space="0" w:color="auto"/>
            <w:left w:val="none" w:sz="0" w:space="0" w:color="auto"/>
            <w:bottom w:val="none" w:sz="0" w:space="0" w:color="auto"/>
            <w:right w:val="none" w:sz="0" w:space="0" w:color="auto"/>
          </w:divBdr>
          <w:divsChild>
            <w:div w:id="315303423">
              <w:marLeft w:val="0"/>
              <w:marRight w:val="0"/>
              <w:marTop w:val="0"/>
              <w:marBottom w:val="0"/>
              <w:divBdr>
                <w:top w:val="none" w:sz="0" w:space="0" w:color="auto"/>
                <w:left w:val="none" w:sz="0" w:space="0" w:color="auto"/>
                <w:bottom w:val="single" w:sz="4" w:space="1" w:color="D1D1D1"/>
                <w:right w:val="none" w:sz="0" w:space="0" w:color="auto"/>
              </w:divBdr>
            </w:div>
          </w:divsChild>
        </w:div>
        <w:div w:id="1334457425">
          <w:marLeft w:val="0"/>
          <w:marRight w:val="240"/>
          <w:marTop w:val="96"/>
          <w:marBottom w:val="240"/>
          <w:divBdr>
            <w:top w:val="none" w:sz="0" w:space="0" w:color="auto"/>
            <w:left w:val="none" w:sz="0" w:space="0" w:color="auto"/>
            <w:bottom w:val="none" w:sz="0" w:space="0" w:color="auto"/>
            <w:right w:val="none" w:sz="0" w:space="0" w:color="auto"/>
          </w:divBdr>
          <w:divsChild>
            <w:div w:id="1477450682">
              <w:marLeft w:val="0"/>
              <w:marRight w:val="0"/>
              <w:marTop w:val="0"/>
              <w:marBottom w:val="0"/>
              <w:divBdr>
                <w:top w:val="none" w:sz="0" w:space="0" w:color="auto"/>
                <w:left w:val="none" w:sz="0" w:space="0" w:color="auto"/>
                <w:bottom w:val="single" w:sz="4" w:space="1" w:color="D1D1D1"/>
                <w:right w:val="none" w:sz="0" w:space="0" w:color="auto"/>
              </w:divBdr>
            </w:div>
          </w:divsChild>
        </w:div>
        <w:div w:id="1613054238">
          <w:marLeft w:val="0"/>
          <w:marRight w:val="240"/>
          <w:marTop w:val="96"/>
          <w:marBottom w:val="240"/>
          <w:divBdr>
            <w:top w:val="none" w:sz="0" w:space="0" w:color="auto"/>
            <w:left w:val="none" w:sz="0" w:space="0" w:color="auto"/>
            <w:bottom w:val="none" w:sz="0" w:space="0" w:color="auto"/>
            <w:right w:val="none" w:sz="0" w:space="0" w:color="auto"/>
          </w:divBdr>
          <w:divsChild>
            <w:div w:id="1862166351">
              <w:marLeft w:val="0"/>
              <w:marRight w:val="0"/>
              <w:marTop w:val="0"/>
              <w:marBottom w:val="0"/>
              <w:divBdr>
                <w:top w:val="none" w:sz="0" w:space="0" w:color="auto"/>
                <w:left w:val="none" w:sz="0" w:space="0" w:color="auto"/>
                <w:bottom w:val="single" w:sz="4" w:space="1" w:color="D1D1D1"/>
                <w:right w:val="none" w:sz="0" w:space="0" w:color="auto"/>
              </w:divBdr>
            </w:div>
          </w:divsChild>
        </w:div>
        <w:div w:id="1988047010">
          <w:marLeft w:val="0"/>
          <w:marRight w:val="240"/>
          <w:marTop w:val="96"/>
          <w:marBottom w:val="240"/>
          <w:divBdr>
            <w:top w:val="none" w:sz="0" w:space="0" w:color="auto"/>
            <w:left w:val="none" w:sz="0" w:space="0" w:color="auto"/>
            <w:bottom w:val="none" w:sz="0" w:space="0" w:color="auto"/>
            <w:right w:val="none" w:sz="0" w:space="0" w:color="auto"/>
          </w:divBdr>
          <w:divsChild>
            <w:div w:id="1462067647">
              <w:marLeft w:val="0"/>
              <w:marRight w:val="0"/>
              <w:marTop w:val="0"/>
              <w:marBottom w:val="0"/>
              <w:divBdr>
                <w:top w:val="none" w:sz="0" w:space="0" w:color="auto"/>
                <w:left w:val="none" w:sz="0" w:space="0" w:color="auto"/>
                <w:bottom w:val="single" w:sz="4" w:space="1" w:color="D1D1D1"/>
                <w:right w:val="none" w:sz="0" w:space="0" w:color="auto"/>
              </w:divBdr>
            </w:div>
          </w:divsChild>
        </w:div>
        <w:div w:id="2130472453">
          <w:marLeft w:val="0"/>
          <w:marRight w:val="240"/>
          <w:marTop w:val="96"/>
          <w:marBottom w:val="240"/>
          <w:divBdr>
            <w:top w:val="none" w:sz="0" w:space="0" w:color="auto"/>
            <w:left w:val="none" w:sz="0" w:space="0" w:color="auto"/>
            <w:bottom w:val="none" w:sz="0" w:space="0" w:color="auto"/>
            <w:right w:val="none" w:sz="0" w:space="0" w:color="auto"/>
          </w:divBdr>
          <w:divsChild>
            <w:div w:id="1441334983">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679354158">
      <w:bodyDiv w:val="1"/>
      <w:marLeft w:val="0"/>
      <w:marRight w:val="0"/>
      <w:marTop w:val="0"/>
      <w:marBottom w:val="0"/>
      <w:divBdr>
        <w:top w:val="none" w:sz="0" w:space="0" w:color="auto"/>
        <w:left w:val="none" w:sz="0" w:space="0" w:color="auto"/>
        <w:bottom w:val="none" w:sz="0" w:space="0" w:color="auto"/>
        <w:right w:val="none" w:sz="0" w:space="0" w:color="auto"/>
      </w:divBdr>
    </w:div>
    <w:div w:id="680275781">
      <w:bodyDiv w:val="1"/>
      <w:marLeft w:val="0"/>
      <w:marRight w:val="0"/>
      <w:marTop w:val="0"/>
      <w:marBottom w:val="0"/>
      <w:divBdr>
        <w:top w:val="none" w:sz="0" w:space="0" w:color="auto"/>
        <w:left w:val="none" w:sz="0" w:space="0" w:color="auto"/>
        <w:bottom w:val="none" w:sz="0" w:space="0" w:color="auto"/>
        <w:right w:val="none" w:sz="0" w:space="0" w:color="auto"/>
      </w:divBdr>
    </w:div>
    <w:div w:id="684210762">
      <w:bodyDiv w:val="1"/>
      <w:marLeft w:val="0"/>
      <w:marRight w:val="0"/>
      <w:marTop w:val="0"/>
      <w:marBottom w:val="0"/>
      <w:divBdr>
        <w:top w:val="none" w:sz="0" w:space="0" w:color="auto"/>
        <w:left w:val="none" w:sz="0" w:space="0" w:color="auto"/>
        <w:bottom w:val="none" w:sz="0" w:space="0" w:color="auto"/>
        <w:right w:val="none" w:sz="0" w:space="0" w:color="auto"/>
      </w:divBdr>
    </w:div>
    <w:div w:id="692389386">
      <w:bodyDiv w:val="1"/>
      <w:marLeft w:val="0"/>
      <w:marRight w:val="0"/>
      <w:marTop w:val="0"/>
      <w:marBottom w:val="0"/>
      <w:divBdr>
        <w:top w:val="none" w:sz="0" w:space="0" w:color="auto"/>
        <w:left w:val="none" w:sz="0" w:space="0" w:color="auto"/>
        <w:bottom w:val="none" w:sz="0" w:space="0" w:color="auto"/>
        <w:right w:val="none" w:sz="0" w:space="0" w:color="auto"/>
      </w:divBdr>
    </w:div>
    <w:div w:id="704184865">
      <w:bodyDiv w:val="1"/>
      <w:marLeft w:val="0"/>
      <w:marRight w:val="0"/>
      <w:marTop w:val="0"/>
      <w:marBottom w:val="0"/>
      <w:divBdr>
        <w:top w:val="none" w:sz="0" w:space="0" w:color="auto"/>
        <w:left w:val="none" w:sz="0" w:space="0" w:color="auto"/>
        <w:bottom w:val="none" w:sz="0" w:space="0" w:color="auto"/>
        <w:right w:val="none" w:sz="0" w:space="0" w:color="auto"/>
      </w:divBdr>
    </w:div>
    <w:div w:id="715619014">
      <w:bodyDiv w:val="1"/>
      <w:marLeft w:val="0"/>
      <w:marRight w:val="0"/>
      <w:marTop w:val="0"/>
      <w:marBottom w:val="0"/>
      <w:divBdr>
        <w:top w:val="none" w:sz="0" w:space="0" w:color="auto"/>
        <w:left w:val="none" w:sz="0" w:space="0" w:color="auto"/>
        <w:bottom w:val="none" w:sz="0" w:space="0" w:color="auto"/>
        <w:right w:val="none" w:sz="0" w:space="0" w:color="auto"/>
      </w:divBdr>
    </w:div>
    <w:div w:id="716397080">
      <w:bodyDiv w:val="1"/>
      <w:marLeft w:val="0"/>
      <w:marRight w:val="0"/>
      <w:marTop w:val="0"/>
      <w:marBottom w:val="0"/>
      <w:divBdr>
        <w:top w:val="none" w:sz="0" w:space="0" w:color="auto"/>
        <w:left w:val="none" w:sz="0" w:space="0" w:color="auto"/>
        <w:bottom w:val="none" w:sz="0" w:space="0" w:color="auto"/>
        <w:right w:val="none" w:sz="0" w:space="0" w:color="auto"/>
      </w:divBdr>
    </w:div>
    <w:div w:id="722368291">
      <w:bodyDiv w:val="1"/>
      <w:marLeft w:val="0"/>
      <w:marRight w:val="0"/>
      <w:marTop w:val="0"/>
      <w:marBottom w:val="0"/>
      <w:divBdr>
        <w:top w:val="none" w:sz="0" w:space="0" w:color="auto"/>
        <w:left w:val="none" w:sz="0" w:space="0" w:color="auto"/>
        <w:bottom w:val="none" w:sz="0" w:space="0" w:color="auto"/>
        <w:right w:val="none" w:sz="0" w:space="0" w:color="auto"/>
      </w:divBdr>
    </w:div>
    <w:div w:id="739140452">
      <w:bodyDiv w:val="1"/>
      <w:marLeft w:val="0"/>
      <w:marRight w:val="0"/>
      <w:marTop w:val="0"/>
      <w:marBottom w:val="0"/>
      <w:divBdr>
        <w:top w:val="none" w:sz="0" w:space="0" w:color="auto"/>
        <w:left w:val="none" w:sz="0" w:space="0" w:color="auto"/>
        <w:bottom w:val="none" w:sz="0" w:space="0" w:color="auto"/>
        <w:right w:val="none" w:sz="0" w:space="0" w:color="auto"/>
      </w:divBdr>
      <w:divsChild>
        <w:div w:id="66268140">
          <w:marLeft w:val="475"/>
          <w:marRight w:val="0"/>
          <w:marTop w:val="168"/>
          <w:marBottom w:val="0"/>
          <w:divBdr>
            <w:top w:val="none" w:sz="0" w:space="0" w:color="auto"/>
            <w:left w:val="none" w:sz="0" w:space="0" w:color="auto"/>
            <w:bottom w:val="none" w:sz="0" w:space="0" w:color="auto"/>
            <w:right w:val="none" w:sz="0" w:space="0" w:color="auto"/>
          </w:divBdr>
        </w:div>
        <w:div w:id="252323941">
          <w:marLeft w:val="475"/>
          <w:marRight w:val="0"/>
          <w:marTop w:val="168"/>
          <w:marBottom w:val="0"/>
          <w:divBdr>
            <w:top w:val="none" w:sz="0" w:space="0" w:color="auto"/>
            <w:left w:val="none" w:sz="0" w:space="0" w:color="auto"/>
            <w:bottom w:val="none" w:sz="0" w:space="0" w:color="auto"/>
            <w:right w:val="none" w:sz="0" w:space="0" w:color="auto"/>
          </w:divBdr>
        </w:div>
        <w:div w:id="380977648">
          <w:marLeft w:val="1181"/>
          <w:marRight w:val="0"/>
          <w:marTop w:val="168"/>
          <w:marBottom w:val="0"/>
          <w:divBdr>
            <w:top w:val="none" w:sz="0" w:space="0" w:color="auto"/>
            <w:left w:val="none" w:sz="0" w:space="0" w:color="auto"/>
            <w:bottom w:val="none" w:sz="0" w:space="0" w:color="auto"/>
            <w:right w:val="none" w:sz="0" w:space="0" w:color="auto"/>
          </w:divBdr>
        </w:div>
        <w:div w:id="761414420">
          <w:marLeft w:val="475"/>
          <w:marRight w:val="0"/>
          <w:marTop w:val="168"/>
          <w:marBottom w:val="0"/>
          <w:divBdr>
            <w:top w:val="none" w:sz="0" w:space="0" w:color="auto"/>
            <w:left w:val="none" w:sz="0" w:space="0" w:color="auto"/>
            <w:bottom w:val="none" w:sz="0" w:space="0" w:color="auto"/>
            <w:right w:val="none" w:sz="0" w:space="0" w:color="auto"/>
          </w:divBdr>
        </w:div>
        <w:div w:id="932972916">
          <w:marLeft w:val="475"/>
          <w:marRight w:val="0"/>
          <w:marTop w:val="168"/>
          <w:marBottom w:val="0"/>
          <w:divBdr>
            <w:top w:val="none" w:sz="0" w:space="0" w:color="auto"/>
            <w:left w:val="none" w:sz="0" w:space="0" w:color="auto"/>
            <w:bottom w:val="none" w:sz="0" w:space="0" w:color="auto"/>
            <w:right w:val="none" w:sz="0" w:space="0" w:color="auto"/>
          </w:divBdr>
        </w:div>
        <w:div w:id="952905458">
          <w:marLeft w:val="475"/>
          <w:marRight w:val="0"/>
          <w:marTop w:val="168"/>
          <w:marBottom w:val="0"/>
          <w:divBdr>
            <w:top w:val="none" w:sz="0" w:space="0" w:color="auto"/>
            <w:left w:val="none" w:sz="0" w:space="0" w:color="auto"/>
            <w:bottom w:val="none" w:sz="0" w:space="0" w:color="auto"/>
            <w:right w:val="none" w:sz="0" w:space="0" w:color="auto"/>
          </w:divBdr>
        </w:div>
        <w:div w:id="1325940265">
          <w:marLeft w:val="475"/>
          <w:marRight w:val="0"/>
          <w:marTop w:val="168"/>
          <w:marBottom w:val="0"/>
          <w:divBdr>
            <w:top w:val="none" w:sz="0" w:space="0" w:color="auto"/>
            <w:left w:val="none" w:sz="0" w:space="0" w:color="auto"/>
            <w:bottom w:val="none" w:sz="0" w:space="0" w:color="auto"/>
            <w:right w:val="none" w:sz="0" w:space="0" w:color="auto"/>
          </w:divBdr>
        </w:div>
        <w:div w:id="2011568078">
          <w:marLeft w:val="475"/>
          <w:marRight w:val="0"/>
          <w:marTop w:val="168"/>
          <w:marBottom w:val="0"/>
          <w:divBdr>
            <w:top w:val="none" w:sz="0" w:space="0" w:color="auto"/>
            <w:left w:val="none" w:sz="0" w:space="0" w:color="auto"/>
            <w:bottom w:val="none" w:sz="0" w:space="0" w:color="auto"/>
            <w:right w:val="none" w:sz="0" w:space="0" w:color="auto"/>
          </w:divBdr>
        </w:div>
      </w:divsChild>
    </w:div>
    <w:div w:id="757098157">
      <w:bodyDiv w:val="1"/>
      <w:marLeft w:val="0"/>
      <w:marRight w:val="0"/>
      <w:marTop w:val="0"/>
      <w:marBottom w:val="0"/>
      <w:divBdr>
        <w:top w:val="none" w:sz="0" w:space="0" w:color="auto"/>
        <w:left w:val="none" w:sz="0" w:space="0" w:color="auto"/>
        <w:bottom w:val="none" w:sz="0" w:space="0" w:color="auto"/>
        <w:right w:val="none" w:sz="0" w:space="0" w:color="auto"/>
      </w:divBdr>
      <w:divsChild>
        <w:div w:id="598491823">
          <w:marLeft w:val="1181"/>
          <w:marRight w:val="0"/>
          <w:marTop w:val="168"/>
          <w:marBottom w:val="0"/>
          <w:divBdr>
            <w:top w:val="none" w:sz="0" w:space="0" w:color="auto"/>
            <w:left w:val="none" w:sz="0" w:space="0" w:color="auto"/>
            <w:bottom w:val="none" w:sz="0" w:space="0" w:color="auto"/>
            <w:right w:val="none" w:sz="0" w:space="0" w:color="auto"/>
          </w:divBdr>
        </w:div>
        <w:div w:id="827012523">
          <w:marLeft w:val="475"/>
          <w:marRight w:val="0"/>
          <w:marTop w:val="168"/>
          <w:marBottom w:val="0"/>
          <w:divBdr>
            <w:top w:val="none" w:sz="0" w:space="0" w:color="auto"/>
            <w:left w:val="none" w:sz="0" w:space="0" w:color="auto"/>
            <w:bottom w:val="none" w:sz="0" w:space="0" w:color="auto"/>
            <w:right w:val="none" w:sz="0" w:space="0" w:color="auto"/>
          </w:divBdr>
        </w:div>
        <w:div w:id="1085541775">
          <w:marLeft w:val="1181"/>
          <w:marRight w:val="0"/>
          <w:marTop w:val="168"/>
          <w:marBottom w:val="0"/>
          <w:divBdr>
            <w:top w:val="none" w:sz="0" w:space="0" w:color="auto"/>
            <w:left w:val="none" w:sz="0" w:space="0" w:color="auto"/>
            <w:bottom w:val="none" w:sz="0" w:space="0" w:color="auto"/>
            <w:right w:val="none" w:sz="0" w:space="0" w:color="auto"/>
          </w:divBdr>
        </w:div>
        <w:div w:id="1379669528">
          <w:marLeft w:val="475"/>
          <w:marRight w:val="0"/>
          <w:marTop w:val="168"/>
          <w:marBottom w:val="0"/>
          <w:divBdr>
            <w:top w:val="none" w:sz="0" w:space="0" w:color="auto"/>
            <w:left w:val="none" w:sz="0" w:space="0" w:color="auto"/>
            <w:bottom w:val="none" w:sz="0" w:space="0" w:color="auto"/>
            <w:right w:val="none" w:sz="0" w:space="0" w:color="auto"/>
          </w:divBdr>
        </w:div>
        <w:div w:id="1584988471">
          <w:marLeft w:val="475"/>
          <w:marRight w:val="0"/>
          <w:marTop w:val="168"/>
          <w:marBottom w:val="0"/>
          <w:divBdr>
            <w:top w:val="none" w:sz="0" w:space="0" w:color="auto"/>
            <w:left w:val="none" w:sz="0" w:space="0" w:color="auto"/>
            <w:bottom w:val="none" w:sz="0" w:space="0" w:color="auto"/>
            <w:right w:val="none" w:sz="0" w:space="0" w:color="auto"/>
          </w:divBdr>
        </w:div>
        <w:div w:id="1888683711">
          <w:marLeft w:val="475"/>
          <w:marRight w:val="0"/>
          <w:marTop w:val="168"/>
          <w:marBottom w:val="0"/>
          <w:divBdr>
            <w:top w:val="none" w:sz="0" w:space="0" w:color="auto"/>
            <w:left w:val="none" w:sz="0" w:space="0" w:color="auto"/>
            <w:bottom w:val="none" w:sz="0" w:space="0" w:color="auto"/>
            <w:right w:val="none" w:sz="0" w:space="0" w:color="auto"/>
          </w:divBdr>
        </w:div>
        <w:div w:id="2025397518">
          <w:marLeft w:val="475"/>
          <w:marRight w:val="0"/>
          <w:marTop w:val="168"/>
          <w:marBottom w:val="0"/>
          <w:divBdr>
            <w:top w:val="none" w:sz="0" w:space="0" w:color="auto"/>
            <w:left w:val="none" w:sz="0" w:space="0" w:color="auto"/>
            <w:bottom w:val="none" w:sz="0" w:space="0" w:color="auto"/>
            <w:right w:val="none" w:sz="0" w:space="0" w:color="auto"/>
          </w:divBdr>
        </w:div>
      </w:divsChild>
    </w:div>
    <w:div w:id="759064153">
      <w:bodyDiv w:val="1"/>
      <w:marLeft w:val="0"/>
      <w:marRight w:val="0"/>
      <w:marTop w:val="0"/>
      <w:marBottom w:val="0"/>
      <w:divBdr>
        <w:top w:val="none" w:sz="0" w:space="0" w:color="auto"/>
        <w:left w:val="none" w:sz="0" w:space="0" w:color="auto"/>
        <w:bottom w:val="none" w:sz="0" w:space="0" w:color="auto"/>
        <w:right w:val="none" w:sz="0" w:space="0" w:color="auto"/>
      </w:divBdr>
    </w:div>
    <w:div w:id="766774900">
      <w:bodyDiv w:val="1"/>
      <w:marLeft w:val="0"/>
      <w:marRight w:val="0"/>
      <w:marTop w:val="0"/>
      <w:marBottom w:val="0"/>
      <w:divBdr>
        <w:top w:val="none" w:sz="0" w:space="0" w:color="auto"/>
        <w:left w:val="none" w:sz="0" w:space="0" w:color="auto"/>
        <w:bottom w:val="none" w:sz="0" w:space="0" w:color="auto"/>
        <w:right w:val="none" w:sz="0" w:space="0" w:color="auto"/>
      </w:divBdr>
      <w:divsChild>
        <w:div w:id="50812158">
          <w:marLeft w:val="0"/>
          <w:marRight w:val="0"/>
          <w:marTop w:val="67"/>
          <w:marBottom w:val="0"/>
          <w:divBdr>
            <w:top w:val="none" w:sz="0" w:space="0" w:color="auto"/>
            <w:left w:val="none" w:sz="0" w:space="0" w:color="auto"/>
            <w:bottom w:val="none" w:sz="0" w:space="0" w:color="auto"/>
            <w:right w:val="none" w:sz="0" w:space="0" w:color="auto"/>
          </w:divBdr>
        </w:div>
        <w:div w:id="155997475">
          <w:marLeft w:val="0"/>
          <w:marRight w:val="0"/>
          <w:marTop w:val="67"/>
          <w:marBottom w:val="0"/>
          <w:divBdr>
            <w:top w:val="none" w:sz="0" w:space="0" w:color="auto"/>
            <w:left w:val="none" w:sz="0" w:space="0" w:color="auto"/>
            <w:bottom w:val="none" w:sz="0" w:space="0" w:color="auto"/>
            <w:right w:val="none" w:sz="0" w:space="0" w:color="auto"/>
          </w:divBdr>
        </w:div>
        <w:div w:id="595482168">
          <w:marLeft w:val="0"/>
          <w:marRight w:val="0"/>
          <w:marTop w:val="67"/>
          <w:marBottom w:val="0"/>
          <w:divBdr>
            <w:top w:val="none" w:sz="0" w:space="0" w:color="auto"/>
            <w:left w:val="none" w:sz="0" w:space="0" w:color="auto"/>
            <w:bottom w:val="none" w:sz="0" w:space="0" w:color="auto"/>
            <w:right w:val="none" w:sz="0" w:space="0" w:color="auto"/>
          </w:divBdr>
        </w:div>
        <w:div w:id="821503222">
          <w:marLeft w:val="0"/>
          <w:marRight w:val="0"/>
          <w:marTop w:val="67"/>
          <w:marBottom w:val="0"/>
          <w:divBdr>
            <w:top w:val="none" w:sz="0" w:space="0" w:color="auto"/>
            <w:left w:val="none" w:sz="0" w:space="0" w:color="auto"/>
            <w:bottom w:val="none" w:sz="0" w:space="0" w:color="auto"/>
            <w:right w:val="none" w:sz="0" w:space="0" w:color="auto"/>
          </w:divBdr>
        </w:div>
        <w:div w:id="832648564">
          <w:marLeft w:val="0"/>
          <w:marRight w:val="0"/>
          <w:marTop w:val="67"/>
          <w:marBottom w:val="0"/>
          <w:divBdr>
            <w:top w:val="none" w:sz="0" w:space="0" w:color="auto"/>
            <w:left w:val="none" w:sz="0" w:space="0" w:color="auto"/>
            <w:bottom w:val="none" w:sz="0" w:space="0" w:color="auto"/>
            <w:right w:val="none" w:sz="0" w:space="0" w:color="auto"/>
          </w:divBdr>
        </w:div>
        <w:div w:id="969552779">
          <w:marLeft w:val="0"/>
          <w:marRight w:val="0"/>
          <w:marTop w:val="67"/>
          <w:marBottom w:val="0"/>
          <w:divBdr>
            <w:top w:val="none" w:sz="0" w:space="0" w:color="auto"/>
            <w:left w:val="none" w:sz="0" w:space="0" w:color="auto"/>
            <w:bottom w:val="none" w:sz="0" w:space="0" w:color="auto"/>
            <w:right w:val="none" w:sz="0" w:space="0" w:color="auto"/>
          </w:divBdr>
        </w:div>
        <w:div w:id="1217207325">
          <w:marLeft w:val="0"/>
          <w:marRight w:val="0"/>
          <w:marTop w:val="67"/>
          <w:marBottom w:val="0"/>
          <w:divBdr>
            <w:top w:val="none" w:sz="0" w:space="0" w:color="auto"/>
            <w:left w:val="none" w:sz="0" w:space="0" w:color="auto"/>
            <w:bottom w:val="none" w:sz="0" w:space="0" w:color="auto"/>
            <w:right w:val="none" w:sz="0" w:space="0" w:color="auto"/>
          </w:divBdr>
        </w:div>
        <w:div w:id="1316449012">
          <w:marLeft w:val="0"/>
          <w:marRight w:val="0"/>
          <w:marTop w:val="67"/>
          <w:marBottom w:val="0"/>
          <w:divBdr>
            <w:top w:val="none" w:sz="0" w:space="0" w:color="auto"/>
            <w:left w:val="none" w:sz="0" w:space="0" w:color="auto"/>
            <w:bottom w:val="none" w:sz="0" w:space="0" w:color="auto"/>
            <w:right w:val="none" w:sz="0" w:space="0" w:color="auto"/>
          </w:divBdr>
        </w:div>
        <w:div w:id="1687441310">
          <w:marLeft w:val="0"/>
          <w:marRight w:val="0"/>
          <w:marTop w:val="67"/>
          <w:marBottom w:val="0"/>
          <w:divBdr>
            <w:top w:val="none" w:sz="0" w:space="0" w:color="auto"/>
            <w:left w:val="none" w:sz="0" w:space="0" w:color="auto"/>
            <w:bottom w:val="none" w:sz="0" w:space="0" w:color="auto"/>
            <w:right w:val="none" w:sz="0" w:space="0" w:color="auto"/>
          </w:divBdr>
        </w:div>
        <w:div w:id="2010407251">
          <w:marLeft w:val="0"/>
          <w:marRight w:val="0"/>
          <w:marTop w:val="67"/>
          <w:marBottom w:val="0"/>
          <w:divBdr>
            <w:top w:val="none" w:sz="0" w:space="0" w:color="auto"/>
            <w:left w:val="none" w:sz="0" w:space="0" w:color="auto"/>
            <w:bottom w:val="none" w:sz="0" w:space="0" w:color="auto"/>
            <w:right w:val="none" w:sz="0" w:space="0" w:color="auto"/>
          </w:divBdr>
        </w:div>
      </w:divsChild>
    </w:div>
    <w:div w:id="766923715">
      <w:bodyDiv w:val="1"/>
      <w:marLeft w:val="0"/>
      <w:marRight w:val="0"/>
      <w:marTop w:val="0"/>
      <w:marBottom w:val="0"/>
      <w:divBdr>
        <w:top w:val="none" w:sz="0" w:space="0" w:color="auto"/>
        <w:left w:val="none" w:sz="0" w:space="0" w:color="auto"/>
        <w:bottom w:val="none" w:sz="0" w:space="0" w:color="auto"/>
        <w:right w:val="none" w:sz="0" w:space="0" w:color="auto"/>
      </w:divBdr>
      <w:divsChild>
        <w:div w:id="931741808">
          <w:marLeft w:val="0"/>
          <w:marRight w:val="0"/>
          <w:marTop w:val="0"/>
          <w:marBottom w:val="115"/>
          <w:divBdr>
            <w:top w:val="none" w:sz="0" w:space="0" w:color="auto"/>
            <w:left w:val="none" w:sz="0" w:space="0" w:color="auto"/>
            <w:bottom w:val="none" w:sz="0" w:space="0" w:color="auto"/>
            <w:right w:val="none" w:sz="0" w:space="0" w:color="auto"/>
          </w:divBdr>
          <w:divsChild>
            <w:div w:id="128204088">
              <w:marLeft w:val="0"/>
              <w:marRight w:val="0"/>
              <w:marTop w:val="0"/>
              <w:marBottom w:val="0"/>
              <w:divBdr>
                <w:top w:val="none" w:sz="0" w:space="0" w:color="auto"/>
                <w:left w:val="none" w:sz="0" w:space="0" w:color="auto"/>
                <w:bottom w:val="none" w:sz="0" w:space="0" w:color="auto"/>
                <w:right w:val="none" w:sz="0" w:space="0" w:color="auto"/>
              </w:divBdr>
            </w:div>
            <w:div w:id="594024618">
              <w:marLeft w:val="0"/>
              <w:marRight w:val="0"/>
              <w:marTop w:val="0"/>
              <w:marBottom w:val="0"/>
              <w:divBdr>
                <w:top w:val="none" w:sz="0" w:space="0" w:color="auto"/>
                <w:left w:val="none" w:sz="0" w:space="0" w:color="auto"/>
                <w:bottom w:val="none" w:sz="0" w:space="0" w:color="auto"/>
                <w:right w:val="none" w:sz="0" w:space="0" w:color="auto"/>
              </w:divBdr>
              <w:divsChild>
                <w:div w:id="444153623">
                  <w:marLeft w:val="0"/>
                  <w:marRight w:val="0"/>
                  <w:marTop w:val="0"/>
                  <w:marBottom w:val="0"/>
                  <w:divBdr>
                    <w:top w:val="none" w:sz="0" w:space="0" w:color="auto"/>
                    <w:left w:val="none" w:sz="0" w:space="0" w:color="auto"/>
                    <w:bottom w:val="none" w:sz="0" w:space="0" w:color="auto"/>
                    <w:right w:val="none" w:sz="0" w:space="0" w:color="auto"/>
                  </w:divBdr>
                </w:div>
                <w:div w:id="607855386">
                  <w:marLeft w:val="0"/>
                  <w:marRight w:val="0"/>
                  <w:marTop w:val="0"/>
                  <w:marBottom w:val="0"/>
                  <w:divBdr>
                    <w:top w:val="none" w:sz="0" w:space="0" w:color="auto"/>
                    <w:left w:val="none" w:sz="0" w:space="0" w:color="auto"/>
                    <w:bottom w:val="none" w:sz="0" w:space="0" w:color="auto"/>
                    <w:right w:val="none" w:sz="0" w:space="0" w:color="auto"/>
                  </w:divBdr>
                </w:div>
                <w:div w:id="662200433">
                  <w:marLeft w:val="0"/>
                  <w:marRight w:val="0"/>
                  <w:marTop w:val="0"/>
                  <w:marBottom w:val="0"/>
                  <w:divBdr>
                    <w:top w:val="none" w:sz="0" w:space="0" w:color="auto"/>
                    <w:left w:val="none" w:sz="0" w:space="0" w:color="auto"/>
                    <w:bottom w:val="none" w:sz="0" w:space="0" w:color="auto"/>
                    <w:right w:val="none" w:sz="0" w:space="0" w:color="auto"/>
                  </w:divBdr>
                </w:div>
                <w:div w:id="1040938296">
                  <w:marLeft w:val="0"/>
                  <w:marRight w:val="0"/>
                  <w:marTop w:val="0"/>
                  <w:marBottom w:val="0"/>
                  <w:divBdr>
                    <w:top w:val="none" w:sz="0" w:space="0" w:color="auto"/>
                    <w:left w:val="none" w:sz="0" w:space="0" w:color="auto"/>
                    <w:bottom w:val="none" w:sz="0" w:space="0" w:color="auto"/>
                    <w:right w:val="none" w:sz="0" w:space="0" w:color="auto"/>
                  </w:divBdr>
                </w:div>
                <w:div w:id="1103065397">
                  <w:marLeft w:val="0"/>
                  <w:marRight w:val="0"/>
                  <w:marTop w:val="0"/>
                  <w:marBottom w:val="0"/>
                  <w:divBdr>
                    <w:top w:val="none" w:sz="0" w:space="0" w:color="auto"/>
                    <w:left w:val="none" w:sz="0" w:space="0" w:color="auto"/>
                    <w:bottom w:val="none" w:sz="0" w:space="0" w:color="auto"/>
                    <w:right w:val="none" w:sz="0" w:space="0" w:color="auto"/>
                  </w:divBdr>
                </w:div>
                <w:div w:id="1687440307">
                  <w:marLeft w:val="0"/>
                  <w:marRight w:val="0"/>
                  <w:marTop w:val="0"/>
                  <w:marBottom w:val="0"/>
                  <w:divBdr>
                    <w:top w:val="none" w:sz="0" w:space="0" w:color="auto"/>
                    <w:left w:val="none" w:sz="0" w:space="0" w:color="auto"/>
                    <w:bottom w:val="none" w:sz="0" w:space="0" w:color="auto"/>
                    <w:right w:val="none" w:sz="0" w:space="0" w:color="auto"/>
                  </w:divBdr>
                </w:div>
                <w:div w:id="1956474145">
                  <w:marLeft w:val="0"/>
                  <w:marRight w:val="0"/>
                  <w:marTop w:val="0"/>
                  <w:marBottom w:val="0"/>
                  <w:divBdr>
                    <w:top w:val="none" w:sz="0" w:space="0" w:color="auto"/>
                    <w:left w:val="none" w:sz="0" w:space="0" w:color="auto"/>
                    <w:bottom w:val="none" w:sz="0" w:space="0" w:color="auto"/>
                    <w:right w:val="none" w:sz="0" w:space="0" w:color="auto"/>
                  </w:divBdr>
                </w:div>
                <w:div w:id="20856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7127">
          <w:marLeft w:val="0"/>
          <w:marRight w:val="0"/>
          <w:marTop w:val="0"/>
          <w:marBottom w:val="115"/>
          <w:divBdr>
            <w:top w:val="none" w:sz="0" w:space="0" w:color="auto"/>
            <w:left w:val="none" w:sz="0" w:space="0" w:color="auto"/>
            <w:bottom w:val="none" w:sz="0" w:space="0" w:color="auto"/>
            <w:right w:val="none" w:sz="0" w:space="0" w:color="auto"/>
          </w:divBdr>
          <w:divsChild>
            <w:div w:id="889728562">
              <w:marLeft w:val="0"/>
              <w:marRight w:val="0"/>
              <w:marTop w:val="0"/>
              <w:marBottom w:val="0"/>
              <w:divBdr>
                <w:top w:val="none" w:sz="0" w:space="0" w:color="auto"/>
                <w:left w:val="none" w:sz="0" w:space="0" w:color="auto"/>
                <w:bottom w:val="none" w:sz="0" w:space="0" w:color="auto"/>
                <w:right w:val="none" w:sz="0" w:space="0" w:color="auto"/>
              </w:divBdr>
            </w:div>
            <w:div w:id="1791820636">
              <w:marLeft w:val="0"/>
              <w:marRight w:val="0"/>
              <w:marTop w:val="0"/>
              <w:marBottom w:val="0"/>
              <w:divBdr>
                <w:top w:val="none" w:sz="0" w:space="0" w:color="auto"/>
                <w:left w:val="none" w:sz="0" w:space="0" w:color="auto"/>
                <w:bottom w:val="none" w:sz="0" w:space="0" w:color="auto"/>
                <w:right w:val="none" w:sz="0" w:space="0" w:color="auto"/>
              </w:divBdr>
              <w:divsChild>
                <w:div w:id="23023751">
                  <w:marLeft w:val="0"/>
                  <w:marRight w:val="0"/>
                  <w:marTop w:val="0"/>
                  <w:marBottom w:val="0"/>
                  <w:divBdr>
                    <w:top w:val="none" w:sz="0" w:space="0" w:color="auto"/>
                    <w:left w:val="none" w:sz="0" w:space="0" w:color="auto"/>
                    <w:bottom w:val="none" w:sz="0" w:space="0" w:color="auto"/>
                    <w:right w:val="none" w:sz="0" w:space="0" w:color="auto"/>
                  </w:divBdr>
                </w:div>
                <w:div w:id="286743510">
                  <w:marLeft w:val="0"/>
                  <w:marRight w:val="0"/>
                  <w:marTop w:val="0"/>
                  <w:marBottom w:val="0"/>
                  <w:divBdr>
                    <w:top w:val="none" w:sz="0" w:space="0" w:color="auto"/>
                    <w:left w:val="none" w:sz="0" w:space="0" w:color="auto"/>
                    <w:bottom w:val="none" w:sz="0" w:space="0" w:color="auto"/>
                    <w:right w:val="none" w:sz="0" w:space="0" w:color="auto"/>
                  </w:divBdr>
                </w:div>
                <w:div w:id="411244551">
                  <w:marLeft w:val="0"/>
                  <w:marRight w:val="0"/>
                  <w:marTop w:val="0"/>
                  <w:marBottom w:val="0"/>
                  <w:divBdr>
                    <w:top w:val="none" w:sz="0" w:space="0" w:color="auto"/>
                    <w:left w:val="none" w:sz="0" w:space="0" w:color="auto"/>
                    <w:bottom w:val="none" w:sz="0" w:space="0" w:color="auto"/>
                    <w:right w:val="none" w:sz="0" w:space="0" w:color="auto"/>
                  </w:divBdr>
                </w:div>
                <w:div w:id="671446960">
                  <w:marLeft w:val="0"/>
                  <w:marRight w:val="0"/>
                  <w:marTop w:val="0"/>
                  <w:marBottom w:val="0"/>
                  <w:divBdr>
                    <w:top w:val="none" w:sz="0" w:space="0" w:color="auto"/>
                    <w:left w:val="none" w:sz="0" w:space="0" w:color="auto"/>
                    <w:bottom w:val="none" w:sz="0" w:space="0" w:color="auto"/>
                    <w:right w:val="none" w:sz="0" w:space="0" w:color="auto"/>
                  </w:divBdr>
                </w:div>
                <w:div w:id="716903652">
                  <w:marLeft w:val="0"/>
                  <w:marRight w:val="0"/>
                  <w:marTop w:val="0"/>
                  <w:marBottom w:val="0"/>
                  <w:divBdr>
                    <w:top w:val="none" w:sz="0" w:space="0" w:color="auto"/>
                    <w:left w:val="none" w:sz="0" w:space="0" w:color="auto"/>
                    <w:bottom w:val="none" w:sz="0" w:space="0" w:color="auto"/>
                    <w:right w:val="none" w:sz="0" w:space="0" w:color="auto"/>
                  </w:divBdr>
                </w:div>
                <w:div w:id="1033385424">
                  <w:marLeft w:val="0"/>
                  <w:marRight w:val="0"/>
                  <w:marTop w:val="0"/>
                  <w:marBottom w:val="0"/>
                  <w:divBdr>
                    <w:top w:val="none" w:sz="0" w:space="0" w:color="auto"/>
                    <w:left w:val="none" w:sz="0" w:space="0" w:color="auto"/>
                    <w:bottom w:val="none" w:sz="0" w:space="0" w:color="auto"/>
                    <w:right w:val="none" w:sz="0" w:space="0" w:color="auto"/>
                  </w:divBdr>
                </w:div>
                <w:div w:id="1138180000">
                  <w:marLeft w:val="0"/>
                  <w:marRight w:val="0"/>
                  <w:marTop w:val="0"/>
                  <w:marBottom w:val="0"/>
                  <w:divBdr>
                    <w:top w:val="none" w:sz="0" w:space="0" w:color="auto"/>
                    <w:left w:val="none" w:sz="0" w:space="0" w:color="auto"/>
                    <w:bottom w:val="none" w:sz="0" w:space="0" w:color="auto"/>
                    <w:right w:val="none" w:sz="0" w:space="0" w:color="auto"/>
                  </w:divBdr>
                </w:div>
                <w:div w:id="1154491848">
                  <w:marLeft w:val="0"/>
                  <w:marRight w:val="0"/>
                  <w:marTop w:val="0"/>
                  <w:marBottom w:val="0"/>
                  <w:divBdr>
                    <w:top w:val="none" w:sz="0" w:space="0" w:color="auto"/>
                    <w:left w:val="none" w:sz="0" w:space="0" w:color="auto"/>
                    <w:bottom w:val="none" w:sz="0" w:space="0" w:color="auto"/>
                    <w:right w:val="none" w:sz="0" w:space="0" w:color="auto"/>
                  </w:divBdr>
                </w:div>
                <w:div w:id="1206866958">
                  <w:marLeft w:val="0"/>
                  <w:marRight w:val="0"/>
                  <w:marTop w:val="0"/>
                  <w:marBottom w:val="0"/>
                  <w:divBdr>
                    <w:top w:val="none" w:sz="0" w:space="0" w:color="auto"/>
                    <w:left w:val="none" w:sz="0" w:space="0" w:color="auto"/>
                    <w:bottom w:val="none" w:sz="0" w:space="0" w:color="auto"/>
                    <w:right w:val="none" w:sz="0" w:space="0" w:color="auto"/>
                  </w:divBdr>
                </w:div>
                <w:div w:id="1280409137">
                  <w:marLeft w:val="0"/>
                  <w:marRight w:val="0"/>
                  <w:marTop w:val="0"/>
                  <w:marBottom w:val="0"/>
                  <w:divBdr>
                    <w:top w:val="none" w:sz="0" w:space="0" w:color="auto"/>
                    <w:left w:val="none" w:sz="0" w:space="0" w:color="auto"/>
                    <w:bottom w:val="none" w:sz="0" w:space="0" w:color="auto"/>
                    <w:right w:val="none" w:sz="0" w:space="0" w:color="auto"/>
                  </w:divBdr>
                </w:div>
                <w:div w:id="1362435273">
                  <w:marLeft w:val="0"/>
                  <w:marRight w:val="0"/>
                  <w:marTop w:val="0"/>
                  <w:marBottom w:val="0"/>
                  <w:divBdr>
                    <w:top w:val="none" w:sz="0" w:space="0" w:color="auto"/>
                    <w:left w:val="none" w:sz="0" w:space="0" w:color="auto"/>
                    <w:bottom w:val="none" w:sz="0" w:space="0" w:color="auto"/>
                    <w:right w:val="none" w:sz="0" w:space="0" w:color="auto"/>
                  </w:divBdr>
                </w:div>
                <w:div w:id="1551335074">
                  <w:marLeft w:val="0"/>
                  <w:marRight w:val="0"/>
                  <w:marTop w:val="0"/>
                  <w:marBottom w:val="0"/>
                  <w:divBdr>
                    <w:top w:val="none" w:sz="0" w:space="0" w:color="auto"/>
                    <w:left w:val="none" w:sz="0" w:space="0" w:color="auto"/>
                    <w:bottom w:val="none" w:sz="0" w:space="0" w:color="auto"/>
                    <w:right w:val="none" w:sz="0" w:space="0" w:color="auto"/>
                  </w:divBdr>
                </w:div>
                <w:div w:id="170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12">
      <w:bodyDiv w:val="1"/>
      <w:marLeft w:val="0"/>
      <w:marRight w:val="0"/>
      <w:marTop w:val="0"/>
      <w:marBottom w:val="0"/>
      <w:divBdr>
        <w:top w:val="none" w:sz="0" w:space="0" w:color="auto"/>
        <w:left w:val="none" w:sz="0" w:space="0" w:color="auto"/>
        <w:bottom w:val="none" w:sz="0" w:space="0" w:color="auto"/>
        <w:right w:val="none" w:sz="0" w:space="0" w:color="auto"/>
      </w:divBdr>
    </w:div>
    <w:div w:id="775176387">
      <w:bodyDiv w:val="1"/>
      <w:marLeft w:val="0"/>
      <w:marRight w:val="0"/>
      <w:marTop w:val="0"/>
      <w:marBottom w:val="0"/>
      <w:divBdr>
        <w:top w:val="none" w:sz="0" w:space="0" w:color="auto"/>
        <w:left w:val="none" w:sz="0" w:space="0" w:color="auto"/>
        <w:bottom w:val="none" w:sz="0" w:space="0" w:color="auto"/>
        <w:right w:val="none" w:sz="0" w:space="0" w:color="auto"/>
      </w:divBdr>
    </w:div>
    <w:div w:id="776871959">
      <w:bodyDiv w:val="1"/>
      <w:marLeft w:val="0"/>
      <w:marRight w:val="0"/>
      <w:marTop w:val="0"/>
      <w:marBottom w:val="0"/>
      <w:divBdr>
        <w:top w:val="none" w:sz="0" w:space="0" w:color="auto"/>
        <w:left w:val="none" w:sz="0" w:space="0" w:color="auto"/>
        <w:bottom w:val="none" w:sz="0" w:space="0" w:color="auto"/>
        <w:right w:val="none" w:sz="0" w:space="0" w:color="auto"/>
      </w:divBdr>
    </w:div>
    <w:div w:id="797145160">
      <w:bodyDiv w:val="1"/>
      <w:marLeft w:val="0"/>
      <w:marRight w:val="0"/>
      <w:marTop w:val="0"/>
      <w:marBottom w:val="0"/>
      <w:divBdr>
        <w:top w:val="none" w:sz="0" w:space="0" w:color="auto"/>
        <w:left w:val="none" w:sz="0" w:space="0" w:color="auto"/>
        <w:bottom w:val="none" w:sz="0" w:space="0" w:color="auto"/>
        <w:right w:val="none" w:sz="0" w:space="0" w:color="auto"/>
      </w:divBdr>
    </w:div>
    <w:div w:id="797719407">
      <w:bodyDiv w:val="1"/>
      <w:marLeft w:val="0"/>
      <w:marRight w:val="0"/>
      <w:marTop w:val="0"/>
      <w:marBottom w:val="0"/>
      <w:divBdr>
        <w:top w:val="none" w:sz="0" w:space="0" w:color="auto"/>
        <w:left w:val="none" w:sz="0" w:space="0" w:color="auto"/>
        <w:bottom w:val="none" w:sz="0" w:space="0" w:color="auto"/>
        <w:right w:val="none" w:sz="0" w:space="0" w:color="auto"/>
      </w:divBdr>
    </w:div>
    <w:div w:id="814566900">
      <w:bodyDiv w:val="1"/>
      <w:marLeft w:val="0"/>
      <w:marRight w:val="0"/>
      <w:marTop w:val="0"/>
      <w:marBottom w:val="0"/>
      <w:divBdr>
        <w:top w:val="none" w:sz="0" w:space="0" w:color="auto"/>
        <w:left w:val="none" w:sz="0" w:space="0" w:color="auto"/>
        <w:bottom w:val="none" w:sz="0" w:space="0" w:color="auto"/>
        <w:right w:val="none" w:sz="0" w:space="0" w:color="auto"/>
      </w:divBdr>
    </w:div>
    <w:div w:id="828908672">
      <w:bodyDiv w:val="1"/>
      <w:marLeft w:val="0"/>
      <w:marRight w:val="0"/>
      <w:marTop w:val="0"/>
      <w:marBottom w:val="0"/>
      <w:divBdr>
        <w:top w:val="none" w:sz="0" w:space="0" w:color="auto"/>
        <w:left w:val="none" w:sz="0" w:space="0" w:color="auto"/>
        <w:bottom w:val="none" w:sz="0" w:space="0" w:color="auto"/>
        <w:right w:val="none" w:sz="0" w:space="0" w:color="auto"/>
      </w:divBdr>
      <w:divsChild>
        <w:div w:id="422066562">
          <w:marLeft w:val="1829"/>
          <w:marRight w:val="0"/>
          <w:marTop w:val="144"/>
          <w:marBottom w:val="0"/>
          <w:divBdr>
            <w:top w:val="none" w:sz="0" w:space="0" w:color="auto"/>
            <w:left w:val="none" w:sz="0" w:space="0" w:color="auto"/>
            <w:bottom w:val="none" w:sz="0" w:space="0" w:color="auto"/>
            <w:right w:val="none" w:sz="0" w:space="0" w:color="auto"/>
          </w:divBdr>
        </w:div>
        <w:div w:id="807358805">
          <w:marLeft w:val="1181"/>
          <w:marRight w:val="0"/>
          <w:marTop w:val="168"/>
          <w:marBottom w:val="0"/>
          <w:divBdr>
            <w:top w:val="none" w:sz="0" w:space="0" w:color="auto"/>
            <w:left w:val="none" w:sz="0" w:space="0" w:color="auto"/>
            <w:bottom w:val="none" w:sz="0" w:space="0" w:color="auto"/>
            <w:right w:val="none" w:sz="0" w:space="0" w:color="auto"/>
          </w:divBdr>
        </w:div>
        <w:div w:id="885336089">
          <w:marLeft w:val="1829"/>
          <w:marRight w:val="0"/>
          <w:marTop w:val="144"/>
          <w:marBottom w:val="0"/>
          <w:divBdr>
            <w:top w:val="none" w:sz="0" w:space="0" w:color="auto"/>
            <w:left w:val="none" w:sz="0" w:space="0" w:color="auto"/>
            <w:bottom w:val="none" w:sz="0" w:space="0" w:color="auto"/>
            <w:right w:val="none" w:sz="0" w:space="0" w:color="auto"/>
          </w:divBdr>
        </w:div>
        <w:div w:id="1179390451">
          <w:marLeft w:val="475"/>
          <w:marRight w:val="0"/>
          <w:marTop w:val="168"/>
          <w:marBottom w:val="0"/>
          <w:divBdr>
            <w:top w:val="none" w:sz="0" w:space="0" w:color="auto"/>
            <w:left w:val="none" w:sz="0" w:space="0" w:color="auto"/>
            <w:bottom w:val="none" w:sz="0" w:space="0" w:color="auto"/>
            <w:right w:val="none" w:sz="0" w:space="0" w:color="auto"/>
          </w:divBdr>
        </w:div>
        <w:div w:id="1210193337">
          <w:marLeft w:val="1829"/>
          <w:marRight w:val="0"/>
          <w:marTop w:val="144"/>
          <w:marBottom w:val="0"/>
          <w:divBdr>
            <w:top w:val="none" w:sz="0" w:space="0" w:color="auto"/>
            <w:left w:val="none" w:sz="0" w:space="0" w:color="auto"/>
            <w:bottom w:val="none" w:sz="0" w:space="0" w:color="auto"/>
            <w:right w:val="none" w:sz="0" w:space="0" w:color="auto"/>
          </w:divBdr>
        </w:div>
        <w:div w:id="1439330814">
          <w:marLeft w:val="1181"/>
          <w:marRight w:val="0"/>
          <w:marTop w:val="168"/>
          <w:marBottom w:val="0"/>
          <w:divBdr>
            <w:top w:val="none" w:sz="0" w:space="0" w:color="auto"/>
            <w:left w:val="none" w:sz="0" w:space="0" w:color="auto"/>
            <w:bottom w:val="none" w:sz="0" w:space="0" w:color="auto"/>
            <w:right w:val="none" w:sz="0" w:space="0" w:color="auto"/>
          </w:divBdr>
        </w:div>
        <w:div w:id="1560241033">
          <w:marLeft w:val="1181"/>
          <w:marRight w:val="0"/>
          <w:marTop w:val="168"/>
          <w:marBottom w:val="0"/>
          <w:divBdr>
            <w:top w:val="none" w:sz="0" w:space="0" w:color="auto"/>
            <w:left w:val="none" w:sz="0" w:space="0" w:color="auto"/>
            <w:bottom w:val="none" w:sz="0" w:space="0" w:color="auto"/>
            <w:right w:val="none" w:sz="0" w:space="0" w:color="auto"/>
          </w:divBdr>
        </w:div>
        <w:div w:id="1838035125">
          <w:marLeft w:val="1829"/>
          <w:marRight w:val="0"/>
          <w:marTop w:val="144"/>
          <w:marBottom w:val="0"/>
          <w:divBdr>
            <w:top w:val="none" w:sz="0" w:space="0" w:color="auto"/>
            <w:left w:val="none" w:sz="0" w:space="0" w:color="auto"/>
            <w:bottom w:val="none" w:sz="0" w:space="0" w:color="auto"/>
            <w:right w:val="none" w:sz="0" w:space="0" w:color="auto"/>
          </w:divBdr>
        </w:div>
        <w:div w:id="1912621340">
          <w:marLeft w:val="475"/>
          <w:marRight w:val="0"/>
          <w:marTop w:val="168"/>
          <w:marBottom w:val="0"/>
          <w:divBdr>
            <w:top w:val="none" w:sz="0" w:space="0" w:color="auto"/>
            <w:left w:val="none" w:sz="0" w:space="0" w:color="auto"/>
            <w:bottom w:val="none" w:sz="0" w:space="0" w:color="auto"/>
            <w:right w:val="none" w:sz="0" w:space="0" w:color="auto"/>
          </w:divBdr>
        </w:div>
      </w:divsChild>
    </w:div>
    <w:div w:id="829717492">
      <w:bodyDiv w:val="1"/>
      <w:marLeft w:val="0"/>
      <w:marRight w:val="0"/>
      <w:marTop w:val="0"/>
      <w:marBottom w:val="0"/>
      <w:divBdr>
        <w:top w:val="none" w:sz="0" w:space="0" w:color="auto"/>
        <w:left w:val="none" w:sz="0" w:space="0" w:color="auto"/>
        <w:bottom w:val="none" w:sz="0" w:space="0" w:color="auto"/>
        <w:right w:val="none" w:sz="0" w:space="0" w:color="auto"/>
      </w:divBdr>
    </w:div>
    <w:div w:id="830482204">
      <w:bodyDiv w:val="1"/>
      <w:marLeft w:val="0"/>
      <w:marRight w:val="0"/>
      <w:marTop w:val="0"/>
      <w:marBottom w:val="0"/>
      <w:divBdr>
        <w:top w:val="none" w:sz="0" w:space="0" w:color="auto"/>
        <w:left w:val="none" w:sz="0" w:space="0" w:color="auto"/>
        <w:bottom w:val="none" w:sz="0" w:space="0" w:color="auto"/>
        <w:right w:val="none" w:sz="0" w:space="0" w:color="auto"/>
      </w:divBdr>
    </w:div>
    <w:div w:id="833956026">
      <w:bodyDiv w:val="1"/>
      <w:marLeft w:val="0"/>
      <w:marRight w:val="0"/>
      <w:marTop w:val="0"/>
      <w:marBottom w:val="0"/>
      <w:divBdr>
        <w:top w:val="none" w:sz="0" w:space="0" w:color="auto"/>
        <w:left w:val="none" w:sz="0" w:space="0" w:color="auto"/>
        <w:bottom w:val="none" w:sz="0" w:space="0" w:color="auto"/>
        <w:right w:val="none" w:sz="0" w:space="0" w:color="auto"/>
      </w:divBdr>
    </w:div>
    <w:div w:id="836044631">
      <w:bodyDiv w:val="1"/>
      <w:marLeft w:val="0"/>
      <w:marRight w:val="0"/>
      <w:marTop w:val="0"/>
      <w:marBottom w:val="0"/>
      <w:divBdr>
        <w:top w:val="none" w:sz="0" w:space="0" w:color="auto"/>
        <w:left w:val="none" w:sz="0" w:space="0" w:color="auto"/>
        <w:bottom w:val="none" w:sz="0" w:space="0" w:color="auto"/>
        <w:right w:val="none" w:sz="0" w:space="0" w:color="auto"/>
      </w:divBdr>
    </w:div>
    <w:div w:id="837229658">
      <w:bodyDiv w:val="1"/>
      <w:marLeft w:val="0"/>
      <w:marRight w:val="0"/>
      <w:marTop w:val="0"/>
      <w:marBottom w:val="0"/>
      <w:divBdr>
        <w:top w:val="none" w:sz="0" w:space="0" w:color="auto"/>
        <w:left w:val="none" w:sz="0" w:space="0" w:color="auto"/>
        <w:bottom w:val="none" w:sz="0" w:space="0" w:color="auto"/>
        <w:right w:val="none" w:sz="0" w:space="0" w:color="auto"/>
      </w:divBdr>
    </w:div>
    <w:div w:id="837692392">
      <w:bodyDiv w:val="1"/>
      <w:marLeft w:val="0"/>
      <w:marRight w:val="0"/>
      <w:marTop w:val="0"/>
      <w:marBottom w:val="0"/>
      <w:divBdr>
        <w:top w:val="none" w:sz="0" w:space="0" w:color="auto"/>
        <w:left w:val="none" w:sz="0" w:space="0" w:color="auto"/>
        <w:bottom w:val="none" w:sz="0" w:space="0" w:color="auto"/>
        <w:right w:val="none" w:sz="0" w:space="0" w:color="auto"/>
      </w:divBdr>
      <w:divsChild>
        <w:div w:id="327834164">
          <w:marLeft w:val="0"/>
          <w:marRight w:val="0"/>
          <w:marTop w:val="0"/>
          <w:marBottom w:val="81"/>
          <w:divBdr>
            <w:top w:val="none" w:sz="0" w:space="0" w:color="auto"/>
            <w:left w:val="none" w:sz="0" w:space="0" w:color="auto"/>
            <w:bottom w:val="none" w:sz="0" w:space="0" w:color="auto"/>
            <w:right w:val="none" w:sz="0" w:space="0" w:color="auto"/>
          </w:divBdr>
          <w:divsChild>
            <w:div w:id="1116215485">
              <w:marLeft w:val="0"/>
              <w:marRight w:val="0"/>
              <w:marTop w:val="0"/>
              <w:marBottom w:val="0"/>
              <w:divBdr>
                <w:top w:val="none" w:sz="0" w:space="0" w:color="auto"/>
                <w:left w:val="none" w:sz="0" w:space="0" w:color="auto"/>
                <w:bottom w:val="none" w:sz="0" w:space="0" w:color="auto"/>
                <w:right w:val="none" w:sz="0" w:space="0" w:color="auto"/>
              </w:divBdr>
              <w:divsChild>
                <w:div w:id="861158">
                  <w:marLeft w:val="0"/>
                  <w:marRight w:val="0"/>
                  <w:marTop w:val="0"/>
                  <w:marBottom w:val="0"/>
                  <w:divBdr>
                    <w:top w:val="none" w:sz="0" w:space="0" w:color="auto"/>
                    <w:left w:val="none" w:sz="0" w:space="0" w:color="auto"/>
                    <w:bottom w:val="none" w:sz="0" w:space="0" w:color="auto"/>
                    <w:right w:val="none" w:sz="0" w:space="0" w:color="auto"/>
                  </w:divBdr>
                </w:div>
              </w:divsChild>
            </w:div>
            <w:div w:id="1152675651">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839076842">
      <w:bodyDiv w:val="1"/>
      <w:marLeft w:val="0"/>
      <w:marRight w:val="0"/>
      <w:marTop w:val="0"/>
      <w:marBottom w:val="0"/>
      <w:divBdr>
        <w:top w:val="none" w:sz="0" w:space="0" w:color="auto"/>
        <w:left w:val="none" w:sz="0" w:space="0" w:color="auto"/>
        <w:bottom w:val="none" w:sz="0" w:space="0" w:color="auto"/>
        <w:right w:val="none" w:sz="0" w:space="0" w:color="auto"/>
      </w:divBdr>
    </w:div>
    <w:div w:id="839391526">
      <w:bodyDiv w:val="1"/>
      <w:marLeft w:val="0"/>
      <w:marRight w:val="0"/>
      <w:marTop w:val="0"/>
      <w:marBottom w:val="0"/>
      <w:divBdr>
        <w:top w:val="none" w:sz="0" w:space="0" w:color="auto"/>
        <w:left w:val="none" w:sz="0" w:space="0" w:color="auto"/>
        <w:bottom w:val="none" w:sz="0" w:space="0" w:color="auto"/>
        <w:right w:val="none" w:sz="0" w:space="0" w:color="auto"/>
      </w:divBdr>
    </w:div>
    <w:div w:id="839395983">
      <w:bodyDiv w:val="1"/>
      <w:marLeft w:val="0"/>
      <w:marRight w:val="0"/>
      <w:marTop w:val="0"/>
      <w:marBottom w:val="0"/>
      <w:divBdr>
        <w:top w:val="none" w:sz="0" w:space="0" w:color="auto"/>
        <w:left w:val="none" w:sz="0" w:space="0" w:color="auto"/>
        <w:bottom w:val="none" w:sz="0" w:space="0" w:color="auto"/>
        <w:right w:val="none" w:sz="0" w:space="0" w:color="auto"/>
      </w:divBdr>
    </w:div>
    <w:div w:id="839732688">
      <w:bodyDiv w:val="1"/>
      <w:marLeft w:val="0"/>
      <w:marRight w:val="0"/>
      <w:marTop w:val="0"/>
      <w:marBottom w:val="0"/>
      <w:divBdr>
        <w:top w:val="none" w:sz="0" w:space="0" w:color="auto"/>
        <w:left w:val="none" w:sz="0" w:space="0" w:color="auto"/>
        <w:bottom w:val="none" w:sz="0" w:space="0" w:color="auto"/>
        <w:right w:val="none" w:sz="0" w:space="0" w:color="auto"/>
      </w:divBdr>
    </w:div>
    <w:div w:id="843282251">
      <w:bodyDiv w:val="1"/>
      <w:marLeft w:val="0"/>
      <w:marRight w:val="0"/>
      <w:marTop w:val="0"/>
      <w:marBottom w:val="0"/>
      <w:divBdr>
        <w:top w:val="none" w:sz="0" w:space="0" w:color="auto"/>
        <w:left w:val="none" w:sz="0" w:space="0" w:color="auto"/>
        <w:bottom w:val="none" w:sz="0" w:space="0" w:color="auto"/>
        <w:right w:val="none" w:sz="0" w:space="0" w:color="auto"/>
      </w:divBdr>
    </w:div>
    <w:div w:id="846753592">
      <w:bodyDiv w:val="1"/>
      <w:marLeft w:val="0"/>
      <w:marRight w:val="0"/>
      <w:marTop w:val="0"/>
      <w:marBottom w:val="0"/>
      <w:divBdr>
        <w:top w:val="none" w:sz="0" w:space="0" w:color="auto"/>
        <w:left w:val="none" w:sz="0" w:space="0" w:color="auto"/>
        <w:bottom w:val="none" w:sz="0" w:space="0" w:color="auto"/>
        <w:right w:val="none" w:sz="0" w:space="0" w:color="auto"/>
      </w:divBdr>
      <w:divsChild>
        <w:div w:id="745225518">
          <w:marLeft w:val="0"/>
          <w:marRight w:val="240"/>
          <w:marTop w:val="96"/>
          <w:marBottom w:val="240"/>
          <w:divBdr>
            <w:top w:val="none" w:sz="0" w:space="0" w:color="auto"/>
            <w:left w:val="none" w:sz="0" w:space="0" w:color="auto"/>
            <w:bottom w:val="none" w:sz="0" w:space="0" w:color="auto"/>
            <w:right w:val="none" w:sz="0" w:space="0" w:color="auto"/>
          </w:divBdr>
          <w:divsChild>
            <w:div w:id="613945877">
              <w:marLeft w:val="0"/>
              <w:marRight w:val="0"/>
              <w:marTop w:val="0"/>
              <w:marBottom w:val="0"/>
              <w:divBdr>
                <w:top w:val="none" w:sz="0" w:space="0" w:color="auto"/>
                <w:left w:val="none" w:sz="0" w:space="0" w:color="auto"/>
                <w:bottom w:val="single" w:sz="4" w:space="1" w:color="D1D1D1"/>
                <w:right w:val="none" w:sz="0" w:space="0" w:color="auto"/>
              </w:divBdr>
            </w:div>
          </w:divsChild>
        </w:div>
        <w:div w:id="1748110725">
          <w:marLeft w:val="0"/>
          <w:marRight w:val="240"/>
          <w:marTop w:val="96"/>
          <w:marBottom w:val="240"/>
          <w:divBdr>
            <w:top w:val="none" w:sz="0" w:space="0" w:color="auto"/>
            <w:left w:val="none" w:sz="0" w:space="0" w:color="auto"/>
            <w:bottom w:val="none" w:sz="0" w:space="0" w:color="auto"/>
            <w:right w:val="none" w:sz="0" w:space="0" w:color="auto"/>
          </w:divBdr>
          <w:divsChild>
            <w:div w:id="415051635">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857738197">
      <w:bodyDiv w:val="1"/>
      <w:marLeft w:val="0"/>
      <w:marRight w:val="0"/>
      <w:marTop w:val="0"/>
      <w:marBottom w:val="0"/>
      <w:divBdr>
        <w:top w:val="none" w:sz="0" w:space="0" w:color="auto"/>
        <w:left w:val="none" w:sz="0" w:space="0" w:color="auto"/>
        <w:bottom w:val="none" w:sz="0" w:space="0" w:color="auto"/>
        <w:right w:val="none" w:sz="0" w:space="0" w:color="auto"/>
      </w:divBdr>
    </w:div>
    <w:div w:id="857812244">
      <w:bodyDiv w:val="1"/>
      <w:marLeft w:val="0"/>
      <w:marRight w:val="0"/>
      <w:marTop w:val="0"/>
      <w:marBottom w:val="0"/>
      <w:divBdr>
        <w:top w:val="none" w:sz="0" w:space="0" w:color="auto"/>
        <w:left w:val="none" w:sz="0" w:space="0" w:color="auto"/>
        <w:bottom w:val="none" w:sz="0" w:space="0" w:color="auto"/>
        <w:right w:val="none" w:sz="0" w:space="0" w:color="auto"/>
      </w:divBdr>
    </w:div>
    <w:div w:id="858393110">
      <w:bodyDiv w:val="1"/>
      <w:marLeft w:val="0"/>
      <w:marRight w:val="0"/>
      <w:marTop w:val="0"/>
      <w:marBottom w:val="0"/>
      <w:divBdr>
        <w:top w:val="none" w:sz="0" w:space="0" w:color="auto"/>
        <w:left w:val="none" w:sz="0" w:space="0" w:color="auto"/>
        <w:bottom w:val="none" w:sz="0" w:space="0" w:color="auto"/>
        <w:right w:val="none" w:sz="0" w:space="0" w:color="auto"/>
      </w:divBdr>
    </w:div>
    <w:div w:id="867185141">
      <w:bodyDiv w:val="1"/>
      <w:marLeft w:val="0"/>
      <w:marRight w:val="0"/>
      <w:marTop w:val="0"/>
      <w:marBottom w:val="0"/>
      <w:divBdr>
        <w:top w:val="none" w:sz="0" w:space="0" w:color="auto"/>
        <w:left w:val="none" w:sz="0" w:space="0" w:color="auto"/>
        <w:bottom w:val="none" w:sz="0" w:space="0" w:color="auto"/>
        <w:right w:val="none" w:sz="0" w:space="0" w:color="auto"/>
      </w:divBdr>
      <w:divsChild>
        <w:div w:id="1344820978">
          <w:marLeft w:val="0"/>
          <w:marRight w:val="0"/>
          <w:marTop w:val="0"/>
          <w:marBottom w:val="0"/>
          <w:divBdr>
            <w:top w:val="none" w:sz="0" w:space="0" w:color="auto"/>
            <w:left w:val="none" w:sz="0" w:space="0" w:color="auto"/>
            <w:bottom w:val="none" w:sz="0" w:space="0" w:color="auto"/>
            <w:right w:val="none" w:sz="0" w:space="0" w:color="auto"/>
          </w:divBdr>
        </w:div>
        <w:div w:id="694039988">
          <w:marLeft w:val="0"/>
          <w:marRight w:val="0"/>
          <w:marTop w:val="0"/>
          <w:marBottom w:val="0"/>
          <w:divBdr>
            <w:top w:val="none" w:sz="0" w:space="0" w:color="auto"/>
            <w:left w:val="none" w:sz="0" w:space="0" w:color="auto"/>
            <w:bottom w:val="none" w:sz="0" w:space="0" w:color="auto"/>
            <w:right w:val="none" w:sz="0" w:space="0" w:color="auto"/>
          </w:divBdr>
        </w:div>
        <w:div w:id="1134443699">
          <w:marLeft w:val="0"/>
          <w:marRight w:val="0"/>
          <w:marTop w:val="0"/>
          <w:marBottom w:val="0"/>
          <w:divBdr>
            <w:top w:val="none" w:sz="0" w:space="0" w:color="auto"/>
            <w:left w:val="none" w:sz="0" w:space="0" w:color="auto"/>
            <w:bottom w:val="none" w:sz="0" w:space="0" w:color="auto"/>
            <w:right w:val="none" w:sz="0" w:space="0" w:color="auto"/>
          </w:divBdr>
        </w:div>
        <w:div w:id="1063454876">
          <w:marLeft w:val="0"/>
          <w:marRight w:val="0"/>
          <w:marTop w:val="0"/>
          <w:marBottom w:val="0"/>
          <w:divBdr>
            <w:top w:val="none" w:sz="0" w:space="0" w:color="auto"/>
            <w:left w:val="none" w:sz="0" w:space="0" w:color="auto"/>
            <w:bottom w:val="none" w:sz="0" w:space="0" w:color="auto"/>
            <w:right w:val="none" w:sz="0" w:space="0" w:color="auto"/>
          </w:divBdr>
        </w:div>
        <w:div w:id="1347437158">
          <w:marLeft w:val="0"/>
          <w:marRight w:val="0"/>
          <w:marTop w:val="0"/>
          <w:marBottom w:val="0"/>
          <w:divBdr>
            <w:top w:val="none" w:sz="0" w:space="0" w:color="auto"/>
            <w:left w:val="none" w:sz="0" w:space="0" w:color="auto"/>
            <w:bottom w:val="none" w:sz="0" w:space="0" w:color="auto"/>
            <w:right w:val="none" w:sz="0" w:space="0" w:color="auto"/>
          </w:divBdr>
        </w:div>
        <w:div w:id="1273781389">
          <w:marLeft w:val="0"/>
          <w:marRight w:val="0"/>
          <w:marTop w:val="0"/>
          <w:marBottom w:val="0"/>
          <w:divBdr>
            <w:top w:val="none" w:sz="0" w:space="0" w:color="auto"/>
            <w:left w:val="none" w:sz="0" w:space="0" w:color="auto"/>
            <w:bottom w:val="none" w:sz="0" w:space="0" w:color="auto"/>
            <w:right w:val="none" w:sz="0" w:space="0" w:color="auto"/>
          </w:divBdr>
        </w:div>
        <w:div w:id="573970651">
          <w:marLeft w:val="0"/>
          <w:marRight w:val="0"/>
          <w:marTop w:val="0"/>
          <w:marBottom w:val="0"/>
          <w:divBdr>
            <w:top w:val="none" w:sz="0" w:space="0" w:color="auto"/>
            <w:left w:val="none" w:sz="0" w:space="0" w:color="auto"/>
            <w:bottom w:val="none" w:sz="0" w:space="0" w:color="auto"/>
            <w:right w:val="none" w:sz="0" w:space="0" w:color="auto"/>
          </w:divBdr>
        </w:div>
        <w:div w:id="571892340">
          <w:marLeft w:val="0"/>
          <w:marRight w:val="0"/>
          <w:marTop w:val="0"/>
          <w:marBottom w:val="0"/>
          <w:divBdr>
            <w:top w:val="none" w:sz="0" w:space="0" w:color="auto"/>
            <w:left w:val="none" w:sz="0" w:space="0" w:color="auto"/>
            <w:bottom w:val="none" w:sz="0" w:space="0" w:color="auto"/>
            <w:right w:val="none" w:sz="0" w:space="0" w:color="auto"/>
          </w:divBdr>
        </w:div>
        <w:div w:id="374735995">
          <w:marLeft w:val="0"/>
          <w:marRight w:val="0"/>
          <w:marTop w:val="0"/>
          <w:marBottom w:val="0"/>
          <w:divBdr>
            <w:top w:val="none" w:sz="0" w:space="0" w:color="auto"/>
            <w:left w:val="none" w:sz="0" w:space="0" w:color="auto"/>
            <w:bottom w:val="none" w:sz="0" w:space="0" w:color="auto"/>
            <w:right w:val="none" w:sz="0" w:space="0" w:color="auto"/>
          </w:divBdr>
        </w:div>
        <w:div w:id="2020892318">
          <w:marLeft w:val="0"/>
          <w:marRight w:val="0"/>
          <w:marTop w:val="0"/>
          <w:marBottom w:val="0"/>
          <w:divBdr>
            <w:top w:val="none" w:sz="0" w:space="0" w:color="auto"/>
            <w:left w:val="none" w:sz="0" w:space="0" w:color="auto"/>
            <w:bottom w:val="none" w:sz="0" w:space="0" w:color="auto"/>
            <w:right w:val="none" w:sz="0" w:space="0" w:color="auto"/>
          </w:divBdr>
        </w:div>
        <w:div w:id="2001033848">
          <w:marLeft w:val="0"/>
          <w:marRight w:val="0"/>
          <w:marTop w:val="0"/>
          <w:marBottom w:val="0"/>
          <w:divBdr>
            <w:top w:val="none" w:sz="0" w:space="0" w:color="auto"/>
            <w:left w:val="none" w:sz="0" w:space="0" w:color="auto"/>
            <w:bottom w:val="none" w:sz="0" w:space="0" w:color="auto"/>
            <w:right w:val="none" w:sz="0" w:space="0" w:color="auto"/>
          </w:divBdr>
        </w:div>
        <w:div w:id="1395736215">
          <w:marLeft w:val="0"/>
          <w:marRight w:val="0"/>
          <w:marTop w:val="0"/>
          <w:marBottom w:val="0"/>
          <w:divBdr>
            <w:top w:val="none" w:sz="0" w:space="0" w:color="auto"/>
            <w:left w:val="none" w:sz="0" w:space="0" w:color="auto"/>
            <w:bottom w:val="none" w:sz="0" w:space="0" w:color="auto"/>
            <w:right w:val="none" w:sz="0" w:space="0" w:color="auto"/>
          </w:divBdr>
        </w:div>
        <w:div w:id="798495986">
          <w:marLeft w:val="0"/>
          <w:marRight w:val="0"/>
          <w:marTop w:val="0"/>
          <w:marBottom w:val="0"/>
          <w:divBdr>
            <w:top w:val="none" w:sz="0" w:space="0" w:color="auto"/>
            <w:left w:val="none" w:sz="0" w:space="0" w:color="auto"/>
            <w:bottom w:val="none" w:sz="0" w:space="0" w:color="auto"/>
            <w:right w:val="none" w:sz="0" w:space="0" w:color="auto"/>
          </w:divBdr>
        </w:div>
        <w:div w:id="685592519">
          <w:marLeft w:val="0"/>
          <w:marRight w:val="0"/>
          <w:marTop w:val="0"/>
          <w:marBottom w:val="0"/>
          <w:divBdr>
            <w:top w:val="none" w:sz="0" w:space="0" w:color="auto"/>
            <w:left w:val="none" w:sz="0" w:space="0" w:color="auto"/>
            <w:bottom w:val="none" w:sz="0" w:space="0" w:color="auto"/>
            <w:right w:val="none" w:sz="0" w:space="0" w:color="auto"/>
          </w:divBdr>
        </w:div>
        <w:div w:id="517040165">
          <w:marLeft w:val="0"/>
          <w:marRight w:val="0"/>
          <w:marTop w:val="0"/>
          <w:marBottom w:val="0"/>
          <w:divBdr>
            <w:top w:val="none" w:sz="0" w:space="0" w:color="auto"/>
            <w:left w:val="none" w:sz="0" w:space="0" w:color="auto"/>
            <w:bottom w:val="none" w:sz="0" w:space="0" w:color="auto"/>
            <w:right w:val="none" w:sz="0" w:space="0" w:color="auto"/>
          </w:divBdr>
        </w:div>
        <w:div w:id="43911356">
          <w:marLeft w:val="0"/>
          <w:marRight w:val="0"/>
          <w:marTop w:val="0"/>
          <w:marBottom w:val="0"/>
          <w:divBdr>
            <w:top w:val="none" w:sz="0" w:space="0" w:color="auto"/>
            <w:left w:val="none" w:sz="0" w:space="0" w:color="auto"/>
            <w:bottom w:val="none" w:sz="0" w:space="0" w:color="auto"/>
            <w:right w:val="none" w:sz="0" w:space="0" w:color="auto"/>
          </w:divBdr>
        </w:div>
        <w:div w:id="634877339">
          <w:marLeft w:val="0"/>
          <w:marRight w:val="0"/>
          <w:marTop w:val="0"/>
          <w:marBottom w:val="0"/>
          <w:divBdr>
            <w:top w:val="none" w:sz="0" w:space="0" w:color="auto"/>
            <w:left w:val="none" w:sz="0" w:space="0" w:color="auto"/>
            <w:bottom w:val="none" w:sz="0" w:space="0" w:color="auto"/>
            <w:right w:val="none" w:sz="0" w:space="0" w:color="auto"/>
          </w:divBdr>
        </w:div>
        <w:div w:id="1481313136">
          <w:marLeft w:val="0"/>
          <w:marRight w:val="0"/>
          <w:marTop w:val="0"/>
          <w:marBottom w:val="0"/>
          <w:divBdr>
            <w:top w:val="none" w:sz="0" w:space="0" w:color="auto"/>
            <w:left w:val="none" w:sz="0" w:space="0" w:color="auto"/>
            <w:bottom w:val="none" w:sz="0" w:space="0" w:color="auto"/>
            <w:right w:val="none" w:sz="0" w:space="0" w:color="auto"/>
          </w:divBdr>
        </w:div>
        <w:div w:id="1590044019">
          <w:marLeft w:val="0"/>
          <w:marRight w:val="0"/>
          <w:marTop w:val="0"/>
          <w:marBottom w:val="0"/>
          <w:divBdr>
            <w:top w:val="none" w:sz="0" w:space="0" w:color="auto"/>
            <w:left w:val="none" w:sz="0" w:space="0" w:color="auto"/>
            <w:bottom w:val="none" w:sz="0" w:space="0" w:color="auto"/>
            <w:right w:val="none" w:sz="0" w:space="0" w:color="auto"/>
          </w:divBdr>
        </w:div>
        <w:div w:id="1097288324">
          <w:marLeft w:val="0"/>
          <w:marRight w:val="0"/>
          <w:marTop w:val="0"/>
          <w:marBottom w:val="0"/>
          <w:divBdr>
            <w:top w:val="none" w:sz="0" w:space="0" w:color="auto"/>
            <w:left w:val="none" w:sz="0" w:space="0" w:color="auto"/>
            <w:bottom w:val="none" w:sz="0" w:space="0" w:color="auto"/>
            <w:right w:val="none" w:sz="0" w:space="0" w:color="auto"/>
          </w:divBdr>
        </w:div>
        <w:div w:id="1108352013">
          <w:marLeft w:val="0"/>
          <w:marRight w:val="0"/>
          <w:marTop w:val="0"/>
          <w:marBottom w:val="0"/>
          <w:divBdr>
            <w:top w:val="none" w:sz="0" w:space="0" w:color="auto"/>
            <w:left w:val="none" w:sz="0" w:space="0" w:color="auto"/>
            <w:bottom w:val="none" w:sz="0" w:space="0" w:color="auto"/>
            <w:right w:val="none" w:sz="0" w:space="0" w:color="auto"/>
          </w:divBdr>
        </w:div>
        <w:div w:id="1078133434">
          <w:marLeft w:val="0"/>
          <w:marRight w:val="0"/>
          <w:marTop w:val="0"/>
          <w:marBottom w:val="0"/>
          <w:divBdr>
            <w:top w:val="none" w:sz="0" w:space="0" w:color="auto"/>
            <w:left w:val="none" w:sz="0" w:space="0" w:color="auto"/>
            <w:bottom w:val="none" w:sz="0" w:space="0" w:color="auto"/>
            <w:right w:val="none" w:sz="0" w:space="0" w:color="auto"/>
          </w:divBdr>
        </w:div>
        <w:div w:id="586690490">
          <w:marLeft w:val="0"/>
          <w:marRight w:val="0"/>
          <w:marTop w:val="0"/>
          <w:marBottom w:val="0"/>
          <w:divBdr>
            <w:top w:val="none" w:sz="0" w:space="0" w:color="auto"/>
            <w:left w:val="none" w:sz="0" w:space="0" w:color="auto"/>
            <w:bottom w:val="none" w:sz="0" w:space="0" w:color="auto"/>
            <w:right w:val="none" w:sz="0" w:space="0" w:color="auto"/>
          </w:divBdr>
        </w:div>
        <w:div w:id="2063600356">
          <w:marLeft w:val="0"/>
          <w:marRight w:val="0"/>
          <w:marTop w:val="0"/>
          <w:marBottom w:val="0"/>
          <w:divBdr>
            <w:top w:val="none" w:sz="0" w:space="0" w:color="auto"/>
            <w:left w:val="none" w:sz="0" w:space="0" w:color="auto"/>
            <w:bottom w:val="none" w:sz="0" w:space="0" w:color="auto"/>
            <w:right w:val="none" w:sz="0" w:space="0" w:color="auto"/>
          </w:divBdr>
        </w:div>
        <w:div w:id="1591770238">
          <w:marLeft w:val="0"/>
          <w:marRight w:val="0"/>
          <w:marTop w:val="0"/>
          <w:marBottom w:val="0"/>
          <w:divBdr>
            <w:top w:val="none" w:sz="0" w:space="0" w:color="auto"/>
            <w:left w:val="none" w:sz="0" w:space="0" w:color="auto"/>
            <w:bottom w:val="none" w:sz="0" w:space="0" w:color="auto"/>
            <w:right w:val="none" w:sz="0" w:space="0" w:color="auto"/>
          </w:divBdr>
        </w:div>
        <w:div w:id="237790706">
          <w:marLeft w:val="0"/>
          <w:marRight w:val="0"/>
          <w:marTop w:val="0"/>
          <w:marBottom w:val="0"/>
          <w:divBdr>
            <w:top w:val="none" w:sz="0" w:space="0" w:color="auto"/>
            <w:left w:val="none" w:sz="0" w:space="0" w:color="auto"/>
            <w:bottom w:val="none" w:sz="0" w:space="0" w:color="auto"/>
            <w:right w:val="none" w:sz="0" w:space="0" w:color="auto"/>
          </w:divBdr>
        </w:div>
        <w:div w:id="380400014">
          <w:marLeft w:val="0"/>
          <w:marRight w:val="0"/>
          <w:marTop w:val="0"/>
          <w:marBottom w:val="0"/>
          <w:divBdr>
            <w:top w:val="none" w:sz="0" w:space="0" w:color="auto"/>
            <w:left w:val="none" w:sz="0" w:space="0" w:color="auto"/>
            <w:bottom w:val="none" w:sz="0" w:space="0" w:color="auto"/>
            <w:right w:val="none" w:sz="0" w:space="0" w:color="auto"/>
          </w:divBdr>
        </w:div>
        <w:div w:id="1965038449">
          <w:marLeft w:val="0"/>
          <w:marRight w:val="0"/>
          <w:marTop w:val="0"/>
          <w:marBottom w:val="0"/>
          <w:divBdr>
            <w:top w:val="none" w:sz="0" w:space="0" w:color="auto"/>
            <w:left w:val="none" w:sz="0" w:space="0" w:color="auto"/>
            <w:bottom w:val="none" w:sz="0" w:space="0" w:color="auto"/>
            <w:right w:val="none" w:sz="0" w:space="0" w:color="auto"/>
          </w:divBdr>
        </w:div>
        <w:div w:id="1421170826">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655257593">
          <w:marLeft w:val="0"/>
          <w:marRight w:val="0"/>
          <w:marTop w:val="0"/>
          <w:marBottom w:val="0"/>
          <w:divBdr>
            <w:top w:val="none" w:sz="0" w:space="0" w:color="auto"/>
            <w:left w:val="none" w:sz="0" w:space="0" w:color="auto"/>
            <w:bottom w:val="none" w:sz="0" w:space="0" w:color="auto"/>
            <w:right w:val="none" w:sz="0" w:space="0" w:color="auto"/>
          </w:divBdr>
        </w:div>
        <w:div w:id="1361395213">
          <w:marLeft w:val="0"/>
          <w:marRight w:val="0"/>
          <w:marTop w:val="0"/>
          <w:marBottom w:val="0"/>
          <w:divBdr>
            <w:top w:val="none" w:sz="0" w:space="0" w:color="auto"/>
            <w:left w:val="none" w:sz="0" w:space="0" w:color="auto"/>
            <w:bottom w:val="none" w:sz="0" w:space="0" w:color="auto"/>
            <w:right w:val="none" w:sz="0" w:space="0" w:color="auto"/>
          </w:divBdr>
        </w:div>
        <w:div w:id="637227637">
          <w:marLeft w:val="0"/>
          <w:marRight w:val="0"/>
          <w:marTop w:val="0"/>
          <w:marBottom w:val="0"/>
          <w:divBdr>
            <w:top w:val="none" w:sz="0" w:space="0" w:color="auto"/>
            <w:left w:val="none" w:sz="0" w:space="0" w:color="auto"/>
            <w:bottom w:val="none" w:sz="0" w:space="0" w:color="auto"/>
            <w:right w:val="none" w:sz="0" w:space="0" w:color="auto"/>
          </w:divBdr>
        </w:div>
        <w:div w:id="24596162">
          <w:marLeft w:val="0"/>
          <w:marRight w:val="0"/>
          <w:marTop w:val="0"/>
          <w:marBottom w:val="0"/>
          <w:divBdr>
            <w:top w:val="none" w:sz="0" w:space="0" w:color="auto"/>
            <w:left w:val="none" w:sz="0" w:space="0" w:color="auto"/>
            <w:bottom w:val="none" w:sz="0" w:space="0" w:color="auto"/>
            <w:right w:val="none" w:sz="0" w:space="0" w:color="auto"/>
          </w:divBdr>
        </w:div>
        <w:div w:id="395903410">
          <w:marLeft w:val="0"/>
          <w:marRight w:val="0"/>
          <w:marTop w:val="0"/>
          <w:marBottom w:val="0"/>
          <w:divBdr>
            <w:top w:val="none" w:sz="0" w:space="0" w:color="auto"/>
            <w:left w:val="none" w:sz="0" w:space="0" w:color="auto"/>
            <w:bottom w:val="none" w:sz="0" w:space="0" w:color="auto"/>
            <w:right w:val="none" w:sz="0" w:space="0" w:color="auto"/>
          </w:divBdr>
        </w:div>
        <w:div w:id="143743559">
          <w:marLeft w:val="0"/>
          <w:marRight w:val="0"/>
          <w:marTop w:val="0"/>
          <w:marBottom w:val="0"/>
          <w:divBdr>
            <w:top w:val="none" w:sz="0" w:space="0" w:color="auto"/>
            <w:left w:val="none" w:sz="0" w:space="0" w:color="auto"/>
            <w:bottom w:val="none" w:sz="0" w:space="0" w:color="auto"/>
            <w:right w:val="none" w:sz="0" w:space="0" w:color="auto"/>
          </w:divBdr>
        </w:div>
        <w:div w:id="1957903473">
          <w:marLeft w:val="0"/>
          <w:marRight w:val="0"/>
          <w:marTop w:val="0"/>
          <w:marBottom w:val="0"/>
          <w:divBdr>
            <w:top w:val="none" w:sz="0" w:space="0" w:color="auto"/>
            <w:left w:val="none" w:sz="0" w:space="0" w:color="auto"/>
            <w:bottom w:val="none" w:sz="0" w:space="0" w:color="auto"/>
            <w:right w:val="none" w:sz="0" w:space="0" w:color="auto"/>
          </w:divBdr>
        </w:div>
        <w:div w:id="1711539401">
          <w:marLeft w:val="0"/>
          <w:marRight w:val="0"/>
          <w:marTop w:val="0"/>
          <w:marBottom w:val="0"/>
          <w:divBdr>
            <w:top w:val="none" w:sz="0" w:space="0" w:color="auto"/>
            <w:left w:val="none" w:sz="0" w:space="0" w:color="auto"/>
            <w:bottom w:val="none" w:sz="0" w:space="0" w:color="auto"/>
            <w:right w:val="none" w:sz="0" w:space="0" w:color="auto"/>
          </w:divBdr>
        </w:div>
        <w:div w:id="564340277">
          <w:marLeft w:val="0"/>
          <w:marRight w:val="0"/>
          <w:marTop w:val="0"/>
          <w:marBottom w:val="0"/>
          <w:divBdr>
            <w:top w:val="none" w:sz="0" w:space="0" w:color="auto"/>
            <w:left w:val="none" w:sz="0" w:space="0" w:color="auto"/>
            <w:bottom w:val="none" w:sz="0" w:space="0" w:color="auto"/>
            <w:right w:val="none" w:sz="0" w:space="0" w:color="auto"/>
          </w:divBdr>
        </w:div>
        <w:div w:id="1176461627">
          <w:marLeft w:val="0"/>
          <w:marRight w:val="0"/>
          <w:marTop w:val="0"/>
          <w:marBottom w:val="0"/>
          <w:divBdr>
            <w:top w:val="none" w:sz="0" w:space="0" w:color="auto"/>
            <w:left w:val="none" w:sz="0" w:space="0" w:color="auto"/>
            <w:bottom w:val="none" w:sz="0" w:space="0" w:color="auto"/>
            <w:right w:val="none" w:sz="0" w:space="0" w:color="auto"/>
          </w:divBdr>
        </w:div>
        <w:div w:id="661391496">
          <w:marLeft w:val="0"/>
          <w:marRight w:val="0"/>
          <w:marTop w:val="0"/>
          <w:marBottom w:val="0"/>
          <w:divBdr>
            <w:top w:val="none" w:sz="0" w:space="0" w:color="auto"/>
            <w:left w:val="none" w:sz="0" w:space="0" w:color="auto"/>
            <w:bottom w:val="none" w:sz="0" w:space="0" w:color="auto"/>
            <w:right w:val="none" w:sz="0" w:space="0" w:color="auto"/>
          </w:divBdr>
        </w:div>
        <w:div w:id="1171406025">
          <w:marLeft w:val="0"/>
          <w:marRight w:val="0"/>
          <w:marTop w:val="0"/>
          <w:marBottom w:val="0"/>
          <w:divBdr>
            <w:top w:val="none" w:sz="0" w:space="0" w:color="auto"/>
            <w:left w:val="none" w:sz="0" w:space="0" w:color="auto"/>
            <w:bottom w:val="none" w:sz="0" w:space="0" w:color="auto"/>
            <w:right w:val="none" w:sz="0" w:space="0" w:color="auto"/>
          </w:divBdr>
        </w:div>
        <w:div w:id="259065890">
          <w:marLeft w:val="0"/>
          <w:marRight w:val="0"/>
          <w:marTop w:val="0"/>
          <w:marBottom w:val="0"/>
          <w:divBdr>
            <w:top w:val="none" w:sz="0" w:space="0" w:color="auto"/>
            <w:left w:val="none" w:sz="0" w:space="0" w:color="auto"/>
            <w:bottom w:val="none" w:sz="0" w:space="0" w:color="auto"/>
            <w:right w:val="none" w:sz="0" w:space="0" w:color="auto"/>
          </w:divBdr>
        </w:div>
        <w:div w:id="430008273">
          <w:marLeft w:val="0"/>
          <w:marRight w:val="0"/>
          <w:marTop w:val="0"/>
          <w:marBottom w:val="0"/>
          <w:divBdr>
            <w:top w:val="none" w:sz="0" w:space="0" w:color="auto"/>
            <w:left w:val="none" w:sz="0" w:space="0" w:color="auto"/>
            <w:bottom w:val="none" w:sz="0" w:space="0" w:color="auto"/>
            <w:right w:val="none" w:sz="0" w:space="0" w:color="auto"/>
          </w:divBdr>
        </w:div>
        <w:div w:id="1744569727">
          <w:marLeft w:val="0"/>
          <w:marRight w:val="0"/>
          <w:marTop w:val="0"/>
          <w:marBottom w:val="0"/>
          <w:divBdr>
            <w:top w:val="none" w:sz="0" w:space="0" w:color="auto"/>
            <w:left w:val="none" w:sz="0" w:space="0" w:color="auto"/>
            <w:bottom w:val="none" w:sz="0" w:space="0" w:color="auto"/>
            <w:right w:val="none" w:sz="0" w:space="0" w:color="auto"/>
          </w:divBdr>
        </w:div>
        <w:div w:id="1813595076">
          <w:marLeft w:val="0"/>
          <w:marRight w:val="0"/>
          <w:marTop w:val="0"/>
          <w:marBottom w:val="0"/>
          <w:divBdr>
            <w:top w:val="none" w:sz="0" w:space="0" w:color="auto"/>
            <w:left w:val="none" w:sz="0" w:space="0" w:color="auto"/>
            <w:bottom w:val="none" w:sz="0" w:space="0" w:color="auto"/>
            <w:right w:val="none" w:sz="0" w:space="0" w:color="auto"/>
          </w:divBdr>
        </w:div>
        <w:div w:id="1264147841">
          <w:marLeft w:val="0"/>
          <w:marRight w:val="0"/>
          <w:marTop w:val="0"/>
          <w:marBottom w:val="0"/>
          <w:divBdr>
            <w:top w:val="none" w:sz="0" w:space="0" w:color="auto"/>
            <w:left w:val="none" w:sz="0" w:space="0" w:color="auto"/>
            <w:bottom w:val="none" w:sz="0" w:space="0" w:color="auto"/>
            <w:right w:val="none" w:sz="0" w:space="0" w:color="auto"/>
          </w:divBdr>
        </w:div>
        <w:div w:id="818232334">
          <w:marLeft w:val="0"/>
          <w:marRight w:val="0"/>
          <w:marTop w:val="0"/>
          <w:marBottom w:val="0"/>
          <w:divBdr>
            <w:top w:val="none" w:sz="0" w:space="0" w:color="auto"/>
            <w:left w:val="none" w:sz="0" w:space="0" w:color="auto"/>
            <w:bottom w:val="none" w:sz="0" w:space="0" w:color="auto"/>
            <w:right w:val="none" w:sz="0" w:space="0" w:color="auto"/>
          </w:divBdr>
        </w:div>
        <w:div w:id="1898005516">
          <w:marLeft w:val="0"/>
          <w:marRight w:val="0"/>
          <w:marTop w:val="0"/>
          <w:marBottom w:val="0"/>
          <w:divBdr>
            <w:top w:val="none" w:sz="0" w:space="0" w:color="auto"/>
            <w:left w:val="none" w:sz="0" w:space="0" w:color="auto"/>
            <w:bottom w:val="none" w:sz="0" w:space="0" w:color="auto"/>
            <w:right w:val="none" w:sz="0" w:space="0" w:color="auto"/>
          </w:divBdr>
        </w:div>
        <w:div w:id="457843472">
          <w:marLeft w:val="0"/>
          <w:marRight w:val="0"/>
          <w:marTop w:val="0"/>
          <w:marBottom w:val="0"/>
          <w:divBdr>
            <w:top w:val="none" w:sz="0" w:space="0" w:color="auto"/>
            <w:left w:val="none" w:sz="0" w:space="0" w:color="auto"/>
            <w:bottom w:val="none" w:sz="0" w:space="0" w:color="auto"/>
            <w:right w:val="none" w:sz="0" w:space="0" w:color="auto"/>
          </w:divBdr>
        </w:div>
        <w:div w:id="508107888">
          <w:marLeft w:val="0"/>
          <w:marRight w:val="0"/>
          <w:marTop w:val="0"/>
          <w:marBottom w:val="0"/>
          <w:divBdr>
            <w:top w:val="none" w:sz="0" w:space="0" w:color="auto"/>
            <w:left w:val="none" w:sz="0" w:space="0" w:color="auto"/>
            <w:bottom w:val="none" w:sz="0" w:space="0" w:color="auto"/>
            <w:right w:val="none" w:sz="0" w:space="0" w:color="auto"/>
          </w:divBdr>
        </w:div>
        <w:div w:id="265042324">
          <w:marLeft w:val="0"/>
          <w:marRight w:val="0"/>
          <w:marTop w:val="0"/>
          <w:marBottom w:val="0"/>
          <w:divBdr>
            <w:top w:val="none" w:sz="0" w:space="0" w:color="auto"/>
            <w:left w:val="none" w:sz="0" w:space="0" w:color="auto"/>
            <w:bottom w:val="none" w:sz="0" w:space="0" w:color="auto"/>
            <w:right w:val="none" w:sz="0" w:space="0" w:color="auto"/>
          </w:divBdr>
        </w:div>
        <w:div w:id="2000963879">
          <w:marLeft w:val="0"/>
          <w:marRight w:val="0"/>
          <w:marTop w:val="0"/>
          <w:marBottom w:val="0"/>
          <w:divBdr>
            <w:top w:val="none" w:sz="0" w:space="0" w:color="auto"/>
            <w:left w:val="none" w:sz="0" w:space="0" w:color="auto"/>
            <w:bottom w:val="none" w:sz="0" w:space="0" w:color="auto"/>
            <w:right w:val="none" w:sz="0" w:space="0" w:color="auto"/>
          </w:divBdr>
        </w:div>
        <w:div w:id="2093892056">
          <w:marLeft w:val="0"/>
          <w:marRight w:val="0"/>
          <w:marTop w:val="0"/>
          <w:marBottom w:val="0"/>
          <w:divBdr>
            <w:top w:val="none" w:sz="0" w:space="0" w:color="auto"/>
            <w:left w:val="none" w:sz="0" w:space="0" w:color="auto"/>
            <w:bottom w:val="none" w:sz="0" w:space="0" w:color="auto"/>
            <w:right w:val="none" w:sz="0" w:space="0" w:color="auto"/>
          </w:divBdr>
        </w:div>
        <w:div w:id="600994828">
          <w:marLeft w:val="0"/>
          <w:marRight w:val="0"/>
          <w:marTop w:val="0"/>
          <w:marBottom w:val="0"/>
          <w:divBdr>
            <w:top w:val="none" w:sz="0" w:space="0" w:color="auto"/>
            <w:left w:val="none" w:sz="0" w:space="0" w:color="auto"/>
            <w:bottom w:val="none" w:sz="0" w:space="0" w:color="auto"/>
            <w:right w:val="none" w:sz="0" w:space="0" w:color="auto"/>
          </w:divBdr>
        </w:div>
        <w:div w:id="334502873">
          <w:marLeft w:val="0"/>
          <w:marRight w:val="0"/>
          <w:marTop w:val="0"/>
          <w:marBottom w:val="0"/>
          <w:divBdr>
            <w:top w:val="none" w:sz="0" w:space="0" w:color="auto"/>
            <w:left w:val="none" w:sz="0" w:space="0" w:color="auto"/>
            <w:bottom w:val="none" w:sz="0" w:space="0" w:color="auto"/>
            <w:right w:val="none" w:sz="0" w:space="0" w:color="auto"/>
          </w:divBdr>
        </w:div>
        <w:div w:id="1511675919">
          <w:marLeft w:val="0"/>
          <w:marRight w:val="0"/>
          <w:marTop w:val="0"/>
          <w:marBottom w:val="0"/>
          <w:divBdr>
            <w:top w:val="none" w:sz="0" w:space="0" w:color="auto"/>
            <w:left w:val="none" w:sz="0" w:space="0" w:color="auto"/>
            <w:bottom w:val="none" w:sz="0" w:space="0" w:color="auto"/>
            <w:right w:val="none" w:sz="0" w:space="0" w:color="auto"/>
          </w:divBdr>
        </w:div>
        <w:div w:id="1765682641">
          <w:marLeft w:val="0"/>
          <w:marRight w:val="0"/>
          <w:marTop w:val="0"/>
          <w:marBottom w:val="0"/>
          <w:divBdr>
            <w:top w:val="none" w:sz="0" w:space="0" w:color="auto"/>
            <w:left w:val="none" w:sz="0" w:space="0" w:color="auto"/>
            <w:bottom w:val="none" w:sz="0" w:space="0" w:color="auto"/>
            <w:right w:val="none" w:sz="0" w:space="0" w:color="auto"/>
          </w:divBdr>
        </w:div>
        <w:div w:id="792750580">
          <w:marLeft w:val="0"/>
          <w:marRight w:val="0"/>
          <w:marTop w:val="0"/>
          <w:marBottom w:val="0"/>
          <w:divBdr>
            <w:top w:val="none" w:sz="0" w:space="0" w:color="auto"/>
            <w:left w:val="none" w:sz="0" w:space="0" w:color="auto"/>
            <w:bottom w:val="none" w:sz="0" w:space="0" w:color="auto"/>
            <w:right w:val="none" w:sz="0" w:space="0" w:color="auto"/>
          </w:divBdr>
        </w:div>
        <w:div w:id="1791049695">
          <w:marLeft w:val="0"/>
          <w:marRight w:val="0"/>
          <w:marTop w:val="0"/>
          <w:marBottom w:val="0"/>
          <w:divBdr>
            <w:top w:val="none" w:sz="0" w:space="0" w:color="auto"/>
            <w:left w:val="none" w:sz="0" w:space="0" w:color="auto"/>
            <w:bottom w:val="none" w:sz="0" w:space="0" w:color="auto"/>
            <w:right w:val="none" w:sz="0" w:space="0" w:color="auto"/>
          </w:divBdr>
        </w:div>
        <w:div w:id="1721317764">
          <w:marLeft w:val="0"/>
          <w:marRight w:val="0"/>
          <w:marTop w:val="0"/>
          <w:marBottom w:val="0"/>
          <w:divBdr>
            <w:top w:val="none" w:sz="0" w:space="0" w:color="auto"/>
            <w:left w:val="none" w:sz="0" w:space="0" w:color="auto"/>
            <w:bottom w:val="none" w:sz="0" w:space="0" w:color="auto"/>
            <w:right w:val="none" w:sz="0" w:space="0" w:color="auto"/>
          </w:divBdr>
        </w:div>
        <w:div w:id="94792463">
          <w:marLeft w:val="0"/>
          <w:marRight w:val="0"/>
          <w:marTop w:val="0"/>
          <w:marBottom w:val="0"/>
          <w:divBdr>
            <w:top w:val="none" w:sz="0" w:space="0" w:color="auto"/>
            <w:left w:val="none" w:sz="0" w:space="0" w:color="auto"/>
            <w:bottom w:val="none" w:sz="0" w:space="0" w:color="auto"/>
            <w:right w:val="none" w:sz="0" w:space="0" w:color="auto"/>
          </w:divBdr>
        </w:div>
        <w:div w:id="1484929583">
          <w:marLeft w:val="0"/>
          <w:marRight w:val="0"/>
          <w:marTop w:val="0"/>
          <w:marBottom w:val="0"/>
          <w:divBdr>
            <w:top w:val="none" w:sz="0" w:space="0" w:color="auto"/>
            <w:left w:val="none" w:sz="0" w:space="0" w:color="auto"/>
            <w:bottom w:val="none" w:sz="0" w:space="0" w:color="auto"/>
            <w:right w:val="none" w:sz="0" w:space="0" w:color="auto"/>
          </w:divBdr>
        </w:div>
        <w:div w:id="659507736">
          <w:marLeft w:val="0"/>
          <w:marRight w:val="0"/>
          <w:marTop w:val="0"/>
          <w:marBottom w:val="0"/>
          <w:divBdr>
            <w:top w:val="none" w:sz="0" w:space="0" w:color="auto"/>
            <w:left w:val="none" w:sz="0" w:space="0" w:color="auto"/>
            <w:bottom w:val="none" w:sz="0" w:space="0" w:color="auto"/>
            <w:right w:val="none" w:sz="0" w:space="0" w:color="auto"/>
          </w:divBdr>
        </w:div>
        <w:div w:id="112752185">
          <w:marLeft w:val="0"/>
          <w:marRight w:val="0"/>
          <w:marTop w:val="0"/>
          <w:marBottom w:val="0"/>
          <w:divBdr>
            <w:top w:val="none" w:sz="0" w:space="0" w:color="auto"/>
            <w:left w:val="none" w:sz="0" w:space="0" w:color="auto"/>
            <w:bottom w:val="none" w:sz="0" w:space="0" w:color="auto"/>
            <w:right w:val="none" w:sz="0" w:space="0" w:color="auto"/>
          </w:divBdr>
        </w:div>
        <w:div w:id="103772833">
          <w:marLeft w:val="0"/>
          <w:marRight w:val="0"/>
          <w:marTop w:val="0"/>
          <w:marBottom w:val="0"/>
          <w:divBdr>
            <w:top w:val="none" w:sz="0" w:space="0" w:color="auto"/>
            <w:left w:val="none" w:sz="0" w:space="0" w:color="auto"/>
            <w:bottom w:val="none" w:sz="0" w:space="0" w:color="auto"/>
            <w:right w:val="none" w:sz="0" w:space="0" w:color="auto"/>
          </w:divBdr>
        </w:div>
        <w:div w:id="965964012">
          <w:marLeft w:val="0"/>
          <w:marRight w:val="0"/>
          <w:marTop w:val="0"/>
          <w:marBottom w:val="0"/>
          <w:divBdr>
            <w:top w:val="none" w:sz="0" w:space="0" w:color="auto"/>
            <w:left w:val="none" w:sz="0" w:space="0" w:color="auto"/>
            <w:bottom w:val="none" w:sz="0" w:space="0" w:color="auto"/>
            <w:right w:val="none" w:sz="0" w:space="0" w:color="auto"/>
          </w:divBdr>
        </w:div>
        <w:div w:id="1142426136">
          <w:marLeft w:val="0"/>
          <w:marRight w:val="0"/>
          <w:marTop w:val="0"/>
          <w:marBottom w:val="0"/>
          <w:divBdr>
            <w:top w:val="none" w:sz="0" w:space="0" w:color="auto"/>
            <w:left w:val="none" w:sz="0" w:space="0" w:color="auto"/>
            <w:bottom w:val="none" w:sz="0" w:space="0" w:color="auto"/>
            <w:right w:val="none" w:sz="0" w:space="0" w:color="auto"/>
          </w:divBdr>
        </w:div>
        <w:div w:id="962930003">
          <w:marLeft w:val="0"/>
          <w:marRight w:val="0"/>
          <w:marTop w:val="0"/>
          <w:marBottom w:val="0"/>
          <w:divBdr>
            <w:top w:val="none" w:sz="0" w:space="0" w:color="auto"/>
            <w:left w:val="none" w:sz="0" w:space="0" w:color="auto"/>
            <w:bottom w:val="none" w:sz="0" w:space="0" w:color="auto"/>
            <w:right w:val="none" w:sz="0" w:space="0" w:color="auto"/>
          </w:divBdr>
        </w:div>
        <w:div w:id="1660382205">
          <w:marLeft w:val="0"/>
          <w:marRight w:val="0"/>
          <w:marTop w:val="0"/>
          <w:marBottom w:val="0"/>
          <w:divBdr>
            <w:top w:val="none" w:sz="0" w:space="0" w:color="auto"/>
            <w:left w:val="none" w:sz="0" w:space="0" w:color="auto"/>
            <w:bottom w:val="none" w:sz="0" w:space="0" w:color="auto"/>
            <w:right w:val="none" w:sz="0" w:space="0" w:color="auto"/>
          </w:divBdr>
        </w:div>
        <w:div w:id="1734741464">
          <w:marLeft w:val="0"/>
          <w:marRight w:val="0"/>
          <w:marTop w:val="0"/>
          <w:marBottom w:val="0"/>
          <w:divBdr>
            <w:top w:val="none" w:sz="0" w:space="0" w:color="auto"/>
            <w:left w:val="none" w:sz="0" w:space="0" w:color="auto"/>
            <w:bottom w:val="none" w:sz="0" w:space="0" w:color="auto"/>
            <w:right w:val="none" w:sz="0" w:space="0" w:color="auto"/>
          </w:divBdr>
        </w:div>
        <w:div w:id="712000284">
          <w:marLeft w:val="0"/>
          <w:marRight w:val="0"/>
          <w:marTop w:val="0"/>
          <w:marBottom w:val="0"/>
          <w:divBdr>
            <w:top w:val="none" w:sz="0" w:space="0" w:color="auto"/>
            <w:left w:val="none" w:sz="0" w:space="0" w:color="auto"/>
            <w:bottom w:val="none" w:sz="0" w:space="0" w:color="auto"/>
            <w:right w:val="none" w:sz="0" w:space="0" w:color="auto"/>
          </w:divBdr>
        </w:div>
        <w:div w:id="608197997">
          <w:marLeft w:val="0"/>
          <w:marRight w:val="0"/>
          <w:marTop w:val="0"/>
          <w:marBottom w:val="0"/>
          <w:divBdr>
            <w:top w:val="none" w:sz="0" w:space="0" w:color="auto"/>
            <w:left w:val="none" w:sz="0" w:space="0" w:color="auto"/>
            <w:bottom w:val="none" w:sz="0" w:space="0" w:color="auto"/>
            <w:right w:val="none" w:sz="0" w:space="0" w:color="auto"/>
          </w:divBdr>
        </w:div>
        <w:div w:id="880626644">
          <w:marLeft w:val="0"/>
          <w:marRight w:val="0"/>
          <w:marTop w:val="0"/>
          <w:marBottom w:val="0"/>
          <w:divBdr>
            <w:top w:val="none" w:sz="0" w:space="0" w:color="auto"/>
            <w:left w:val="none" w:sz="0" w:space="0" w:color="auto"/>
            <w:bottom w:val="none" w:sz="0" w:space="0" w:color="auto"/>
            <w:right w:val="none" w:sz="0" w:space="0" w:color="auto"/>
          </w:divBdr>
        </w:div>
        <w:div w:id="518785218">
          <w:marLeft w:val="0"/>
          <w:marRight w:val="0"/>
          <w:marTop w:val="0"/>
          <w:marBottom w:val="0"/>
          <w:divBdr>
            <w:top w:val="none" w:sz="0" w:space="0" w:color="auto"/>
            <w:left w:val="none" w:sz="0" w:space="0" w:color="auto"/>
            <w:bottom w:val="none" w:sz="0" w:space="0" w:color="auto"/>
            <w:right w:val="none" w:sz="0" w:space="0" w:color="auto"/>
          </w:divBdr>
        </w:div>
        <w:div w:id="14505232">
          <w:marLeft w:val="0"/>
          <w:marRight w:val="0"/>
          <w:marTop w:val="0"/>
          <w:marBottom w:val="0"/>
          <w:divBdr>
            <w:top w:val="none" w:sz="0" w:space="0" w:color="auto"/>
            <w:left w:val="none" w:sz="0" w:space="0" w:color="auto"/>
            <w:bottom w:val="none" w:sz="0" w:space="0" w:color="auto"/>
            <w:right w:val="none" w:sz="0" w:space="0" w:color="auto"/>
          </w:divBdr>
        </w:div>
        <w:div w:id="1967197807">
          <w:marLeft w:val="0"/>
          <w:marRight w:val="0"/>
          <w:marTop w:val="0"/>
          <w:marBottom w:val="0"/>
          <w:divBdr>
            <w:top w:val="none" w:sz="0" w:space="0" w:color="auto"/>
            <w:left w:val="none" w:sz="0" w:space="0" w:color="auto"/>
            <w:bottom w:val="none" w:sz="0" w:space="0" w:color="auto"/>
            <w:right w:val="none" w:sz="0" w:space="0" w:color="auto"/>
          </w:divBdr>
        </w:div>
        <w:div w:id="1281492623">
          <w:marLeft w:val="0"/>
          <w:marRight w:val="0"/>
          <w:marTop w:val="0"/>
          <w:marBottom w:val="0"/>
          <w:divBdr>
            <w:top w:val="none" w:sz="0" w:space="0" w:color="auto"/>
            <w:left w:val="none" w:sz="0" w:space="0" w:color="auto"/>
            <w:bottom w:val="none" w:sz="0" w:space="0" w:color="auto"/>
            <w:right w:val="none" w:sz="0" w:space="0" w:color="auto"/>
          </w:divBdr>
        </w:div>
        <w:div w:id="413674775">
          <w:marLeft w:val="0"/>
          <w:marRight w:val="0"/>
          <w:marTop w:val="0"/>
          <w:marBottom w:val="0"/>
          <w:divBdr>
            <w:top w:val="none" w:sz="0" w:space="0" w:color="auto"/>
            <w:left w:val="none" w:sz="0" w:space="0" w:color="auto"/>
            <w:bottom w:val="none" w:sz="0" w:space="0" w:color="auto"/>
            <w:right w:val="none" w:sz="0" w:space="0" w:color="auto"/>
          </w:divBdr>
        </w:div>
        <w:div w:id="1312363774">
          <w:marLeft w:val="0"/>
          <w:marRight w:val="0"/>
          <w:marTop w:val="0"/>
          <w:marBottom w:val="0"/>
          <w:divBdr>
            <w:top w:val="none" w:sz="0" w:space="0" w:color="auto"/>
            <w:left w:val="none" w:sz="0" w:space="0" w:color="auto"/>
            <w:bottom w:val="none" w:sz="0" w:space="0" w:color="auto"/>
            <w:right w:val="none" w:sz="0" w:space="0" w:color="auto"/>
          </w:divBdr>
        </w:div>
        <w:div w:id="1941403937">
          <w:marLeft w:val="0"/>
          <w:marRight w:val="0"/>
          <w:marTop w:val="0"/>
          <w:marBottom w:val="0"/>
          <w:divBdr>
            <w:top w:val="none" w:sz="0" w:space="0" w:color="auto"/>
            <w:left w:val="none" w:sz="0" w:space="0" w:color="auto"/>
            <w:bottom w:val="none" w:sz="0" w:space="0" w:color="auto"/>
            <w:right w:val="none" w:sz="0" w:space="0" w:color="auto"/>
          </w:divBdr>
        </w:div>
        <w:div w:id="309403263">
          <w:marLeft w:val="0"/>
          <w:marRight w:val="0"/>
          <w:marTop w:val="0"/>
          <w:marBottom w:val="0"/>
          <w:divBdr>
            <w:top w:val="none" w:sz="0" w:space="0" w:color="auto"/>
            <w:left w:val="none" w:sz="0" w:space="0" w:color="auto"/>
            <w:bottom w:val="none" w:sz="0" w:space="0" w:color="auto"/>
            <w:right w:val="none" w:sz="0" w:space="0" w:color="auto"/>
          </w:divBdr>
        </w:div>
        <w:div w:id="277178643">
          <w:marLeft w:val="0"/>
          <w:marRight w:val="0"/>
          <w:marTop w:val="0"/>
          <w:marBottom w:val="0"/>
          <w:divBdr>
            <w:top w:val="none" w:sz="0" w:space="0" w:color="auto"/>
            <w:left w:val="none" w:sz="0" w:space="0" w:color="auto"/>
            <w:bottom w:val="none" w:sz="0" w:space="0" w:color="auto"/>
            <w:right w:val="none" w:sz="0" w:space="0" w:color="auto"/>
          </w:divBdr>
        </w:div>
        <w:div w:id="314378149">
          <w:marLeft w:val="0"/>
          <w:marRight w:val="0"/>
          <w:marTop w:val="0"/>
          <w:marBottom w:val="0"/>
          <w:divBdr>
            <w:top w:val="none" w:sz="0" w:space="0" w:color="auto"/>
            <w:left w:val="none" w:sz="0" w:space="0" w:color="auto"/>
            <w:bottom w:val="none" w:sz="0" w:space="0" w:color="auto"/>
            <w:right w:val="none" w:sz="0" w:space="0" w:color="auto"/>
          </w:divBdr>
        </w:div>
        <w:div w:id="1179003481">
          <w:marLeft w:val="0"/>
          <w:marRight w:val="0"/>
          <w:marTop w:val="0"/>
          <w:marBottom w:val="0"/>
          <w:divBdr>
            <w:top w:val="none" w:sz="0" w:space="0" w:color="auto"/>
            <w:left w:val="none" w:sz="0" w:space="0" w:color="auto"/>
            <w:bottom w:val="none" w:sz="0" w:space="0" w:color="auto"/>
            <w:right w:val="none" w:sz="0" w:space="0" w:color="auto"/>
          </w:divBdr>
        </w:div>
        <w:div w:id="911812596">
          <w:marLeft w:val="0"/>
          <w:marRight w:val="0"/>
          <w:marTop w:val="0"/>
          <w:marBottom w:val="0"/>
          <w:divBdr>
            <w:top w:val="none" w:sz="0" w:space="0" w:color="auto"/>
            <w:left w:val="none" w:sz="0" w:space="0" w:color="auto"/>
            <w:bottom w:val="none" w:sz="0" w:space="0" w:color="auto"/>
            <w:right w:val="none" w:sz="0" w:space="0" w:color="auto"/>
          </w:divBdr>
        </w:div>
        <w:div w:id="1037393473">
          <w:marLeft w:val="0"/>
          <w:marRight w:val="0"/>
          <w:marTop w:val="0"/>
          <w:marBottom w:val="0"/>
          <w:divBdr>
            <w:top w:val="none" w:sz="0" w:space="0" w:color="auto"/>
            <w:left w:val="none" w:sz="0" w:space="0" w:color="auto"/>
            <w:bottom w:val="none" w:sz="0" w:space="0" w:color="auto"/>
            <w:right w:val="none" w:sz="0" w:space="0" w:color="auto"/>
          </w:divBdr>
        </w:div>
        <w:div w:id="212734707">
          <w:marLeft w:val="0"/>
          <w:marRight w:val="0"/>
          <w:marTop w:val="0"/>
          <w:marBottom w:val="0"/>
          <w:divBdr>
            <w:top w:val="none" w:sz="0" w:space="0" w:color="auto"/>
            <w:left w:val="none" w:sz="0" w:space="0" w:color="auto"/>
            <w:bottom w:val="none" w:sz="0" w:space="0" w:color="auto"/>
            <w:right w:val="none" w:sz="0" w:space="0" w:color="auto"/>
          </w:divBdr>
        </w:div>
        <w:div w:id="80689550">
          <w:marLeft w:val="0"/>
          <w:marRight w:val="0"/>
          <w:marTop w:val="0"/>
          <w:marBottom w:val="0"/>
          <w:divBdr>
            <w:top w:val="none" w:sz="0" w:space="0" w:color="auto"/>
            <w:left w:val="none" w:sz="0" w:space="0" w:color="auto"/>
            <w:bottom w:val="none" w:sz="0" w:space="0" w:color="auto"/>
            <w:right w:val="none" w:sz="0" w:space="0" w:color="auto"/>
          </w:divBdr>
        </w:div>
        <w:div w:id="502664656">
          <w:marLeft w:val="0"/>
          <w:marRight w:val="0"/>
          <w:marTop w:val="0"/>
          <w:marBottom w:val="0"/>
          <w:divBdr>
            <w:top w:val="none" w:sz="0" w:space="0" w:color="auto"/>
            <w:left w:val="none" w:sz="0" w:space="0" w:color="auto"/>
            <w:bottom w:val="none" w:sz="0" w:space="0" w:color="auto"/>
            <w:right w:val="none" w:sz="0" w:space="0" w:color="auto"/>
          </w:divBdr>
        </w:div>
        <w:div w:id="1847331054">
          <w:marLeft w:val="0"/>
          <w:marRight w:val="0"/>
          <w:marTop w:val="0"/>
          <w:marBottom w:val="0"/>
          <w:divBdr>
            <w:top w:val="none" w:sz="0" w:space="0" w:color="auto"/>
            <w:left w:val="none" w:sz="0" w:space="0" w:color="auto"/>
            <w:bottom w:val="none" w:sz="0" w:space="0" w:color="auto"/>
            <w:right w:val="none" w:sz="0" w:space="0" w:color="auto"/>
          </w:divBdr>
        </w:div>
        <w:div w:id="304547120">
          <w:marLeft w:val="0"/>
          <w:marRight w:val="0"/>
          <w:marTop w:val="0"/>
          <w:marBottom w:val="0"/>
          <w:divBdr>
            <w:top w:val="none" w:sz="0" w:space="0" w:color="auto"/>
            <w:left w:val="none" w:sz="0" w:space="0" w:color="auto"/>
            <w:bottom w:val="none" w:sz="0" w:space="0" w:color="auto"/>
            <w:right w:val="none" w:sz="0" w:space="0" w:color="auto"/>
          </w:divBdr>
        </w:div>
        <w:div w:id="92866649">
          <w:marLeft w:val="0"/>
          <w:marRight w:val="0"/>
          <w:marTop w:val="0"/>
          <w:marBottom w:val="0"/>
          <w:divBdr>
            <w:top w:val="none" w:sz="0" w:space="0" w:color="auto"/>
            <w:left w:val="none" w:sz="0" w:space="0" w:color="auto"/>
            <w:bottom w:val="none" w:sz="0" w:space="0" w:color="auto"/>
            <w:right w:val="none" w:sz="0" w:space="0" w:color="auto"/>
          </w:divBdr>
        </w:div>
        <w:div w:id="1173031449">
          <w:marLeft w:val="0"/>
          <w:marRight w:val="0"/>
          <w:marTop w:val="0"/>
          <w:marBottom w:val="0"/>
          <w:divBdr>
            <w:top w:val="none" w:sz="0" w:space="0" w:color="auto"/>
            <w:left w:val="none" w:sz="0" w:space="0" w:color="auto"/>
            <w:bottom w:val="none" w:sz="0" w:space="0" w:color="auto"/>
            <w:right w:val="none" w:sz="0" w:space="0" w:color="auto"/>
          </w:divBdr>
        </w:div>
        <w:div w:id="1604725758">
          <w:marLeft w:val="0"/>
          <w:marRight w:val="0"/>
          <w:marTop w:val="0"/>
          <w:marBottom w:val="0"/>
          <w:divBdr>
            <w:top w:val="none" w:sz="0" w:space="0" w:color="auto"/>
            <w:left w:val="none" w:sz="0" w:space="0" w:color="auto"/>
            <w:bottom w:val="none" w:sz="0" w:space="0" w:color="auto"/>
            <w:right w:val="none" w:sz="0" w:space="0" w:color="auto"/>
          </w:divBdr>
        </w:div>
        <w:div w:id="1258172421">
          <w:marLeft w:val="0"/>
          <w:marRight w:val="0"/>
          <w:marTop w:val="0"/>
          <w:marBottom w:val="0"/>
          <w:divBdr>
            <w:top w:val="none" w:sz="0" w:space="0" w:color="auto"/>
            <w:left w:val="none" w:sz="0" w:space="0" w:color="auto"/>
            <w:bottom w:val="none" w:sz="0" w:space="0" w:color="auto"/>
            <w:right w:val="none" w:sz="0" w:space="0" w:color="auto"/>
          </w:divBdr>
        </w:div>
        <w:div w:id="1356881917">
          <w:marLeft w:val="0"/>
          <w:marRight w:val="0"/>
          <w:marTop w:val="0"/>
          <w:marBottom w:val="0"/>
          <w:divBdr>
            <w:top w:val="none" w:sz="0" w:space="0" w:color="auto"/>
            <w:left w:val="none" w:sz="0" w:space="0" w:color="auto"/>
            <w:bottom w:val="none" w:sz="0" w:space="0" w:color="auto"/>
            <w:right w:val="none" w:sz="0" w:space="0" w:color="auto"/>
          </w:divBdr>
        </w:div>
        <w:div w:id="411589633">
          <w:marLeft w:val="0"/>
          <w:marRight w:val="0"/>
          <w:marTop w:val="0"/>
          <w:marBottom w:val="0"/>
          <w:divBdr>
            <w:top w:val="none" w:sz="0" w:space="0" w:color="auto"/>
            <w:left w:val="none" w:sz="0" w:space="0" w:color="auto"/>
            <w:bottom w:val="none" w:sz="0" w:space="0" w:color="auto"/>
            <w:right w:val="none" w:sz="0" w:space="0" w:color="auto"/>
          </w:divBdr>
        </w:div>
        <w:div w:id="704914217">
          <w:marLeft w:val="0"/>
          <w:marRight w:val="0"/>
          <w:marTop w:val="0"/>
          <w:marBottom w:val="0"/>
          <w:divBdr>
            <w:top w:val="none" w:sz="0" w:space="0" w:color="auto"/>
            <w:left w:val="none" w:sz="0" w:space="0" w:color="auto"/>
            <w:bottom w:val="none" w:sz="0" w:space="0" w:color="auto"/>
            <w:right w:val="none" w:sz="0" w:space="0" w:color="auto"/>
          </w:divBdr>
        </w:div>
        <w:div w:id="1815103366">
          <w:marLeft w:val="0"/>
          <w:marRight w:val="0"/>
          <w:marTop w:val="0"/>
          <w:marBottom w:val="0"/>
          <w:divBdr>
            <w:top w:val="none" w:sz="0" w:space="0" w:color="auto"/>
            <w:left w:val="none" w:sz="0" w:space="0" w:color="auto"/>
            <w:bottom w:val="none" w:sz="0" w:space="0" w:color="auto"/>
            <w:right w:val="none" w:sz="0" w:space="0" w:color="auto"/>
          </w:divBdr>
        </w:div>
        <w:div w:id="180552826">
          <w:marLeft w:val="0"/>
          <w:marRight w:val="0"/>
          <w:marTop w:val="0"/>
          <w:marBottom w:val="0"/>
          <w:divBdr>
            <w:top w:val="none" w:sz="0" w:space="0" w:color="auto"/>
            <w:left w:val="none" w:sz="0" w:space="0" w:color="auto"/>
            <w:bottom w:val="none" w:sz="0" w:space="0" w:color="auto"/>
            <w:right w:val="none" w:sz="0" w:space="0" w:color="auto"/>
          </w:divBdr>
        </w:div>
        <w:div w:id="1125930351">
          <w:marLeft w:val="0"/>
          <w:marRight w:val="0"/>
          <w:marTop w:val="0"/>
          <w:marBottom w:val="0"/>
          <w:divBdr>
            <w:top w:val="none" w:sz="0" w:space="0" w:color="auto"/>
            <w:left w:val="none" w:sz="0" w:space="0" w:color="auto"/>
            <w:bottom w:val="none" w:sz="0" w:space="0" w:color="auto"/>
            <w:right w:val="none" w:sz="0" w:space="0" w:color="auto"/>
          </w:divBdr>
        </w:div>
        <w:div w:id="436565724">
          <w:marLeft w:val="0"/>
          <w:marRight w:val="0"/>
          <w:marTop w:val="0"/>
          <w:marBottom w:val="0"/>
          <w:divBdr>
            <w:top w:val="none" w:sz="0" w:space="0" w:color="auto"/>
            <w:left w:val="none" w:sz="0" w:space="0" w:color="auto"/>
            <w:bottom w:val="none" w:sz="0" w:space="0" w:color="auto"/>
            <w:right w:val="none" w:sz="0" w:space="0" w:color="auto"/>
          </w:divBdr>
        </w:div>
        <w:div w:id="203687172">
          <w:marLeft w:val="0"/>
          <w:marRight w:val="0"/>
          <w:marTop w:val="0"/>
          <w:marBottom w:val="0"/>
          <w:divBdr>
            <w:top w:val="none" w:sz="0" w:space="0" w:color="auto"/>
            <w:left w:val="none" w:sz="0" w:space="0" w:color="auto"/>
            <w:bottom w:val="none" w:sz="0" w:space="0" w:color="auto"/>
            <w:right w:val="none" w:sz="0" w:space="0" w:color="auto"/>
          </w:divBdr>
        </w:div>
        <w:div w:id="2063559261">
          <w:marLeft w:val="0"/>
          <w:marRight w:val="0"/>
          <w:marTop w:val="0"/>
          <w:marBottom w:val="0"/>
          <w:divBdr>
            <w:top w:val="none" w:sz="0" w:space="0" w:color="auto"/>
            <w:left w:val="none" w:sz="0" w:space="0" w:color="auto"/>
            <w:bottom w:val="none" w:sz="0" w:space="0" w:color="auto"/>
            <w:right w:val="none" w:sz="0" w:space="0" w:color="auto"/>
          </w:divBdr>
        </w:div>
        <w:div w:id="688675882">
          <w:marLeft w:val="0"/>
          <w:marRight w:val="0"/>
          <w:marTop w:val="0"/>
          <w:marBottom w:val="0"/>
          <w:divBdr>
            <w:top w:val="none" w:sz="0" w:space="0" w:color="auto"/>
            <w:left w:val="none" w:sz="0" w:space="0" w:color="auto"/>
            <w:bottom w:val="none" w:sz="0" w:space="0" w:color="auto"/>
            <w:right w:val="none" w:sz="0" w:space="0" w:color="auto"/>
          </w:divBdr>
        </w:div>
        <w:div w:id="1230262662">
          <w:marLeft w:val="0"/>
          <w:marRight w:val="0"/>
          <w:marTop w:val="0"/>
          <w:marBottom w:val="0"/>
          <w:divBdr>
            <w:top w:val="none" w:sz="0" w:space="0" w:color="auto"/>
            <w:left w:val="none" w:sz="0" w:space="0" w:color="auto"/>
            <w:bottom w:val="none" w:sz="0" w:space="0" w:color="auto"/>
            <w:right w:val="none" w:sz="0" w:space="0" w:color="auto"/>
          </w:divBdr>
        </w:div>
        <w:div w:id="619261409">
          <w:marLeft w:val="0"/>
          <w:marRight w:val="0"/>
          <w:marTop w:val="0"/>
          <w:marBottom w:val="0"/>
          <w:divBdr>
            <w:top w:val="none" w:sz="0" w:space="0" w:color="auto"/>
            <w:left w:val="none" w:sz="0" w:space="0" w:color="auto"/>
            <w:bottom w:val="none" w:sz="0" w:space="0" w:color="auto"/>
            <w:right w:val="none" w:sz="0" w:space="0" w:color="auto"/>
          </w:divBdr>
        </w:div>
        <w:div w:id="715736664">
          <w:marLeft w:val="0"/>
          <w:marRight w:val="0"/>
          <w:marTop w:val="0"/>
          <w:marBottom w:val="0"/>
          <w:divBdr>
            <w:top w:val="none" w:sz="0" w:space="0" w:color="auto"/>
            <w:left w:val="none" w:sz="0" w:space="0" w:color="auto"/>
            <w:bottom w:val="none" w:sz="0" w:space="0" w:color="auto"/>
            <w:right w:val="none" w:sz="0" w:space="0" w:color="auto"/>
          </w:divBdr>
        </w:div>
        <w:div w:id="757292206">
          <w:marLeft w:val="0"/>
          <w:marRight w:val="0"/>
          <w:marTop w:val="0"/>
          <w:marBottom w:val="0"/>
          <w:divBdr>
            <w:top w:val="none" w:sz="0" w:space="0" w:color="auto"/>
            <w:left w:val="none" w:sz="0" w:space="0" w:color="auto"/>
            <w:bottom w:val="none" w:sz="0" w:space="0" w:color="auto"/>
            <w:right w:val="none" w:sz="0" w:space="0" w:color="auto"/>
          </w:divBdr>
        </w:div>
        <w:div w:id="572397714">
          <w:marLeft w:val="0"/>
          <w:marRight w:val="0"/>
          <w:marTop w:val="0"/>
          <w:marBottom w:val="0"/>
          <w:divBdr>
            <w:top w:val="none" w:sz="0" w:space="0" w:color="auto"/>
            <w:left w:val="none" w:sz="0" w:space="0" w:color="auto"/>
            <w:bottom w:val="none" w:sz="0" w:space="0" w:color="auto"/>
            <w:right w:val="none" w:sz="0" w:space="0" w:color="auto"/>
          </w:divBdr>
        </w:div>
        <w:div w:id="705720871">
          <w:marLeft w:val="0"/>
          <w:marRight w:val="0"/>
          <w:marTop w:val="0"/>
          <w:marBottom w:val="0"/>
          <w:divBdr>
            <w:top w:val="none" w:sz="0" w:space="0" w:color="auto"/>
            <w:left w:val="none" w:sz="0" w:space="0" w:color="auto"/>
            <w:bottom w:val="none" w:sz="0" w:space="0" w:color="auto"/>
            <w:right w:val="none" w:sz="0" w:space="0" w:color="auto"/>
          </w:divBdr>
        </w:div>
        <w:div w:id="1959800519">
          <w:marLeft w:val="0"/>
          <w:marRight w:val="0"/>
          <w:marTop w:val="0"/>
          <w:marBottom w:val="0"/>
          <w:divBdr>
            <w:top w:val="none" w:sz="0" w:space="0" w:color="auto"/>
            <w:left w:val="none" w:sz="0" w:space="0" w:color="auto"/>
            <w:bottom w:val="none" w:sz="0" w:space="0" w:color="auto"/>
            <w:right w:val="none" w:sz="0" w:space="0" w:color="auto"/>
          </w:divBdr>
        </w:div>
        <w:div w:id="454376066">
          <w:marLeft w:val="0"/>
          <w:marRight w:val="0"/>
          <w:marTop w:val="0"/>
          <w:marBottom w:val="0"/>
          <w:divBdr>
            <w:top w:val="none" w:sz="0" w:space="0" w:color="auto"/>
            <w:left w:val="none" w:sz="0" w:space="0" w:color="auto"/>
            <w:bottom w:val="none" w:sz="0" w:space="0" w:color="auto"/>
            <w:right w:val="none" w:sz="0" w:space="0" w:color="auto"/>
          </w:divBdr>
        </w:div>
        <w:div w:id="943461778">
          <w:marLeft w:val="0"/>
          <w:marRight w:val="0"/>
          <w:marTop w:val="0"/>
          <w:marBottom w:val="0"/>
          <w:divBdr>
            <w:top w:val="none" w:sz="0" w:space="0" w:color="auto"/>
            <w:left w:val="none" w:sz="0" w:space="0" w:color="auto"/>
            <w:bottom w:val="none" w:sz="0" w:space="0" w:color="auto"/>
            <w:right w:val="none" w:sz="0" w:space="0" w:color="auto"/>
          </w:divBdr>
        </w:div>
        <w:div w:id="18165155">
          <w:marLeft w:val="0"/>
          <w:marRight w:val="0"/>
          <w:marTop w:val="0"/>
          <w:marBottom w:val="0"/>
          <w:divBdr>
            <w:top w:val="none" w:sz="0" w:space="0" w:color="auto"/>
            <w:left w:val="none" w:sz="0" w:space="0" w:color="auto"/>
            <w:bottom w:val="none" w:sz="0" w:space="0" w:color="auto"/>
            <w:right w:val="none" w:sz="0" w:space="0" w:color="auto"/>
          </w:divBdr>
        </w:div>
        <w:div w:id="1651980790">
          <w:marLeft w:val="0"/>
          <w:marRight w:val="0"/>
          <w:marTop w:val="0"/>
          <w:marBottom w:val="0"/>
          <w:divBdr>
            <w:top w:val="none" w:sz="0" w:space="0" w:color="auto"/>
            <w:left w:val="none" w:sz="0" w:space="0" w:color="auto"/>
            <w:bottom w:val="none" w:sz="0" w:space="0" w:color="auto"/>
            <w:right w:val="none" w:sz="0" w:space="0" w:color="auto"/>
          </w:divBdr>
        </w:div>
        <w:div w:id="846947972">
          <w:marLeft w:val="0"/>
          <w:marRight w:val="0"/>
          <w:marTop w:val="0"/>
          <w:marBottom w:val="0"/>
          <w:divBdr>
            <w:top w:val="none" w:sz="0" w:space="0" w:color="auto"/>
            <w:left w:val="none" w:sz="0" w:space="0" w:color="auto"/>
            <w:bottom w:val="none" w:sz="0" w:space="0" w:color="auto"/>
            <w:right w:val="none" w:sz="0" w:space="0" w:color="auto"/>
          </w:divBdr>
        </w:div>
        <w:div w:id="2016958855">
          <w:marLeft w:val="0"/>
          <w:marRight w:val="0"/>
          <w:marTop w:val="0"/>
          <w:marBottom w:val="0"/>
          <w:divBdr>
            <w:top w:val="none" w:sz="0" w:space="0" w:color="auto"/>
            <w:left w:val="none" w:sz="0" w:space="0" w:color="auto"/>
            <w:bottom w:val="none" w:sz="0" w:space="0" w:color="auto"/>
            <w:right w:val="none" w:sz="0" w:space="0" w:color="auto"/>
          </w:divBdr>
        </w:div>
      </w:divsChild>
    </w:div>
    <w:div w:id="871501053">
      <w:bodyDiv w:val="1"/>
      <w:marLeft w:val="0"/>
      <w:marRight w:val="0"/>
      <w:marTop w:val="0"/>
      <w:marBottom w:val="0"/>
      <w:divBdr>
        <w:top w:val="none" w:sz="0" w:space="0" w:color="auto"/>
        <w:left w:val="none" w:sz="0" w:space="0" w:color="auto"/>
        <w:bottom w:val="none" w:sz="0" w:space="0" w:color="auto"/>
        <w:right w:val="none" w:sz="0" w:space="0" w:color="auto"/>
      </w:divBdr>
    </w:div>
    <w:div w:id="871764669">
      <w:bodyDiv w:val="1"/>
      <w:marLeft w:val="0"/>
      <w:marRight w:val="0"/>
      <w:marTop w:val="0"/>
      <w:marBottom w:val="0"/>
      <w:divBdr>
        <w:top w:val="none" w:sz="0" w:space="0" w:color="auto"/>
        <w:left w:val="none" w:sz="0" w:space="0" w:color="auto"/>
        <w:bottom w:val="none" w:sz="0" w:space="0" w:color="auto"/>
        <w:right w:val="none" w:sz="0" w:space="0" w:color="auto"/>
      </w:divBdr>
      <w:divsChild>
        <w:div w:id="218790498">
          <w:marLeft w:val="0"/>
          <w:marRight w:val="0"/>
          <w:marTop w:val="0"/>
          <w:marBottom w:val="107"/>
          <w:divBdr>
            <w:top w:val="none" w:sz="0" w:space="0" w:color="auto"/>
            <w:left w:val="none" w:sz="0" w:space="0" w:color="auto"/>
            <w:bottom w:val="none" w:sz="0" w:space="0" w:color="auto"/>
            <w:right w:val="none" w:sz="0" w:space="0" w:color="auto"/>
          </w:divBdr>
        </w:div>
      </w:divsChild>
    </w:div>
    <w:div w:id="872691199">
      <w:bodyDiv w:val="1"/>
      <w:marLeft w:val="0"/>
      <w:marRight w:val="0"/>
      <w:marTop w:val="0"/>
      <w:marBottom w:val="0"/>
      <w:divBdr>
        <w:top w:val="none" w:sz="0" w:space="0" w:color="auto"/>
        <w:left w:val="none" w:sz="0" w:space="0" w:color="auto"/>
        <w:bottom w:val="none" w:sz="0" w:space="0" w:color="auto"/>
        <w:right w:val="none" w:sz="0" w:space="0" w:color="auto"/>
      </w:divBdr>
      <w:divsChild>
        <w:div w:id="1899632032">
          <w:marLeft w:val="0"/>
          <w:marRight w:val="0"/>
          <w:marTop w:val="0"/>
          <w:marBottom w:val="12"/>
          <w:divBdr>
            <w:top w:val="none" w:sz="0" w:space="0" w:color="auto"/>
            <w:left w:val="none" w:sz="0" w:space="0" w:color="auto"/>
            <w:bottom w:val="none" w:sz="0" w:space="0" w:color="auto"/>
            <w:right w:val="none" w:sz="0" w:space="0" w:color="auto"/>
          </w:divBdr>
          <w:divsChild>
            <w:div w:id="660962983">
              <w:marLeft w:val="35"/>
              <w:marRight w:val="35"/>
              <w:marTop w:val="0"/>
              <w:marBottom w:val="0"/>
              <w:divBdr>
                <w:top w:val="none" w:sz="0" w:space="0" w:color="auto"/>
                <w:left w:val="none" w:sz="0" w:space="0" w:color="auto"/>
                <w:bottom w:val="none" w:sz="0" w:space="0" w:color="auto"/>
                <w:right w:val="none" w:sz="0" w:space="0" w:color="auto"/>
              </w:divBdr>
              <w:divsChild>
                <w:div w:id="17544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7044">
      <w:bodyDiv w:val="1"/>
      <w:marLeft w:val="0"/>
      <w:marRight w:val="0"/>
      <w:marTop w:val="0"/>
      <w:marBottom w:val="0"/>
      <w:divBdr>
        <w:top w:val="none" w:sz="0" w:space="0" w:color="auto"/>
        <w:left w:val="none" w:sz="0" w:space="0" w:color="auto"/>
        <w:bottom w:val="none" w:sz="0" w:space="0" w:color="auto"/>
        <w:right w:val="none" w:sz="0" w:space="0" w:color="auto"/>
      </w:divBdr>
    </w:div>
    <w:div w:id="878468762">
      <w:bodyDiv w:val="1"/>
      <w:marLeft w:val="0"/>
      <w:marRight w:val="0"/>
      <w:marTop w:val="0"/>
      <w:marBottom w:val="0"/>
      <w:divBdr>
        <w:top w:val="none" w:sz="0" w:space="0" w:color="auto"/>
        <w:left w:val="none" w:sz="0" w:space="0" w:color="auto"/>
        <w:bottom w:val="none" w:sz="0" w:space="0" w:color="auto"/>
        <w:right w:val="none" w:sz="0" w:space="0" w:color="auto"/>
      </w:divBdr>
    </w:div>
    <w:div w:id="883250611">
      <w:bodyDiv w:val="1"/>
      <w:marLeft w:val="0"/>
      <w:marRight w:val="0"/>
      <w:marTop w:val="0"/>
      <w:marBottom w:val="0"/>
      <w:divBdr>
        <w:top w:val="none" w:sz="0" w:space="0" w:color="auto"/>
        <w:left w:val="none" w:sz="0" w:space="0" w:color="auto"/>
        <w:bottom w:val="none" w:sz="0" w:space="0" w:color="auto"/>
        <w:right w:val="none" w:sz="0" w:space="0" w:color="auto"/>
      </w:divBdr>
    </w:div>
    <w:div w:id="887110767">
      <w:bodyDiv w:val="1"/>
      <w:marLeft w:val="0"/>
      <w:marRight w:val="0"/>
      <w:marTop w:val="0"/>
      <w:marBottom w:val="0"/>
      <w:divBdr>
        <w:top w:val="none" w:sz="0" w:space="0" w:color="auto"/>
        <w:left w:val="none" w:sz="0" w:space="0" w:color="auto"/>
        <w:bottom w:val="none" w:sz="0" w:space="0" w:color="auto"/>
        <w:right w:val="none" w:sz="0" w:space="0" w:color="auto"/>
      </w:divBdr>
    </w:div>
    <w:div w:id="894967060">
      <w:bodyDiv w:val="1"/>
      <w:marLeft w:val="0"/>
      <w:marRight w:val="0"/>
      <w:marTop w:val="0"/>
      <w:marBottom w:val="0"/>
      <w:divBdr>
        <w:top w:val="none" w:sz="0" w:space="0" w:color="auto"/>
        <w:left w:val="none" w:sz="0" w:space="0" w:color="auto"/>
        <w:bottom w:val="none" w:sz="0" w:space="0" w:color="auto"/>
        <w:right w:val="none" w:sz="0" w:space="0" w:color="auto"/>
      </w:divBdr>
      <w:divsChild>
        <w:div w:id="71511826">
          <w:marLeft w:val="475"/>
          <w:marRight w:val="0"/>
          <w:marTop w:val="168"/>
          <w:marBottom w:val="0"/>
          <w:divBdr>
            <w:top w:val="none" w:sz="0" w:space="0" w:color="auto"/>
            <w:left w:val="none" w:sz="0" w:space="0" w:color="auto"/>
            <w:bottom w:val="none" w:sz="0" w:space="0" w:color="auto"/>
            <w:right w:val="none" w:sz="0" w:space="0" w:color="auto"/>
          </w:divBdr>
        </w:div>
        <w:div w:id="413548915">
          <w:marLeft w:val="475"/>
          <w:marRight w:val="0"/>
          <w:marTop w:val="168"/>
          <w:marBottom w:val="0"/>
          <w:divBdr>
            <w:top w:val="none" w:sz="0" w:space="0" w:color="auto"/>
            <w:left w:val="none" w:sz="0" w:space="0" w:color="auto"/>
            <w:bottom w:val="none" w:sz="0" w:space="0" w:color="auto"/>
            <w:right w:val="none" w:sz="0" w:space="0" w:color="auto"/>
          </w:divBdr>
        </w:div>
        <w:div w:id="513224356">
          <w:marLeft w:val="1181"/>
          <w:marRight w:val="0"/>
          <w:marTop w:val="168"/>
          <w:marBottom w:val="0"/>
          <w:divBdr>
            <w:top w:val="none" w:sz="0" w:space="0" w:color="auto"/>
            <w:left w:val="none" w:sz="0" w:space="0" w:color="auto"/>
            <w:bottom w:val="none" w:sz="0" w:space="0" w:color="auto"/>
            <w:right w:val="none" w:sz="0" w:space="0" w:color="auto"/>
          </w:divBdr>
        </w:div>
        <w:div w:id="1414621068">
          <w:marLeft w:val="475"/>
          <w:marRight w:val="0"/>
          <w:marTop w:val="168"/>
          <w:marBottom w:val="0"/>
          <w:divBdr>
            <w:top w:val="none" w:sz="0" w:space="0" w:color="auto"/>
            <w:left w:val="none" w:sz="0" w:space="0" w:color="auto"/>
            <w:bottom w:val="none" w:sz="0" w:space="0" w:color="auto"/>
            <w:right w:val="none" w:sz="0" w:space="0" w:color="auto"/>
          </w:divBdr>
        </w:div>
        <w:div w:id="1538464795">
          <w:marLeft w:val="475"/>
          <w:marRight w:val="0"/>
          <w:marTop w:val="168"/>
          <w:marBottom w:val="0"/>
          <w:divBdr>
            <w:top w:val="none" w:sz="0" w:space="0" w:color="auto"/>
            <w:left w:val="none" w:sz="0" w:space="0" w:color="auto"/>
            <w:bottom w:val="none" w:sz="0" w:space="0" w:color="auto"/>
            <w:right w:val="none" w:sz="0" w:space="0" w:color="auto"/>
          </w:divBdr>
        </w:div>
        <w:div w:id="1882866417">
          <w:marLeft w:val="475"/>
          <w:marRight w:val="0"/>
          <w:marTop w:val="168"/>
          <w:marBottom w:val="0"/>
          <w:divBdr>
            <w:top w:val="none" w:sz="0" w:space="0" w:color="auto"/>
            <w:left w:val="none" w:sz="0" w:space="0" w:color="auto"/>
            <w:bottom w:val="none" w:sz="0" w:space="0" w:color="auto"/>
            <w:right w:val="none" w:sz="0" w:space="0" w:color="auto"/>
          </w:divBdr>
        </w:div>
      </w:divsChild>
    </w:div>
    <w:div w:id="897011042">
      <w:bodyDiv w:val="1"/>
      <w:marLeft w:val="0"/>
      <w:marRight w:val="0"/>
      <w:marTop w:val="0"/>
      <w:marBottom w:val="0"/>
      <w:divBdr>
        <w:top w:val="none" w:sz="0" w:space="0" w:color="auto"/>
        <w:left w:val="none" w:sz="0" w:space="0" w:color="auto"/>
        <w:bottom w:val="none" w:sz="0" w:space="0" w:color="auto"/>
        <w:right w:val="none" w:sz="0" w:space="0" w:color="auto"/>
      </w:divBdr>
    </w:div>
    <w:div w:id="915673994">
      <w:bodyDiv w:val="1"/>
      <w:marLeft w:val="0"/>
      <w:marRight w:val="0"/>
      <w:marTop w:val="0"/>
      <w:marBottom w:val="0"/>
      <w:divBdr>
        <w:top w:val="none" w:sz="0" w:space="0" w:color="auto"/>
        <w:left w:val="none" w:sz="0" w:space="0" w:color="auto"/>
        <w:bottom w:val="none" w:sz="0" w:space="0" w:color="auto"/>
        <w:right w:val="none" w:sz="0" w:space="0" w:color="auto"/>
      </w:divBdr>
    </w:div>
    <w:div w:id="925188270">
      <w:bodyDiv w:val="1"/>
      <w:marLeft w:val="0"/>
      <w:marRight w:val="0"/>
      <w:marTop w:val="0"/>
      <w:marBottom w:val="0"/>
      <w:divBdr>
        <w:top w:val="none" w:sz="0" w:space="0" w:color="auto"/>
        <w:left w:val="none" w:sz="0" w:space="0" w:color="auto"/>
        <w:bottom w:val="none" w:sz="0" w:space="0" w:color="auto"/>
        <w:right w:val="none" w:sz="0" w:space="0" w:color="auto"/>
      </w:divBdr>
    </w:div>
    <w:div w:id="927616175">
      <w:bodyDiv w:val="1"/>
      <w:marLeft w:val="0"/>
      <w:marRight w:val="0"/>
      <w:marTop w:val="0"/>
      <w:marBottom w:val="0"/>
      <w:divBdr>
        <w:top w:val="none" w:sz="0" w:space="0" w:color="auto"/>
        <w:left w:val="none" w:sz="0" w:space="0" w:color="auto"/>
        <w:bottom w:val="none" w:sz="0" w:space="0" w:color="auto"/>
        <w:right w:val="none" w:sz="0" w:space="0" w:color="auto"/>
      </w:divBdr>
    </w:div>
    <w:div w:id="934441545">
      <w:bodyDiv w:val="1"/>
      <w:marLeft w:val="0"/>
      <w:marRight w:val="0"/>
      <w:marTop w:val="0"/>
      <w:marBottom w:val="0"/>
      <w:divBdr>
        <w:top w:val="none" w:sz="0" w:space="0" w:color="auto"/>
        <w:left w:val="none" w:sz="0" w:space="0" w:color="auto"/>
        <w:bottom w:val="none" w:sz="0" w:space="0" w:color="auto"/>
        <w:right w:val="none" w:sz="0" w:space="0" w:color="auto"/>
      </w:divBdr>
    </w:div>
    <w:div w:id="937062845">
      <w:bodyDiv w:val="1"/>
      <w:marLeft w:val="0"/>
      <w:marRight w:val="0"/>
      <w:marTop w:val="0"/>
      <w:marBottom w:val="0"/>
      <w:divBdr>
        <w:top w:val="none" w:sz="0" w:space="0" w:color="auto"/>
        <w:left w:val="none" w:sz="0" w:space="0" w:color="auto"/>
        <w:bottom w:val="none" w:sz="0" w:space="0" w:color="auto"/>
        <w:right w:val="none" w:sz="0" w:space="0" w:color="auto"/>
      </w:divBdr>
      <w:divsChild>
        <w:div w:id="237060342">
          <w:marLeft w:val="475"/>
          <w:marRight w:val="0"/>
          <w:marTop w:val="168"/>
          <w:marBottom w:val="0"/>
          <w:divBdr>
            <w:top w:val="none" w:sz="0" w:space="0" w:color="auto"/>
            <w:left w:val="none" w:sz="0" w:space="0" w:color="auto"/>
            <w:bottom w:val="none" w:sz="0" w:space="0" w:color="auto"/>
            <w:right w:val="none" w:sz="0" w:space="0" w:color="auto"/>
          </w:divBdr>
        </w:div>
        <w:div w:id="500513213">
          <w:marLeft w:val="475"/>
          <w:marRight w:val="0"/>
          <w:marTop w:val="168"/>
          <w:marBottom w:val="0"/>
          <w:divBdr>
            <w:top w:val="none" w:sz="0" w:space="0" w:color="auto"/>
            <w:left w:val="none" w:sz="0" w:space="0" w:color="auto"/>
            <w:bottom w:val="none" w:sz="0" w:space="0" w:color="auto"/>
            <w:right w:val="none" w:sz="0" w:space="0" w:color="auto"/>
          </w:divBdr>
        </w:div>
        <w:div w:id="664162160">
          <w:marLeft w:val="475"/>
          <w:marRight w:val="0"/>
          <w:marTop w:val="168"/>
          <w:marBottom w:val="0"/>
          <w:divBdr>
            <w:top w:val="none" w:sz="0" w:space="0" w:color="auto"/>
            <w:left w:val="none" w:sz="0" w:space="0" w:color="auto"/>
            <w:bottom w:val="none" w:sz="0" w:space="0" w:color="auto"/>
            <w:right w:val="none" w:sz="0" w:space="0" w:color="auto"/>
          </w:divBdr>
        </w:div>
        <w:div w:id="1286231785">
          <w:marLeft w:val="475"/>
          <w:marRight w:val="0"/>
          <w:marTop w:val="168"/>
          <w:marBottom w:val="0"/>
          <w:divBdr>
            <w:top w:val="none" w:sz="0" w:space="0" w:color="auto"/>
            <w:left w:val="none" w:sz="0" w:space="0" w:color="auto"/>
            <w:bottom w:val="none" w:sz="0" w:space="0" w:color="auto"/>
            <w:right w:val="none" w:sz="0" w:space="0" w:color="auto"/>
          </w:divBdr>
        </w:div>
        <w:div w:id="1475679995">
          <w:marLeft w:val="475"/>
          <w:marRight w:val="0"/>
          <w:marTop w:val="168"/>
          <w:marBottom w:val="0"/>
          <w:divBdr>
            <w:top w:val="none" w:sz="0" w:space="0" w:color="auto"/>
            <w:left w:val="none" w:sz="0" w:space="0" w:color="auto"/>
            <w:bottom w:val="none" w:sz="0" w:space="0" w:color="auto"/>
            <w:right w:val="none" w:sz="0" w:space="0" w:color="auto"/>
          </w:divBdr>
        </w:div>
      </w:divsChild>
    </w:div>
    <w:div w:id="938488698">
      <w:bodyDiv w:val="1"/>
      <w:marLeft w:val="0"/>
      <w:marRight w:val="0"/>
      <w:marTop w:val="0"/>
      <w:marBottom w:val="0"/>
      <w:divBdr>
        <w:top w:val="none" w:sz="0" w:space="0" w:color="auto"/>
        <w:left w:val="none" w:sz="0" w:space="0" w:color="auto"/>
        <w:bottom w:val="none" w:sz="0" w:space="0" w:color="auto"/>
        <w:right w:val="none" w:sz="0" w:space="0" w:color="auto"/>
      </w:divBdr>
    </w:div>
    <w:div w:id="939601427">
      <w:bodyDiv w:val="1"/>
      <w:marLeft w:val="0"/>
      <w:marRight w:val="0"/>
      <w:marTop w:val="0"/>
      <w:marBottom w:val="0"/>
      <w:divBdr>
        <w:top w:val="none" w:sz="0" w:space="0" w:color="auto"/>
        <w:left w:val="none" w:sz="0" w:space="0" w:color="auto"/>
        <w:bottom w:val="none" w:sz="0" w:space="0" w:color="auto"/>
        <w:right w:val="none" w:sz="0" w:space="0" w:color="auto"/>
      </w:divBdr>
      <w:divsChild>
        <w:div w:id="118764402">
          <w:marLeft w:val="475"/>
          <w:marRight w:val="0"/>
          <w:marTop w:val="168"/>
          <w:marBottom w:val="0"/>
          <w:divBdr>
            <w:top w:val="none" w:sz="0" w:space="0" w:color="auto"/>
            <w:left w:val="none" w:sz="0" w:space="0" w:color="auto"/>
            <w:bottom w:val="none" w:sz="0" w:space="0" w:color="auto"/>
            <w:right w:val="none" w:sz="0" w:space="0" w:color="auto"/>
          </w:divBdr>
        </w:div>
        <w:div w:id="173226243">
          <w:marLeft w:val="1181"/>
          <w:marRight w:val="0"/>
          <w:marTop w:val="168"/>
          <w:marBottom w:val="0"/>
          <w:divBdr>
            <w:top w:val="none" w:sz="0" w:space="0" w:color="auto"/>
            <w:left w:val="none" w:sz="0" w:space="0" w:color="auto"/>
            <w:bottom w:val="none" w:sz="0" w:space="0" w:color="auto"/>
            <w:right w:val="none" w:sz="0" w:space="0" w:color="auto"/>
          </w:divBdr>
        </w:div>
        <w:div w:id="629671640">
          <w:marLeft w:val="1829"/>
          <w:marRight w:val="0"/>
          <w:marTop w:val="144"/>
          <w:marBottom w:val="0"/>
          <w:divBdr>
            <w:top w:val="none" w:sz="0" w:space="0" w:color="auto"/>
            <w:left w:val="none" w:sz="0" w:space="0" w:color="auto"/>
            <w:bottom w:val="none" w:sz="0" w:space="0" w:color="auto"/>
            <w:right w:val="none" w:sz="0" w:space="0" w:color="auto"/>
          </w:divBdr>
        </w:div>
        <w:div w:id="759639850">
          <w:marLeft w:val="1181"/>
          <w:marRight w:val="0"/>
          <w:marTop w:val="168"/>
          <w:marBottom w:val="0"/>
          <w:divBdr>
            <w:top w:val="none" w:sz="0" w:space="0" w:color="auto"/>
            <w:left w:val="none" w:sz="0" w:space="0" w:color="auto"/>
            <w:bottom w:val="none" w:sz="0" w:space="0" w:color="auto"/>
            <w:right w:val="none" w:sz="0" w:space="0" w:color="auto"/>
          </w:divBdr>
        </w:div>
        <w:div w:id="1075250353">
          <w:marLeft w:val="1181"/>
          <w:marRight w:val="0"/>
          <w:marTop w:val="168"/>
          <w:marBottom w:val="0"/>
          <w:divBdr>
            <w:top w:val="none" w:sz="0" w:space="0" w:color="auto"/>
            <w:left w:val="none" w:sz="0" w:space="0" w:color="auto"/>
            <w:bottom w:val="none" w:sz="0" w:space="0" w:color="auto"/>
            <w:right w:val="none" w:sz="0" w:space="0" w:color="auto"/>
          </w:divBdr>
        </w:div>
        <w:div w:id="1802386143">
          <w:marLeft w:val="1181"/>
          <w:marRight w:val="0"/>
          <w:marTop w:val="168"/>
          <w:marBottom w:val="0"/>
          <w:divBdr>
            <w:top w:val="none" w:sz="0" w:space="0" w:color="auto"/>
            <w:left w:val="none" w:sz="0" w:space="0" w:color="auto"/>
            <w:bottom w:val="none" w:sz="0" w:space="0" w:color="auto"/>
            <w:right w:val="none" w:sz="0" w:space="0" w:color="auto"/>
          </w:divBdr>
        </w:div>
      </w:divsChild>
    </w:div>
    <w:div w:id="940725427">
      <w:bodyDiv w:val="1"/>
      <w:marLeft w:val="0"/>
      <w:marRight w:val="0"/>
      <w:marTop w:val="0"/>
      <w:marBottom w:val="0"/>
      <w:divBdr>
        <w:top w:val="none" w:sz="0" w:space="0" w:color="auto"/>
        <w:left w:val="none" w:sz="0" w:space="0" w:color="auto"/>
        <w:bottom w:val="none" w:sz="0" w:space="0" w:color="auto"/>
        <w:right w:val="none" w:sz="0" w:space="0" w:color="auto"/>
      </w:divBdr>
    </w:div>
    <w:div w:id="943072501">
      <w:bodyDiv w:val="1"/>
      <w:marLeft w:val="0"/>
      <w:marRight w:val="0"/>
      <w:marTop w:val="0"/>
      <w:marBottom w:val="0"/>
      <w:divBdr>
        <w:top w:val="none" w:sz="0" w:space="0" w:color="auto"/>
        <w:left w:val="none" w:sz="0" w:space="0" w:color="auto"/>
        <w:bottom w:val="none" w:sz="0" w:space="0" w:color="auto"/>
        <w:right w:val="none" w:sz="0" w:space="0" w:color="auto"/>
      </w:divBdr>
    </w:div>
    <w:div w:id="951202199">
      <w:bodyDiv w:val="1"/>
      <w:marLeft w:val="0"/>
      <w:marRight w:val="0"/>
      <w:marTop w:val="0"/>
      <w:marBottom w:val="0"/>
      <w:divBdr>
        <w:top w:val="none" w:sz="0" w:space="0" w:color="auto"/>
        <w:left w:val="none" w:sz="0" w:space="0" w:color="auto"/>
        <w:bottom w:val="none" w:sz="0" w:space="0" w:color="auto"/>
        <w:right w:val="none" w:sz="0" w:space="0" w:color="auto"/>
      </w:divBdr>
      <w:divsChild>
        <w:div w:id="56511403">
          <w:marLeft w:val="475"/>
          <w:marRight w:val="0"/>
          <w:marTop w:val="168"/>
          <w:marBottom w:val="0"/>
          <w:divBdr>
            <w:top w:val="none" w:sz="0" w:space="0" w:color="auto"/>
            <w:left w:val="none" w:sz="0" w:space="0" w:color="auto"/>
            <w:bottom w:val="none" w:sz="0" w:space="0" w:color="auto"/>
            <w:right w:val="none" w:sz="0" w:space="0" w:color="auto"/>
          </w:divBdr>
        </w:div>
        <w:div w:id="62992886">
          <w:marLeft w:val="475"/>
          <w:marRight w:val="0"/>
          <w:marTop w:val="168"/>
          <w:marBottom w:val="0"/>
          <w:divBdr>
            <w:top w:val="none" w:sz="0" w:space="0" w:color="auto"/>
            <w:left w:val="none" w:sz="0" w:space="0" w:color="auto"/>
            <w:bottom w:val="none" w:sz="0" w:space="0" w:color="auto"/>
            <w:right w:val="none" w:sz="0" w:space="0" w:color="auto"/>
          </w:divBdr>
        </w:div>
        <w:div w:id="351340640">
          <w:marLeft w:val="475"/>
          <w:marRight w:val="0"/>
          <w:marTop w:val="168"/>
          <w:marBottom w:val="0"/>
          <w:divBdr>
            <w:top w:val="none" w:sz="0" w:space="0" w:color="auto"/>
            <w:left w:val="none" w:sz="0" w:space="0" w:color="auto"/>
            <w:bottom w:val="none" w:sz="0" w:space="0" w:color="auto"/>
            <w:right w:val="none" w:sz="0" w:space="0" w:color="auto"/>
          </w:divBdr>
        </w:div>
        <w:div w:id="665062120">
          <w:marLeft w:val="475"/>
          <w:marRight w:val="0"/>
          <w:marTop w:val="168"/>
          <w:marBottom w:val="0"/>
          <w:divBdr>
            <w:top w:val="none" w:sz="0" w:space="0" w:color="auto"/>
            <w:left w:val="none" w:sz="0" w:space="0" w:color="auto"/>
            <w:bottom w:val="none" w:sz="0" w:space="0" w:color="auto"/>
            <w:right w:val="none" w:sz="0" w:space="0" w:color="auto"/>
          </w:divBdr>
        </w:div>
        <w:div w:id="1018235334">
          <w:marLeft w:val="475"/>
          <w:marRight w:val="0"/>
          <w:marTop w:val="168"/>
          <w:marBottom w:val="0"/>
          <w:divBdr>
            <w:top w:val="none" w:sz="0" w:space="0" w:color="auto"/>
            <w:left w:val="none" w:sz="0" w:space="0" w:color="auto"/>
            <w:bottom w:val="none" w:sz="0" w:space="0" w:color="auto"/>
            <w:right w:val="none" w:sz="0" w:space="0" w:color="auto"/>
          </w:divBdr>
        </w:div>
        <w:div w:id="1395084348">
          <w:marLeft w:val="475"/>
          <w:marRight w:val="0"/>
          <w:marTop w:val="168"/>
          <w:marBottom w:val="0"/>
          <w:divBdr>
            <w:top w:val="none" w:sz="0" w:space="0" w:color="auto"/>
            <w:left w:val="none" w:sz="0" w:space="0" w:color="auto"/>
            <w:bottom w:val="none" w:sz="0" w:space="0" w:color="auto"/>
            <w:right w:val="none" w:sz="0" w:space="0" w:color="auto"/>
          </w:divBdr>
        </w:div>
        <w:div w:id="1487355287">
          <w:marLeft w:val="475"/>
          <w:marRight w:val="0"/>
          <w:marTop w:val="168"/>
          <w:marBottom w:val="0"/>
          <w:divBdr>
            <w:top w:val="none" w:sz="0" w:space="0" w:color="auto"/>
            <w:left w:val="none" w:sz="0" w:space="0" w:color="auto"/>
            <w:bottom w:val="none" w:sz="0" w:space="0" w:color="auto"/>
            <w:right w:val="none" w:sz="0" w:space="0" w:color="auto"/>
          </w:divBdr>
        </w:div>
        <w:div w:id="1759985238">
          <w:marLeft w:val="475"/>
          <w:marRight w:val="0"/>
          <w:marTop w:val="168"/>
          <w:marBottom w:val="0"/>
          <w:divBdr>
            <w:top w:val="none" w:sz="0" w:space="0" w:color="auto"/>
            <w:left w:val="none" w:sz="0" w:space="0" w:color="auto"/>
            <w:bottom w:val="none" w:sz="0" w:space="0" w:color="auto"/>
            <w:right w:val="none" w:sz="0" w:space="0" w:color="auto"/>
          </w:divBdr>
        </w:div>
        <w:div w:id="1945569930">
          <w:marLeft w:val="475"/>
          <w:marRight w:val="0"/>
          <w:marTop w:val="168"/>
          <w:marBottom w:val="0"/>
          <w:divBdr>
            <w:top w:val="none" w:sz="0" w:space="0" w:color="auto"/>
            <w:left w:val="none" w:sz="0" w:space="0" w:color="auto"/>
            <w:bottom w:val="none" w:sz="0" w:space="0" w:color="auto"/>
            <w:right w:val="none" w:sz="0" w:space="0" w:color="auto"/>
          </w:divBdr>
        </w:div>
        <w:div w:id="2112117398">
          <w:marLeft w:val="475"/>
          <w:marRight w:val="0"/>
          <w:marTop w:val="168"/>
          <w:marBottom w:val="0"/>
          <w:divBdr>
            <w:top w:val="none" w:sz="0" w:space="0" w:color="auto"/>
            <w:left w:val="none" w:sz="0" w:space="0" w:color="auto"/>
            <w:bottom w:val="none" w:sz="0" w:space="0" w:color="auto"/>
            <w:right w:val="none" w:sz="0" w:space="0" w:color="auto"/>
          </w:divBdr>
        </w:div>
      </w:divsChild>
    </w:div>
    <w:div w:id="958873591">
      <w:bodyDiv w:val="1"/>
      <w:marLeft w:val="0"/>
      <w:marRight w:val="0"/>
      <w:marTop w:val="0"/>
      <w:marBottom w:val="0"/>
      <w:divBdr>
        <w:top w:val="none" w:sz="0" w:space="0" w:color="auto"/>
        <w:left w:val="none" w:sz="0" w:space="0" w:color="auto"/>
        <w:bottom w:val="none" w:sz="0" w:space="0" w:color="auto"/>
        <w:right w:val="none" w:sz="0" w:space="0" w:color="auto"/>
      </w:divBdr>
    </w:div>
    <w:div w:id="959579029">
      <w:bodyDiv w:val="1"/>
      <w:marLeft w:val="0"/>
      <w:marRight w:val="0"/>
      <w:marTop w:val="0"/>
      <w:marBottom w:val="0"/>
      <w:divBdr>
        <w:top w:val="none" w:sz="0" w:space="0" w:color="auto"/>
        <w:left w:val="none" w:sz="0" w:space="0" w:color="auto"/>
        <w:bottom w:val="none" w:sz="0" w:space="0" w:color="auto"/>
        <w:right w:val="none" w:sz="0" w:space="0" w:color="auto"/>
      </w:divBdr>
    </w:div>
    <w:div w:id="965817138">
      <w:bodyDiv w:val="1"/>
      <w:marLeft w:val="0"/>
      <w:marRight w:val="0"/>
      <w:marTop w:val="0"/>
      <w:marBottom w:val="0"/>
      <w:divBdr>
        <w:top w:val="none" w:sz="0" w:space="0" w:color="auto"/>
        <w:left w:val="none" w:sz="0" w:space="0" w:color="auto"/>
        <w:bottom w:val="none" w:sz="0" w:space="0" w:color="auto"/>
        <w:right w:val="none" w:sz="0" w:space="0" w:color="auto"/>
      </w:divBdr>
    </w:div>
    <w:div w:id="972096318">
      <w:bodyDiv w:val="1"/>
      <w:marLeft w:val="0"/>
      <w:marRight w:val="0"/>
      <w:marTop w:val="0"/>
      <w:marBottom w:val="0"/>
      <w:divBdr>
        <w:top w:val="none" w:sz="0" w:space="0" w:color="auto"/>
        <w:left w:val="none" w:sz="0" w:space="0" w:color="auto"/>
        <w:bottom w:val="none" w:sz="0" w:space="0" w:color="auto"/>
        <w:right w:val="none" w:sz="0" w:space="0" w:color="auto"/>
      </w:divBdr>
    </w:div>
    <w:div w:id="974681062">
      <w:bodyDiv w:val="1"/>
      <w:marLeft w:val="0"/>
      <w:marRight w:val="0"/>
      <w:marTop w:val="0"/>
      <w:marBottom w:val="0"/>
      <w:divBdr>
        <w:top w:val="none" w:sz="0" w:space="0" w:color="auto"/>
        <w:left w:val="none" w:sz="0" w:space="0" w:color="auto"/>
        <w:bottom w:val="none" w:sz="0" w:space="0" w:color="auto"/>
        <w:right w:val="none" w:sz="0" w:space="0" w:color="auto"/>
      </w:divBdr>
    </w:div>
    <w:div w:id="978992955">
      <w:bodyDiv w:val="1"/>
      <w:marLeft w:val="0"/>
      <w:marRight w:val="0"/>
      <w:marTop w:val="0"/>
      <w:marBottom w:val="0"/>
      <w:divBdr>
        <w:top w:val="none" w:sz="0" w:space="0" w:color="auto"/>
        <w:left w:val="none" w:sz="0" w:space="0" w:color="auto"/>
        <w:bottom w:val="none" w:sz="0" w:space="0" w:color="auto"/>
        <w:right w:val="none" w:sz="0" w:space="0" w:color="auto"/>
      </w:divBdr>
    </w:div>
    <w:div w:id="981740519">
      <w:bodyDiv w:val="1"/>
      <w:marLeft w:val="0"/>
      <w:marRight w:val="0"/>
      <w:marTop w:val="0"/>
      <w:marBottom w:val="0"/>
      <w:divBdr>
        <w:top w:val="none" w:sz="0" w:space="0" w:color="auto"/>
        <w:left w:val="none" w:sz="0" w:space="0" w:color="auto"/>
        <w:bottom w:val="none" w:sz="0" w:space="0" w:color="auto"/>
        <w:right w:val="none" w:sz="0" w:space="0" w:color="auto"/>
      </w:divBdr>
    </w:div>
    <w:div w:id="985474872">
      <w:bodyDiv w:val="1"/>
      <w:marLeft w:val="0"/>
      <w:marRight w:val="0"/>
      <w:marTop w:val="0"/>
      <w:marBottom w:val="0"/>
      <w:divBdr>
        <w:top w:val="none" w:sz="0" w:space="0" w:color="auto"/>
        <w:left w:val="none" w:sz="0" w:space="0" w:color="auto"/>
        <w:bottom w:val="none" w:sz="0" w:space="0" w:color="auto"/>
        <w:right w:val="none" w:sz="0" w:space="0" w:color="auto"/>
      </w:divBdr>
      <w:divsChild>
        <w:div w:id="9528923">
          <w:marLeft w:val="1181"/>
          <w:marRight w:val="0"/>
          <w:marTop w:val="168"/>
          <w:marBottom w:val="0"/>
          <w:divBdr>
            <w:top w:val="none" w:sz="0" w:space="0" w:color="auto"/>
            <w:left w:val="none" w:sz="0" w:space="0" w:color="auto"/>
            <w:bottom w:val="none" w:sz="0" w:space="0" w:color="auto"/>
            <w:right w:val="none" w:sz="0" w:space="0" w:color="auto"/>
          </w:divBdr>
        </w:div>
        <w:div w:id="54862700">
          <w:marLeft w:val="1181"/>
          <w:marRight w:val="0"/>
          <w:marTop w:val="168"/>
          <w:marBottom w:val="0"/>
          <w:divBdr>
            <w:top w:val="none" w:sz="0" w:space="0" w:color="auto"/>
            <w:left w:val="none" w:sz="0" w:space="0" w:color="auto"/>
            <w:bottom w:val="none" w:sz="0" w:space="0" w:color="auto"/>
            <w:right w:val="none" w:sz="0" w:space="0" w:color="auto"/>
          </w:divBdr>
        </w:div>
        <w:div w:id="101075182">
          <w:marLeft w:val="1181"/>
          <w:marRight w:val="0"/>
          <w:marTop w:val="168"/>
          <w:marBottom w:val="0"/>
          <w:divBdr>
            <w:top w:val="none" w:sz="0" w:space="0" w:color="auto"/>
            <w:left w:val="none" w:sz="0" w:space="0" w:color="auto"/>
            <w:bottom w:val="none" w:sz="0" w:space="0" w:color="auto"/>
            <w:right w:val="none" w:sz="0" w:space="0" w:color="auto"/>
          </w:divBdr>
        </w:div>
        <w:div w:id="108744891">
          <w:marLeft w:val="475"/>
          <w:marRight w:val="0"/>
          <w:marTop w:val="168"/>
          <w:marBottom w:val="0"/>
          <w:divBdr>
            <w:top w:val="none" w:sz="0" w:space="0" w:color="auto"/>
            <w:left w:val="none" w:sz="0" w:space="0" w:color="auto"/>
            <w:bottom w:val="none" w:sz="0" w:space="0" w:color="auto"/>
            <w:right w:val="none" w:sz="0" w:space="0" w:color="auto"/>
          </w:divBdr>
        </w:div>
        <w:div w:id="807168073">
          <w:marLeft w:val="475"/>
          <w:marRight w:val="0"/>
          <w:marTop w:val="168"/>
          <w:marBottom w:val="0"/>
          <w:divBdr>
            <w:top w:val="none" w:sz="0" w:space="0" w:color="auto"/>
            <w:left w:val="none" w:sz="0" w:space="0" w:color="auto"/>
            <w:bottom w:val="none" w:sz="0" w:space="0" w:color="auto"/>
            <w:right w:val="none" w:sz="0" w:space="0" w:color="auto"/>
          </w:divBdr>
        </w:div>
        <w:div w:id="1224179474">
          <w:marLeft w:val="475"/>
          <w:marRight w:val="0"/>
          <w:marTop w:val="168"/>
          <w:marBottom w:val="0"/>
          <w:divBdr>
            <w:top w:val="none" w:sz="0" w:space="0" w:color="auto"/>
            <w:left w:val="none" w:sz="0" w:space="0" w:color="auto"/>
            <w:bottom w:val="none" w:sz="0" w:space="0" w:color="auto"/>
            <w:right w:val="none" w:sz="0" w:space="0" w:color="auto"/>
          </w:divBdr>
        </w:div>
        <w:div w:id="1508715256">
          <w:marLeft w:val="475"/>
          <w:marRight w:val="0"/>
          <w:marTop w:val="168"/>
          <w:marBottom w:val="0"/>
          <w:divBdr>
            <w:top w:val="none" w:sz="0" w:space="0" w:color="auto"/>
            <w:left w:val="none" w:sz="0" w:space="0" w:color="auto"/>
            <w:bottom w:val="none" w:sz="0" w:space="0" w:color="auto"/>
            <w:right w:val="none" w:sz="0" w:space="0" w:color="auto"/>
          </w:divBdr>
        </w:div>
        <w:div w:id="1549797969">
          <w:marLeft w:val="475"/>
          <w:marRight w:val="0"/>
          <w:marTop w:val="168"/>
          <w:marBottom w:val="0"/>
          <w:divBdr>
            <w:top w:val="none" w:sz="0" w:space="0" w:color="auto"/>
            <w:left w:val="none" w:sz="0" w:space="0" w:color="auto"/>
            <w:bottom w:val="none" w:sz="0" w:space="0" w:color="auto"/>
            <w:right w:val="none" w:sz="0" w:space="0" w:color="auto"/>
          </w:divBdr>
        </w:div>
        <w:div w:id="2031251013">
          <w:marLeft w:val="1181"/>
          <w:marRight w:val="0"/>
          <w:marTop w:val="168"/>
          <w:marBottom w:val="0"/>
          <w:divBdr>
            <w:top w:val="none" w:sz="0" w:space="0" w:color="auto"/>
            <w:left w:val="none" w:sz="0" w:space="0" w:color="auto"/>
            <w:bottom w:val="none" w:sz="0" w:space="0" w:color="auto"/>
            <w:right w:val="none" w:sz="0" w:space="0" w:color="auto"/>
          </w:divBdr>
        </w:div>
      </w:divsChild>
    </w:div>
    <w:div w:id="995961455">
      <w:bodyDiv w:val="1"/>
      <w:marLeft w:val="0"/>
      <w:marRight w:val="0"/>
      <w:marTop w:val="0"/>
      <w:marBottom w:val="0"/>
      <w:divBdr>
        <w:top w:val="none" w:sz="0" w:space="0" w:color="auto"/>
        <w:left w:val="none" w:sz="0" w:space="0" w:color="auto"/>
        <w:bottom w:val="none" w:sz="0" w:space="0" w:color="auto"/>
        <w:right w:val="none" w:sz="0" w:space="0" w:color="auto"/>
      </w:divBdr>
    </w:div>
    <w:div w:id="1010910823">
      <w:bodyDiv w:val="1"/>
      <w:marLeft w:val="0"/>
      <w:marRight w:val="0"/>
      <w:marTop w:val="0"/>
      <w:marBottom w:val="0"/>
      <w:divBdr>
        <w:top w:val="none" w:sz="0" w:space="0" w:color="auto"/>
        <w:left w:val="none" w:sz="0" w:space="0" w:color="auto"/>
        <w:bottom w:val="none" w:sz="0" w:space="0" w:color="auto"/>
        <w:right w:val="none" w:sz="0" w:space="0" w:color="auto"/>
      </w:divBdr>
    </w:div>
    <w:div w:id="1012993448">
      <w:bodyDiv w:val="1"/>
      <w:marLeft w:val="0"/>
      <w:marRight w:val="0"/>
      <w:marTop w:val="0"/>
      <w:marBottom w:val="0"/>
      <w:divBdr>
        <w:top w:val="none" w:sz="0" w:space="0" w:color="auto"/>
        <w:left w:val="none" w:sz="0" w:space="0" w:color="auto"/>
        <w:bottom w:val="none" w:sz="0" w:space="0" w:color="auto"/>
        <w:right w:val="none" w:sz="0" w:space="0" w:color="auto"/>
      </w:divBdr>
    </w:div>
    <w:div w:id="1015228029">
      <w:bodyDiv w:val="1"/>
      <w:marLeft w:val="0"/>
      <w:marRight w:val="0"/>
      <w:marTop w:val="0"/>
      <w:marBottom w:val="0"/>
      <w:divBdr>
        <w:top w:val="none" w:sz="0" w:space="0" w:color="auto"/>
        <w:left w:val="none" w:sz="0" w:space="0" w:color="auto"/>
        <w:bottom w:val="none" w:sz="0" w:space="0" w:color="auto"/>
        <w:right w:val="none" w:sz="0" w:space="0" w:color="auto"/>
      </w:divBdr>
    </w:div>
    <w:div w:id="1016493158">
      <w:bodyDiv w:val="1"/>
      <w:marLeft w:val="0"/>
      <w:marRight w:val="0"/>
      <w:marTop w:val="0"/>
      <w:marBottom w:val="0"/>
      <w:divBdr>
        <w:top w:val="none" w:sz="0" w:space="0" w:color="auto"/>
        <w:left w:val="none" w:sz="0" w:space="0" w:color="auto"/>
        <w:bottom w:val="none" w:sz="0" w:space="0" w:color="auto"/>
        <w:right w:val="none" w:sz="0" w:space="0" w:color="auto"/>
      </w:divBdr>
    </w:div>
    <w:div w:id="1019505736">
      <w:bodyDiv w:val="1"/>
      <w:marLeft w:val="0"/>
      <w:marRight w:val="0"/>
      <w:marTop w:val="0"/>
      <w:marBottom w:val="0"/>
      <w:divBdr>
        <w:top w:val="none" w:sz="0" w:space="0" w:color="auto"/>
        <w:left w:val="none" w:sz="0" w:space="0" w:color="auto"/>
        <w:bottom w:val="none" w:sz="0" w:space="0" w:color="auto"/>
        <w:right w:val="none" w:sz="0" w:space="0" w:color="auto"/>
      </w:divBdr>
    </w:div>
    <w:div w:id="1023627580">
      <w:bodyDiv w:val="1"/>
      <w:marLeft w:val="0"/>
      <w:marRight w:val="0"/>
      <w:marTop w:val="0"/>
      <w:marBottom w:val="0"/>
      <w:divBdr>
        <w:top w:val="none" w:sz="0" w:space="0" w:color="auto"/>
        <w:left w:val="none" w:sz="0" w:space="0" w:color="auto"/>
        <w:bottom w:val="none" w:sz="0" w:space="0" w:color="auto"/>
        <w:right w:val="none" w:sz="0" w:space="0" w:color="auto"/>
      </w:divBdr>
    </w:div>
    <w:div w:id="1024794664">
      <w:bodyDiv w:val="1"/>
      <w:marLeft w:val="0"/>
      <w:marRight w:val="0"/>
      <w:marTop w:val="0"/>
      <w:marBottom w:val="0"/>
      <w:divBdr>
        <w:top w:val="none" w:sz="0" w:space="0" w:color="auto"/>
        <w:left w:val="none" w:sz="0" w:space="0" w:color="auto"/>
        <w:bottom w:val="none" w:sz="0" w:space="0" w:color="auto"/>
        <w:right w:val="none" w:sz="0" w:space="0" w:color="auto"/>
      </w:divBdr>
    </w:div>
    <w:div w:id="1036663832">
      <w:bodyDiv w:val="1"/>
      <w:marLeft w:val="0"/>
      <w:marRight w:val="0"/>
      <w:marTop w:val="0"/>
      <w:marBottom w:val="0"/>
      <w:divBdr>
        <w:top w:val="none" w:sz="0" w:space="0" w:color="auto"/>
        <w:left w:val="none" w:sz="0" w:space="0" w:color="auto"/>
        <w:bottom w:val="none" w:sz="0" w:space="0" w:color="auto"/>
        <w:right w:val="none" w:sz="0" w:space="0" w:color="auto"/>
      </w:divBdr>
    </w:div>
    <w:div w:id="1047412217">
      <w:bodyDiv w:val="1"/>
      <w:marLeft w:val="0"/>
      <w:marRight w:val="0"/>
      <w:marTop w:val="0"/>
      <w:marBottom w:val="0"/>
      <w:divBdr>
        <w:top w:val="none" w:sz="0" w:space="0" w:color="auto"/>
        <w:left w:val="none" w:sz="0" w:space="0" w:color="auto"/>
        <w:bottom w:val="none" w:sz="0" w:space="0" w:color="auto"/>
        <w:right w:val="none" w:sz="0" w:space="0" w:color="auto"/>
      </w:divBdr>
    </w:div>
    <w:div w:id="1048339547">
      <w:bodyDiv w:val="1"/>
      <w:marLeft w:val="0"/>
      <w:marRight w:val="0"/>
      <w:marTop w:val="0"/>
      <w:marBottom w:val="0"/>
      <w:divBdr>
        <w:top w:val="none" w:sz="0" w:space="0" w:color="auto"/>
        <w:left w:val="none" w:sz="0" w:space="0" w:color="auto"/>
        <w:bottom w:val="none" w:sz="0" w:space="0" w:color="auto"/>
        <w:right w:val="none" w:sz="0" w:space="0" w:color="auto"/>
      </w:divBdr>
    </w:div>
    <w:div w:id="1056052918">
      <w:bodyDiv w:val="1"/>
      <w:marLeft w:val="0"/>
      <w:marRight w:val="0"/>
      <w:marTop w:val="0"/>
      <w:marBottom w:val="0"/>
      <w:divBdr>
        <w:top w:val="none" w:sz="0" w:space="0" w:color="auto"/>
        <w:left w:val="none" w:sz="0" w:space="0" w:color="auto"/>
        <w:bottom w:val="none" w:sz="0" w:space="0" w:color="auto"/>
        <w:right w:val="none" w:sz="0" w:space="0" w:color="auto"/>
      </w:divBdr>
      <w:divsChild>
        <w:div w:id="126902245">
          <w:marLeft w:val="274"/>
          <w:marRight w:val="0"/>
          <w:marTop w:val="20"/>
          <w:marBottom w:val="0"/>
          <w:divBdr>
            <w:top w:val="none" w:sz="0" w:space="0" w:color="auto"/>
            <w:left w:val="none" w:sz="0" w:space="0" w:color="auto"/>
            <w:bottom w:val="none" w:sz="0" w:space="0" w:color="auto"/>
            <w:right w:val="none" w:sz="0" w:space="0" w:color="auto"/>
          </w:divBdr>
        </w:div>
        <w:div w:id="503977629">
          <w:marLeft w:val="274"/>
          <w:marRight w:val="0"/>
          <w:marTop w:val="20"/>
          <w:marBottom w:val="0"/>
          <w:divBdr>
            <w:top w:val="none" w:sz="0" w:space="0" w:color="auto"/>
            <w:left w:val="none" w:sz="0" w:space="0" w:color="auto"/>
            <w:bottom w:val="none" w:sz="0" w:space="0" w:color="auto"/>
            <w:right w:val="none" w:sz="0" w:space="0" w:color="auto"/>
          </w:divBdr>
        </w:div>
        <w:div w:id="960765302">
          <w:marLeft w:val="274"/>
          <w:marRight w:val="0"/>
          <w:marTop w:val="20"/>
          <w:marBottom w:val="0"/>
          <w:divBdr>
            <w:top w:val="none" w:sz="0" w:space="0" w:color="auto"/>
            <w:left w:val="none" w:sz="0" w:space="0" w:color="auto"/>
            <w:bottom w:val="none" w:sz="0" w:space="0" w:color="auto"/>
            <w:right w:val="none" w:sz="0" w:space="0" w:color="auto"/>
          </w:divBdr>
        </w:div>
        <w:div w:id="1252202182">
          <w:marLeft w:val="576"/>
          <w:marRight w:val="0"/>
          <w:marTop w:val="20"/>
          <w:marBottom w:val="0"/>
          <w:divBdr>
            <w:top w:val="none" w:sz="0" w:space="0" w:color="auto"/>
            <w:left w:val="none" w:sz="0" w:space="0" w:color="auto"/>
            <w:bottom w:val="none" w:sz="0" w:space="0" w:color="auto"/>
            <w:right w:val="none" w:sz="0" w:space="0" w:color="auto"/>
          </w:divBdr>
        </w:div>
        <w:div w:id="1336807918">
          <w:marLeft w:val="576"/>
          <w:marRight w:val="0"/>
          <w:marTop w:val="20"/>
          <w:marBottom w:val="0"/>
          <w:divBdr>
            <w:top w:val="none" w:sz="0" w:space="0" w:color="auto"/>
            <w:left w:val="none" w:sz="0" w:space="0" w:color="auto"/>
            <w:bottom w:val="none" w:sz="0" w:space="0" w:color="auto"/>
            <w:right w:val="none" w:sz="0" w:space="0" w:color="auto"/>
          </w:divBdr>
        </w:div>
        <w:div w:id="1351100510">
          <w:marLeft w:val="274"/>
          <w:marRight w:val="0"/>
          <w:marTop w:val="20"/>
          <w:marBottom w:val="0"/>
          <w:divBdr>
            <w:top w:val="none" w:sz="0" w:space="0" w:color="auto"/>
            <w:left w:val="none" w:sz="0" w:space="0" w:color="auto"/>
            <w:bottom w:val="none" w:sz="0" w:space="0" w:color="auto"/>
            <w:right w:val="none" w:sz="0" w:space="0" w:color="auto"/>
          </w:divBdr>
        </w:div>
        <w:div w:id="1490830136">
          <w:marLeft w:val="274"/>
          <w:marRight w:val="0"/>
          <w:marTop w:val="20"/>
          <w:marBottom w:val="0"/>
          <w:divBdr>
            <w:top w:val="none" w:sz="0" w:space="0" w:color="auto"/>
            <w:left w:val="none" w:sz="0" w:space="0" w:color="auto"/>
            <w:bottom w:val="none" w:sz="0" w:space="0" w:color="auto"/>
            <w:right w:val="none" w:sz="0" w:space="0" w:color="auto"/>
          </w:divBdr>
        </w:div>
        <w:div w:id="1529104738">
          <w:marLeft w:val="576"/>
          <w:marRight w:val="0"/>
          <w:marTop w:val="20"/>
          <w:marBottom w:val="0"/>
          <w:divBdr>
            <w:top w:val="none" w:sz="0" w:space="0" w:color="auto"/>
            <w:left w:val="none" w:sz="0" w:space="0" w:color="auto"/>
            <w:bottom w:val="none" w:sz="0" w:space="0" w:color="auto"/>
            <w:right w:val="none" w:sz="0" w:space="0" w:color="auto"/>
          </w:divBdr>
        </w:div>
        <w:div w:id="1691299449">
          <w:marLeft w:val="274"/>
          <w:marRight w:val="0"/>
          <w:marTop w:val="20"/>
          <w:marBottom w:val="0"/>
          <w:divBdr>
            <w:top w:val="none" w:sz="0" w:space="0" w:color="auto"/>
            <w:left w:val="none" w:sz="0" w:space="0" w:color="auto"/>
            <w:bottom w:val="none" w:sz="0" w:space="0" w:color="auto"/>
            <w:right w:val="none" w:sz="0" w:space="0" w:color="auto"/>
          </w:divBdr>
        </w:div>
        <w:div w:id="1770350121">
          <w:marLeft w:val="576"/>
          <w:marRight w:val="0"/>
          <w:marTop w:val="20"/>
          <w:marBottom w:val="0"/>
          <w:divBdr>
            <w:top w:val="none" w:sz="0" w:space="0" w:color="auto"/>
            <w:left w:val="none" w:sz="0" w:space="0" w:color="auto"/>
            <w:bottom w:val="none" w:sz="0" w:space="0" w:color="auto"/>
            <w:right w:val="none" w:sz="0" w:space="0" w:color="auto"/>
          </w:divBdr>
        </w:div>
        <w:div w:id="2090152158">
          <w:marLeft w:val="576"/>
          <w:marRight w:val="0"/>
          <w:marTop w:val="20"/>
          <w:marBottom w:val="0"/>
          <w:divBdr>
            <w:top w:val="none" w:sz="0" w:space="0" w:color="auto"/>
            <w:left w:val="none" w:sz="0" w:space="0" w:color="auto"/>
            <w:bottom w:val="none" w:sz="0" w:space="0" w:color="auto"/>
            <w:right w:val="none" w:sz="0" w:space="0" w:color="auto"/>
          </w:divBdr>
        </w:div>
      </w:divsChild>
    </w:div>
    <w:div w:id="1062024686">
      <w:bodyDiv w:val="1"/>
      <w:marLeft w:val="0"/>
      <w:marRight w:val="0"/>
      <w:marTop w:val="0"/>
      <w:marBottom w:val="0"/>
      <w:divBdr>
        <w:top w:val="none" w:sz="0" w:space="0" w:color="auto"/>
        <w:left w:val="none" w:sz="0" w:space="0" w:color="auto"/>
        <w:bottom w:val="none" w:sz="0" w:space="0" w:color="auto"/>
        <w:right w:val="none" w:sz="0" w:space="0" w:color="auto"/>
      </w:divBdr>
    </w:div>
    <w:div w:id="1062601634">
      <w:bodyDiv w:val="1"/>
      <w:marLeft w:val="0"/>
      <w:marRight w:val="0"/>
      <w:marTop w:val="0"/>
      <w:marBottom w:val="0"/>
      <w:divBdr>
        <w:top w:val="none" w:sz="0" w:space="0" w:color="auto"/>
        <w:left w:val="none" w:sz="0" w:space="0" w:color="auto"/>
        <w:bottom w:val="none" w:sz="0" w:space="0" w:color="auto"/>
        <w:right w:val="none" w:sz="0" w:space="0" w:color="auto"/>
      </w:divBdr>
      <w:divsChild>
        <w:div w:id="297222577">
          <w:marLeft w:val="475"/>
          <w:marRight w:val="0"/>
          <w:marTop w:val="168"/>
          <w:marBottom w:val="0"/>
          <w:divBdr>
            <w:top w:val="none" w:sz="0" w:space="0" w:color="auto"/>
            <w:left w:val="none" w:sz="0" w:space="0" w:color="auto"/>
            <w:bottom w:val="none" w:sz="0" w:space="0" w:color="auto"/>
            <w:right w:val="none" w:sz="0" w:space="0" w:color="auto"/>
          </w:divBdr>
        </w:div>
        <w:div w:id="796753147">
          <w:marLeft w:val="475"/>
          <w:marRight w:val="0"/>
          <w:marTop w:val="168"/>
          <w:marBottom w:val="0"/>
          <w:divBdr>
            <w:top w:val="none" w:sz="0" w:space="0" w:color="auto"/>
            <w:left w:val="none" w:sz="0" w:space="0" w:color="auto"/>
            <w:bottom w:val="none" w:sz="0" w:space="0" w:color="auto"/>
            <w:right w:val="none" w:sz="0" w:space="0" w:color="auto"/>
          </w:divBdr>
        </w:div>
        <w:div w:id="924218057">
          <w:marLeft w:val="1181"/>
          <w:marRight w:val="0"/>
          <w:marTop w:val="168"/>
          <w:marBottom w:val="0"/>
          <w:divBdr>
            <w:top w:val="none" w:sz="0" w:space="0" w:color="auto"/>
            <w:left w:val="none" w:sz="0" w:space="0" w:color="auto"/>
            <w:bottom w:val="none" w:sz="0" w:space="0" w:color="auto"/>
            <w:right w:val="none" w:sz="0" w:space="0" w:color="auto"/>
          </w:divBdr>
        </w:div>
        <w:div w:id="1049039276">
          <w:marLeft w:val="475"/>
          <w:marRight w:val="0"/>
          <w:marTop w:val="168"/>
          <w:marBottom w:val="0"/>
          <w:divBdr>
            <w:top w:val="none" w:sz="0" w:space="0" w:color="auto"/>
            <w:left w:val="none" w:sz="0" w:space="0" w:color="auto"/>
            <w:bottom w:val="none" w:sz="0" w:space="0" w:color="auto"/>
            <w:right w:val="none" w:sz="0" w:space="0" w:color="auto"/>
          </w:divBdr>
        </w:div>
        <w:div w:id="1396002988">
          <w:marLeft w:val="475"/>
          <w:marRight w:val="0"/>
          <w:marTop w:val="168"/>
          <w:marBottom w:val="0"/>
          <w:divBdr>
            <w:top w:val="none" w:sz="0" w:space="0" w:color="auto"/>
            <w:left w:val="none" w:sz="0" w:space="0" w:color="auto"/>
            <w:bottom w:val="none" w:sz="0" w:space="0" w:color="auto"/>
            <w:right w:val="none" w:sz="0" w:space="0" w:color="auto"/>
          </w:divBdr>
        </w:div>
        <w:div w:id="2088067551">
          <w:marLeft w:val="1181"/>
          <w:marRight w:val="0"/>
          <w:marTop w:val="168"/>
          <w:marBottom w:val="0"/>
          <w:divBdr>
            <w:top w:val="none" w:sz="0" w:space="0" w:color="auto"/>
            <w:left w:val="none" w:sz="0" w:space="0" w:color="auto"/>
            <w:bottom w:val="none" w:sz="0" w:space="0" w:color="auto"/>
            <w:right w:val="none" w:sz="0" w:space="0" w:color="auto"/>
          </w:divBdr>
        </w:div>
        <w:div w:id="2099013746">
          <w:marLeft w:val="1181"/>
          <w:marRight w:val="0"/>
          <w:marTop w:val="168"/>
          <w:marBottom w:val="0"/>
          <w:divBdr>
            <w:top w:val="none" w:sz="0" w:space="0" w:color="auto"/>
            <w:left w:val="none" w:sz="0" w:space="0" w:color="auto"/>
            <w:bottom w:val="none" w:sz="0" w:space="0" w:color="auto"/>
            <w:right w:val="none" w:sz="0" w:space="0" w:color="auto"/>
          </w:divBdr>
        </w:div>
      </w:divsChild>
    </w:div>
    <w:div w:id="1076434688">
      <w:bodyDiv w:val="1"/>
      <w:marLeft w:val="0"/>
      <w:marRight w:val="0"/>
      <w:marTop w:val="0"/>
      <w:marBottom w:val="0"/>
      <w:divBdr>
        <w:top w:val="none" w:sz="0" w:space="0" w:color="auto"/>
        <w:left w:val="none" w:sz="0" w:space="0" w:color="auto"/>
        <w:bottom w:val="none" w:sz="0" w:space="0" w:color="auto"/>
        <w:right w:val="none" w:sz="0" w:space="0" w:color="auto"/>
      </w:divBdr>
    </w:div>
    <w:div w:id="1077439980">
      <w:bodyDiv w:val="1"/>
      <w:marLeft w:val="0"/>
      <w:marRight w:val="0"/>
      <w:marTop w:val="0"/>
      <w:marBottom w:val="0"/>
      <w:divBdr>
        <w:top w:val="none" w:sz="0" w:space="0" w:color="auto"/>
        <w:left w:val="none" w:sz="0" w:space="0" w:color="auto"/>
        <w:bottom w:val="none" w:sz="0" w:space="0" w:color="auto"/>
        <w:right w:val="none" w:sz="0" w:space="0" w:color="auto"/>
      </w:divBdr>
      <w:divsChild>
        <w:div w:id="38167954">
          <w:marLeft w:val="0"/>
          <w:marRight w:val="0"/>
          <w:marTop w:val="0"/>
          <w:marBottom w:val="0"/>
          <w:divBdr>
            <w:top w:val="none" w:sz="0" w:space="0" w:color="auto"/>
            <w:left w:val="none" w:sz="0" w:space="0" w:color="auto"/>
            <w:bottom w:val="none" w:sz="0" w:space="0" w:color="auto"/>
            <w:right w:val="none" w:sz="0" w:space="0" w:color="auto"/>
          </w:divBdr>
        </w:div>
        <w:div w:id="188027581">
          <w:marLeft w:val="0"/>
          <w:marRight w:val="0"/>
          <w:marTop w:val="0"/>
          <w:marBottom w:val="0"/>
          <w:divBdr>
            <w:top w:val="none" w:sz="0" w:space="0" w:color="auto"/>
            <w:left w:val="none" w:sz="0" w:space="0" w:color="auto"/>
            <w:bottom w:val="none" w:sz="0" w:space="0" w:color="auto"/>
            <w:right w:val="none" w:sz="0" w:space="0" w:color="auto"/>
          </w:divBdr>
        </w:div>
        <w:div w:id="618150464">
          <w:marLeft w:val="0"/>
          <w:marRight w:val="0"/>
          <w:marTop w:val="0"/>
          <w:marBottom w:val="0"/>
          <w:divBdr>
            <w:top w:val="none" w:sz="0" w:space="0" w:color="auto"/>
            <w:left w:val="none" w:sz="0" w:space="0" w:color="auto"/>
            <w:bottom w:val="none" w:sz="0" w:space="0" w:color="auto"/>
            <w:right w:val="none" w:sz="0" w:space="0" w:color="auto"/>
          </w:divBdr>
        </w:div>
        <w:div w:id="906652225">
          <w:marLeft w:val="0"/>
          <w:marRight w:val="0"/>
          <w:marTop w:val="0"/>
          <w:marBottom w:val="0"/>
          <w:divBdr>
            <w:top w:val="none" w:sz="0" w:space="0" w:color="auto"/>
            <w:left w:val="none" w:sz="0" w:space="0" w:color="auto"/>
            <w:bottom w:val="none" w:sz="0" w:space="0" w:color="auto"/>
            <w:right w:val="none" w:sz="0" w:space="0" w:color="auto"/>
          </w:divBdr>
        </w:div>
        <w:div w:id="989359904">
          <w:marLeft w:val="0"/>
          <w:marRight w:val="0"/>
          <w:marTop w:val="0"/>
          <w:marBottom w:val="0"/>
          <w:divBdr>
            <w:top w:val="none" w:sz="0" w:space="0" w:color="auto"/>
            <w:left w:val="none" w:sz="0" w:space="0" w:color="auto"/>
            <w:bottom w:val="none" w:sz="0" w:space="0" w:color="auto"/>
            <w:right w:val="none" w:sz="0" w:space="0" w:color="auto"/>
          </w:divBdr>
        </w:div>
        <w:div w:id="1329097792">
          <w:marLeft w:val="0"/>
          <w:marRight w:val="0"/>
          <w:marTop w:val="0"/>
          <w:marBottom w:val="0"/>
          <w:divBdr>
            <w:top w:val="none" w:sz="0" w:space="0" w:color="auto"/>
            <w:left w:val="none" w:sz="0" w:space="0" w:color="auto"/>
            <w:bottom w:val="none" w:sz="0" w:space="0" w:color="auto"/>
            <w:right w:val="none" w:sz="0" w:space="0" w:color="auto"/>
          </w:divBdr>
        </w:div>
        <w:div w:id="1680110347">
          <w:marLeft w:val="0"/>
          <w:marRight w:val="0"/>
          <w:marTop w:val="0"/>
          <w:marBottom w:val="0"/>
          <w:divBdr>
            <w:top w:val="none" w:sz="0" w:space="0" w:color="auto"/>
            <w:left w:val="none" w:sz="0" w:space="0" w:color="auto"/>
            <w:bottom w:val="none" w:sz="0" w:space="0" w:color="auto"/>
            <w:right w:val="none" w:sz="0" w:space="0" w:color="auto"/>
          </w:divBdr>
        </w:div>
        <w:div w:id="1894580965">
          <w:marLeft w:val="0"/>
          <w:marRight w:val="0"/>
          <w:marTop w:val="0"/>
          <w:marBottom w:val="0"/>
          <w:divBdr>
            <w:top w:val="none" w:sz="0" w:space="0" w:color="auto"/>
            <w:left w:val="none" w:sz="0" w:space="0" w:color="auto"/>
            <w:bottom w:val="none" w:sz="0" w:space="0" w:color="auto"/>
            <w:right w:val="none" w:sz="0" w:space="0" w:color="auto"/>
          </w:divBdr>
        </w:div>
      </w:divsChild>
    </w:div>
    <w:div w:id="1079408458">
      <w:bodyDiv w:val="1"/>
      <w:marLeft w:val="0"/>
      <w:marRight w:val="0"/>
      <w:marTop w:val="0"/>
      <w:marBottom w:val="0"/>
      <w:divBdr>
        <w:top w:val="none" w:sz="0" w:space="0" w:color="auto"/>
        <w:left w:val="none" w:sz="0" w:space="0" w:color="auto"/>
        <w:bottom w:val="none" w:sz="0" w:space="0" w:color="auto"/>
        <w:right w:val="none" w:sz="0" w:space="0" w:color="auto"/>
      </w:divBdr>
    </w:div>
    <w:div w:id="1079790540">
      <w:bodyDiv w:val="1"/>
      <w:marLeft w:val="0"/>
      <w:marRight w:val="0"/>
      <w:marTop w:val="0"/>
      <w:marBottom w:val="0"/>
      <w:divBdr>
        <w:top w:val="none" w:sz="0" w:space="0" w:color="auto"/>
        <w:left w:val="none" w:sz="0" w:space="0" w:color="auto"/>
        <w:bottom w:val="none" w:sz="0" w:space="0" w:color="auto"/>
        <w:right w:val="none" w:sz="0" w:space="0" w:color="auto"/>
      </w:divBdr>
    </w:div>
    <w:div w:id="1081173349">
      <w:bodyDiv w:val="1"/>
      <w:marLeft w:val="0"/>
      <w:marRight w:val="0"/>
      <w:marTop w:val="0"/>
      <w:marBottom w:val="0"/>
      <w:divBdr>
        <w:top w:val="none" w:sz="0" w:space="0" w:color="auto"/>
        <w:left w:val="none" w:sz="0" w:space="0" w:color="auto"/>
        <w:bottom w:val="none" w:sz="0" w:space="0" w:color="auto"/>
        <w:right w:val="none" w:sz="0" w:space="0" w:color="auto"/>
      </w:divBdr>
    </w:div>
    <w:div w:id="1081681794">
      <w:bodyDiv w:val="1"/>
      <w:marLeft w:val="0"/>
      <w:marRight w:val="0"/>
      <w:marTop w:val="0"/>
      <w:marBottom w:val="0"/>
      <w:divBdr>
        <w:top w:val="none" w:sz="0" w:space="0" w:color="auto"/>
        <w:left w:val="none" w:sz="0" w:space="0" w:color="auto"/>
        <w:bottom w:val="none" w:sz="0" w:space="0" w:color="auto"/>
        <w:right w:val="none" w:sz="0" w:space="0" w:color="auto"/>
      </w:divBdr>
      <w:divsChild>
        <w:div w:id="369888797">
          <w:marLeft w:val="288"/>
          <w:marRight w:val="0"/>
          <w:marTop w:val="0"/>
          <w:marBottom w:val="96"/>
          <w:divBdr>
            <w:top w:val="none" w:sz="0" w:space="0" w:color="auto"/>
            <w:left w:val="none" w:sz="0" w:space="0" w:color="auto"/>
            <w:bottom w:val="none" w:sz="0" w:space="0" w:color="auto"/>
            <w:right w:val="none" w:sz="0" w:space="0" w:color="auto"/>
          </w:divBdr>
        </w:div>
        <w:div w:id="450827316">
          <w:marLeft w:val="288"/>
          <w:marRight w:val="0"/>
          <w:marTop w:val="0"/>
          <w:marBottom w:val="96"/>
          <w:divBdr>
            <w:top w:val="none" w:sz="0" w:space="0" w:color="auto"/>
            <w:left w:val="none" w:sz="0" w:space="0" w:color="auto"/>
            <w:bottom w:val="none" w:sz="0" w:space="0" w:color="auto"/>
            <w:right w:val="none" w:sz="0" w:space="0" w:color="auto"/>
          </w:divBdr>
        </w:div>
        <w:div w:id="651056059">
          <w:marLeft w:val="288"/>
          <w:marRight w:val="0"/>
          <w:marTop w:val="0"/>
          <w:marBottom w:val="96"/>
          <w:divBdr>
            <w:top w:val="none" w:sz="0" w:space="0" w:color="auto"/>
            <w:left w:val="none" w:sz="0" w:space="0" w:color="auto"/>
            <w:bottom w:val="none" w:sz="0" w:space="0" w:color="auto"/>
            <w:right w:val="none" w:sz="0" w:space="0" w:color="auto"/>
          </w:divBdr>
        </w:div>
        <w:div w:id="1254896865">
          <w:marLeft w:val="288"/>
          <w:marRight w:val="0"/>
          <w:marTop w:val="0"/>
          <w:marBottom w:val="96"/>
          <w:divBdr>
            <w:top w:val="none" w:sz="0" w:space="0" w:color="auto"/>
            <w:left w:val="none" w:sz="0" w:space="0" w:color="auto"/>
            <w:bottom w:val="none" w:sz="0" w:space="0" w:color="auto"/>
            <w:right w:val="none" w:sz="0" w:space="0" w:color="auto"/>
          </w:divBdr>
        </w:div>
        <w:div w:id="1345785355">
          <w:marLeft w:val="288"/>
          <w:marRight w:val="0"/>
          <w:marTop w:val="0"/>
          <w:marBottom w:val="96"/>
          <w:divBdr>
            <w:top w:val="none" w:sz="0" w:space="0" w:color="auto"/>
            <w:left w:val="none" w:sz="0" w:space="0" w:color="auto"/>
            <w:bottom w:val="none" w:sz="0" w:space="0" w:color="auto"/>
            <w:right w:val="none" w:sz="0" w:space="0" w:color="auto"/>
          </w:divBdr>
        </w:div>
        <w:div w:id="1792822905">
          <w:marLeft w:val="288"/>
          <w:marRight w:val="0"/>
          <w:marTop w:val="0"/>
          <w:marBottom w:val="96"/>
          <w:divBdr>
            <w:top w:val="none" w:sz="0" w:space="0" w:color="auto"/>
            <w:left w:val="none" w:sz="0" w:space="0" w:color="auto"/>
            <w:bottom w:val="none" w:sz="0" w:space="0" w:color="auto"/>
            <w:right w:val="none" w:sz="0" w:space="0" w:color="auto"/>
          </w:divBdr>
        </w:div>
      </w:divsChild>
    </w:div>
    <w:div w:id="1085760591">
      <w:bodyDiv w:val="1"/>
      <w:marLeft w:val="0"/>
      <w:marRight w:val="0"/>
      <w:marTop w:val="0"/>
      <w:marBottom w:val="0"/>
      <w:divBdr>
        <w:top w:val="none" w:sz="0" w:space="0" w:color="auto"/>
        <w:left w:val="none" w:sz="0" w:space="0" w:color="auto"/>
        <w:bottom w:val="none" w:sz="0" w:space="0" w:color="auto"/>
        <w:right w:val="none" w:sz="0" w:space="0" w:color="auto"/>
      </w:divBdr>
    </w:div>
    <w:div w:id="1088231164">
      <w:bodyDiv w:val="1"/>
      <w:marLeft w:val="0"/>
      <w:marRight w:val="0"/>
      <w:marTop w:val="0"/>
      <w:marBottom w:val="0"/>
      <w:divBdr>
        <w:top w:val="none" w:sz="0" w:space="0" w:color="auto"/>
        <w:left w:val="none" w:sz="0" w:space="0" w:color="auto"/>
        <w:bottom w:val="none" w:sz="0" w:space="0" w:color="auto"/>
        <w:right w:val="none" w:sz="0" w:space="0" w:color="auto"/>
      </w:divBdr>
    </w:div>
    <w:div w:id="1088431339">
      <w:bodyDiv w:val="1"/>
      <w:marLeft w:val="0"/>
      <w:marRight w:val="0"/>
      <w:marTop w:val="0"/>
      <w:marBottom w:val="0"/>
      <w:divBdr>
        <w:top w:val="none" w:sz="0" w:space="0" w:color="auto"/>
        <w:left w:val="none" w:sz="0" w:space="0" w:color="auto"/>
        <w:bottom w:val="none" w:sz="0" w:space="0" w:color="auto"/>
        <w:right w:val="none" w:sz="0" w:space="0" w:color="auto"/>
      </w:divBdr>
    </w:div>
    <w:div w:id="1095977330">
      <w:bodyDiv w:val="1"/>
      <w:marLeft w:val="0"/>
      <w:marRight w:val="0"/>
      <w:marTop w:val="0"/>
      <w:marBottom w:val="0"/>
      <w:divBdr>
        <w:top w:val="none" w:sz="0" w:space="0" w:color="auto"/>
        <w:left w:val="none" w:sz="0" w:space="0" w:color="auto"/>
        <w:bottom w:val="none" w:sz="0" w:space="0" w:color="auto"/>
        <w:right w:val="none" w:sz="0" w:space="0" w:color="auto"/>
      </w:divBdr>
    </w:div>
    <w:div w:id="1098677269">
      <w:bodyDiv w:val="1"/>
      <w:marLeft w:val="0"/>
      <w:marRight w:val="0"/>
      <w:marTop w:val="0"/>
      <w:marBottom w:val="0"/>
      <w:divBdr>
        <w:top w:val="none" w:sz="0" w:space="0" w:color="auto"/>
        <w:left w:val="none" w:sz="0" w:space="0" w:color="auto"/>
        <w:bottom w:val="none" w:sz="0" w:space="0" w:color="auto"/>
        <w:right w:val="none" w:sz="0" w:space="0" w:color="auto"/>
      </w:divBdr>
    </w:div>
    <w:div w:id="1103919017">
      <w:bodyDiv w:val="1"/>
      <w:marLeft w:val="0"/>
      <w:marRight w:val="0"/>
      <w:marTop w:val="0"/>
      <w:marBottom w:val="0"/>
      <w:divBdr>
        <w:top w:val="none" w:sz="0" w:space="0" w:color="auto"/>
        <w:left w:val="none" w:sz="0" w:space="0" w:color="auto"/>
        <w:bottom w:val="none" w:sz="0" w:space="0" w:color="auto"/>
        <w:right w:val="none" w:sz="0" w:space="0" w:color="auto"/>
      </w:divBdr>
    </w:div>
    <w:div w:id="1104615917">
      <w:bodyDiv w:val="1"/>
      <w:marLeft w:val="0"/>
      <w:marRight w:val="0"/>
      <w:marTop w:val="0"/>
      <w:marBottom w:val="0"/>
      <w:divBdr>
        <w:top w:val="none" w:sz="0" w:space="0" w:color="auto"/>
        <w:left w:val="none" w:sz="0" w:space="0" w:color="auto"/>
        <w:bottom w:val="none" w:sz="0" w:space="0" w:color="auto"/>
        <w:right w:val="none" w:sz="0" w:space="0" w:color="auto"/>
      </w:divBdr>
    </w:div>
    <w:div w:id="1106122913">
      <w:bodyDiv w:val="1"/>
      <w:marLeft w:val="0"/>
      <w:marRight w:val="0"/>
      <w:marTop w:val="0"/>
      <w:marBottom w:val="0"/>
      <w:divBdr>
        <w:top w:val="none" w:sz="0" w:space="0" w:color="auto"/>
        <w:left w:val="none" w:sz="0" w:space="0" w:color="auto"/>
        <w:bottom w:val="none" w:sz="0" w:space="0" w:color="auto"/>
        <w:right w:val="none" w:sz="0" w:space="0" w:color="auto"/>
      </w:divBdr>
    </w:div>
    <w:div w:id="1107119640">
      <w:bodyDiv w:val="1"/>
      <w:marLeft w:val="0"/>
      <w:marRight w:val="0"/>
      <w:marTop w:val="0"/>
      <w:marBottom w:val="0"/>
      <w:divBdr>
        <w:top w:val="none" w:sz="0" w:space="0" w:color="auto"/>
        <w:left w:val="none" w:sz="0" w:space="0" w:color="auto"/>
        <w:bottom w:val="none" w:sz="0" w:space="0" w:color="auto"/>
        <w:right w:val="none" w:sz="0" w:space="0" w:color="auto"/>
      </w:divBdr>
    </w:div>
    <w:div w:id="1113210503">
      <w:bodyDiv w:val="1"/>
      <w:marLeft w:val="0"/>
      <w:marRight w:val="0"/>
      <w:marTop w:val="0"/>
      <w:marBottom w:val="0"/>
      <w:divBdr>
        <w:top w:val="none" w:sz="0" w:space="0" w:color="auto"/>
        <w:left w:val="none" w:sz="0" w:space="0" w:color="auto"/>
        <w:bottom w:val="none" w:sz="0" w:space="0" w:color="auto"/>
        <w:right w:val="none" w:sz="0" w:space="0" w:color="auto"/>
      </w:divBdr>
    </w:div>
    <w:div w:id="1119035561">
      <w:bodyDiv w:val="1"/>
      <w:marLeft w:val="0"/>
      <w:marRight w:val="0"/>
      <w:marTop w:val="0"/>
      <w:marBottom w:val="0"/>
      <w:divBdr>
        <w:top w:val="none" w:sz="0" w:space="0" w:color="auto"/>
        <w:left w:val="none" w:sz="0" w:space="0" w:color="auto"/>
        <w:bottom w:val="none" w:sz="0" w:space="0" w:color="auto"/>
        <w:right w:val="none" w:sz="0" w:space="0" w:color="auto"/>
      </w:divBdr>
    </w:div>
    <w:div w:id="1128013698">
      <w:bodyDiv w:val="1"/>
      <w:marLeft w:val="0"/>
      <w:marRight w:val="0"/>
      <w:marTop w:val="0"/>
      <w:marBottom w:val="0"/>
      <w:divBdr>
        <w:top w:val="none" w:sz="0" w:space="0" w:color="auto"/>
        <w:left w:val="none" w:sz="0" w:space="0" w:color="auto"/>
        <w:bottom w:val="none" w:sz="0" w:space="0" w:color="auto"/>
        <w:right w:val="none" w:sz="0" w:space="0" w:color="auto"/>
      </w:divBdr>
    </w:div>
    <w:div w:id="1129393271">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134131915">
      <w:bodyDiv w:val="1"/>
      <w:marLeft w:val="0"/>
      <w:marRight w:val="0"/>
      <w:marTop w:val="0"/>
      <w:marBottom w:val="0"/>
      <w:divBdr>
        <w:top w:val="none" w:sz="0" w:space="0" w:color="auto"/>
        <w:left w:val="none" w:sz="0" w:space="0" w:color="auto"/>
        <w:bottom w:val="none" w:sz="0" w:space="0" w:color="auto"/>
        <w:right w:val="none" w:sz="0" w:space="0" w:color="auto"/>
      </w:divBdr>
      <w:divsChild>
        <w:div w:id="75904966">
          <w:marLeft w:val="144"/>
          <w:marRight w:val="0"/>
          <w:marTop w:val="0"/>
          <w:marBottom w:val="0"/>
          <w:divBdr>
            <w:top w:val="none" w:sz="0" w:space="0" w:color="auto"/>
            <w:left w:val="none" w:sz="0" w:space="0" w:color="auto"/>
            <w:bottom w:val="none" w:sz="0" w:space="0" w:color="auto"/>
            <w:right w:val="none" w:sz="0" w:space="0" w:color="auto"/>
          </w:divBdr>
        </w:div>
        <w:div w:id="165631405">
          <w:marLeft w:val="144"/>
          <w:marRight w:val="0"/>
          <w:marTop w:val="0"/>
          <w:marBottom w:val="0"/>
          <w:divBdr>
            <w:top w:val="none" w:sz="0" w:space="0" w:color="auto"/>
            <w:left w:val="none" w:sz="0" w:space="0" w:color="auto"/>
            <w:bottom w:val="none" w:sz="0" w:space="0" w:color="auto"/>
            <w:right w:val="none" w:sz="0" w:space="0" w:color="auto"/>
          </w:divBdr>
        </w:div>
        <w:div w:id="208341028">
          <w:marLeft w:val="144"/>
          <w:marRight w:val="0"/>
          <w:marTop w:val="0"/>
          <w:marBottom w:val="0"/>
          <w:divBdr>
            <w:top w:val="none" w:sz="0" w:space="0" w:color="auto"/>
            <w:left w:val="none" w:sz="0" w:space="0" w:color="auto"/>
            <w:bottom w:val="none" w:sz="0" w:space="0" w:color="auto"/>
            <w:right w:val="none" w:sz="0" w:space="0" w:color="auto"/>
          </w:divBdr>
        </w:div>
        <w:div w:id="327489918">
          <w:marLeft w:val="144"/>
          <w:marRight w:val="0"/>
          <w:marTop w:val="0"/>
          <w:marBottom w:val="0"/>
          <w:divBdr>
            <w:top w:val="none" w:sz="0" w:space="0" w:color="auto"/>
            <w:left w:val="none" w:sz="0" w:space="0" w:color="auto"/>
            <w:bottom w:val="none" w:sz="0" w:space="0" w:color="auto"/>
            <w:right w:val="none" w:sz="0" w:space="0" w:color="auto"/>
          </w:divBdr>
        </w:div>
        <w:div w:id="398134158">
          <w:marLeft w:val="144"/>
          <w:marRight w:val="0"/>
          <w:marTop w:val="0"/>
          <w:marBottom w:val="0"/>
          <w:divBdr>
            <w:top w:val="none" w:sz="0" w:space="0" w:color="auto"/>
            <w:left w:val="none" w:sz="0" w:space="0" w:color="auto"/>
            <w:bottom w:val="none" w:sz="0" w:space="0" w:color="auto"/>
            <w:right w:val="none" w:sz="0" w:space="0" w:color="auto"/>
          </w:divBdr>
        </w:div>
        <w:div w:id="512106412">
          <w:marLeft w:val="144"/>
          <w:marRight w:val="0"/>
          <w:marTop w:val="0"/>
          <w:marBottom w:val="0"/>
          <w:divBdr>
            <w:top w:val="none" w:sz="0" w:space="0" w:color="auto"/>
            <w:left w:val="none" w:sz="0" w:space="0" w:color="auto"/>
            <w:bottom w:val="none" w:sz="0" w:space="0" w:color="auto"/>
            <w:right w:val="none" w:sz="0" w:space="0" w:color="auto"/>
          </w:divBdr>
        </w:div>
        <w:div w:id="961427303">
          <w:marLeft w:val="144"/>
          <w:marRight w:val="0"/>
          <w:marTop w:val="0"/>
          <w:marBottom w:val="0"/>
          <w:divBdr>
            <w:top w:val="none" w:sz="0" w:space="0" w:color="auto"/>
            <w:left w:val="none" w:sz="0" w:space="0" w:color="auto"/>
            <w:bottom w:val="none" w:sz="0" w:space="0" w:color="auto"/>
            <w:right w:val="none" w:sz="0" w:space="0" w:color="auto"/>
          </w:divBdr>
        </w:div>
        <w:div w:id="1268545358">
          <w:marLeft w:val="144"/>
          <w:marRight w:val="0"/>
          <w:marTop w:val="0"/>
          <w:marBottom w:val="0"/>
          <w:divBdr>
            <w:top w:val="none" w:sz="0" w:space="0" w:color="auto"/>
            <w:left w:val="none" w:sz="0" w:space="0" w:color="auto"/>
            <w:bottom w:val="none" w:sz="0" w:space="0" w:color="auto"/>
            <w:right w:val="none" w:sz="0" w:space="0" w:color="auto"/>
          </w:divBdr>
        </w:div>
        <w:div w:id="1341548684">
          <w:marLeft w:val="144"/>
          <w:marRight w:val="0"/>
          <w:marTop w:val="0"/>
          <w:marBottom w:val="0"/>
          <w:divBdr>
            <w:top w:val="none" w:sz="0" w:space="0" w:color="auto"/>
            <w:left w:val="none" w:sz="0" w:space="0" w:color="auto"/>
            <w:bottom w:val="none" w:sz="0" w:space="0" w:color="auto"/>
            <w:right w:val="none" w:sz="0" w:space="0" w:color="auto"/>
          </w:divBdr>
        </w:div>
        <w:div w:id="1454639779">
          <w:marLeft w:val="144"/>
          <w:marRight w:val="0"/>
          <w:marTop w:val="0"/>
          <w:marBottom w:val="0"/>
          <w:divBdr>
            <w:top w:val="none" w:sz="0" w:space="0" w:color="auto"/>
            <w:left w:val="none" w:sz="0" w:space="0" w:color="auto"/>
            <w:bottom w:val="none" w:sz="0" w:space="0" w:color="auto"/>
            <w:right w:val="none" w:sz="0" w:space="0" w:color="auto"/>
          </w:divBdr>
        </w:div>
        <w:div w:id="1518932663">
          <w:marLeft w:val="144"/>
          <w:marRight w:val="0"/>
          <w:marTop w:val="0"/>
          <w:marBottom w:val="0"/>
          <w:divBdr>
            <w:top w:val="none" w:sz="0" w:space="0" w:color="auto"/>
            <w:left w:val="none" w:sz="0" w:space="0" w:color="auto"/>
            <w:bottom w:val="none" w:sz="0" w:space="0" w:color="auto"/>
            <w:right w:val="none" w:sz="0" w:space="0" w:color="auto"/>
          </w:divBdr>
        </w:div>
        <w:div w:id="1544174163">
          <w:marLeft w:val="144"/>
          <w:marRight w:val="0"/>
          <w:marTop w:val="0"/>
          <w:marBottom w:val="0"/>
          <w:divBdr>
            <w:top w:val="none" w:sz="0" w:space="0" w:color="auto"/>
            <w:left w:val="none" w:sz="0" w:space="0" w:color="auto"/>
            <w:bottom w:val="none" w:sz="0" w:space="0" w:color="auto"/>
            <w:right w:val="none" w:sz="0" w:space="0" w:color="auto"/>
          </w:divBdr>
        </w:div>
        <w:div w:id="1592739459">
          <w:marLeft w:val="144"/>
          <w:marRight w:val="0"/>
          <w:marTop w:val="0"/>
          <w:marBottom w:val="0"/>
          <w:divBdr>
            <w:top w:val="none" w:sz="0" w:space="0" w:color="auto"/>
            <w:left w:val="none" w:sz="0" w:space="0" w:color="auto"/>
            <w:bottom w:val="none" w:sz="0" w:space="0" w:color="auto"/>
            <w:right w:val="none" w:sz="0" w:space="0" w:color="auto"/>
          </w:divBdr>
        </w:div>
        <w:div w:id="1598715778">
          <w:marLeft w:val="144"/>
          <w:marRight w:val="0"/>
          <w:marTop w:val="0"/>
          <w:marBottom w:val="0"/>
          <w:divBdr>
            <w:top w:val="none" w:sz="0" w:space="0" w:color="auto"/>
            <w:left w:val="none" w:sz="0" w:space="0" w:color="auto"/>
            <w:bottom w:val="none" w:sz="0" w:space="0" w:color="auto"/>
            <w:right w:val="none" w:sz="0" w:space="0" w:color="auto"/>
          </w:divBdr>
        </w:div>
        <w:div w:id="1613904412">
          <w:marLeft w:val="144"/>
          <w:marRight w:val="0"/>
          <w:marTop w:val="0"/>
          <w:marBottom w:val="0"/>
          <w:divBdr>
            <w:top w:val="none" w:sz="0" w:space="0" w:color="auto"/>
            <w:left w:val="none" w:sz="0" w:space="0" w:color="auto"/>
            <w:bottom w:val="none" w:sz="0" w:space="0" w:color="auto"/>
            <w:right w:val="none" w:sz="0" w:space="0" w:color="auto"/>
          </w:divBdr>
        </w:div>
        <w:div w:id="1962227190">
          <w:marLeft w:val="144"/>
          <w:marRight w:val="0"/>
          <w:marTop w:val="0"/>
          <w:marBottom w:val="0"/>
          <w:divBdr>
            <w:top w:val="none" w:sz="0" w:space="0" w:color="auto"/>
            <w:left w:val="none" w:sz="0" w:space="0" w:color="auto"/>
            <w:bottom w:val="none" w:sz="0" w:space="0" w:color="auto"/>
            <w:right w:val="none" w:sz="0" w:space="0" w:color="auto"/>
          </w:divBdr>
        </w:div>
        <w:div w:id="1997371267">
          <w:marLeft w:val="144"/>
          <w:marRight w:val="0"/>
          <w:marTop w:val="0"/>
          <w:marBottom w:val="0"/>
          <w:divBdr>
            <w:top w:val="none" w:sz="0" w:space="0" w:color="auto"/>
            <w:left w:val="none" w:sz="0" w:space="0" w:color="auto"/>
            <w:bottom w:val="none" w:sz="0" w:space="0" w:color="auto"/>
            <w:right w:val="none" w:sz="0" w:space="0" w:color="auto"/>
          </w:divBdr>
        </w:div>
        <w:div w:id="2120836515">
          <w:marLeft w:val="144"/>
          <w:marRight w:val="0"/>
          <w:marTop w:val="0"/>
          <w:marBottom w:val="0"/>
          <w:divBdr>
            <w:top w:val="none" w:sz="0" w:space="0" w:color="auto"/>
            <w:left w:val="none" w:sz="0" w:space="0" w:color="auto"/>
            <w:bottom w:val="none" w:sz="0" w:space="0" w:color="auto"/>
            <w:right w:val="none" w:sz="0" w:space="0" w:color="auto"/>
          </w:divBdr>
        </w:div>
      </w:divsChild>
    </w:div>
    <w:div w:id="1138839353">
      <w:bodyDiv w:val="1"/>
      <w:marLeft w:val="0"/>
      <w:marRight w:val="0"/>
      <w:marTop w:val="0"/>
      <w:marBottom w:val="0"/>
      <w:divBdr>
        <w:top w:val="none" w:sz="0" w:space="0" w:color="auto"/>
        <w:left w:val="none" w:sz="0" w:space="0" w:color="auto"/>
        <w:bottom w:val="none" w:sz="0" w:space="0" w:color="auto"/>
        <w:right w:val="none" w:sz="0" w:space="0" w:color="auto"/>
      </w:divBdr>
    </w:div>
    <w:div w:id="1139306449">
      <w:bodyDiv w:val="1"/>
      <w:marLeft w:val="0"/>
      <w:marRight w:val="0"/>
      <w:marTop w:val="0"/>
      <w:marBottom w:val="0"/>
      <w:divBdr>
        <w:top w:val="none" w:sz="0" w:space="0" w:color="auto"/>
        <w:left w:val="none" w:sz="0" w:space="0" w:color="auto"/>
        <w:bottom w:val="none" w:sz="0" w:space="0" w:color="auto"/>
        <w:right w:val="none" w:sz="0" w:space="0" w:color="auto"/>
      </w:divBdr>
    </w:div>
    <w:div w:id="1141919450">
      <w:bodyDiv w:val="1"/>
      <w:marLeft w:val="0"/>
      <w:marRight w:val="0"/>
      <w:marTop w:val="0"/>
      <w:marBottom w:val="0"/>
      <w:divBdr>
        <w:top w:val="none" w:sz="0" w:space="0" w:color="auto"/>
        <w:left w:val="none" w:sz="0" w:space="0" w:color="auto"/>
        <w:bottom w:val="none" w:sz="0" w:space="0" w:color="auto"/>
        <w:right w:val="none" w:sz="0" w:space="0" w:color="auto"/>
      </w:divBdr>
    </w:div>
    <w:div w:id="1143237993">
      <w:bodyDiv w:val="1"/>
      <w:marLeft w:val="0"/>
      <w:marRight w:val="0"/>
      <w:marTop w:val="0"/>
      <w:marBottom w:val="0"/>
      <w:divBdr>
        <w:top w:val="none" w:sz="0" w:space="0" w:color="auto"/>
        <w:left w:val="none" w:sz="0" w:space="0" w:color="auto"/>
        <w:bottom w:val="none" w:sz="0" w:space="0" w:color="auto"/>
        <w:right w:val="none" w:sz="0" w:space="0" w:color="auto"/>
      </w:divBdr>
    </w:div>
    <w:div w:id="1148592346">
      <w:bodyDiv w:val="1"/>
      <w:marLeft w:val="0"/>
      <w:marRight w:val="0"/>
      <w:marTop w:val="0"/>
      <w:marBottom w:val="0"/>
      <w:divBdr>
        <w:top w:val="none" w:sz="0" w:space="0" w:color="auto"/>
        <w:left w:val="none" w:sz="0" w:space="0" w:color="auto"/>
        <w:bottom w:val="none" w:sz="0" w:space="0" w:color="auto"/>
        <w:right w:val="none" w:sz="0" w:space="0" w:color="auto"/>
      </w:divBdr>
    </w:div>
    <w:div w:id="1156847903">
      <w:bodyDiv w:val="1"/>
      <w:marLeft w:val="0"/>
      <w:marRight w:val="0"/>
      <w:marTop w:val="0"/>
      <w:marBottom w:val="0"/>
      <w:divBdr>
        <w:top w:val="none" w:sz="0" w:space="0" w:color="auto"/>
        <w:left w:val="none" w:sz="0" w:space="0" w:color="auto"/>
        <w:bottom w:val="none" w:sz="0" w:space="0" w:color="auto"/>
        <w:right w:val="none" w:sz="0" w:space="0" w:color="auto"/>
      </w:divBdr>
    </w:div>
    <w:div w:id="1157069546">
      <w:bodyDiv w:val="1"/>
      <w:marLeft w:val="0"/>
      <w:marRight w:val="0"/>
      <w:marTop w:val="0"/>
      <w:marBottom w:val="0"/>
      <w:divBdr>
        <w:top w:val="none" w:sz="0" w:space="0" w:color="auto"/>
        <w:left w:val="none" w:sz="0" w:space="0" w:color="auto"/>
        <w:bottom w:val="none" w:sz="0" w:space="0" w:color="auto"/>
        <w:right w:val="none" w:sz="0" w:space="0" w:color="auto"/>
      </w:divBdr>
    </w:div>
    <w:div w:id="1162937216">
      <w:bodyDiv w:val="1"/>
      <w:marLeft w:val="0"/>
      <w:marRight w:val="0"/>
      <w:marTop w:val="0"/>
      <w:marBottom w:val="0"/>
      <w:divBdr>
        <w:top w:val="none" w:sz="0" w:space="0" w:color="auto"/>
        <w:left w:val="none" w:sz="0" w:space="0" w:color="auto"/>
        <w:bottom w:val="none" w:sz="0" w:space="0" w:color="auto"/>
        <w:right w:val="none" w:sz="0" w:space="0" w:color="auto"/>
      </w:divBdr>
    </w:div>
    <w:div w:id="1163744461">
      <w:bodyDiv w:val="1"/>
      <w:marLeft w:val="0"/>
      <w:marRight w:val="0"/>
      <w:marTop w:val="0"/>
      <w:marBottom w:val="0"/>
      <w:divBdr>
        <w:top w:val="none" w:sz="0" w:space="0" w:color="auto"/>
        <w:left w:val="none" w:sz="0" w:space="0" w:color="auto"/>
        <w:bottom w:val="none" w:sz="0" w:space="0" w:color="auto"/>
        <w:right w:val="none" w:sz="0" w:space="0" w:color="auto"/>
      </w:divBdr>
    </w:div>
    <w:div w:id="1171486266">
      <w:bodyDiv w:val="1"/>
      <w:marLeft w:val="0"/>
      <w:marRight w:val="0"/>
      <w:marTop w:val="0"/>
      <w:marBottom w:val="0"/>
      <w:divBdr>
        <w:top w:val="none" w:sz="0" w:space="0" w:color="auto"/>
        <w:left w:val="none" w:sz="0" w:space="0" w:color="auto"/>
        <w:bottom w:val="none" w:sz="0" w:space="0" w:color="auto"/>
        <w:right w:val="none" w:sz="0" w:space="0" w:color="auto"/>
      </w:divBdr>
    </w:div>
    <w:div w:id="1179269964">
      <w:bodyDiv w:val="1"/>
      <w:marLeft w:val="0"/>
      <w:marRight w:val="0"/>
      <w:marTop w:val="0"/>
      <w:marBottom w:val="0"/>
      <w:divBdr>
        <w:top w:val="none" w:sz="0" w:space="0" w:color="auto"/>
        <w:left w:val="none" w:sz="0" w:space="0" w:color="auto"/>
        <w:bottom w:val="none" w:sz="0" w:space="0" w:color="auto"/>
        <w:right w:val="none" w:sz="0" w:space="0" w:color="auto"/>
      </w:divBdr>
    </w:div>
    <w:div w:id="1190677205">
      <w:bodyDiv w:val="1"/>
      <w:marLeft w:val="0"/>
      <w:marRight w:val="0"/>
      <w:marTop w:val="0"/>
      <w:marBottom w:val="0"/>
      <w:divBdr>
        <w:top w:val="none" w:sz="0" w:space="0" w:color="auto"/>
        <w:left w:val="none" w:sz="0" w:space="0" w:color="auto"/>
        <w:bottom w:val="none" w:sz="0" w:space="0" w:color="auto"/>
        <w:right w:val="none" w:sz="0" w:space="0" w:color="auto"/>
      </w:divBdr>
    </w:div>
    <w:div w:id="1191727695">
      <w:bodyDiv w:val="1"/>
      <w:marLeft w:val="0"/>
      <w:marRight w:val="0"/>
      <w:marTop w:val="0"/>
      <w:marBottom w:val="0"/>
      <w:divBdr>
        <w:top w:val="none" w:sz="0" w:space="0" w:color="auto"/>
        <w:left w:val="none" w:sz="0" w:space="0" w:color="auto"/>
        <w:bottom w:val="none" w:sz="0" w:space="0" w:color="auto"/>
        <w:right w:val="none" w:sz="0" w:space="0" w:color="auto"/>
      </w:divBdr>
    </w:div>
    <w:div w:id="1193108881">
      <w:bodyDiv w:val="1"/>
      <w:marLeft w:val="0"/>
      <w:marRight w:val="0"/>
      <w:marTop w:val="0"/>
      <w:marBottom w:val="0"/>
      <w:divBdr>
        <w:top w:val="none" w:sz="0" w:space="0" w:color="auto"/>
        <w:left w:val="none" w:sz="0" w:space="0" w:color="auto"/>
        <w:bottom w:val="none" w:sz="0" w:space="0" w:color="auto"/>
        <w:right w:val="none" w:sz="0" w:space="0" w:color="auto"/>
      </w:divBdr>
      <w:divsChild>
        <w:div w:id="435907173">
          <w:marLeft w:val="107"/>
          <w:marRight w:val="107"/>
          <w:marTop w:val="0"/>
          <w:marBottom w:val="0"/>
          <w:divBdr>
            <w:top w:val="none" w:sz="0" w:space="0" w:color="auto"/>
            <w:left w:val="none" w:sz="0" w:space="0" w:color="auto"/>
            <w:bottom w:val="none" w:sz="0" w:space="0" w:color="auto"/>
            <w:right w:val="none" w:sz="0" w:space="0" w:color="auto"/>
          </w:divBdr>
        </w:div>
        <w:div w:id="1319505280">
          <w:marLeft w:val="0"/>
          <w:marRight w:val="107"/>
          <w:marTop w:val="0"/>
          <w:marBottom w:val="0"/>
          <w:divBdr>
            <w:top w:val="none" w:sz="0" w:space="0" w:color="auto"/>
            <w:left w:val="none" w:sz="0" w:space="0" w:color="auto"/>
            <w:bottom w:val="none" w:sz="0" w:space="0" w:color="auto"/>
            <w:right w:val="none" w:sz="0" w:space="0" w:color="auto"/>
          </w:divBdr>
        </w:div>
        <w:div w:id="1398699745">
          <w:marLeft w:val="107"/>
          <w:marRight w:val="0"/>
          <w:marTop w:val="0"/>
          <w:marBottom w:val="0"/>
          <w:divBdr>
            <w:top w:val="none" w:sz="0" w:space="0" w:color="auto"/>
            <w:left w:val="none" w:sz="0" w:space="0" w:color="auto"/>
            <w:bottom w:val="none" w:sz="0" w:space="0" w:color="auto"/>
            <w:right w:val="none" w:sz="0" w:space="0" w:color="auto"/>
          </w:divBdr>
        </w:div>
        <w:div w:id="2047826764">
          <w:marLeft w:val="107"/>
          <w:marRight w:val="107"/>
          <w:marTop w:val="0"/>
          <w:marBottom w:val="0"/>
          <w:divBdr>
            <w:top w:val="none" w:sz="0" w:space="0" w:color="auto"/>
            <w:left w:val="none" w:sz="0" w:space="0" w:color="auto"/>
            <w:bottom w:val="none" w:sz="0" w:space="0" w:color="auto"/>
            <w:right w:val="none" w:sz="0" w:space="0" w:color="auto"/>
          </w:divBdr>
        </w:div>
      </w:divsChild>
    </w:div>
    <w:div w:id="1193497382">
      <w:bodyDiv w:val="1"/>
      <w:marLeft w:val="0"/>
      <w:marRight w:val="0"/>
      <w:marTop w:val="0"/>
      <w:marBottom w:val="0"/>
      <w:divBdr>
        <w:top w:val="none" w:sz="0" w:space="0" w:color="auto"/>
        <w:left w:val="none" w:sz="0" w:space="0" w:color="auto"/>
        <w:bottom w:val="none" w:sz="0" w:space="0" w:color="auto"/>
        <w:right w:val="none" w:sz="0" w:space="0" w:color="auto"/>
      </w:divBdr>
      <w:divsChild>
        <w:div w:id="675766584">
          <w:marLeft w:val="0"/>
          <w:marRight w:val="0"/>
          <w:marTop w:val="0"/>
          <w:marBottom w:val="0"/>
          <w:divBdr>
            <w:top w:val="none" w:sz="0" w:space="0" w:color="auto"/>
            <w:left w:val="none" w:sz="0" w:space="0" w:color="auto"/>
            <w:bottom w:val="none" w:sz="0" w:space="0" w:color="auto"/>
            <w:right w:val="none" w:sz="0" w:space="0" w:color="auto"/>
          </w:divBdr>
        </w:div>
      </w:divsChild>
    </w:div>
    <w:div w:id="1196237213">
      <w:bodyDiv w:val="1"/>
      <w:marLeft w:val="0"/>
      <w:marRight w:val="0"/>
      <w:marTop w:val="0"/>
      <w:marBottom w:val="0"/>
      <w:divBdr>
        <w:top w:val="none" w:sz="0" w:space="0" w:color="auto"/>
        <w:left w:val="none" w:sz="0" w:space="0" w:color="auto"/>
        <w:bottom w:val="none" w:sz="0" w:space="0" w:color="auto"/>
        <w:right w:val="none" w:sz="0" w:space="0" w:color="auto"/>
      </w:divBdr>
      <w:divsChild>
        <w:div w:id="913319317">
          <w:marLeft w:val="475"/>
          <w:marRight w:val="0"/>
          <w:marTop w:val="168"/>
          <w:marBottom w:val="0"/>
          <w:divBdr>
            <w:top w:val="none" w:sz="0" w:space="0" w:color="auto"/>
            <w:left w:val="none" w:sz="0" w:space="0" w:color="auto"/>
            <w:bottom w:val="none" w:sz="0" w:space="0" w:color="auto"/>
            <w:right w:val="none" w:sz="0" w:space="0" w:color="auto"/>
          </w:divBdr>
        </w:div>
        <w:div w:id="1348410793">
          <w:marLeft w:val="475"/>
          <w:marRight w:val="0"/>
          <w:marTop w:val="168"/>
          <w:marBottom w:val="0"/>
          <w:divBdr>
            <w:top w:val="none" w:sz="0" w:space="0" w:color="auto"/>
            <w:left w:val="none" w:sz="0" w:space="0" w:color="auto"/>
            <w:bottom w:val="none" w:sz="0" w:space="0" w:color="auto"/>
            <w:right w:val="none" w:sz="0" w:space="0" w:color="auto"/>
          </w:divBdr>
        </w:div>
        <w:div w:id="1556626048">
          <w:marLeft w:val="475"/>
          <w:marRight w:val="0"/>
          <w:marTop w:val="168"/>
          <w:marBottom w:val="0"/>
          <w:divBdr>
            <w:top w:val="none" w:sz="0" w:space="0" w:color="auto"/>
            <w:left w:val="none" w:sz="0" w:space="0" w:color="auto"/>
            <w:bottom w:val="none" w:sz="0" w:space="0" w:color="auto"/>
            <w:right w:val="none" w:sz="0" w:space="0" w:color="auto"/>
          </w:divBdr>
        </w:div>
        <w:div w:id="1585383563">
          <w:marLeft w:val="475"/>
          <w:marRight w:val="0"/>
          <w:marTop w:val="168"/>
          <w:marBottom w:val="0"/>
          <w:divBdr>
            <w:top w:val="none" w:sz="0" w:space="0" w:color="auto"/>
            <w:left w:val="none" w:sz="0" w:space="0" w:color="auto"/>
            <w:bottom w:val="none" w:sz="0" w:space="0" w:color="auto"/>
            <w:right w:val="none" w:sz="0" w:space="0" w:color="auto"/>
          </w:divBdr>
        </w:div>
        <w:div w:id="1908998873">
          <w:marLeft w:val="475"/>
          <w:marRight w:val="0"/>
          <w:marTop w:val="168"/>
          <w:marBottom w:val="0"/>
          <w:divBdr>
            <w:top w:val="none" w:sz="0" w:space="0" w:color="auto"/>
            <w:left w:val="none" w:sz="0" w:space="0" w:color="auto"/>
            <w:bottom w:val="none" w:sz="0" w:space="0" w:color="auto"/>
            <w:right w:val="none" w:sz="0" w:space="0" w:color="auto"/>
          </w:divBdr>
        </w:div>
      </w:divsChild>
    </w:div>
    <w:div w:id="1205945404">
      <w:bodyDiv w:val="1"/>
      <w:marLeft w:val="0"/>
      <w:marRight w:val="0"/>
      <w:marTop w:val="0"/>
      <w:marBottom w:val="0"/>
      <w:divBdr>
        <w:top w:val="none" w:sz="0" w:space="0" w:color="auto"/>
        <w:left w:val="none" w:sz="0" w:space="0" w:color="auto"/>
        <w:bottom w:val="none" w:sz="0" w:space="0" w:color="auto"/>
        <w:right w:val="none" w:sz="0" w:space="0" w:color="auto"/>
      </w:divBdr>
    </w:div>
    <w:div w:id="1210844450">
      <w:bodyDiv w:val="1"/>
      <w:marLeft w:val="0"/>
      <w:marRight w:val="0"/>
      <w:marTop w:val="0"/>
      <w:marBottom w:val="0"/>
      <w:divBdr>
        <w:top w:val="none" w:sz="0" w:space="0" w:color="auto"/>
        <w:left w:val="none" w:sz="0" w:space="0" w:color="auto"/>
        <w:bottom w:val="none" w:sz="0" w:space="0" w:color="auto"/>
        <w:right w:val="none" w:sz="0" w:space="0" w:color="auto"/>
      </w:divBdr>
    </w:div>
    <w:div w:id="1229455731">
      <w:bodyDiv w:val="1"/>
      <w:marLeft w:val="0"/>
      <w:marRight w:val="0"/>
      <w:marTop w:val="0"/>
      <w:marBottom w:val="0"/>
      <w:divBdr>
        <w:top w:val="none" w:sz="0" w:space="0" w:color="auto"/>
        <w:left w:val="none" w:sz="0" w:space="0" w:color="auto"/>
        <w:bottom w:val="none" w:sz="0" w:space="0" w:color="auto"/>
        <w:right w:val="none" w:sz="0" w:space="0" w:color="auto"/>
      </w:divBdr>
    </w:div>
    <w:div w:id="1235776298">
      <w:bodyDiv w:val="1"/>
      <w:marLeft w:val="0"/>
      <w:marRight w:val="0"/>
      <w:marTop w:val="0"/>
      <w:marBottom w:val="0"/>
      <w:divBdr>
        <w:top w:val="none" w:sz="0" w:space="0" w:color="auto"/>
        <w:left w:val="none" w:sz="0" w:space="0" w:color="auto"/>
        <w:bottom w:val="none" w:sz="0" w:space="0" w:color="auto"/>
        <w:right w:val="none" w:sz="0" w:space="0" w:color="auto"/>
      </w:divBdr>
    </w:div>
    <w:div w:id="1237326335">
      <w:bodyDiv w:val="1"/>
      <w:marLeft w:val="0"/>
      <w:marRight w:val="0"/>
      <w:marTop w:val="0"/>
      <w:marBottom w:val="0"/>
      <w:divBdr>
        <w:top w:val="none" w:sz="0" w:space="0" w:color="auto"/>
        <w:left w:val="none" w:sz="0" w:space="0" w:color="auto"/>
        <w:bottom w:val="none" w:sz="0" w:space="0" w:color="auto"/>
        <w:right w:val="none" w:sz="0" w:space="0" w:color="auto"/>
      </w:divBdr>
    </w:div>
    <w:div w:id="1239361639">
      <w:bodyDiv w:val="1"/>
      <w:marLeft w:val="0"/>
      <w:marRight w:val="0"/>
      <w:marTop w:val="0"/>
      <w:marBottom w:val="0"/>
      <w:divBdr>
        <w:top w:val="none" w:sz="0" w:space="0" w:color="auto"/>
        <w:left w:val="none" w:sz="0" w:space="0" w:color="auto"/>
        <w:bottom w:val="none" w:sz="0" w:space="0" w:color="auto"/>
        <w:right w:val="none" w:sz="0" w:space="0" w:color="auto"/>
      </w:divBdr>
    </w:div>
    <w:div w:id="1256745225">
      <w:bodyDiv w:val="1"/>
      <w:marLeft w:val="0"/>
      <w:marRight w:val="0"/>
      <w:marTop w:val="0"/>
      <w:marBottom w:val="0"/>
      <w:divBdr>
        <w:top w:val="none" w:sz="0" w:space="0" w:color="auto"/>
        <w:left w:val="none" w:sz="0" w:space="0" w:color="auto"/>
        <w:bottom w:val="none" w:sz="0" w:space="0" w:color="auto"/>
        <w:right w:val="none" w:sz="0" w:space="0" w:color="auto"/>
      </w:divBdr>
    </w:div>
    <w:div w:id="1258102840">
      <w:bodyDiv w:val="1"/>
      <w:marLeft w:val="0"/>
      <w:marRight w:val="0"/>
      <w:marTop w:val="0"/>
      <w:marBottom w:val="0"/>
      <w:divBdr>
        <w:top w:val="none" w:sz="0" w:space="0" w:color="auto"/>
        <w:left w:val="none" w:sz="0" w:space="0" w:color="auto"/>
        <w:bottom w:val="none" w:sz="0" w:space="0" w:color="auto"/>
        <w:right w:val="none" w:sz="0" w:space="0" w:color="auto"/>
      </w:divBdr>
      <w:divsChild>
        <w:div w:id="229389878">
          <w:marLeft w:val="1181"/>
          <w:marRight w:val="0"/>
          <w:marTop w:val="168"/>
          <w:marBottom w:val="0"/>
          <w:divBdr>
            <w:top w:val="none" w:sz="0" w:space="0" w:color="auto"/>
            <w:left w:val="none" w:sz="0" w:space="0" w:color="auto"/>
            <w:bottom w:val="none" w:sz="0" w:space="0" w:color="auto"/>
            <w:right w:val="none" w:sz="0" w:space="0" w:color="auto"/>
          </w:divBdr>
        </w:div>
        <w:div w:id="942498345">
          <w:marLeft w:val="475"/>
          <w:marRight w:val="0"/>
          <w:marTop w:val="168"/>
          <w:marBottom w:val="0"/>
          <w:divBdr>
            <w:top w:val="none" w:sz="0" w:space="0" w:color="auto"/>
            <w:left w:val="none" w:sz="0" w:space="0" w:color="auto"/>
            <w:bottom w:val="none" w:sz="0" w:space="0" w:color="auto"/>
            <w:right w:val="none" w:sz="0" w:space="0" w:color="auto"/>
          </w:divBdr>
        </w:div>
        <w:div w:id="1305699610">
          <w:marLeft w:val="1181"/>
          <w:marRight w:val="0"/>
          <w:marTop w:val="168"/>
          <w:marBottom w:val="0"/>
          <w:divBdr>
            <w:top w:val="none" w:sz="0" w:space="0" w:color="auto"/>
            <w:left w:val="none" w:sz="0" w:space="0" w:color="auto"/>
            <w:bottom w:val="none" w:sz="0" w:space="0" w:color="auto"/>
            <w:right w:val="none" w:sz="0" w:space="0" w:color="auto"/>
          </w:divBdr>
        </w:div>
        <w:div w:id="1309751332">
          <w:marLeft w:val="475"/>
          <w:marRight w:val="0"/>
          <w:marTop w:val="168"/>
          <w:marBottom w:val="0"/>
          <w:divBdr>
            <w:top w:val="none" w:sz="0" w:space="0" w:color="auto"/>
            <w:left w:val="none" w:sz="0" w:space="0" w:color="auto"/>
            <w:bottom w:val="none" w:sz="0" w:space="0" w:color="auto"/>
            <w:right w:val="none" w:sz="0" w:space="0" w:color="auto"/>
          </w:divBdr>
        </w:div>
        <w:div w:id="1565599879">
          <w:marLeft w:val="475"/>
          <w:marRight w:val="0"/>
          <w:marTop w:val="168"/>
          <w:marBottom w:val="0"/>
          <w:divBdr>
            <w:top w:val="none" w:sz="0" w:space="0" w:color="auto"/>
            <w:left w:val="none" w:sz="0" w:space="0" w:color="auto"/>
            <w:bottom w:val="none" w:sz="0" w:space="0" w:color="auto"/>
            <w:right w:val="none" w:sz="0" w:space="0" w:color="auto"/>
          </w:divBdr>
        </w:div>
        <w:div w:id="1718163631">
          <w:marLeft w:val="475"/>
          <w:marRight w:val="0"/>
          <w:marTop w:val="168"/>
          <w:marBottom w:val="0"/>
          <w:divBdr>
            <w:top w:val="none" w:sz="0" w:space="0" w:color="auto"/>
            <w:left w:val="none" w:sz="0" w:space="0" w:color="auto"/>
            <w:bottom w:val="none" w:sz="0" w:space="0" w:color="auto"/>
            <w:right w:val="none" w:sz="0" w:space="0" w:color="auto"/>
          </w:divBdr>
        </w:div>
      </w:divsChild>
    </w:div>
    <w:div w:id="1258948231">
      <w:bodyDiv w:val="1"/>
      <w:marLeft w:val="0"/>
      <w:marRight w:val="0"/>
      <w:marTop w:val="0"/>
      <w:marBottom w:val="0"/>
      <w:divBdr>
        <w:top w:val="none" w:sz="0" w:space="0" w:color="auto"/>
        <w:left w:val="none" w:sz="0" w:space="0" w:color="auto"/>
        <w:bottom w:val="none" w:sz="0" w:space="0" w:color="auto"/>
        <w:right w:val="none" w:sz="0" w:space="0" w:color="auto"/>
      </w:divBdr>
    </w:div>
    <w:div w:id="1260065439">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67230261">
      <w:bodyDiv w:val="1"/>
      <w:marLeft w:val="0"/>
      <w:marRight w:val="0"/>
      <w:marTop w:val="0"/>
      <w:marBottom w:val="0"/>
      <w:divBdr>
        <w:top w:val="none" w:sz="0" w:space="0" w:color="auto"/>
        <w:left w:val="none" w:sz="0" w:space="0" w:color="auto"/>
        <w:bottom w:val="none" w:sz="0" w:space="0" w:color="auto"/>
        <w:right w:val="none" w:sz="0" w:space="0" w:color="auto"/>
      </w:divBdr>
    </w:div>
    <w:div w:id="1272709482">
      <w:bodyDiv w:val="1"/>
      <w:marLeft w:val="0"/>
      <w:marRight w:val="0"/>
      <w:marTop w:val="0"/>
      <w:marBottom w:val="0"/>
      <w:divBdr>
        <w:top w:val="none" w:sz="0" w:space="0" w:color="auto"/>
        <w:left w:val="none" w:sz="0" w:space="0" w:color="auto"/>
        <w:bottom w:val="none" w:sz="0" w:space="0" w:color="auto"/>
        <w:right w:val="none" w:sz="0" w:space="0" w:color="auto"/>
      </w:divBdr>
    </w:div>
    <w:div w:id="1275748685">
      <w:bodyDiv w:val="1"/>
      <w:marLeft w:val="0"/>
      <w:marRight w:val="0"/>
      <w:marTop w:val="0"/>
      <w:marBottom w:val="0"/>
      <w:divBdr>
        <w:top w:val="none" w:sz="0" w:space="0" w:color="auto"/>
        <w:left w:val="none" w:sz="0" w:space="0" w:color="auto"/>
        <w:bottom w:val="none" w:sz="0" w:space="0" w:color="auto"/>
        <w:right w:val="none" w:sz="0" w:space="0" w:color="auto"/>
      </w:divBdr>
      <w:divsChild>
        <w:div w:id="296643988">
          <w:marLeft w:val="475"/>
          <w:marRight w:val="0"/>
          <w:marTop w:val="168"/>
          <w:marBottom w:val="0"/>
          <w:divBdr>
            <w:top w:val="none" w:sz="0" w:space="0" w:color="auto"/>
            <w:left w:val="none" w:sz="0" w:space="0" w:color="auto"/>
            <w:bottom w:val="none" w:sz="0" w:space="0" w:color="auto"/>
            <w:right w:val="none" w:sz="0" w:space="0" w:color="auto"/>
          </w:divBdr>
        </w:div>
        <w:div w:id="317995985">
          <w:marLeft w:val="1181"/>
          <w:marRight w:val="0"/>
          <w:marTop w:val="168"/>
          <w:marBottom w:val="0"/>
          <w:divBdr>
            <w:top w:val="none" w:sz="0" w:space="0" w:color="auto"/>
            <w:left w:val="none" w:sz="0" w:space="0" w:color="auto"/>
            <w:bottom w:val="none" w:sz="0" w:space="0" w:color="auto"/>
            <w:right w:val="none" w:sz="0" w:space="0" w:color="auto"/>
          </w:divBdr>
        </w:div>
        <w:div w:id="516309485">
          <w:marLeft w:val="1181"/>
          <w:marRight w:val="0"/>
          <w:marTop w:val="168"/>
          <w:marBottom w:val="0"/>
          <w:divBdr>
            <w:top w:val="none" w:sz="0" w:space="0" w:color="auto"/>
            <w:left w:val="none" w:sz="0" w:space="0" w:color="auto"/>
            <w:bottom w:val="none" w:sz="0" w:space="0" w:color="auto"/>
            <w:right w:val="none" w:sz="0" w:space="0" w:color="auto"/>
          </w:divBdr>
        </w:div>
        <w:div w:id="962661482">
          <w:marLeft w:val="475"/>
          <w:marRight w:val="0"/>
          <w:marTop w:val="168"/>
          <w:marBottom w:val="0"/>
          <w:divBdr>
            <w:top w:val="none" w:sz="0" w:space="0" w:color="auto"/>
            <w:left w:val="none" w:sz="0" w:space="0" w:color="auto"/>
            <w:bottom w:val="none" w:sz="0" w:space="0" w:color="auto"/>
            <w:right w:val="none" w:sz="0" w:space="0" w:color="auto"/>
          </w:divBdr>
        </w:div>
        <w:div w:id="1107889847">
          <w:marLeft w:val="1181"/>
          <w:marRight w:val="0"/>
          <w:marTop w:val="168"/>
          <w:marBottom w:val="0"/>
          <w:divBdr>
            <w:top w:val="none" w:sz="0" w:space="0" w:color="auto"/>
            <w:left w:val="none" w:sz="0" w:space="0" w:color="auto"/>
            <w:bottom w:val="none" w:sz="0" w:space="0" w:color="auto"/>
            <w:right w:val="none" w:sz="0" w:space="0" w:color="auto"/>
          </w:divBdr>
        </w:div>
        <w:div w:id="1354919357">
          <w:marLeft w:val="1181"/>
          <w:marRight w:val="0"/>
          <w:marTop w:val="168"/>
          <w:marBottom w:val="0"/>
          <w:divBdr>
            <w:top w:val="none" w:sz="0" w:space="0" w:color="auto"/>
            <w:left w:val="none" w:sz="0" w:space="0" w:color="auto"/>
            <w:bottom w:val="none" w:sz="0" w:space="0" w:color="auto"/>
            <w:right w:val="none" w:sz="0" w:space="0" w:color="auto"/>
          </w:divBdr>
        </w:div>
        <w:div w:id="1702391360">
          <w:marLeft w:val="1181"/>
          <w:marRight w:val="0"/>
          <w:marTop w:val="168"/>
          <w:marBottom w:val="0"/>
          <w:divBdr>
            <w:top w:val="none" w:sz="0" w:space="0" w:color="auto"/>
            <w:left w:val="none" w:sz="0" w:space="0" w:color="auto"/>
            <w:bottom w:val="none" w:sz="0" w:space="0" w:color="auto"/>
            <w:right w:val="none" w:sz="0" w:space="0" w:color="auto"/>
          </w:divBdr>
        </w:div>
      </w:divsChild>
    </w:div>
    <w:div w:id="1277637842">
      <w:bodyDiv w:val="1"/>
      <w:marLeft w:val="0"/>
      <w:marRight w:val="0"/>
      <w:marTop w:val="0"/>
      <w:marBottom w:val="0"/>
      <w:divBdr>
        <w:top w:val="none" w:sz="0" w:space="0" w:color="auto"/>
        <w:left w:val="none" w:sz="0" w:space="0" w:color="auto"/>
        <w:bottom w:val="none" w:sz="0" w:space="0" w:color="auto"/>
        <w:right w:val="none" w:sz="0" w:space="0" w:color="auto"/>
      </w:divBdr>
    </w:div>
    <w:div w:id="1277711411">
      <w:bodyDiv w:val="1"/>
      <w:marLeft w:val="0"/>
      <w:marRight w:val="0"/>
      <w:marTop w:val="0"/>
      <w:marBottom w:val="0"/>
      <w:divBdr>
        <w:top w:val="none" w:sz="0" w:space="0" w:color="auto"/>
        <w:left w:val="none" w:sz="0" w:space="0" w:color="auto"/>
        <w:bottom w:val="none" w:sz="0" w:space="0" w:color="auto"/>
        <w:right w:val="none" w:sz="0" w:space="0" w:color="auto"/>
      </w:divBdr>
    </w:div>
    <w:div w:id="1303119943">
      <w:bodyDiv w:val="1"/>
      <w:marLeft w:val="0"/>
      <w:marRight w:val="0"/>
      <w:marTop w:val="0"/>
      <w:marBottom w:val="0"/>
      <w:divBdr>
        <w:top w:val="none" w:sz="0" w:space="0" w:color="auto"/>
        <w:left w:val="none" w:sz="0" w:space="0" w:color="auto"/>
        <w:bottom w:val="none" w:sz="0" w:space="0" w:color="auto"/>
        <w:right w:val="none" w:sz="0" w:space="0" w:color="auto"/>
      </w:divBdr>
    </w:div>
    <w:div w:id="1308511803">
      <w:bodyDiv w:val="1"/>
      <w:marLeft w:val="0"/>
      <w:marRight w:val="0"/>
      <w:marTop w:val="0"/>
      <w:marBottom w:val="0"/>
      <w:divBdr>
        <w:top w:val="none" w:sz="0" w:space="0" w:color="auto"/>
        <w:left w:val="none" w:sz="0" w:space="0" w:color="auto"/>
        <w:bottom w:val="none" w:sz="0" w:space="0" w:color="auto"/>
        <w:right w:val="none" w:sz="0" w:space="0" w:color="auto"/>
      </w:divBdr>
    </w:div>
    <w:div w:id="1309089335">
      <w:bodyDiv w:val="1"/>
      <w:marLeft w:val="0"/>
      <w:marRight w:val="0"/>
      <w:marTop w:val="0"/>
      <w:marBottom w:val="0"/>
      <w:divBdr>
        <w:top w:val="none" w:sz="0" w:space="0" w:color="auto"/>
        <w:left w:val="none" w:sz="0" w:space="0" w:color="auto"/>
        <w:bottom w:val="none" w:sz="0" w:space="0" w:color="auto"/>
        <w:right w:val="none" w:sz="0" w:space="0" w:color="auto"/>
      </w:divBdr>
    </w:div>
    <w:div w:id="1309283574">
      <w:bodyDiv w:val="1"/>
      <w:marLeft w:val="0"/>
      <w:marRight w:val="0"/>
      <w:marTop w:val="0"/>
      <w:marBottom w:val="0"/>
      <w:divBdr>
        <w:top w:val="none" w:sz="0" w:space="0" w:color="auto"/>
        <w:left w:val="none" w:sz="0" w:space="0" w:color="auto"/>
        <w:bottom w:val="none" w:sz="0" w:space="0" w:color="auto"/>
        <w:right w:val="none" w:sz="0" w:space="0" w:color="auto"/>
      </w:divBdr>
      <w:divsChild>
        <w:div w:id="1124225849">
          <w:marLeft w:val="0"/>
          <w:marRight w:val="0"/>
          <w:marTop w:val="0"/>
          <w:marBottom w:val="0"/>
          <w:divBdr>
            <w:top w:val="none" w:sz="0" w:space="0" w:color="auto"/>
            <w:left w:val="none" w:sz="0" w:space="0" w:color="auto"/>
            <w:bottom w:val="none" w:sz="0" w:space="0" w:color="auto"/>
            <w:right w:val="none" w:sz="0" w:space="0" w:color="auto"/>
          </w:divBdr>
        </w:div>
      </w:divsChild>
    </w:div>
    <w:div w:id="1311595759">
      <w:bodyDiv w:val="1"/>
      <w:marLeft w:val="0"/>
      <w:marRight w:val="0"/>
      <w:marTop w:val="0"/>
      <w:marBottom w:val="0"/>
      <w:divBdr>
        <w:top w:val="none" w:sz="0" w:space="0" w:color="auto"/>
        <w:left w:val="none" w:sz="0" w:space="0" w:color="auto"/>
        <w:bottom w:val="none" w:sz="0" w:space="0" w:color="auto"/>
        <w:right w:val="none" w:sz="0" w:space="0" w:color="auto"/>
      </w:divBdr>
    </w:div>
    <w:div w:id="1319266182">
      <w:bodyDiv w:val="1"/>
      <w:marLeft w:val="0"/>
      <w:marRight w:val="0"/>
      <w:marTop w:val="0"/>
      <w:marBottom w:val="0"/>
      <w:divBdr>
        <w:top w:val="none" w:sz="0" w:space="0" w:color="auto"/>
        <w:left w:val="none" w:sz="0" w:space="0" w:color="auto"/>
        <w:bottom w:val="none" w:sz="0" w:space="0" w:color="auto"/>
        <w:right w:val="none" w:sz="0" w:space="0" w:color="auto"/>
      </w:divBdr>
    </w:div>
    <w:div w:id="1320184651">
      <w:bodyDiv w:val="1"/>
      <w:marLeft w:val="0"/>
      <w:marRight w:val="0"/>
      <w:marTop w:val="0"/>
      <w:marBottom w:val="0"/>
      <w:divBdr>
        <w:top w:val="none" w:sz="0" w:space="0" w:color="auto"/>
        <w:left w:val="none" w:sz="0" w:space="0" w:color="auto"/>
        <w:bottom w:val="none" w:sz="0" w:space="0" w:color="auto"/>
        <w:right w:val="none" w:sz="0" w:space="0" w:color="auto"/>
      </w:divBdr>
    </w:div>
    <w:div w:id="1320577063">
      <w:bodyDiv w:val="1"/>
      <w:marLeft w:val="0"/>
      <w:marRight w:val="0"/>
      <w:marTop w:val="0"/>
      <w:marBottom w:val="0"/>
      <w:divBdr>
        <w:top w:val="none" w:sz="0" w:space="0" w:color="auto"/>
        <w:left w:val="none" w:sz="0" w:space="0" w:color="auto"/>
        <w:bottom w:val="none" w:sz="0" w:space="0" w:color="auto"/>
        <w:right w:val="none" w:sz="0" w:space="0" w:color="auto"/>
      </w:divBdr>
      <w:divsChild>
        <w:div w:id="185217210">
          <w:marLeft w:val="475"/>
          <w:marRight w:val="0"/>
          <w:marTop w:val="168"/>
          <w:marBottom w:val="0"/>
          <w:divBdr>
            <w:top w:val="none" w:sz="0" w:space="0" w:color="auto"/>
            <w:left w:val="none" w:sz="0" w:space="0" w:color="auto"/>
            <w:bottom w:val="none" w:sz="0" w:space="0" w:color="auto"/>
            <w:right w:val="none" w:sz="0" w:space="0" w:color="auto"/>
          </w:divBdr>
        </w:div>
        <w:div w:id="605506261">
          <w:marLeft w:val="475"/>
          <w:marRight w:val="0"/>
          <w:marTop w:val="168"/>
          <w:marBottom w:val="0"/>
          <w:divBdr>
            <w:top w:val="none" w:sz="0" w:space="0" w:color="auto"/>
            <w:left w:val="none" w:sz="0" w:space="0" w:color="auto"/>
            <w:bottom w:val="none" w:sz="0" w:space="0" w:color="auto"/>
            <w:right w:val="none" w:sz="0" w:space="0" w:color="auto"/>
          </w:divBdr>
        </w:div>
        <w:div w:id="976029398">
          <w:marLeft w:val="1181"/>
          <w:marRight w:val="0"/>
          <w:marTop w:val="168"/>
          <w:marBottom w:val="0"/>
          <w:divBdr>
            <w:top w:val="none" w:sz="0" w:space="0" w:color="auto"/>
            <w:left w:val="none" w:sz="0" w:space="0" w:color="auto"/>
            <w:bottom w:val="none" w:sz="0" w:space="0" w:color="auto"/>
            <w:right w:val="none" w:sz="0" w:space="0" w:color="auto"/>
          </w:divBdr>
        </w:div>
        <w:div w:id="1238516462">
          <w:marLeft w:val="1181"/>
          <w:marRight w:val="0"/>
          <w:marTop w:val="168"/>
          <w:marBottom w:val="0"/>
          <w:divBdr>
            <w:top w:val="none" w:sz="0" w:space="0" w:color="auto"/>
            <w:left w:val="none" w:sz="0" w:space="0" w:color="auto"/>
            <w:bottom w:val="none" w:sz="0" w:space="0" w:color="auto"/>
            <w:right w:val="none" w:sz="0" w:space="0" w:color="auto"/>
          </w:divBdr>
        </w:div>
        <w:div w:id="1463646016">
          <w:marLeft w:val="475"/>
          <w:marRight w:val="0"/>
          <w:marTop w:val="168"/>
          <w:marBottom w:val="0"/>
          <w:divBdr>
            <w:top w:val="none" w:sz="0" w:space="0" w:color="auto"/>
            <w:left w:val="none" w:sz="0" w:space="0" w:color="auto"/>
            <w:bottom w:val="none" w:sz="0" w:space="0" w:color="auto"/>
            <w:right w:val="none" w:sz="0" w:space="0" w:color="auto"/>
          </w:divBdr>
        </w:div>
        <w:div w:id="1626279530">
          <w:marLeft w:val="475"/>
          <w:marRight w:val="0"/>
          <w:marTop w:val="168"/>
          <w:marBottom w:val="0"/>
          <w:divBdr>
            <w:top w:val="none" w:sz="0" w:space="0" w:color="auto"/>
            <w:left w:val="none" w:sz="0" w:space="0" w:color="auto"/>
            <w:bottom w:val="none" w:sz="0" w:space="0" w:color="auto"/>
            <w:right w:val="none" w:sz="0" w:space="0" w:color="auto"/>
          </w:divBdr>
        </w:div>
        <w:div w:id="1824811314">
          <w:marLeft w:val="475"/>
          <w:marRight w:val="0"/>
          <w:marTop w:val="168"/>
          <w:marBottom w:val="0"/>
          <w:divBdr>
            <w:top w:val="none" w:sz="0" w:space="0" w:color="auto"/>
            <w:left w:val="none" w:sz="0" w:space="0" w:color="auto"/>
            <w:bottom w:val="none" w:sz="0" w:space="0" w:color="auto"/>
            <w:right w:val="none" w:sz="0" w:space="0" w:color="auto"/>
          </w:divBdr>
        </w:div>
        <w:div w:id="1836385047">
          <w:marLeft w:val="475"/>
          <w:marRight w:val="0"/>
          <w:marTop w:val="168"/>
          <w:marBottom w:val="0"/>
          <w:divBdr>
            <w:top w:val="none" w:sz="0" w:space="0" w:color="auto"/>
            <w:left w:val="none" w:sz="0" w:space="0" w:color="auto"/>
            <w:bottom w:val="none" w:sz="0" w:space="0" w:color="auto"/>
            <w:right w:val="none" w:sz="0" w:space="0" w:color="auto"/>
          </w:divBdr>
        </w:div>
        <w:div w:id="2108234326">
          <w:marLeft w:val="475"/>
          <w:marRight w:val="0"/>
          <w:marTop w:val="168"/>
          <w:marBottom w:val="0"/>
          <w:divBdr>
            <w:top w:val="none" w:sz="0" w:space="0" w:color="auto"/>
            <w:left w:val="none" w:sz="0" w:space="0" w:color="auto"/>
            <w:bottom w:val="none" w:sz="0" w:space="0" w:color="auto"/>
            <w:right w:val="none" w:sz="0" w:space="0" w:color="auto"/>
          </w:divBdr>
        </w:div>
      </w:divsChild>
    </w:div>
    <w:div w:id="1321156504">
      <w:bodyDiv w:val="1"/>
      <w:marLeft w:val="0"/>
      <w:marRight w:val="0"/>
      <w:marTop w:val="0"/>
      <w:marBottom w:val="0"/>
      <w:divBdr>
        <w:top w:val="none" w:sz="0" w:space="0" w:color="auto"/>
        <w:left w:val="none" w:sz="0" w:space="0" w:color="auto"/>
        <w:bottom w:val="none" w:sz="0" w:space="0" w:color="auto"/>
        <w:right w:val="none" w:sz="0" w:space="0" w:color="auto"/>
      </w:divBdr>
    </w:div>
    <w:div w:id="1321274542">
      <w:bodyDiv w:val="1"/>
      <w:marLeft w:val="0"/>
      <w:marRight w:val="0"/>
      <w:marTop w:val="0"/>
      <w:marBottom w:val="0"/>
      <w:divBdr>
        <w:top w:val="none" w:sz="0" w:space="0" w:color="auto"/>
        <w:left w:val="none" w:sz="0" w:space="0" w:color="auto"/>
        <w:bottom w:val="none" w:sz="0" w:space="0" w:color="auto"/>
        <w:right w:val="none" w:sz="0" w:space="0" w:color="auto"/>
      </w:divBdr>
    </w:div>
    <w:div w:id="1328248436">
      <w:bodyDiv w:val="1"/>
      <w:marLeft w:val="0"/>
      <w:marRight w:val="0"/>
      <w:marTop w:val="0"/>
      <w:marBottom w:val="0"/>
      <w:divBdr>
        <w:top w:val="none" w:sz="0" w:space="0" w:color="auto"/>
        <w:left w:val="none" w:sz="0" w:space="0" w:color="auto"/>
        <w:bottom w:val="none" w:sz="0" w:space="0" w:color="auto"/>
        <w:right w:val="none" w:sz="0" w:space="0" w:color="auto"/>
      </w:divBdr>
    </w:div>
    <w:div w:id="1331519089">
      <w:bodyDiv w:val="1"/>
      <w:marLeft w:val="0"/>
      <w:marRight w:val="0"/>
      <w:marTop w:val="0"/>
      <w:marBottom w:val="0"/>
      <w:divBdr>
        <w:top w:val="none" w:sz="0" w:space="0" w:color="auto"/>
        <w:left w:val="none" w:sz="0" w:space="0" w:color="auto"/>
        <w:bottom w:val="none" w:sz="0" w:space="0" w:color="auto"/>
        <w:right w:val="none" w:sz="0" w:space="0" w:color="auto"/>
      </w:divBdr>
    </w:div>
    <w:div w:id="1334064803">
      <w:bodyDiv w:val="1"/>
      <w:marLeft w:val="0"/>
      <w:marRight w:val="0"/>
      <w:marTop w:val="0"/>
      <w:marBottom w:val="0"/>
      <w:divBdr>
        <w:top w:val="none" w:sz="0" w:space="0" w:color="auto"/>
        <w:left w:val="none" w:sz="0" w:space="0" w:color="auto"/>
        <w:bottom w:val="none" w:sz="0" w:space="0" w:color="auto"/>
        <w:right w:val="none" w:sz="0" w:space="0" w:color="auto"/>
      </w:divBdr>
    </w:div>
    <w:div w:id="1356274307">
      <w:bodyDiv w:val="1"/>
      <w:marLeft w:val="0"/>
      <w:marRight w:val="0"/>
      <w:marTop w:val="0"/>
      <w:marBottom w:val="0"/>
      <w:divBdr>
        <w:top w:val="none" w:sz="0" w:space="0" w:color="auto"/>
        <w:left w:val="none" w:sz="0" w:space="0" w:color="auto"/>
        <w:bottom w:val="none" w:sz="0" w:space="0" w:color="auto"/>
        <w:right w:val="none" w:sz="0" w:space="0" w:color="auto"/>
      </w:divBdr>
    </w:div>
    <w:div w:id="1356348969">
      <w:bodyDiv w:val="1"/>
      <w:marLeft w:val="0"/>
      <w:marRight w:val="0"/>
      <w:marTop w:val="0"/>
      <w:marBottom w:val="0"/>
      <w:divBdr>
        <w:top w:val="none" w:sz="0" w:space="0" w:color="auto"/>
        <w:left w:val="none" w:sz="0" w:space="0" w:color="auto"/>
        <w:bottom w:val="none" w:sz="0" w:space="0" w:color="auto"/>
        <w:right w:val="none" w:sz="0" w:space="0" w:color="auto"/>
      </w:divBdr>
      <w:divsChild>
        <w:div w:id="1033001505">
          <w:marLeft w:val="0"/>
          <w:marRight w:val="0"/>
          <w:marTop w:val="0"/>
          <w:marBottom w:val="81"/>
          <w:divBdr>
            <w:top w:val="none" w:sz="0" w:space="0" w:color="auto"/>
            <w:left w:val="none" w:sz="0" w:space="0" w:color="auto"/>
            <w:bottom w:val="none" w:sz="0" w:space="0" w:color="auto"/>
            <w:right w:val="none" w:sz="0" w:space="0" w:color="auto"/>
          </w:divBdr>
          <w:divsChild>
            <w:div w:id="242446743">
              <w:marLeft w:val="0"/>
              <w:marRight w:val="0"/>
              <w:marTop w:val="0"/>
              <w:marBottom w:val="81"/>
              <w:divBdr>
                <w:top w:val="none" w:sz="0" w:space="0" w:color="auto"/>
                <w:left w:val="none" w:sz="0" w:space="0" w:color="auto"/>
                <w:bottom w:val="none" w:sz="0" w:space="0" w:color="auto"/>
                <w:right w:val="none" w:sz="0" w:space="0" w:color="auto"/>
              </w:divBdr>
            </w:div>
            <w:div w:id="1919093319">
              <w:marLeft w:val="0"/>
              <w:marRight w:val="0"/>
              <w:marTop w:val="0"/>
              <w:marBottom w:val="0"/>
              <w:divBdr>
                <w:top w:val="none" w:sz="0" w:space="0" w:color="auto"/>
                <w:left w:val="none" w:sz="0" w:space="0" w:color="auto"/>
                <w:bottom w:val="none" w:sz="0" w:space="0" w:color="auto"/>
                <w:right w:val="none" w:sz="0" w:space="0" w:color="auto"/>
              </w:divBdr>
              <w:divsChild>
                <w:div w:id="1645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9193">
          <w:marLeft w:val="0"/>
          <w:marRight w:val="0"/>
          <w:marTop w:val="0"/>
          <w:marBottom w:val="0"/>
          <w:divBdr>
            <w:top w:val="none" w:sz="0" w:space="0" w:color="auto"/>
            <w:left w:val="none" w:sz="0" w:space="0" w:color="auto"/>
            <w:bottom w:val="none" w:sz="0" w:space="0" w:color="auto"/>
            <w:right w:val="none" w:sz="0" w:space="0" w:color="auto"/>
          </w:divBdr>
        </w:div>
      </w:divsChild>
    </w:div>
    <w:div w:id="1368720881">
      <w:bodyDiv w:val="1"/>
      <w:marLeft w:val="0"/>
      <w:marRight w:val="0"/>
      <w:marTop w:val="0"/>
      <w:marBottom w:val="0"/>
      <w:divBdr>
        <w:top w:val="none" w:sz="0" w:space="0" w:color="auto"/>
        <w:left w:val="none" w:sz="0" w:space="0" w:color="auto"/>
        <w:bottom w:val="none" w:sz="0" w:space="0" w:color="auto"/>
        <w:right w:val="none" w:sz="0" w:space="0" w:color="auto"/>
      </w:divBdr>
    </w:div>
    <w:div w:id="1370953506">
      <w:bodyDiv w:val="1"/>
      <w:marLeft w:val="0"/>
      <w:marRight w:val="0"/>
      <w:marTop w:val="0"/>
      <w:marBottom w:val="0"/>
      <w:divBdr>
        <w:top w:val="none" w:sz="0" w:space="0" w:color="auto"/>
        <w:left w:val="none" w:sz="0" w:space="0" w:color="auto"/>
        <w:bottom w:val="none" w:sz="0" w:space="0" w:color="auto"/>
        <w:right w:val="none" w:sz="0" w:space="0" w:color="auto"/>
      </w:divBdr>
      <w:divsChild>
        <w:div w:id="1438284271">
          <w:marLeft w:val="100"/>
          <w:marRight w:val="0"/>
          <w:marTop w:val="0"/>
          <w:marBottom w:val="0"/>
          <w:divBdr>
            <w:top w:val="none" w:sz="0" w:space="0" w:color="auto"/>
            <w:left w:val="none" w:sz="0" w:space="0" w:color="auto"/>
            <w:bottom w:val="none" w:sz="0" w:space="0" w:color="auto"/>
            <w:right w:val="none" w:sz="0" w:space="0" w:color="auto"/>
          </w:divBdr>
        </w:div>
        <w:div w:id="1770733911">
          <w:marLeft w:val="100"/>
          <w:marRight w:val="0"/>
          <w:marTop w:val="0"/>
          <w:marBottom w:val="0"/>
          <w:divBdr>
            <w:top w:val="none" w:sz="0" w:space="0" w:color="auto"/>
            <w:left w:val="none" w:sz="0" w:space="0" w:color="auto"/>
            <w:bottom w:val="none" w:sz="0" w:space="0" w:color="auto"/>
            <w:right w:val="none" w:sz="0" w:space="0" w:color="auto"/>
          </w:divBdr>
          <w:divsChild>
            <w:div w:id="1099525727">
              <w:marLeft w:val="0"/>
              <w:marRight w:val="0"/>
              <w:marTop w:val="0"/>
              <w:marBottom w:val="0"/>
              <w:divBdr>
                <w:top w:val="none" w:sz="0" w:space="0" w:color="auto"/>
                <w:left w:val="none" w:sz="0" w:space="0" w:color="auto"/>
                <w:bottom w:val="none" w:sz="0" w:space="0" w:color="auto"/>
                <w:right w:val="none" w:sz="0" w:space="0" w:color="auto"/>
              </w:divBdr>
              <w:divsChild>
                <w:div w:id="45762422">
                  <w:marLeft w:val="0"/>
                  <w:marRight w:val="0"/>
                  <w:marTop w:val="240"/>
                  <w:marBottom w:val="120"/>
                  <w:divBdr>
                    <w:top w:val="none" w:sz="0" w:space="0" w:color="auto"/>
                    <w:left w:val="none" w:sz="0" w:space="0" w:color="auto"/>
                    <w:bottom w:val="none" w:sz="0" w:space="0" w:color="auto"/>
                    <w:right w:val="none" w:sz="0" w:space="0" w:color="auto"/>
                  </w:divBdr>
                </w:div>
                <w:div w:id="763722365">
                  <w:marLeft w:val="0"/>
                  <w:marRight w:val="0"/>
                  <w:marTop w:val="0"/>
                  <w:marBottom w:val="0"/>
                  <w:divBdr>
                    <w:top w:val="none" w:sz="0" w:space="0" w:color="auto"/>
                    <w:left w:val="none" w:sz="0" w:space="0" w:color="auto"/>
                    <w:bottom w:val="none" w:sz="0" w:space="0" w:color="auto"/>
                    <w:right w:val="none" w:sz="0" w:space="0" w:color="auto"/>
                  </w:divBdr>
                  <w:divsChild>
                    <w:div w:id="69851022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 w:id="1373993277">
      <w:bodyDiv w:val="1"/>
      <w:marLeft w:val="0"/>
      <w:marRight w:val="0"/>
      <w:marTop w:val="0"/>
      <w:marBottom w:val="0"/>
      <w:divBdr>
        <w:top w:val="none" w:sz="0" w:space="0" w:color="auto"/>
        <w:left w:val="none" w:sz="0" w:space="0" w:color="auto"/>
        <w:bottom w:val="none" w:sz="0" w:space="0" w:color="auto"/>
        <w:right w:val="none" w:sz="0" w:space="0" w:color="auto"/>
      </w:divBdr>
    </w:div>
    <w:div w:id="1393457009">
      <w:bodyDiv w:val="1"/>
      <w:marLeft w:val="0"/>
      <w:marRight w:val="0"/>
      <w:marTop w:val="0"/>
      <w:marBottom w:val="0"/>
      <w:divBdr>
        <w:top w:val="none" w:sz="0" w:space="0" w:color="auto"/>
        <w:left w:val="none" w:sz="0" w:space="0" w:color="auto"/>
        <w:bottom w:val="none" w:sz="0" w:space="0" w:color="auto"/>
        <w:right w:val="none" w:sz="0" w:space="0" w:color="auto"/>
      </w:divBdr>
    </w:div>
    <w:div w:id="1394739360">
      <w:bodyDiv w:val="1"/>
      <w:marLeft w:val="0"/>
      <w:marRight w:val="0"/>
      <w:marTop w:val="0"/>
      <w:marBottom w:val="0"/>
      <w:divBdr>
        <w:top w:val="none" w:sz="0" w:space="0" w:color="auto"/>
        <w:left w:val="none" w:sz="0" w:space="0" w:color="auto"/>
        <w:bottom w:val="none" w:sz="0" w:space="0" w:color="auto"/>
        <w:right w:val="none" w:sz="0" w:space="0" w:color="auto"/>
      </w:divBdr>
    </w:div>
    <w:div w:id="1397782088">
      <w:bodyDiv w:val="1"/>
      <w:marLeft w:val="0"/>
      <w:marRight w:val="0"/>
      <w:marTop w:val="0"/>
      <w:marBottom w:val="0"/>
      <w:divBdr>
        <w:top w:val="none" w:sz="0" w:space="0" w:color="auto"/>
        <w:left w:val="none" w:sz="0" w:space="0" w:color="auto"/>
        <w:bottom w:val="none" w:sz="0" w:space="0" w:color="auto"/>
        <w:right w:val="none" w:sz="0" w:space="0" w:color="auto"/>
      </w:divBdr>
    </w:div>
    <w:div w:id="1405100835">
      <w:bodyDiv w:val="1"/>
      <w:marLeft w:val="0"/>
      <w:marRight w:val="0"/>
      <w:marTop w:val="0"/>
      <w:marBottom w:val="0"/>
      <w:divBdr>
        <w:top w:val="none" w:sz="0" w:space="0" w:color="auto"/>
        <w:left w:val="none" w:sz="0" w:space="0" w:color="auto"/>
        <w:bottom w:val="none" w:sz="0" w:space="0" w:color="auto"/>
        <w:right w:val="none" w:sz="0" w:space="0" w:color="auto"/>
      </w:divBdr>
      <w:divsChild>
        <w:div w:id="82576811">
          <w:marLeft w:val="0"/>
          <w:marRight w:val="54"/>
          <w:marTop w:val="0"/>
          <w:marBottom w:val="0"/>
          <w:divBdr>
            <w:top w:val="none" w:sz="0" w:space="0" w:color="auto"/>
            <w:left w:val="none" w:sz="0" w:space="0" w:color="auto"/>
            <w:bottom w:val="none" w:sz="0" w:space="0" w:color="auto"/>
            <w:right w:val="none" w:sz="0" w:space="0" w:color="auto"/>
          </w:divBdr>
        </w:div>
        <w:div w:id="2141455589">
          <w:marLeft w:val="0"/>
          <w:marRight w:val="54"/>
          <w:marTop w:val="0"/>
          <w:marBottom w:val="0"/>
          <w:divBdr>
            <w:top w:val="none" w:sz="0" w:space="0" w:color="auto"/>
            <w:left w:val="none" w:sz="0" w:space="0" w:color="auto"/>
            <w:bottom w:val="none" w:sz="0" w:space="0" w:color="auto"/>
            <w:right w:val="none" w:sz="0" w:space="0" w:color="auto"/>
          </w:divBdr>
        </w:div>
      </w:divsChild>
    </w:div>
    <w:div w:id="1409300958">
      <w:bodyDiv w:val="1"/>
      <w:marLeft w:val="0"/>
      <w:marRight w:val="0"/>
      <w:marTop w:val="0"/>
      <w:marBottom w:val="0"/>
      <w:divBdr>
        <w:top w:val="none" w:sz="0" w:space="0" w:color="auto"/>
        <w:left w:val="none" w:sz="0" w:space="0" w:color="auto"/>
        <w:bottom w:val="none" w:sz="0" w:space="0" w:color="auto"/>
        <w:right w:val="none" w:sz="0" w:space="0" w:color="auto"/>
      </w:divBdr>
    </w:div>
    <w:div w:id="1412049003">
      <w:bodyDiv w:val="1"/>
      <w:marLeft w:val="0"/>
      <w:marRight w:val="0"/>
      <w:marTop w:val="0"/>
      <w:marBottom w:val="0"/>
      <w:divBdr>
        <w:top w:val="none" w:sz="0" w:space="0" w:color="auto"/>
        <w:left w:val="none" w:sz="0" w:space="0" w:color="auto"/>
        <w:bottom w:val="none" w:sz="0" w:space="0" w:color="auto"/>
        <w:right w:val="none" w:sz="0" w:space="0" w:color="auto"/>
      </w:divBdr>
      <w:divsChild>
        <w:div w:id="407844433">
          <w:marLeft w:val="475"/>
          <w:marRight w:val="0"/>
          <w:marTop w:val="168"/>
          <w:marBottom w:val="0"/>
          <w:divBdr>
            <w:top w:val="none" w:sz="0" w:space="0" w:color="auto"/>
            <w:left w:val="none" w:sz="0" w:space="0" w:color="auto"/>
            <w:bottom w:val="none" w:sz="0" w:space="0" w:color="auto"/>
            <w:right w:val="none" w:sz="0" w:space="0" w:color="auto"/>
          </w:divBdr>
        </w:div>
        <w:div w:id="683628843">
          <w:marLeft w:val="1181"/>
          <w:marRight w:val="0"/>
          <w:marTop w:val="168"/>
          <w:marBottom w:val="0"/>
          <w:divBdr>
            <w:top w:val="none" w:sz="0" w:space="0" w:color="auto"/>
            <w:left w:val="none" w:sz="0" w:space="0" w:color="auto"/>
            <w:bottom w:val="none" w:sz="0" w:space="0" w:color="auto"/>
            <w:right w:val="none" w:sz="0" w:space="0" w:color="auto"/>
          </w:divBdr>
        </w:div>
        <w:div w:id="688138183">
          <w:marLeft w:val="475"/>
          <w:marRight w:val="0"/>
          <w:marTop w:val="168"/>
          <w:marBottom w:val="0"/>
          <w:divBdr>
            <w:top w:val="none" w:sz="0" w:space="0" w:color="auto"/>
            <w:left w:val="none" w:sz="0" w:space="0" w:color="auto"/>
            <w:bottom w:val="none" w:sz="0" w:space="0" w:color="auto"/>
            <w:right w:val="none" w:sz="0" w:space="0" w:color="auto"/>
          </w:divBdr>
        </w:div>
        <w:div w:id="1113475300">
          <w:marLeft w:val="1181"/>
          <w:marRight w:val="0"/>
          <w:marTop w:val="168"/>
          <w:marBottom w:val="0"/>
          <w:divBdr>
            <w:top w:val="none" w:sz="0" w:space="0" w:color="auto"/>
            <w:left w:val="none" w:sz="0" w:space="0" w:color="auto"/>
            <w:bottom w:val="none" w:sz="0" w:space="0" w:color="auto"/>
            <w:right w:val="none" w:sz="0" w:space="0" w:color="auto"/>
          </w:divBdr>
        </w:div>
        <w:div w:id="1270972120">
          <w:marLeft w:val="475"/>
          <w:marRight w:val="0"/>
          <w:marTop w:val="168"/>
          <w:marBottom w:val="0"/>
          <w:divBdr>
            <w:top w:val="none" w:sz="0" w:space="0" w:color="auto"/>
            <w:left w:val="none" w:sz="0" w:space="0" w:color="auto"/>
            <w:bottom w:val="none" w:sz="0" w:space="0" w:color="auto"/>
            <w:right w:val="none" w:sz="0" w:space="0" w:color="auto"/>
          </w:divBdr>
        </w:div>
        <w:div w:id="1362585178">
          <w:marLeft w:val="1181"/>
          <w:marRight w:val="0"/>
          <w:marTop w:val="168"/>
          <w:marBottom w:val="0"/>
          <w:divBdr>
            <w:top w:val="none" w:sz="0" w:space="0" w:color="auto"/>
            <w:left w:val="none" w:sz="0" w:space="0" w:color="auto"/>
            <w:bottom w:val="none" w:sz="0" w:space="0" w:color="auto"/>
            <w:right w:val="none" w:sz="0" w:space="0" w:color="auto"/>
          </w:divBdr>
        </w:div>
        <w:div w:id="1433696365">
          <w:marLeft w:val="475"/>
          <w:marRight w:val="0"/>
          <w:marTop w:val="168"/>
          <w:marBottom w:val="0"/>
          <w:divBdr>
            <w:top w:val="none" w:sz="0" w:space="0" w:color="auto"/>
            <w:left w:val="none" w:sz="0" w:space="0" w:color="auto"/>
            <w:bottom w:val="none" w:sz="0" w:space="0" w:color="auto"/>
            <w:right w:val="none" w:sz="0" w:space="0" w:color="auto"/>
          </w:divBdr>
        </w:div>
        <w:div w:id="1992055847">
          <w:marLeft w:val="475"/>
          <w:marRight w:val="0"/>
          <w:marTop w:val="168"/>
          <w:marBottom w:val="0"/>
          <w:divBdr>
            <w:top w:val="none" w:sz="0" w:space="0" w:color="auto"/>
            <w:left w:val="none" w:sz="0" w:space="0" w:color="auto"/>
            <w:bottom w:val="none" w:sz="0" w:space="0" w:color="auto"/>
            <w:right w:val="none" w:sz="0" w:space="0" w:color="auto"/>
          </w:divBdr>
        </w:div>
        <w:div w:id="2057391545">
          <w:marLeft w:val="475"/>
          <w:marRight w:val="0"/>
          <w:marTop w:val="168"/>
          <w:marBottom w:val="0"/>
          <w:divBdr>
            <w:top w:val="none" w:sz="0" w:space="0" w:color="auto"/>
            <w:left w:val="none" w:sz="0" w:space="0" w:color="auto"/>
            <w:bottom w:val="none" w:sz="0" w:space="0" w:color="auto"/>
            <w:right w:val="none" w:sz="0" w:space="0" w:color="auto"/>
          </w:divBdr>
        </w:div>
        <w:div w:id="2069913685">
          <w:marLeft w:val="1181"/>
          <w:marRight w:val="0"/>
          <w:marTop w:val="168"/>
          <w:marBottom w:val="0"/>
          <w:divBdr>
            <w:top w:val="none" w:sz="0" w:space="0" w:color="auto"/>
            <w:left w:val="none" w:sz="0" w:space="0" w:color="auto"/>
            <w:bottom w:val="none" w:sz="0" w:space="0" w:color="auto"/>
            <w:right w:val="none" w:sz="0" w:space="0" w:color="auto"/>
          </w:divBdr>
        </w:div>
      </w:divsChild>
    </w:div>
    <w:div w:id="1414618938">
      <w:bodyDiv w:val="1"/>
      <w:marLeft w:val="0"/>
      <w:marRight w:val="0"/>
      <w:marTop w:val="0"/>
      <w:marBottom w:val="0"/>
      <w:divBdr>
        <w:top w:val="none" w:sz="0" w:space="0" w:color="auto"/>
        <w:left w:val="none" w:sz="0" w:space="0" w:color="auto"/>
        <w:bottom w:val="none" w:sz="0" w:space="0" w:color="auto"/>
        <w:right w:val="none" w:sz="0" w:space="0" w:color="auto"/>
      </w:divBdr>
      <w:divsChild>
        <w:div w:id="309991607">
          <w:marLeft w:val="475"/>
          <w:marRight w:val="0"/>
          <w:marTop w:val="168"/>
          <w:marBottom w:val="0"/>
          <w:divBdr>
            <w:top w:val="none" w:sz="0" w:space="0" w:color="auto"/>
            <w:left w:val="none" w:sz="0" w:space="0" w:color="auto"/>
            <w:bottom w:val="none" w:sz="0" w:space="0" w:color="auto"/>
            <w:right w:val="none" w:sz="0" w:space="0" w:color="auto"/>
          </w:divBdr>
        </w:div>
        <w:div w:id="624696848">
          <w:marLeft w:val="475"/>
          <w:marRight w:val="0"/>
          <w:marTop w:val="168"/>
          <w:marBottom w:val="0"/>
          <w:divBdr>
            <w:top w:val="none" w:sz="0" w:space="0" w:color="auto"/>
            <w:left w:val="none" w:sz="0" w:space="0" w:color="auto"/>
            <w:bottom w:val="none" w:sz="0" w:space="0" w:color="auto"/>
            <w:right w:val="none" w:sz="0" w:space="0" w:color="auto"/>
          </w:divBdr>
        </w:div>
        <w:div w:id="915555613">
          <w:marLeft w:val="475"/>
          <w:marRight w:val="0"/>
          <w:marTop w:val="168"/>
          <w:marBottom w:val="0"/>
          <w:divBdr>
            <w:top w:val="none" w:sz="0" w:space="0" w:color="auto"/>
            <w:left w:val="none" w:sz="0" w:space="0" w:color="auto"/>
            <w:bottom w:val="none" w:sz="0" w:space="0" w:color="auto"/>
            <w:right w:val="none" w:sz="0" w:space="0" w:color="auto"/>
          </w:divBdr>
        </w:div>
        <w:div w:id="1010136249">
          <w:marLeft w:val="475"/>
          <w:marRight w:val="0"/>
          <w:marTop w:val="168"/>
          <w:marBottom w:val="0"/>
          <w:divBdr>
            <w:top w:val="none" w:sz="0" w:space="0" w:color="auto"/>
            <w:left w:val="none" w:sz="0" w:space="0" w:color="auto"/>
            <w:bottom w:val="none" w:sz="0" w:space="0" w:color="auto"/>
            <w:right w:val="none" w:sz="0" w:space="0" w:color="auto"/>
          </w:divBdr>
        </w:div>
        <w:div w:id="1470784858">
          <w:marLeft w:val="475"/>
          <w:marRight w:val="0"/>
          <w:marTop w:val="168"/>
          <w:marBottom w:val="0"/>
          <w:divBdr>
            <w:top w:val="none" w:sz="0" w:space="0" w:color="auto"/>
            <w:left w:val="none" w:sz="0" w:space="0" w:color="auto"/>
            <w:bottom w:val="none" w:sz="0" w:space="0" w:color="auto"/>
            <w:right w:val="none" w:sz="0" w:space="0" w:color="auto"/>
          </w:divBdr>
        </w:div>
        <w:div w:id="1931502540">
          <w:marLeft w:val="475"/>
          <w:marRight w:val="0"/>
          <w:marTop w:val="168"/>
          <w:marBottom w:val="0"/>
          <w:divBdr>
            <w:top w:val="none" w:sz="0" w:space="0" w:color="auto"/>
            <w:left w:val="none" w:sz="0" w:space="0" w:color="auto"/>
            <w:bottom w:val="none" w:sz="0" w:space="0" w:color="auto"/>
            <w:right w:val="none" w:sz="0" w:space="0" w:color="auto"/>
          </w:divBdr>
        </w:div>
        <w:div w:id="2038504541">
          <w:marLeft w:val="475"/>
          <w:marRight w:val="0"/>
          <w:marTop w:val="168"/>
          <w:marBottom w:val="0"/>
          <w:divBdr>
            <w:top w:val="none" w:sz="0" w:space="0" w:color="auto"/>
            <w:left w:val="none" w:sz="0" w:space="0" w:color="auto"/>
            <w:bottom w:val="none" w:sz="0" w:space="0" w:color="auto"/>
            <w:right w:val="none" w:sz="0" w:space="0" w:color="auto"/>
          </w:divBdr>
        </w:div>
        <w:div w:id="2086489591">
          <w:marLeft w:val="475"/>
          <w:marRight w:val="0"/>
          <w:marTop w:val="168"/>
          <w:marBottom w:val="0"/>
          <w:divBdr>
            <w:top w:val="none" w:sz="0" w:space="0" w:color="auto"/>
            <w:left w:val="none" w:sz="0" w:space="0" w:color="auto"/>
            <w:bottom w:val="none" w:sz="0" w:space="0" w:color="auto"/>
            <w:right w:val="none" w:sz="0" w:space="0" w:color="auto"/>
          </w:divBdr>
        </w:div>
      </w:divsChild>
    </w:div>
    <w:div w:id="1414624120">
      <w:bodyDiv w:val="1"/>
      <w:marLeft w:val="0"/>
      <w:marRight w:val="0"/>
      <w:marTop w:val="0"/>
      <w:marBottom w:val="0"/>
      <w:divBdr>
        <w:top w:val="none" w:sz="0" w:space="0" w:color="auto"/>
        <w:left w:val="none" w:sz="0" w:space="0" w:color="auto"/>
        <w:bottom w:val="none" w:sz="0" w:space="0" w:color="auto"/>
        <w:right w:val="none" w:sz="0" w:space="0" w:color="auto"/>
      </w:divBdr>
    </w:div>
    <w:div w:id="1417628723">
      <w:bodyDiv w:val="1"/>
      <w:marLeft w:val="0"/>
      <w:marRight w:val="0"/>
      <w:marTop w:val="0"/>
      <w:marBottom w:val="0"/>
      <w:divBdr>
        <w:top w:val="none" w:sz="0" w:space="0" w:color="auto"/>
        <w:left w:val="none" w:sz="0" w:space="0" w:color="auto"/>
        <w:bottom w:val="none" w:sz="0" w:space="0" w:color="auto"/>
        <w:right w:val="none" w:sz="0" w:space="0" w:color="auto"/>
      </w:divBdr>
    </w:div>
    <w:div w:id="1419711429">
      <w:bodyDiv w:val="1"/>
      <w:marLeft w:val="0"/>
      <w:marRight w:val="0"/>
      <w:marTop w:val="0"/>
      <w:marBottom w:val="0"/>
      <w:divBdr>
        <w:top w:val="none" w:sz="0" w:space="0" w:color="auto"/>
        <w:left w:val="none" w:sz="0" w:space="0" w:color="auto"/>
        <w:bottom w:val="none" w:sz="0" w:space="0" w:color="auto"/>
        <w:right w:val="none" w:sz="0" w:space="0" w:color="auto"/>
      </w:divBdr>
    </w:div>
    <w:div w:id="1422333691">
      <w:bodyDiv w:val="1"/>
      <w:marLeft w:val="0"/>
      <w:marRight w:val="0"/>
      <w:marTop w:val="0"/>
      <w:marBottom w:val="0"/>
      <w:divBdr>
        <w:top w:val="none" w:sz="0" w:space="0" w:color="auto"/>
        <w:left w:val="none" w:sz="0" w:space="0" w:color="auto"/>
        <w:bottom w:val="none" w:sz="0" w:space="0" w:color="auto"/>
        <w:right w:val="none" w:sz="0" w:space="0" w:color="auto"/>
      </w:divBdr>
    </w:div>
    <w:div w:id="1424303794">
      <w:bodyDiv w:val="1"/>
      <w:marLeft w:val="0"/>
      <w:marRight w:val="0"/>
      <w:marTop w:val="0"/>
      <w:marBottom w:val="0"/>
      <w:divBdr>
        <w:top w:val="none" w:sz="0" w:space="0" w:color="auto"/>
        <w:left w:val="none" w:sz="0" w:space="0" w:color="auto"/>
        <w:bottom w:val="none" w:sz="0" w:space="0" w:color="auto"/>
        <w:right w:val="none" w:sz="0" w:space="0" w:color="auto"/>
      </w:divBdr>
    </w:div>
    <w:div w:id="1431047517">
      <w:bodyDiv w:val="1"/>
      <w:marLeft w:val="0"/>
      <w:marRight w:val="0"/>
      <w:marTop w:val="0"/>
      <w:marBottom w:val="0"/>
      <w:divBdr>
        <w:top w:val="none" w:sz="0" w:space="0" w:color="auto"/>
        <w:left w:val="none" w:sz="0" w:space="0" w:color="auto"/>
        <w:bottom w:val="none" w:sz="0" w:space="0" w:color="auto"/>
        <w:right w:val="none" w:sz="0" w:space="0" w:color="auto"/>
      </w:divBdr>
    </w:div>
    <w:div w:id="1432240489">
      <w:bodyDiv w:val="1"/>
      <w:marLeft w:val="0"/>
      <w:marRight w:val="0"/>
      <w:marTop w:val="0"/>
      <w:marBottom w:val="0"/>
      <w:divBdr>
        <w:top w:val="none" w:sz="0" w:space="0" w:color="auto"/>
        <w:left w:val="none" w:sz="0" w:space="0" w:color="auto"/>
        <w:bottom w:val="none" w:sz="0" w:space="0" w:color="auto"/>
        <w:right w:val="none" w:sz="0" w:space="0" w:color="auto"/>
      </w:divBdr>
      <w:divsChild>
        <w:div w:id="1440103092">
          <w:marLeft w:val="0"/>
          <w:marRight w:val="0"/>
          <w:marTop w:val="0"/>
          <w:marBottom w:val="450"/>
          <w:divBdr>
            <w:top w:val="none" w:sz="0" w:space="0" w:color="auto"/>
            <w:left w:val="none" w:sz="0" w:space="0" w:color="auto"/>
            <w:bottom w:val="none" w:sz="0" w:space="0" w:color="auto"/>
            <w:right w:val="none" w:sz="0" w:space="0" w:color="auto"/>
          </w:divBdr>
        </w:div>
        <w:div w:id="742534697">
          <w:marLeft w:val="0"/>
          <w:marRight w:val="0"/>
          <w:marTop w:val="375"/>
          <w:marBottom w:val="0"/>
          <w:divBdr>
            <w:top w:val="none" w:sz="0" w:space="0" w:color="auto"/>
            <w:left w:val="none" w:sz="0" w:space="0" w:color="auto"/>
            <w:bottom w:val="none" w:sz="0" w:space="0" w:color="auto"/>
            <w:right w:val="none" w:sz="0" w:space="0" w:color="auto"/>
          </w:divBdr>
        </w:div>
        <w:div w:id="1773013101">
          <w:marLeft w:val="0"/>
          <w:marRight w:val="0"/>
          <w:marTop w:val="0"/>
          <w:marBottom w:val="375"/>
          <w:divBdr>
            <w:top w:val="none" w:sz="0" w:space="1" w:color="auto"/>
            <w:left w:val="none" w:sz="0" w:space="8" w:color="auto"/>
            <w:bottom w:val="single" w:sz="24" w:space="1" w:color="BD1B21"/>
            <w:right w:val="none" w:sz="0" w:space="8" w:color="auto"/>
          </w:divBdr>
        </w:div>
        <w:div w:id="1468740958">
          <w:marLeft w:val="0"/>
          <w:marRight w:val="0"/>
          <w:marTop w:val="375"/>
          <w:marBottom w:val="0"/>
          <w:divBdr>
            <w:top w:val="none" w:sz="0" w:space="0" w:color="auto"/>
            <w:left w:val="none" w:sz="0" w:space="0" w:color="auto"/>
            <w:bottom w:val="none" w:sz="0" w:space="0" w:color="auto"/>
            <w:right w:val="none" w:sz="0" w:space="0" w:color="auto"/>
          </w:divBdr>
        </w:div>
        <w:div w:id="1927493724">
          <w:marLeft w:val="0"/>
          <w:marRight w:val="0"/>
          <w:marTop w:val="0"/>
          <w:marBottom w:val="375"/>
          <w:divBdr>
            <w:top w:val="none" w:sz="0" w:space="1" w:color="auto"/>
            <w:left w:val="none" w:sz="0" w:space="8" w:color="auto"/>
            <w:bottom w:val="single" w:sz="24" w:space="1" w:color="BD1B21"/>
            <w:right w:val="none" w:sz="0" w:space="8" w:color="auto"/>
          </w:divBdr>
        </w:div>
        <w:div w:id="1243098455">
          <w:marLeft w:val="0"/>
          <w:marRight w:val="0"/>
          <w:marTop w:val="375"/>
          <w:marBottom w:val="0"/>
          <w:divBdr>
            <w:top w:val="none" w:sz="0" w:space="0" w:color="auto"/>
            <w:left w:val="none" w:sz="0" w:space="0" w:color="auto"/>
            <w:bottom w:val="none" w:sz="0" w:space="0" w:color="auto"/>
            <w:right w:val="none" w:sz="0" w:space="0" w:color="auto"/>
          </w:divBdr>
        </w:div>
        <w:div w:id="125897175">
          <w:marLeft w:val="0"/>
          <w:marRight w:val="0"/>
          <w:marTop w:val="0"/>
          <w:marBottom w:val="375"/>
          <w:divBdr>
            <w:top w:val="none" w:sz="0" w:space="1" w:color="auto"/>
            <w:left w:val="none" w:sz="0" w:space="8" w:color="auto"/>
            <w:bottom w:val="single" w:sz="24" w:space="1" w:color="BD1B21"/>
            <w:right w:val="none" w:sz="0" w:space="8" w:color="auto"/>
          </w:divBdr>
        </w:div>
        <w:div w:id="216821816">
          <w:marLeft w:val="0"/>
          <w:marRight w:val="0"/>
          <w:marTop w:val="375"/>
          <w:marBottom w:val="0"/>
          <w:divBdr>
            <w:top w:val="none" w:sz="0" w:space="0" w:color="auto"/>
            <w:left w:val="none" w:sz="0" w:space="0" w:color="auto"/>
            <w:bottom w:val="none" w:sz="0" w:space="0" w:color="auto"/>
            <w:right w:val="none" w:sz="0" w:space="0" w:color="auto"/>
          </w:divBdr>
        </w:div>
        <w:div w:id="853767738">
          <w:marLeft w:val="0"/>
          <w:marRight w:val="0"/>
          <w:marTop w:val="0"/>
          <w:marBottom w:val="375"/>
          <w:divBdr>
            <w:top w:val="none" w:sz="0" w:space="1" w:color="auto"/>
            <w:left w:val="none" w:sz="0" w:space="8" w:color="auto"/>
            <w:bottom w:val="single" w:sz="24" w:space="1" w:color="BD1B21"/>
            <w:right w:val="none" w:sz="0" w:space="8" w:color="auto"/>
          </w:divBdr>
        </w:div>
        <w:div w:id="1274745889">
          <w:marLeft w:val="0"/>
          <w:marRight w:val="0"/>
          <w:marTop w:val="300"/>
          <w:marBottom w:val="300"/>
          <w:divBdr>
            <w:top w:val="none" w:sz="0" w:space="0" w:color="auto"/>
            <w:left w:val="none" w:sz="0" w:space="0" w:color="auto"/>
            <w:bottom w:val="none" w:sz="0" w:space="0" w:color="auto"/>
            <w:right w:val="none" w:sz="0" w:space="0" w:color="auto"/>
          </w:divBdr>
          <w:divsChild>
            <w:div w:id="746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1879">
      <w:bodyDiv w:val="1"/>
      <w:marLeft w:val="0"/>
      <w:marRight w:val="0"/>
      <w:marTop w:val="0"/>
      <w:marBottom w:val="0"/>
      <w:divBdr>
        <w:top w:val="none" w:sz="0" w:space="0" w:color="auto"/>
        <w:left w:val="none" w:sz="0" w:space="0" w:color="auto"/>
        <w:bottom w:val="none" w:sz="0" w:space="0" w:color="auto"/>
        <w:right w:val="none" w:sz="0" w:space="0" w:color="auto"/>
      </w:divBdr>
    </w:div>
    <w:div w:id="1446389067">
      <w:bodyDiv w:val="1"/>
      <w:marLeft w:val="0"/>
      <w:marRight w:val="0"/>
      <w:marTop w:val="0"/>
      <w:marBottom w:val="0"/>
      <w:divBdr>
        <w:top w:val="none" w:sz="0" w:space="0" w:color="auto"/>
        <w:left w:val="none" w:sz="0" w:space="0" w:color="auto"/>
        <w:bottom w:val="none" w:sz="0" w:space="0" w:color="auto"/>
        <w:right w:val="none" w:sz="0" w:space="0" w:color="auto"/>
      </w:divBdr>
    </w:div>
    <w:div w:id="1466318232">
      <w:bodyDiv w:val="1"/>
      <w:marLeft w:val="0"/>
      <w:marRight w:val="0"/>
      <w:marTop w:val="0"/>
      <w:marBottom w:val="0"/>
      <w:divBdr>
        <w:top w:val="none" w:sz="0" w:space="0" w:color="auto"/>
        <w:left w:val="none" w:sz="0" w:space="0" w:color="auto"/>
        <w:bottom w:val="none" w:sz="0" w:space="0" w:color="auto"/>
        <w:right w:val="none" w:sz="0" w:space="0" w:color="auto"/>
      </w:divBdr>
    </w:div>
    <w:div w:id="1466897492">
      <w:bodyDiv w:val="1"/>
      <w:marLeft w:val="0"/>
      <w:marRight w:val="0"/>
      <w:marTop w:val="0"/>
      <w:marBottom w:val="0"/>
      <w:divBdr>
        <w:top w:val="none" w:sz="0" w:space="0" w:color="auto"/>
        <w:left w:val="none" w:sz="0" w:space="0" w:color="auto"/>
        <w:bottom w:val="none" w:sz="0" w:space="0" w:color="auto"/>
        <w:right w:val="none" w:sz="0" w:space="0" w:color="auto"/>
      </w:divBdr>
    </w:div>
    <w:div w:id="1476527356">
      <w:bodyDiv w:val="1"/>
      <w:marLeft w:val="0"/>
      <w:marRight w:val="0"/>
      <w:marTop w:val="0"/>
      <w:marBottom w:val="0"/>
      <w:divBdr>
        <w:top w:val="none" w:sz="0" w:space="0" w:color="auto"/>
        <w:left w:val="none" w:sz="0" w:space="0" w:color="auto"/>
        <w:bottom w:val="none" w:sz="0" w:space="0" w:color="auto"/>
        <w:right w:val="none" w:sz="0" w:space="0" w:color="auto"/>
      </w:divBdr>
      <w:divsChild>
        <w:div w:id="815222945">
          <w:marLeft w:val="475"/>
          <w:marRight w:val="0"/>
          <w:marTop w:val="168"/>
          <w:marBottom w:val="0"/>
          <w:divBdr>
            <w:top w:val="none" w:sz="0" w:space="0" w:color="auto"/>
            <w:left w:val="none" w:sz="0" w:space="0" w:color="auto"/>
            <w:bottom w:val="none" w:sz="0" w:space="0" w:color="auto"/>
            <w:right w:val="none" w:sz="0" w:space="0" w:color="auto"/>
          </w:divBdr>
        </w:div>
        <w:div w:id="1409230391">
          <w:marLeft w:val="475"/>
          <w:marRight w:val="0"/>
          <w:marTop w:val="168"/>
          <w:marBottom w:val="0"/>
          <w:divBdr>
            <w:top w:val="none" w:sz="0" w:space="0" w:color="auto"/>
            <w:left w:val="none" w:sz="0" w:space="0" w:color="auto"/>
            <w:bottom w:val="none" w:sz="0" w:space="0" w:color="auto"/>
            <w:right w:val="none" w:sz="0" w:space="0" w:color="auto"/>
          </w:divBdr>
        </w:div>
        <w:div w:id="1510413819">
          <w:marLeft w:val="475"/>
          <w:marRight w:val="0"/>
          <w:marTop w:val="168"/>
          <w:marBottom w:val="0"/>
          <w:divBdr>
            <w:top w:val="none" w:sz="0" w:space="0" w:color="auto"/>
            <w:left w:val="none" w:sz="0" w:space="0" w:color="auto"/>
            <w:bottom w:val="none" w:sz="0" w:space="0" w:color="auto"/>
            <w:right w:val="none" w:sz="0" w:space="0" w:color="auto"/>
          </w:divBdr>
        </w:div>
      </w:divsChild>
    </w:div>
    <w:div w:id="1483698986">
      <w:bodyDiv w:val="1"/>
      <w:marLeft w:val="0"/>
      <w:marRight w:val="0"/>
      <w:marTop w:val="0"/>
      <w:marBottom w:val="0"/>
      <w:divBdr>
        <w:top w:val="none" w:sz="0" w:space="0" w:color="auto"/>
        <w:left w:val="none" w:sz="0" w:space="0" w:color="auto"/>
        <w:bottom w:val="none" w:sz="0" w:space="0" w:color="auto"/>
        <w:right w:val="none" w:sz="0" w:space="0" w:color="auto"/>
      </w:divBdr>
    </w:div>
    <w:div w:id="1485854136">
      <w:bodyDiv w:val="1"/>
      <w:marLeft w:val="0"/>
      <w:marRight w:val="0"/>
      <w:marTop w:val="0"/>
      <w:marBottom w:val="0"/>
      <w:divBdr>
        <w:top w:val="none" w:sz="0" w:space="0" w:color="auto"/>
        <w:left w:val="none" w:sz="0" w:space="0" w:color="auto"/>
        <w:bottom w:val="none" w:sz="0" w:space="0" w:color="auto"/>
        <w:right w:val="none" w:sz="0" w:space="0" w:color="auto"/>
      </w:divBdr>
    </w:div>
    <w:div w:id="1492720388">
      <w:bodyDiv w:val="1"/>
      <w:marLeft w:val="0"/>
      <w:marRight w:val="0"/>
      <w:marTop w:val="0"/>
      <w:marBottom w:val="0"/>
      <w:divBdr>
        <w:top w:val="none" w:sz="0" w:space="0" w:color="auto"/>
        <w:left w:val="none" w:sz="0" w:space="0" w:color="auto"/>
        <w:bottom w:val="none" w:sz="0" w:space="0" w:color="auto"/>
        <w:right w:val="none" w:sz="0" w:space="0" w:color="auto"/>
      </w:divBdr>
    </w:div>
    <w:div w:id="1495801810">
      <w:bodyDiv w:val="1"/>
      <w:marLeft w:val="0"/>
      <w:marRight w:val="0"/>
      <w:marTop w:val="0"/>
      <w:marBottom w:val="0"/>
      <w:divBdr>
        <w:top w:val="none" w:sz="0" w:space="0" w:color="auto"/>
        <w:left w:val="none" w:sz="0" w:space="0" w:color="auto"/>
        <w:bottom w:val="none" w:sz="0" w:space="0" w:color="auto"/>
        <w:right w:val="none" w:sz="0" w:space="0" w:color="auto"/>
      </w:divBdr>
      <w:divsChild>
        <w:div w:id="487332744">
          <w:marLeft w:val="0"/>
          <w:marRight w:val="0"/>
          <w:marTop w:val="0"/>
          <w:marBottom w:val="0"/>
          <w:divBdr>
            <w:top w:val="none" w:sz="0" w:space="0" w:color="auto"/>
            <w:left w:val="none" w:sz="0" w:space="0" w:color="auto"/>
            <w:bottom w:val="none" w:sz="0" w:space="0" w:color="auto"/>
            <w:right w:val="none" w:sz="0" w:space="0" w:color="auto"/>
          </w:divBdr>
          <w:divsChild>
            <w:div w:id="609894348">
              <w:marLeft w:val="0"/>
              <w:marRight w:val="0"/>
              <w:marTop w:val="0"/>
              <w:marBottom w:val="0"/>
              <w:divBdr>
                <w:top w:val="none" w:sz="0" w:space="0" w:color="auto"/>
                <w:left w:val="none" w:sz="0" w:space="0" w:color="auto"/>
                <w:bottom w:val="none" w:sz="0" w:space="0" w:color="auto"/>
                <w:right w:val="none" w:sz="0" w:space="0" w:color="auto"/>
              </w:divBdr>
              <w:divsChild>
                <w:div w:id="1099177647">
                  <w:marLeft w:val="0"/>
                  <w:marRight w:val="0"/>
                  <w:marTop w:val="0"/>
                  <w:marBottom w:val="0"/>
                  <w:divBdr>
                    <w:top w:val="none" w:sz="0" w:space="0" w:color="auto"/>
                    <w:left w:val="none" w:sz="0" w:space="0" w:color="auto"/>
                    <w:bottom w:val="none" w:sz="0" w:space="0" w:color="auto"/>
                    <w:right w:val="none" w:sz="0" w:space="0" w:color="auto"/>
                  </w:divBdr>
                </w:div>
              </w:divsChild>
            </w:div>
            <w:div w:id="2129464326">
              <w:marLeft w:val="0"/>
              <w:marRight w:val="0"/>
              <w:marTop w:val="0"/>
              <w:marBottom w:val="0"/>
              <w:divBdr>
                <w:top w:val="none" w:sz="0" w:space="0" w:color="auto"/>
                <w:left w:val="none" w:sz="0" w:space="0" w:color="auto"/>
                <w:bottom w:val="none" w:sz="0" w:space="0" w:color="auto"/>
                <w:right w:val="none" w:sz="0" w:space="0" w:color="auto"/>
              </w:divBdr>
              <w:divsChild>
                <w:div w:id="5809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00795">
          <w:marLeft w:val="0"/>
          <w:marRight w:val="0"/>
          <w:marTop w:val="0"/>
          <w:marBottom w:val="0"/>
          <w:divBdr>
            <w:top w:val="none" w:sz="0" w:space="0" w:color="auto"/>
            <w:left w:val="none" w:sz="0" w:space="0" w:color="auto"/>
            <w:bottom w:val="none" w:sz="0" w:space="0" w:color="auto"/>
            <w:right w:val="none" w:sz="0" w:space="0" w:color="auto"/>
          </w:divBdr>
        </w:div>
        <w:div w:id="1945992470">
          <w:marLeft w:val="0"/>
          <w:marRight w:val="0"/>
          <w:marTop w:val="0"/>
          <w:marBottom w:val="0"/>
          <w:divBdr>
            <w:top w:val="none" w:sz="0" w:space="0" w:color="auto"/>
            <w:left w:val="none" w:sz="0" w:space="0" w:color="auto"/>
            <w:bottom w:val="none" w:sz="0" w:space="0" w:color="auto"/>
            <w:right w:val="none" w:sz="0" w:space="0" w:color="auto"/>
          </w:divBdr>
          <w:divsChild>
            <w:div w:id="8568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4895">
      <w:bodyDiv w:val="1"/>
      <w:marLeft w:val="0"/>
      <w:marRight w:val="0"/>
      <w:marTop w:val="0"/>
      <w:marBottom w:val="0"/>
      <w:divBdr>
        <w:top w:val="none" w:sz="0" w:space="0" w:color="auto"/>
        <w:left w:val="none" w:sz="0" w:space="0" w:color="auto"/>
        <w:bottom w:val="none" w:sz="0" w:space="0" w:color="auto"/>
        <w:right w:val="none" w:sz="0" w:space="0" w:color="auto"/>
      </w:divBdr>
      <w:divsChild>
        <w:div w:id="111899066">
          <w:marLeft w:val="0"/>
          <w:marRight w:val="0"/>
          <w:marTop w:val="0"/>
          <w:marBottom w:val="0"/>
          <w:divBdr>
            <w:top w:val="none" w:sz="0" w:space="0" w:color="auto"/>
            <w:left w:val="none" w:sz="0" w:space="0" w:color="auto"/>
            <w:bottom w:val="none" w:sz="0" w:space="0" w:color="auto"/>
            <w:right w:val="none" w:sz="0" w:space="0" w:color="auto"/>
          </w:divBdr>
          <w:divsChild>
            <w:div w:id="806437239">
              <w:marLeft w:val="0"/>
              <w:marRight w:val="0"/>
              <w:marTop w:val="0"/>
              <w:marBottom w:val="0"/>
              <w:divBdr>
                <w:top w:val="none" w:sz="0" w:space="0" w:color="auto"/>
                <w:left w:val="none" w:sz="0" w:space="0" w:color="auto"/>
                <w:bottom w:val="none" w:sz="0" w:space="0" w:color="auto"/>
                <w:right w:val="none" w:sz="0" w:space="0" w:color="auto"/>
              </w:divBdr>
              <w:divsChild>
                <w:div w:id="1559127362">
                  <w:marLeft w:val="0"/>
                  <w:marRight w:val="0"/>
                  <w:marTop w:val="0"/>
                  <w:marBottom w:val="0"/>
                  <w:divBdr>
                    <w:top w:val="none" w:sz="0" w:space="0" w:color="auto"/>
                    <w:left w:val="none" w:sz="0" w:space="0" w:color="auto"/>
                    <w:bottom w:val="none" w:sz="0" w:space="0" w:color="auto"/>
                    <w:right w:val="none" w:sz="0" w:space="0" w:color="auto"/>
                  </w:divBdr>
                </w:div>
              </w:divsChild>
            </w:div>
            <w:div w:id="896819626">
              <w:marLeft w:val="0"/>
              <w:marRight w:val="0"/>
              <w:marTop w:val="0"/>
              <w:marBottom w:val="0"/>
              <w:divBdr>
                <w:top w:val="none" w:sz="0" w:space="0" w:color="auto"/>
                <w:left w:val="none" w:sz="0" w:space="0" w:color="auto"/>
                <w:bottom w:val="none" w:sz="0" w:space="0" w:color="auto"/>
                <w:right w:val="none" w:sz="0" w:space="0" w:color="auto"/>
              </w:divBdr>
              <w:divsChild>
                <w:div w:id="5634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671">
          <w:marLeft w:val="0"/>
          <w:marRight w:val="0"/>
          <w:marTop w:val="0"/>
          <w:marBottom w:val="0"/>
          <w:divBdr>
            <w:top w:val="none" w:sz="0" w:space="0" w:color="auto"/>
            <w:left w:val="none" w:sz="0" w:space="0" w:color="auto"/>
            <w:bottom w:val="none" w:sz="0" w:space="0" w:color="auto"/>
            <w:right w:val="none" w:sz="0" w:space="0" w:color="auto"/>
          </w:divBdr>
        </w:div>
        <w:div w:id="1623608016">
          <w:marLeft w:val="0"/>
          <w:marRight w:val="0"/>
          <w:marTop w:val="0"/>
          <w:marBottom w:val="0"/>
          <w:divBdr>
            <w:top w:val="none" w:sz="0" w:space="0" w:color="auto"/>
            <w:left w:val="none" w:sz="0" w:space="0" w:color="auto"/>
            <w:bottom w:val="none" w:sz="0" w:space="0" w:color="auto"/>
            <w:right w:val="none" w:sz="0" w:space="0" w:color="auto"/>
          </w:divBdr>
          <w:divsChild>
            <w:div w:id="4258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9840">
      <w:bodyDiv w:val="1"/>
      <w:marLeft w:val="0"/>
      <w:marRight w:val="0"/>
      <w:marTop w:val="0"/>
      <w:marBottom w:val="0"/>
      <w:divBdr>
        <w:top w:val="none" w:sz="0" w:space="0" w:color="auto"/>
        <w:left w:val="none" w:sz="0" w:space="0" w:color="auto"/>
        <w:bottom w:val="none" w:sz="0" w:space="0" w:color="auto"/>
        <w:right w:val="none" w:sz="0" w:space="0" w:color="auto"/>
      </w:divBdr>
    </w:div>
    <w:div w:id="1503204139">
      <w:bodyDiv w:val="1"/>
      <w:marLeft w:val="0"/>
      <w:marRight w:val="0"/>
      <w:marTop w:val="0"/>
      <w:marBottom w:val="0"/>
      <w:divBdr>
        <w:top w:val="none" w:sz="0" w:space="0" w:color="auto"/>
        <w:left w:val="none" w:sz="0" w:space="0" w:color="auto"/>
        <w:bottom w:val="none" w:sz="0" w:space="0" w:color="auto"/>
        <w:right w:val="none" w:sz="0" w:space="0" w:color="auto"/>
      </w:divBdr>
    </w:div>
    <w:div w:id="1504515112">
      <w:bodyDiv w:val="1"/>
      <w:marLeft w:val="0"/>
      <w:marRight w:val="0"/>
      <w:marTop w:val="0"/>
      <w:marBottom w:val="0"/>
      <w:divBdr>
        <w:top w:val="none" w:sz="0" w:space="0" w:color="auto"/>
        <w:left w:val="none" w:sz="0" w:space="0" w:color="auto"/>
        <w:bottom w:val="none" w:sz="0" w:space="0" w:color="auto"/>
        <w:right w:val="none" w:sz="0" w:space="0" w:color="auto"/>
      </w:divBdr>
    </w:div>
    <w:div w:id="1508323661">
      <w:bodyDiv w:val="1"/>
      <w:marLeft w:val="0"/>
      <w:marRight w:val="0"/>
      <w:marTop w:val="0"/>
      <w:marBottom w:val="0"/>
      <w:divBdr>
        <w:top w:val="none" w:sz="0" w:space="0" w:color="auto"/>
        <w:left w:val="none" w:sz="0" w:space="0" w:color="auto"/>
        <w:bottom w:val="none" w:sz="0" w:space="0" w:color="auto"/>
        <w:right w:val="none" w:sz="0" w:space="0" w:color="auto"/>
      </w:divBdr>
    </w:div>
    <w:div w:id="1510364568">
      <w:bodyDiv w:val="1"/>
      <w:marLeft w:val="0"/>
      <w:marRight w:val="0"/>
      <w:marTop w:val="0"/>
      <w:marBottom w:val="0"/>
      <w:divBdr>
        <w:top w:val="none" w:sz="0" w:space="0" w:color="auto"/>
        <w:left w:val="none" w:sz="0" w:space="0" w:color="auto"/>
        <w:bottom w:val="none" w:sz="0" w:space="0" w:color="auto"/>
        <w:right w:val="none" w:sz="0" w:space="0" w:color="auto"/>
      </w:divBdr>
    </w:div>
    <w:div w:id="1511023176">
      <w:bodyDiv w:val="1"/>
      <w:marLeft w:val="0"/>
      <w:marRight w:val="0"/>
      <w:marTop w:val="0"/>
      <w:marBottom w:val="0"/>
      <w:divBdr>
        <w:top w:val="none" w:sz="0" w:space="0" w:color="auto"/>
        <w:left w:val="none" w:sz="0" w:space="0" w:color="auto"/>
        <w:bottom w:val="none" w:sz="0" w:space="0" w:color="auto"/>
        <w:right w:val="none" w:sz="0" w:space="0" w:color="auto"/>
      </w:divBdr>
      <w:divsChild>
        <w:div w:id="326830138">
          <w:marLeft w:val="0"/>
          <w:marRight w:val="0"/>
          <w:marTop w:val="0"/>
          <w:marBottom w:val="81"/>
          <w:divBdr>
            <w:top w:val="none" w:sz="0" w:space="0" w:color="auto"/>
            <w:left w:val="none" w:sz="0" w:space="0" w:color="auto"/>
            <w:bottom w:val="none" w:sz="0" w:space="0" w:color="auto"/>
            <w:right w:val="none" w:sz="0" w:space="0" w:color="auto"/>
          </w:divBdr>
        </w:div>
        <w:div w:id="672493505">
          <w:marLeft w:val="0"/>
          <w:marRight w:val="0"/>
          <w:marTop w:val="0"/>
          <w:marBottom w:val="0"/>
          <w:divBdr>
            <w:top w:val="none" w:sz="0" w:space="0" w:color="auto"/>
            <w:left w:val="none" w:sz="0" w:space="0" w:color="auto"/>
            <w:bottom w:val="none" w:sz="0" w:space="0" w:color="auto"/>
            <w:right w:val="none" w:sz="0" w:space="0" w:color="auto"/>
          </w:divBdr>
        </w:div>
        <w:div w:id="1046638453">
          <w:marLeft w:val="0"/>
          <w:marRight w:val="0"/>
          <w:marTop w:val="0"/>
          <w:marBottom w:val="0"/>
          <w:divBdr>
            <w:top w:val="none" w:sz="0" w:space="0" w:color="auto"/>
            <w:left w:val="none" w:sz="0" w:space="0" w:color="auto"/>
            <w:bottom w:val="none" w:sz="0" w:space="0" w:color="auto"/>
            <w:right w:val="none" w:sz="0" w:space="0" w:color="auto"/>
          </w:divBdr>
        </w:div>
      </w:divsChild>
    </w:div>
    <w:div w:id="1513834053">
      <w:bodyDiv w:val="1"/>
      <w:marLeft w:val="0"/>
      <w:marRight w:val="0"/>
      <w:marTop w:val="0"/>
      <w:marBottom w:val="0"/>
      <w:divBdr>
        <w:top w:val="none" w:sz="0" w:space="0" w:color="auto"/>
        <w:left w:val="none" w:sz="0" w:space="0" w:color="auto"/>
        <w:bottom w:val="none" w:sz="0" w:space="0" w:color="auto"/>
        <w:right w:val="none" w:sz="0" w:space="0" w:color="auto"/>
      </w:divBdr>
    </w:div>
    <w:div w:id="1518694767">
      <w:bodyDiv w:val="1"/>
      <w:marLeft w:val="0"/>
      <w:marRight w:val="0"/>
      <w:marTop w:val="0"/>
      <w:marBottom w:val="0"/>
      <w:divBdr>
        <w:top w:val="none" w:sz="0" w:space="0" w:color="auto"/>
        <w:left w:val="none" w:sz="0" w:space="0" w:color="auto"/>
        <w:bottom w:val="none" w:sz="0" w:space="0" w:color="auto"/>
        <w:right w:val="none" w:sz="0" w:space="0" w:color="auto"/>
      </w:divBdr>
    </w:div>
    <w:div w:id="1518886769">
      <w:bodyDiv w:val="1"/>
      <w:marLeft w:val="0"/>
      <w:marRight w:val="0"/>
      <w:marTop w:val="0"/>
      <w:marBottom w:val="0"/>
      <w:divBdr>
        <w:top w:val="none" w:sz="0" w:space="0" w:color="auto"/>
        <w:left w:val="none" w:sz="0" w:space="0" w:color="auto"/>
        <w:bottom w:val="none" w:sz="0" w:space="0" w:color="auto"/>
        <w:right w:val="none" w:sz="0" w:space="0" w:color="auto"/>
      </w:divBdr>
    </w:div>
    <w:div w:id="1519538898">
      <w:bodyDiv w:val="1"/>
      <w:marLeft w:val="0"/>
      <w:marRight w:val="0"/>
      <w:marTop w:val="0"/>
      <w:marBottom w:val="0"/>
      <w:divBdr>
        <w:top w:val="none" w:sz="0" w:space="0" w:color="auto"/>
        <w:left w:val="none" w:sz="0" w:space="0" w:color="auto"/>
        <w:bottom w:val="none" w:sz="0" w:space="0" w:color="auto"/>
        <w:right w:val="none" w:sz="0" w:space="0" w:color="auto"/>
      </w:divBdr>
      <w:divsChild>
        <w:div w:id="116339753">
          <w:marLeft w:val="1181"/>
          <w:marRight w:val="0"/>
          <w:marTop w:val="168"/>
          <w:marBottom w:val="0"/>
          <w:divBdr>
            <w:top w:val="none" w:sz="0" w:space="0" w:color="auto"/>
            <w:left w:val="none" w:sz="0" w:space="0" w:color="auto"/>
            <w:bottom w:val="none" w:sz="0" w:space="0" w:color="auto"/>
            <w:right w:val="none" w:sz="0" w:space="0" w:color="auto"/>
          </w:divBdr>
        </w:div>
        <w:div w:id="382410977">
          <w:marLeft w:val="1181"/>
          <w:marRight w:val="0"/>
          <w:marTop w:val="168"/>
          <w:marBottom w:val="0"/>
          <w:divBdr>
            <w:top w:val="none" w:sz="0" w:space="0" w:color="auto"/>
            <w:left w:val="none" w:sz="0" w:space="0" w:color="auto"/>
            <w:bottom w:val="none" w:sz="0" w:space="0" w:color="auto"/>
            <w:right w:val="none" w:sz="0" w:space="0" w:color="auto"/>
          </w:divBdr>
        </w:div>
        <w:div w:id="489323867">
          <w:marLeft w:val="1181"/>
          <w:marRight w:val="0"/>
          <w:marTop w:val="168"/>
          <w:marBottom w:val="0"/>
          <w:divBdr>
            <w:top w:val="none" w:sz="0" w:space="0" w:color="auto"/>
            <w:left w:val="none" w:sz="0" w:space="0" w:color="auto"/>
            <w:bottom w:val="none" w:sz="0" w:space="0" w:color="auto"/>
            <w:right w:val="none" w:sz="0" w:space="0" w:color="auto"/>
          </w:divBdr>
        </w:div>
        <w:div w:id="745347629">
          <w:marLeft w:val="475"/>
          <w:marRight w:val="0"/>
          <w:marTop w:val="168"/>
          <w:marBottom w:val="0"/>
          <w:divBdr>
            <w:top w:val="none" w:sz="0" w:space="0" w:color="auto"/>
            <w:left w:val="none" w:sz="0" w:space="0" w:color="auto"/>
            <w:bottom w:val="none" w:sz="0" w:space="0" w:color="auto"/>
            <w:right w:val="none" w:sz="0" w:space="0" w:color="auto"/>
          </w:divBdr>
        </w:div>
        <w:div w:id="954822578">
          <w:marLeft w:val="1181"/>
          <w:marRight w:val="0"/>
          <w:marTop w:val="168"/>
          <w:marBottom w:val="0"/>
          <w:divBdr>
            <w:top w:val="none" w:sz="0" w:space="0" w:color="auto"/>
            <w:left w:val="none" w:sz="0" w:space="0" w:color="auto"/>
            <w:bottom w:val="none" w:sz="0" w:space="0" w:color="auto"/>
            <w:right w:val="none" w:sz="0" w:space="0" w:color="auto"/>
          </w:divBdr>
        </w:div>
        <w:div w:id="1078789049">
          <w:marLeft w:val="1181"/>
          <w:marRight w:val="0"/>
          <w:marTop w:val="168"/>
          <w:marBottom w:val="0"/>
          <w:divBdr>
            <w:top w:val="none" w:sz="0" w:space="0" w:color="auto"/>
            <w:left w:val="none" w:sz="0" w:space="0" w:color="auto"/>
            <w:bottom w:val="none" w:sz="0" w:space="0" w:color="auto"/>
            <w:right w:val="none" w:sz="0" w:space="0" w:color="auto"/>
          </w:divBdr>
        </w:div>
        <w:div w:id="1388452652">
          <w:marLeft w:val="475"/>
          <w:marRight w:val="0"/>
          <w:marTop w:val="168"/>
          <w:marBottom w:val="0"/>
          <w:divBdr>
            <w:top w:val="none" w:sz="0" w:space="0" w:color="auto"/>
            <w:left w:val="none" w:sz="0" w:space="0" w:color="auto"/>
            <w:bottom w:val="none" w:sz="0" w:space="0" w:color="auto"/>
            <w:right w:val="none" w:sz="0" w:space="0" w:color="auto"/>
          </w:divBdr>
        </w:div>
        <w:div w:id="1743722176">
          <w:marLeft w:val="1181"/>
          <w:marRight w:val="0"/>
          <w:marTop w:val="168"/>
          <w:marBottom w:val="0"/>
          <w:divBdr>
            <w:top w:val="none" w:sz="0" w:space="0" w:color="auto"/>
            <w:left w:val="none" w:sz="0" w:space="0" w:color="auto"/>
            <w:bottom w:val="none" w:sz="0" w:space="0" w:color="auto"/>
            <w:right w:val="none" w:sz="0" w:space="0" w:color="auto"/>
          </w:divBdr>
        </w:div>
        <w:div w:id="2022705031">
          <w:marLeft w:val="1181"/>
          <w:marRight w:val="0"/>
          <w:marTop w:val="168"/>
          <w:marBottom w:val="0"/>
          <w:divBdr>
            <w:top w:val="none" w:sz="0" w:space="0" w:color="auto"/>
            <w:left w:val="none" w:sz="0" w:space="0" w:color="auto"/>
            <w:bottom w:val="none" w:sz="0" w:space="0" w:color="auto"/>
            <w:right w:val="none" w:sz="0" w:space="0" w:color="auto"/>
          </w:divBdr>
        </w:div>
      </w:divsChild>
    </w:div>
    <w:div w:id="1529492583">
      <w:bodyDiv w:val="1"/>
      <w:marLeft w:val="0"/>
      <w:marRight w:val="0"/>
      <w:marTop w:val="0"/>
      <w:marBottom w:val="0"/>
      <w:divBdr>
        <w:top w:val="none" w:sz="0" w:space="0" w:color="auto"/>
        <w:left w:val="none" w:sz="0" w:space="0" w:color="auto"/>
        <w:bottom w:val="none" w:sz="0" w:space="0" w:color="auto"/>
        <w:right w:val="none" w:sz="0" w:space="0" w:color="auto"/>
      </w:divBdr>
    </w:div>
    <w:div w:id="1530140207">
      <w:bodyDiv w:val="1"/>
      <w:marLeft w:val="0"/>
      <w:marRight w:val="0"/>
      <w:marTop w:val="0"/>
      <w:marBottom w:val="0"/>
      <w:divBdr>
        <w:top w:val="none" w:sz="0" w:space="0" w:color="auto"/>
        <w:left w:val="none" w:sz="0" w:space="0" w:color="auto"/>
        <w:bottom w:val="none" w:sz="0" w:space="0" w:color="auto"/>
        <w:right w:val="none" w:sz="0" w:space="0" w:color="auto"/>
      </w:divBdr>
    </w:div>
    <w:div w:id="1532065375">
      <w:bodyDiv w:val="1"/>
      <w:marLeft w:val="0"/>
      <w:marRight w:val="0"/>
      <w:marTop w:val="0"/>
      <w:marBottom w:val="0"/>
      <w:divBdr>
        <w:top w:val="none" w:sz="0" w:space="0" w:color="auto"/>
        <w:left w:val="none" w:sz="0" w:space="0" w:color="auto"/>
        <w:bottom w:val="none" w:sz="0" w:space="0" w:color="auto"/>
        <w:right w:val="none" w:sz="0" w:space="0" w:color="auto"/>
      </w:divBdr>
      <w:divsChild>
        <w:div w:id="190068168">
          <w:marLeft w:val="475"/>
          <w:marRight w:val="0"/>
          <w:marTop w:val="168"/>
          <w:marBottom w:val="0"/>
          <w:divBdr>
            <w:top w:val="none" w:sz="0" w:space="0" w:color="auto"/>
            <w:left w:val="none" w:sz="0" w:space="0" w:color="auto"/>
            <w:bottom w:val="none" w:sz="0" w:space="0" w:color="auto"/>
            <w:right w:val="none" w:sz="0" w:space="0" w:color="auto"/>
          </w:divBdr>
        </w:div>
        <w:div w:id="739720039">
          <w:marLeft w:val="475"/>
          <w:marRight w:val="0"/>
          <w:marTop w:val="168"/>
          <w:marBottom w:val="0"/>
          <w:divBdr>
            <w:top w:val="none" w:sz="0" w:space="0" w:color="auto"/>
            <w:left w:val="none" w:sz="0" w:space="0" w:color="auto"/>
            <w:bottom w:val="none" w:sz="0" w:space="0" w:color="auto"/>
            <w:right w:val="none" w:sz="0" w:space="0" w:color="auto"/>
          </w:divBdr>
        </w:div>
        <w:div w:id="1075470482">
          <w:marLeft w:val="475"/>
          <w:marRight w:val="0"/>
          <w:marTop w:val="168"/>
          <w:marBottom w:val="0"/>
          <w:divBdr>
            <w:top w:val="none" w:sz="0" w:space="0" w:color="auto"/>
            <w:left w:val="none" w:sz="0" w:space="0" w:color="auto"/>
            <w:bottom w:val="none" w:sz="0" w:space="0" w:color="auto"/>
            <w:right w:val="none" w:sz="0" w:space="0" w:color="auto"/>
          </w:divBdr>
        </w:div>
        <w:div w:id="1493595893">
          <w:marLeft w:val="475"/>
          <w:marRight w:val="0"/>
          <w:marTop w:val="168"/>
          <w:marBottom w:val="0"/>
          <w:divBdr>
            <w:top w:val="none" w:sz="0" w:space="0" w:color="auto"/>
            <w:left w:val="none" w:sz="0" w:space="0" w:color="auto"/>
            <w:bottom w:val="none" w:sz="0" w:space="0" w:color="auto"/>
            <w:right w:val="none" w:sz="0" w:space="0" w:color="auto"/>
          </w:divBdr>
        </w:div>
        <w:div w:id="1859926576">
          <w:marLeft w:val="1181"/>
          <w:marRight w:val="0"/>
          <w:marTop w:val="168"/>
          <w:marBottom w:val="0"/>
          <w:divBdr>
            <w:top w:val="none" w:sz="0" w:space="0" w:color="auto"/>
            <w:left w:val="none" w:sz="0" w:space="0" w:color="auto"/>
            <w:bottom w:val="none" w:sz="0" w:space="0" w:color="auto"/>
            <w:right w:val="none" w:sz="0" w:space="0" w:color="auto"/>
          </w:divBdr>
        </w:div>
      </w:divsChild>
    </w:div>
    <w:div w:id="1535726905">
      <w:bodyDiv w:val="1"/>
      <w:marLeft w:val="0"/>
      <w:marRight w:val="0"/>
      <w:marTop w:val="0"/>
      <w:marBottom w:val="0"/>
      <w:divBdr>
        <w:top w:val="none" w:sz="0" w:space="0" w:color="auto"/>
        <w:left w:val="none" w:sz="0" w:space="0" w:color="auto"/>
        <w:bottom w:val="none" w:sz="0" w:space="0" w:color="auto"/>
        <w:right w:val="none" w:sz="0" w:space="0" w:color="auto"/>
      </w:divBdr>
    </w:div>
    <w:div w:id="1536771640">
      <w:bodyDiv w:val="1"/>
      <w:marLeft w:val="0"/>
      <w:marRight w:val="0"/>
      <w:marTop w:val="0"/>
      <w:marBottom w:val="0"/>
      <w:divBdr>
        <w:top w:val="none" w:sz="0" w:space="0" w:color="auto"/>
        <w:left w:val="none" w:sz="0" w:space="0" w:color="auto"/>
        <w:bottom w:val="none" w:sz="0" w:space="0" w:color="auto"/>
        <w:right w:val="none" w:sz="0" w:space="0" w:color="auto"/>
      </w:divBdr>
    </w:div>
    <w:div w:id="1537041355">
      <w:bodyDiv w:val="1"/>
      <w:marLeft w:val="0"/>
      <w:marRight w:val="0"/>
      <w:marTop w:val="0"/>
      <w:marBottom w:val="0"/>
      <w:divBdr>
        <w:top w:val="none" w:sz="0" w:space="0" w:color="auto"/>
        <w:left w:val="none" w:sz="0" w:space="0" w:color="auto"/>
        <w:bottom w:val="none" w:sz="0" w:space="0" w:color="auto"/>
        <w:right w:val="none" w:sz="0" w:space="0" w:color="auto"/>
      </w:divBdr>
    </w:div>
    <w:div w:id="1544514779">
      <w:bodyDiv w:val="1"/>
      <w:marLeft w:val="0"/>
      <w:marRight w:val="0"/>
      <w:marTop w:val="0"/>
      <w:marBottom w:val="0"/>
      <w:divBdr>
        <w:top w:val="none" w:sz="0" w:space="0" w:color="auto"/>
        <w:left w:val="none" w:sz="0" w:space="0" w:color="auto"/>
        <w:bottom w:val="none" w:sz="0" w:space="0" w:color="auto"/>
        <w:right w:val="none" w:sz="0" w:space="0" w:color="auto"/>
      </w:divBdr>
    </w:div>
    <w:div w:id="1548955648">
      <w:bodyDiv w:val="1"/>
      <w:marLeft w:val="0"/>
      <w:marRight w:val="0"/>
      <w:marTop w:val="0"/>
      <w:marBottom w:val="0"/>
      <w:divBdr>
        <w:top w:val="none" w:sz="0" w:space="0" w:color="auto"/>
        <w:left w:val="none" w:sz="0" w:space="0" w:color="auto"/>
        <w:bottom w:val="none" w:sz="0" w:space="0" w:color="auto"/>
        <w:right w:val="none" w:sz="0" w:space="0" w:color="auto"/>
      </w:divBdr>
    </w:div>
    <w:div w:id="1550453752">
      <w:bodyDiv w:val="1"/>
      <w:marLeft w:val="0"/>
      <w:marRight w:val="0"/>
      <w:marTop w:val="0"/>
      <w:marBottom w:val="0"/>
      <w:divBdr>
        <w:top w:val="none" w:sz="0" w:space="0" w:color="auto"/>
        <w:left w:val="none" w:sz="0" w:space="0" w:color="auto"/>
        <w:bottom w:val="none" w:sz="0" w:space="0" w:color="auto"/>
        <w:right w:val="none" w:sz="0" w:space="0" w:color="auto"/>
      </w:divBdr>
    </w:div>
    <w:div w:id="1551988821">
      <w:bodyDiv w:val="1"/>
      <w:marLeft w:val="0"/>
      <w:marRight w:val="0"/>
      <w:marTop w:val="0"/>
      <w:marBottom w:val="0"/>
      <w:divBdr>
        <w:top w:val="none" w:sz="0" w:space="0" w:color="auto"/>
        <w:left w:val="none" w:sz="0" w:space="0" w:color="auto"/>
        <w:bottom w:val="none" w:sz="0" w:space="0" w:color="auto"/>
        <w:right w:val="none" w:sz="0" w:space="0" w:color="auto"/>
      </w:divBdr>
    </w:div>
    <w:div w:id="1552690082">
      <w:bodyDiv w:val="1"/>
      <w:marLeft w:val="0"/>
      <w:marRight w:val="0"/>
      <w:marTop w:val="0"/>
      <w:marBottom w:val="0"/>
      <w:divBdr>
        <w:top w:val="none" w:sz="0" w:space="0" w:color="auto"/>
        <w:left w:val="none" w:sz="0" w:space="0" w:color="auto"/>
        <w:bottom w:val="none" w:sz="0" w:space="0" w:color="auto"/>
        <w:right w:val="none" w:sz="0" w:space="0" w:color="auto"/>
      </w:divBdr>
    </w:div>
    <w:div w:id="1556162717">
      <w:bodyDiv w:val="1"/>
      <w:marLeft w:val="0"/>
      <w:marRight w:val="0"/>
      <w:marTop w:val="0"/>
      <w:marBottom w:val="0"/>
      <w:divBdr>
        <w:top w:val="none" w:sz="0" w:space="0" w:color="auto"/>
        <w:left w:val="none" w:sz="0" w:space="0" w:color="auto"/>
        <w:bottom w:val="none" w:sz="0" w:space="0" w:color="auto"/>
        <w:right w:val="none" w:sz="0" w:space="0" w:color="auto"/>
      </w:divBdr>
    </w:div>
    <w:div w:id="1559782343">
      <w:bodyDiv w:val="1"/>
      <w:marLeft w:val="0"/>
      <w:marRight w:val="0"/>
      <w:marTop w:val="0"/>
      <w:marBottom w:val="0"/>
      <w:divBdr>
        <w:top w:val="none" w:sz="0" w:space="0" w:color="auto"/>
        <w:left w:val="none" w:sz="0" w:space="0" w:color="auto"/>
        <w:bottom w:val="none" w:sz="0" w:space="0" w:color="auto"/>
        <w:right w:val="none" w:sz="0" w:space="0" w:color="auto"/>
      </w:divBdr>
    </w:div>
    <w:div w:id="1562324635">
      <w:bodyDiv w:val="1"/>
      <w:marLeft w:val="0"/>
      <w:marRight w:val="0"/>
      <w:marTop w:val="0"/>
      <w:marBottom w:val="0"/>
      <w:divBdr>
        <w:top w:val="none" w:sz="0" w:space="0" w:color="auto"/>
        <w:left w:val="none" w:sz="0" w:space="0" w:color="auto"/>
        <w:bottom w:val="none" w:sz="0" w:space="0" w:color="auto"/>
        <w:right w:val="none" w:sz="0" w:space="0" w:color="auto"/>
      </w:divBdr>
    </w:div>
    <w:div w:id="1566649724">
      <w:bodyDiv w:val="1"/>
      <w:marLeft w:val="0"/>
      <w:marRight w:val="0"/>
      <w:marTop w:val="0"/>
      <w:marBottom w:val="0"/>
      <w:divBdr>
        <w:top w:val="none" w:sz="0" w:space="0" w:color="auto"/>
        <w:left w:val="none" w:sz="0" w:space="0" w:color="auto"/>
        <w:bottom w:val="none" w:sz="0" w:space="0" w:color="auto"/>
        <w:right w:val="none" w:sz="0" w:space="0" w:color="auto"/>
      </w:divBdr>
    </w:div>
    <w:div w:id="1568418814">
      <w:bodyDiv w:val="1"/>
      <w:marLeft w:val="0"/>
      <w:marRight w:val="0"/>
      <w:marTop w:val="0"/>
      <w:marBottom w:val="0"/>
      <w:divBdr>
        <w:top w:val="none" w:sz="0" w:space="0" w:color="auto"/>
        <w:left w:val="none" w:sz="0" w:space="0" w:color="auto"/>
        <w:bottom w:val="none" w:sz="0" w:space="0" w:color="auto"/>
        <w:right w:val="none" w:sz="0" w:space="0" w:color="auto"/>
      </w:divBdr>
    </w:div>
    <w:div w:id="1569345676">
      <w:bodyDiv w:val="1"/>
      <w:marLeft w:val="0"/>
      <w:marRight w:val="0"/>
      <w:marTop w:val="0"/>
      <w:marBottom w:val="0"/>
      <w:divBdr>
        <w:top w:val="none" w:sz="0" w:space="0" w:color="auto"/>
        <w:left w:val="none" w:sz="0" w:space="0" w:color="auto"/>
        <w:bottom w:val="none" w:sz="0" w:space="0" w:color="auto"/>
        <w:right w:val="none" w:sz="0" w:space="0" w:color="auto"/>
      </w:divBdr>
    </w:div>
    <w:div w:id="1570530652">
      <w:bodyDiv w:val="1"/>
      <w:marLeft w:val="0"/>
      <w:marRight w:val="0"/>
      <w:marTop w:val="0"/>
      <w:marBottom w:val="0"/>
      <w:divBdr>
        <w:top w:val="none" w:sz="0" w:space="0" w:color="auto"/>
        <w:left w:val="none" w:sz="0" w:space="0" w:color="auto"/>
        <w:bottom w:val="none" w:sz="0" w:space="0" w:color="auto"/>
        <w:right w:val="none" w:sz="0" w:space="0" w:color="auto"/>
      </w:divBdr>
    </w:div>
    <w:div w:id="1586377229">
      <w:bodyDiv w:val="1"/>
      <w:marLeft w:val="0"/>
      <w:marRight w:val="0"/>
      <w:marTop w:val="0"/>
      <w:marBottom w:val="0"/>
      <w:divBdr>
        <w:top w:val="none" w:sz="0" w:space="0" w:color="auto"/>
        <w:left w:val="none" w:sz="0" w:space="0" w:color="auto"/>
        <w:bottom w:val="none" w:sz="0" w:space="0" w:color="auto"/>
        <w:right w:val="none" w:sz="0" w:space="0" w:color="auto"/>
      </w:divBdr>
    </w:div>
    <w:div w:id="1590196173">
      <w:bodyDiv w:val="1"/>
      <w:marLeft w:val="0"/>
      <w:marRight w:val="0"/>
      <w:marTop w:val="0"/>
      <w:marBottom w:val="0"/>
      <w:divBdr>
        <w:top w:val="none" w:sz="0" w:space="0" w:color="auto"/>
        <w:left w:val="none" w:sz="0" w:space="0" w:color="auto"/>
        <w:bottom w:val="none" w:sz="0" w:space="0" w:color="auto"/>
        <w:right w:val="none" w:sz="0" w:space="0" w:color="auto"/>
      </w:divBdr>
    </w:div>
    <w:div w:id="1591239225">
      <w:bodyDiv w:val="1"/>
      <w:marLeft w:val="0"/>
      <w:marRight w:val="0"/>
      <w:marTop w:val="0"/>
      <w:marBottom w:val="0"/>
      <w:divBdr>
        <w:top w:val="none" w:sz="0" w:space="0" w:color="auto"/>
        <w:left w:val="none" w:sz="0" w:space="0" w:color="auto"/>
        <w:bottom w:val="none" w:sz="0" w:space="0" w:color="auto"/>
        <w:right w:val="none" w:sz="0" w:space="0" w:color="auto"/>
      </w:divBdr>
    </w:div>
    <w:div w:id="1593705001">
      <w:bodyDiv w:val="1"/>
      <w:marLeft w:val="0"/>
      <w:marRight w:val="0"/>
      <w:marTop w:val="0"/>
      <w:marBottom w:val="0"/>
      <w:divBdr>
        <w:top w:val="none" w:sz="0" w:space="0" w:color="auto"/>
        <w:left w:val="none" w:sz="0" w:space="0" w:color="auto"/>
        <w:bottom w:val="none" w:sz="0" w:space="0" w:color="auto"/>
        <w:right w:val="none" w:sz="0" w:space="0" w:color="auto"/>
      </w:divBdr>
    </w:div>
    <w:div w:id="1596480139">
      <w:bodyDiv w:val="1"/>
      <w:marLeft w:val="0"/>
      <w:marRight w:val="0"/>
      <w:marTop w:val="0"/>
      <w:marBottom w:val="0"/>
      <w:divBdr>
        <w:top w:val="none" w:sz="0" w:space="0" w:color="auto"/>
        <w:left w:val="none" w:sz="0" w:space="0" w:color="auto"/>
        <w:bottom w:val="none" w:sz="0" w:space="0" w:color="auto"/>
        <w:right w:val="none" w:sz="0" w:space="0" w:color="auto"/>
      </w:divBdr>
    </w:div>
    <w:div w:id="1598562876">
      <w:bodyDiv w:val="1"/>
      <w:marLeft w:val="0"/>
      <w:marRight w:val="0"/>
      <w:marTop w:val="0"/>
      <w:marBottom w:val="0"/>
      <w:divBdr>
        <w:top w:val="none" w:sz="0" w:space="0" w:color="auto"/>
        <w:left w:val="none" w:sz="0" w:space="0" w:color="auto"/>
        <w:bottom w:val="none" w:sz="0" w:space="0" w:color="auto"/>
        <w:right w:val="none" w:sz="0" w:space="0" w:color="auto"/>
      </w:divBdr>
    </w:div>
    <w:div w:id="1603224658">
      <w:bodyDiv w:val="1"/>
      <w:marLeft w:val="0"/>
      <w:marRight w:val="0"/>
      <w:marTop w:val="0"/>
      <w:marBottom w:val="0"/>
      <w:divBdr>
        <w:top w:val="none" w:sz="0" w:space="0" w:color="auto"/>
        <w:left w:val="none" w:sz="0" w:space="0" w:color="auto"/>
        <w:bottom w:val="none" w:sz="0" w:space="0" w:color="auto"/>
        <w:right w:val="none" w:sz="0" w:space="0" w:color="auto"/>
      </w:divBdr>
    </w:div>
    <w:div w:id="1609772892">
      <w:bodyDiv w:val="1"/>
      <w:marLeft w:val="0"/>
      <w:marRight w:val="0"/>
      <w:marTop w:val="0"/>
      <w:marBottom w:val="0"/>
      <w:divBdr>
        <w:top w:val="none" w:sz="0" w:space="0" w:color="auto"/>
        <w:left w:val="none" w:sz="0" w:space="0" w:color="auto"/>
        <w:bottom w:val="none" w:sz="0" w:space="0" w:color="auto"/>
        <w:right w:val="none" w:sz="0" w:space="0" w:color="auto"/>
      </w:divBdr>
    </w:div>
    <w:div w:id="1612858788">
      <w:bodyDiv w:val="1"/>
      <w:marLeft w:val="0"/>
      <w:marRight w:val="0"/>
      <w:marTop w:val="0"/>
      <w:marBottom w:val="0"/>
      <w:divBdr>
        <w:top w:val="none" w:sz="0" w:space="0" w:color="auto"/>
        <w:left w:val="none" w:sz="0" w:space="0" w:color="auto"/>
        <w:bottom w:val="none" w:sz="0" w:space="0" w:color="auto"/>
        <w:right w:val="none" w:sz="0" w:space="0" w:color="auto"/>
      </w:divBdr>
      <w:divsChild>
        <w:div w:id="642346371">
          <w:marLeft w:val="0"/>
          <w:marRight w:val="0"/>
          <w:marTop w:val="0"/>
          <w:marBottom w:val="0"/>
          <w:divBdr>
            <w:top w:val="none" w:sz="0" w:space="0" w:color="auto"/>
            <w:left w:val="none" w:sz="0" w:space="0" w:color="auto"/>
            <w:bottom w:val="none" w:sz="0" w:space="0" w:color="auto"/>
            <w:right w:val="none" w:sz="0" w:space="0" w:color="auto"/>
          </w:divBdr>
          <w:divsChild>
            <w:div w:id="1253318008">
              <w:marLeft w:val="0"/>
              <w:marRight w:val="0"/>
              <w:marTop w:val="0"/>
              <w:marBottom w:val="0"/>
              <w:divBdr>
                <w:top w:val="none" w:sz="0" w:space="0" w:color="auto"/>
                <w:left w:val="none" w:sz="0" w:space="0" w:color="auto"/>
                <w:bottom w:val="none" w:sz="0" w:space="0" w:color="auto"/>
                <w:right w:val="none" w:sz="0" w:space="0" w:color="auto"/>
              </w:divBdr>
              <w:divsChild>
                <w:div w:id="2014070200">
                  <w:marLeft w:val="0"/>
                  <w:marRight w:val="0"/>
                  <w:marTop w:val="0"/>
                  <w:marBottom w:val="0"/>
                  <w:divBdr>
                    <w:top w:val="none" w:sz="0" w:space="0" w:color="auto"/>
                    <w:left w:val="none" w:sz="0" w:space="0" w:color="auto"/>
                    <w:bottom w:val="none" w:sz="0" w:space="0" w:color="auto"/>
                    <w:right w:val="none" w:sz="0" w:space="0" w:color="auto"/>
                  </w:divBdr>
                  <w:divsChild>
                    <w:div w:id="1464736926">
                      <w:marLeft w:val="0"/>
                      <w:marRight w:val="0"/>
                      <w:marTop w:val="0"/>
                      <w:marBottom w:val="0"/>
                      <w:divBdr>
                        <w:top w:val="none" w:sz="0" w:space="0" w:color="auto"/>
                        <w:left w:val="none" w:sz="0" w:space="0" w:color="auto"/>
                        <w:bottom w:val="none" w:sz="0" w:space="0" w:color="auto"/>
                        <w:right w:val="none" w:sz="0" w:space="0" w:color="auto"/>
                      </w:divBdr>
                      <w:divsChild>
                        <w:div w:id="1713186264">
                          <w:marLeft w:val="0"/>
                          <w:marRight w:val="0"/>
                          <w:marTop w:val="0"/>
                          <w:marBottom w:val="0"/>
                          <w:divBdr>
                            <w:top w:val="none" w:sz="0" w:space="0" w:color="auto"/>
                            <w:left w:val="none" w:sz="0" w:space="0" w:color="auto"/>
                            <w:bottom w:val="none" w:sz="0" w:space="0" w:color="auto"/>
                            <w:right w:val="none" w:sz="0" w:space="0" w:color="auto"/>
                          </w:divBdr>
                          <w:divsChild>
                            <w:div w:id="1260604898">
                              <w:marLeft w:val="0"/>
                              <w:marRight w:val="0"/>
                              <w:marTop w:val="0"/>
                              <w:marBottom w:val="0"/>
                              <w:divBdr>
                                <w:top w:val="none" w:sz="0" w:space="0" w:color="auto"/>
                                <w:left w:val="none" w:sz="0" w:space="0" w:color="auto"/>
                                <w:bottom w:val="none" w:sz="0" w:space="0" w:color="auto"/>
                                <w:right w:val="none" w:sz="0" w:space="0" w:color="auto"/>
                              </w:divBdr>
                              <w:divsChild>
                                <w:div w:id="1580603542">
                                  <w:marLeft w:val="0"/>
                                  <w:marRight w:val="0"/>
                                  <w:marTop w:val="0"/>
                                  <w:marBottom w:val="0"/>
                                  <w:divBdr>
                                    <w:top w:val="none" w:sz="0" w:space="0" w:color="auto"/>
                                    <w:left w:val="none" w:sz="0" w:space="0" w:color="auto"/>
                                    <w:bottom w:val="none" w:sz="0" w:space="0" w:color="auto"/>
                                    <w:right w:val="none" w:sz="0" w:space="0" w:color="auto"/>
                                  </w:divBdr>
                                  <w:divsChild>
                                    <w:div w:id="14880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864435">
      <w:bodyDiv w:val="1"/>
      <w:marLeft w:val="0"/>
      <w:marRight w:val="0"/>
      <w:marTop w:val="0"/>
      <w:marBottom w:val="0"/>
      <w:divBdr>
        <w:top w:val="none" w:sz="0" w:space="0" w:color="auto"/>
        <w:left w:val="none" w:sz="0" w:space="0" w:color="auto"/>
        <w:bottom w:val="none" w:sz="0" w:space="0" w:color="auto"/>
        <w:right w:val="none" w:sz="0" w:space="0" w:color="auto"/>
      </w:divBdr>
    </w:div>
    <w:div w:id="1621691229">
      <w:bodyDiv w:val="1"/>
      <w:marLeft w:val="0"/>
      <w:marRight w:val="0"/>
      <w:marTop w:val="0"/>
      <w:marBottom w:val="0"/>
      <w:divBdr>
        <w:top w:val="none" w:sz="0" w:space="0" w:color="auto"/>
        <w:left w:val="none" w:sz="0" w:space="0" w:color="auto"/>
        <w:bottom w:val="none" w:sz="0" w:space="0" w:color="auto"/>
        <w:right w:val="none" w:sz="0" w:space="0" w:color="auto"/>
      </w:divBdr>
    </w:div>
    <w:div w:id="1628655852">
      <w:bodyDiv w:val="1"/>
      <w:marLeft w:val="0"/>
      <w:marRight w:val="0"/>
      <w:marTop w:val="0"/>
      <w:marBottom w:val="0"/>
      <w:divBdr>
        <w:top w:val="none" w:sz="0" w:space="0" w:color="auto"/>
        <w:left w:val="none" w:sz="0" w:space="0" w:color="auto"/>
        <w:bottom w:val="none" w:sz="0" w:space="0" w:color="auto"/>
        <w:right w:val="none" w:sz="0" w:space="0" w:color="auto"/>
      </w:divBdr>
    </w:div>
    <w:div w:id="1629503885">
      <w:bodyDiv w:val="1"/>
      <w:marLeft w:val="0"/>
      <w:marRight w:val="0"/>
      <w:marTop w:val="0"/>
      <w:marBottom w:val="0"/>
      <w:divBdr>
        <w:top w:val="none" w:sz="0" w:space="0" w:color="auto"/>
        <w:left w:val="none" w:sz="0" w:space="0" w:color="auto"/>
        <w:bottom w:val="none" w:sz="0" w:space="0" w:color="auto"/>
        <w:right w:val="none" w:sz="0" w:space="0" w:color="auto"/>
      </w:divBdr>
      <w:divsChild>
        <w:div w:id="2136026431">
          <w:marLeft w:val="0"/>
          <w:marRight w:val="0"/>
          <w:marTop w:val="0"/>
          <w:marBottom w:val="0"/>
          <w:divBdr>
            <w:top w:val="none" w:sz="0" w:space="0" w:color="auto"/>
            <w:left w:val="none" w:sz="0" w:space="0" w:color="auto"/>
            <w:bottom w:val="none" w:sz="0" w:space="0" w:color="auto"/>
            <w:right w:val="none" w:sz="0" w:space="0" w:color="auto"/>
          </w:divBdr>
          <w:divsChild>
            <w:div w:id="573585909">
              <w:marLeft w:val="0"/>
              <w:marRight w:val="0"/>
              <w:marTop w:val="0"/>
              <w:marBottom w:val="0"/>
              <w:divBdr>
                <w:top w:val="none" w:sz="0" w:space="0" w:color="auto"/>
                <w:left w:val="none" w:sz="0" w:space="0" w:color="auto"/>
                <w:bottom w:val="none" w:sz="0" w:space="0" w:color="auto"/>
                <w:right w:val="none" w:sz="0" w:space="0" w:color="auto"/>
              </w:divBdr>
              <w:divsChild>
                <w:div w:id="1999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6952">
      <w:bodyDiv w:val="1"/>
      <w:marLeft w:val="0"/>
      <w:marRight w:val="0"/>
      <w:marTop w:val="0"/>
      <w:marBottom w:val="0"/>
      <w:divBdr>
        <w:top w:val="none" w:sz="0" w:space="0" w:color="auto"/>
        <w:left w:val="none" w:sz="0" w:space="0" w:color="auto"/>
        <w:bottom w:val="none" w:sz="0" w:space="0" w:color="auto"/>
        <w:right w:val="none" w:sz="0" w:space="0" w:color="auto"/>
      </w:divBdr>
      <w:divsChild>
        <w:div w:id="429088917">
          <w:marLeft w:val="475"/>
          <w:marRight w:val="0"/>
          <w:marTop w:val="168"/>
          <w:marBottom w:val="0"/>
          <w:divBdr>
            <w:top w:val="none" w:sz="0" w:space="0" w:color="auto"/>
            <w:left w:val="none" w:sz="0" w:space="0" w:color="auto"/>
            <w:bottom w:val="none" w:sz="0" w:space="0" w:color="auto"/>
            <w:right w:val="none" w:sz="0" w:space="0" w:color="auto"/>
          </w:divBdr>
        </w:div>
        <w:div w:id="461001334">
          <w:marLeft w:val="475"/>
          <w:marRight w:val="0"/>
          <w:marTop w:val="168"/>
          <w:marBottom w:val="0"/>
          <w:divBdr>
            <w:top w:val="none" w:sz="0" w:space="0" w:color="auto"/>
            <w:left w:val="none" w:sz="0" w:space="0" w:color="auto"/>
            <w:bottom w:val="none" w:sz="0" w:space="0" w:color="auto"/>
            <w:right w:val="none" w:sz="0" w:space="0" w:color="auto"/>
          </w:divBdr>
        </w:div>
        <w:div w:id="541214631">
          <w:marLeft w:val="1181"/>
          <w:marRight w:val="0"/>
          <w:marTop w:val="168"/>
          <w:marBottom w:val="0"/>
          <w:divBdr>
            <w:top w:val="none" w:sz="0" w:space="0" w:color="auto"/>
            <w:left w:val="none" w:sz="0" w:space="0" w:color="auto"/>
            <w:bottom w:val="none" w:sz="0" w:space="0" w:color="auto"/>
            <w:right w:val="none" w:sz="0" w:space="0" w:color="auto"/>
          </w:divBdr>
        </w:div>
        <w:div w:id="588778132">
          <w:marLeft w:val="475"/>
          <w:marRight w:val="0"/>
          <w:marTop w:val="168"/>
          <w:marBottom w:val="0"/>
          <w:divBdr>
            <w:top w:val="none" w:sz="0" w:space="0" w:color="auto"/>
            <w:left w:val="none" w:sz="0" w:space="0" w:color="auto"/>
            <w:bottom w:val="none" w:sz="0" w:space="0" w:color="auto"/>
            <w:right w:val="none" w:sz="0" w:space="0" w:color="auto"/>
          </w:divBdr>
        </w:div>
        <w:div w:id="633830249">
          <w:marLeft w:val="475"/>
          <w:marRight w:val="0"/>
          <w:marTop w:val="168"/>
          <w:marBottom w:val="0"/>
          <w:divBdr>
            <w:top w:val="none" w:sz="0" w:space="0" w:color="auto"/>
            <w:left w:val="none" w:sz="0" w:space="0" w:color="auto"/>
            <w:bottom w:val="none" w:sz="0" w:space="0" w:color="auto"/>
            <w:right w:val="none" w:sz="0" w:space="0" w:color="auto"/>
          </w:divBdr>
        </w:div>
        <w:div w:id="1123497722">
          <w:marLeft w:val="475"/>
          <w:marRight w:val="0"/>
          <w:marTop w:val="168"/>
          <w:marBottom w:val="0"/>
          <w:divBdr>
            <w:top w:val="none" w:sz="0" w:space="0" w:color="auto"/>
            <w:left w:val="none" w:sz="0" w:space="0" w:color="auto"/>
            <w:bottom w:val="none" w:sz="0" w:space="0" w:color="auto"/>
            <w:right w:val="none" w:sz="0" w:space="0" w:color="auto"/>
          </w:divBdr>
        </w:div>
        <w:div w:id="1426269135">
          <w:marLeft w:val="1181"/>
          <w:marRight w:val="0"/>
          <w:marTop w:val="168"/>
          <w:marBottom w:val="0"/>
          <w:divBdr>
            <w:top w:val="none" w:sz="0" w:space="0" w:color="auto"/>
            <w:left w:val="none" w:sz="0" w:space="0" w:color="auto"/>
            <w:bottom w:val="none" w:sz="0" w:space="0" w:color="auto"/>
            <w:right w:val="none" w:sz="0" w:space="0" w:color="auto"/>
          </w:divBdr>
        </w:div>
        <w:div w:id="1722091379">
          <w:marLeft w:val="475"/>
          <w:marRight w:val="0"/>
          <w:marTop w:val="168"/>
          <w:marBottom w:val="0"/>
          <w:divBdr>
            <w:top w:val="none" w:sz="0" w:space="0" w:color="auto"/>
            <w:left w:val="none" w:sz="0" w:space="0" w:color="auto"/>
            <w:bottom w:val="none" w:sz="0" w:space="0" w:color="auto"/>
            <w:right w:val="none" w:sz="0" w:space="0" w:color="auto"/>
          </w:divBdr>
        </w:div>
        <w:div w:id="1757167943">
          <w:marLeft w:val="1181"/>
          <w:marRight w:val="0"/>
          <w:marTop w:val="168"/>
          <w:marBottom w:val="0"/>
          <w:divBdr>
            <w:top w:val="none" w:sz="0" w:space="0" w:color="auto"/>
            <w:left w:val="none" w:sz="0" w:space="0" w:color="auto"/>
            <w:bottom w:val="none" w:sz="0" w:space="0" w:color="auto"/>
            <w:right w:val="none" w:sz="0" w:space="0" w:color="auto"/>
          </w:divBdr>
        </w:div>
        <w:div w:id="2029479223">
          <w:marLeft w:val="1181"/>
          <w:marRight w:val="0"/>
          <w:marTop w:val="168"/>
          <w:marBottom w:val="0"/>
          <w:divBdr>
            <w:top w:val="none" w:sz="0" w:space="0" w:color="auto"/>
            <w:left w:val="none" w:sz="0" w:space="0" w:color="auto"/>
            <w:bottom w:val="none" w:sz="0" w:space="0" w:color="auto"/>
            <w:right w:val="none" w:sz="0" w:space="0" w:color="auto"/>
          </w:divBdr>
        </w:div>
      </w:divsChild>
    </w:div>
    <w:div w:id="1635719717">
      <w:bodyDiv w:val="1"/>
      <w:marLeft w:val="0"/>
      <w:marRight w:val="0"/>
      <w:marTop w:val="0"/>
      <w:marBottom w:val="0"/>
      <w:divBdr>
        <w:top w:val="none" w:sz="0" w:space="0" w:color="auto"/>
        <w:left w:val="none" w:sz="0" w:space="0" w:color="auto"/>
        <w:bottom w:val="none" w:sz="0" w:space="0" w:color="auto"/>
        <w:right w:val="none" w:sz="0" w:space="0" w:color="auto"/>
      </w:divBdr>
    </w:div>
    <w:div w:id="1643466709">
      <w:bodyDiv w:val="1"/>
      <w:marLeft w:val="0"/>
      <w:marRight w:val="0"/>
      <w:marTop w:val="0"/>
      <w:marBottom w:val="0"/>
      <w:divBdr>
        <w:top w:val="none" w:sz="0" w:space="0" w:color="auto"/>
        <w:left w:val="none" w:sz="0" w:space="0" w:color="auto"/>
        <w:bottom w:val="none" w:sz="0" w:space="0" w:color="auto"/>
        <w:right w:val="none" w:sz="0" w:space="0" w:color="auto"/>
      </w:divBdr>
      <w:divsChild>
        <w:div w:id="558322636">
          <w:marLeft w:val="0"/>
          <w:marRight w:val="0"/>
          <w:marTop w:val="0"/>
          <w:marBottom w:val="0"/>
          <w:divBdr>
            <w:top w:val="none" w:sz="0" w:space="0" w:color="auto"/>
            <w:left w:val="none" w:sz="0" w:space="0" w:color="auto"/>
            <w:bottom w:val="none" w:sz="0" w:space="0" w:color="auto"/>
            <w:right w:val="none" w:sz="0" w:space="0" w:color="auto"/>
          </w:divBdr>
        </w:div>
      </w:divsChild>
    </w:div>
    <w:div w:id="1647314489">
      <w:bodyDiv w:val="1"/>
      <w:marLeft w:val="0"/>
      <w:marRight w:val="0"/>
      <w:marTop w:val="0"/>
      <w:marBottom w:val="0"/>
      <w:divBdr>
        <w:top w:val="none" w:sz="0" w:space="0" w:color="auto"/>
        <w:left w:val="none" w:sz="0" w:space="0" w:color="auto"/>
        <w:bottom w:val="none" w:sz="0" w:space="0" w:color="auto"/>
        <w:right w:val="none" w:sz="0" w:space="0" w:color="auto"/>
      </w:divBdr>
    </w:div>
    <w:div w:id="1654064893">
      <w:bodyDiv w:val="1"/>
      <w:marLeft w:val="0"/>
      <w:marRight w:val="0"/>
      <w:marTop w:val="0"/>
      <w:marBottom w:val="0"/>
      <w:divBdr>
        <w:top w:val="none" w:sz="0" w:space="0" w:color="auto"/>
        <w:left w:val="none" w:sz="0" w:space="0" w:color="auto"/>
        <w:bottom w:val="none" w:sz="0" w:space="0" w:color="auto"/>
        <w:right w:val="none" w:sz="0" w:space="0" w:color="auto"/>
      </w:divBdr>
    </w:div>
    <w:div w:id="1657343033">
      <w:bodyDiv w:val="1"/>
      <w:marLeft w:val="0"/>
      <w:marRight w:val="0"/>
      <w:marTop w:val="0"/>
      <w:marBottom w:val="0"/>
      <w:divBdr>
        <w:top w:val="none" w:sz="0" w:space="0" w:color="auto"/>
        <w:left w:val="none" w:sz="0" w:space="0" w:color="auto"/>
        <w:bottom w:val="none" w:sz="0" w:space="0" w:color="auto"/>
        <w:right w:val="none" w:sz="0" w:space="0" w:color="auto"/>
      </w:divBdr>
    </w:div>
    <w:div w:id="1662394205">
      <w:bodyDiv w:val="1"/>
      <w:marLeft w:val="0"/>
      <w:marRight w:val="0"/>
      <w:marTop w:val="0"/>
      <w:marBottom w:val="0"/>
      <w:divBdr>
        <w:top w:val="none" w:sz="0" w:space="0" w:color="auto"/>
        <w:left w:val="none" w:sz="0" w:space="0" w:color="auto"/>
        <w:bottom w:val="none" w:sz="0" w:space="0" w:color="auto"/>
        <w:right w:val="none" w:sz="0" w:space="0" w:color="auto"/>
      </w:divBdr>
    </w:div>
    <w:div w:id="1663577878">
      <w:bodyDiv w:val="1"/>
      <w:marLeft w:val="0"/>
      <w:marRight w:val="0"/>
      <w:marTop w:val="0"/>
      <w:marBottom w:val="0"/>
      <w:divBdr>
        <w:top w:val="none" w:sz="0" w:space="0" w:color="auto"/>
        <w:left w:val="none" w:sz="0" w:space="0" w:color="auto"/>
        <w:bottom w:val="none" w:sz="0" w:space="0" w:color="auto"/>
        <w:right w:val="none" w:sz="0" w:space="0" w:color="auto"/>
      </w:divBdr>
    </w:div>
    <w:div w:id="1663896291">
      <w:bodyDiv w:val="1"/>
      <w:marLeft w:val="0"/>
      <w:marRight w:val="0"/>
      <w:marTop w:val="0"/>
      <w:marBottom w:val="0"/>
      <w:divBdr>
        <w:top w:val="none" w:sz="0" w:space="0" w:color="auto"/>
        <w:left w:val="none" w:sz="0" w:space="0" w:color="auto"/>
        <w:bottom w:val="none" w:sz="0" w:space="0" w:color="auto"/>
        <w:right w:val="none" w:sz="0" w:space="0" w:color="auto"/>
      </w:divBdr>
    </w:div>
    <w:div w:id="1671179024">
      <w:bodyDiv w:val="1"/>
      <w:marLeft w:val="0"/>
      <w:marRight w:val="0"/>
      <w:marTop w:val="0"/>
      <w:marBottom w:val="0"/>
      <w:divBdr>
        <w:top w:val="none" w:sz="0" w:space="0" w:color="auto"/>
        <w:left w:val="none" w:sz="0" w:space="0" w:color="auto"/>
        <w:bottom w:val="none" w:sz="0" w:space="0" w:color="auto"/>
        <w:right w:val="none" w:sz="0" w:space="0" w:color="auto"/>
      </w:divBdr>
      <w:divsChild>
        <w:div w:id="53822895">
          <w:marLeft w:val="475"/>
          <w:marRight w:val="0"/>
          <w:marTop w:val="168"/>
          <w:marBottom w:val="0"/>
          <w:divBdr>
            <w:top w:val="none" w:sz="0" w:space="0" w:color="auto"/>
            <w:left w:val="none" w:sz="0" w:space="0" w:color="auto"/>
            <w:bottom w:val="none" w:sz="0" w:space="0" w:color="auto"/>
            <w:right w:val="none" w:sz="0" w:space="0" w:color="auto"/>
          </w:divBdr>
        </w:div>
        <w:div w:id="411202597">
          <w:marLeft w:val="475"/>
          <w:marRight w:val="0"/>
          <w:marTop w:val="168"/>
          <w:marBottom w:val="0"/>
          <w:divBdr>
            <w:top w:val="none" w:sz="0" w:space="0" w:color="auto"/>
            <w:left w:val="none" w:sz="0" w:space="0" w:color="auto"/>
            <w:bottom w:val="none" w:sz="0" w:space="0" w:color="auto"/>
            <w:right w:val="none" w:sz="0" w:space="0" w:color="auto"/>
          </w:divBdr>
        </w:div>
        <w:div w:id="723649952">
          <w:marLeft w:val="475"/>
          <w:marRight w:val="0"/>
          <w:marTop w:val="168"/>
          <w:marBottom w:val="0"/>
          <w:divBdr>
            <w:top w:val="none" w:sz="0" w:space="0" w:color="auto"/>
            <w:left w:val="none" w:sz="0" w:space="0" w:color="auto"/>
            <w:bottom w:val="none" w:sz="0" w:space="0" w:color="auto"/>
            <w:right w:val="none" w:sz="0" w:space="0" w:color="auto"/>
          </w:divBdr>
        </w:div>
        <w:div w:id="1242175464">
          <w:marLeft w:val="475"/>
          <w:marRight w:val="0"/>
          <w:marTop w:val="168"/>
          <w:marBottom w:val="0"/>
          <w:divBdr>
            <w:top w:val="none" w:sz="0" w:space="0" w:color="auto"/>
            <w:left w:val="none" w:sz="0" w:space="0" w:color="auto"/>
            <w:bottom w:val="none" w:sz="0" w:space="0" w:color="auto"/>
            <w:right w:val="none" w:sz="0" w:space="0" w:color="auto"/>
          </w:divBdr>
        </w:div>
        <w:div w:id="1251546589">
          <w:marLeft w:val="475"/>
          <w:marRight w:val="0"/>
          <w:marTop w:val="168"/>
          <w:marBottom w:val="0"/>
          <w:divBdr>
            <w:top w:val="none" w:sz="0" w:space="0" w:color="auto"/>
            <w:left w:val="none" w:sz="0" w:space="0" w:color="auto"/>
            <w:bottom w:val="none" w:sz="0" w:space="0" w:color="auto"/>
            <w:right w:val="none" w:sz="0" w:space="0" w:color="auto"/>
          </w:divBdr>
        </w:div>
        <w:div w:id="1560508864">
          <w:marLeft w:val="475"/>
          <w:marRight w:val="0"/>
          <w:marTop w:val="168"/>
          <w:marBottom w:val="0"/>
          <w:divBdr>
            <w:top w:val="none" w:sz="0" w:space="0" w:color="auto"/>
            <w:left w:val="none" w:sz="0" w:space="0" w:color="auto"/>
            <w:bottom w:val="none" w:sz="0" w:space="0" w:color="auto"/>
            <w:right w:val="none" w:sz="0" w:space="0" w:color="auto"/>
          </w:divBdr>
        </w:div>
        <w:div w:id="1680083405">
          <w:marLeft w:val="475"/>
          <w:marRight w:val="0"/>
          <w:marTop w:val="168"/>
          <w:marBottom w:val="0"/>
          <w:divBdr>
            <w:top w:val="none" w:sz="0" w:space="0" w:color="auto"/>
            <w:left w:val="none" w:sz="0" w:space="0" w:color="auto"/>
            <w:bottom w:val="none" w:sz="0" w:space="0" w:color="auto"/>
            <w:right w:val="none" w:sz="0" w:space="0" w:color="auto"/>
          </w:divBdr>
        </w:div>
      </w:divsChild>
    </w:div>
    <w:div w:id="1671710657">
      <w:bodyDiv w:val="1"/>
      <w:marLeft w:val="0"/>
      <w:marRight w:val="0"/>
      <w:marTop w:val="0"/>
      <w:marBottom w:val="0"/>
      <w:divBdr>
        <w:top w:val="none" w:sz="0" w:space="0" w:color="auto"/>
        <w:left w:val="none" w:sz="0" w:space="0" w:color="auto"/>
        <w:bottom w:val="none" w:sz="0" w:space="0" w:color="auto"/>
        <w:right w:val="none" w:sz="0" w:space="0" w:color="auto"/>
      </w:divBdr>
    </w:div>
    <w:div w:id="1672636440">
      <w:bodyDiv w:val="1"/>
      <w:marLeft w:val="0"/>
      <w:marRight w:val="0"/>
      <w:marTop w:val="0"/>
      <w:marBottom w:val="0"/>
      <w:divBdr>
        <w:top w:val="none" w:sz="0" w:space="0" w:color="auto"/>
        <w:left w:val="none" w:sz="0" w:space="0" w:color="auto"/>
        <w:bottom w:val="none" w:sz="0" w:space="0" w:color="auto"/>
        <w:right w:val="none" w:sz="0" w:space="0" w:color="auto"/>
      </w:divBdr>
      <w:divsChild>
        <w:div w:id="530647604">
          <w:marLeft w:val="0"/>
          <w:marRight w:val="0"/>
          <w:marTop w:val="0"/>
          <w:marBottom w:val="0"/>
          <w:divBdr>
            <w:top w:val="none" w:sz="0" w:space="0" w:color="auto"/>
            <w:left w:val="none" w:sz="0" w:space="0" w:color="auto"/>
            <w:bottom w:val="none" w:sz="0" w:space="0" w:color="auto"/>
            <w:right w:val="none" w:sz="0" w:space="0" w:color="auto"/>
          </w:divBdr>
        </w:div>
        <w:div w:id="989334313">
          <w:marLeft w:val="0"/>
          <w:marRight w:val="0"/>
          <w:marTop w:val="0"/>
          <w:marBottom w:val="0"/>
          <w:divBdr>
            <w:top w:val="none" w:sz="0" w:space="0" w:color="auto"/>
            <w:left w:val="none" w:sz="0" w:space="0" w:color="auto"/>
            <w:bottom w:val="none" w:sz="0" w:space="0" w:color="auto"/>
            <w:right w:val="none" w:sz="0" w:space="0" w:color="auto"/>
          </w:divBdr>
        </w:div>
        <w:div w:id="1974360559">
          <w:marLeft w:val="0"/>
          <w:marRight w:val="0"/>
          <w:marTop w:val="0"/>
          <w:marBottom w:val="0"/>
          <w:divBdr>
            <w:top w:val="none" w:sz="0" w:space="0" w:color="auto"/>
            <w:left w:val="none" w:sz="0" w:space="0" w:color="auto"/>
            <w:bottom w:val="none" w:sz="0" w:space="0" w:color="auto"/>
            <w:right w:val="none" w:sz="0" w:space="0" w:color="auto"/>
          </w:divBdr>
        </w:div>
      </w:divsChild>
    </w:div>
    <w:div w:id="1673602148">
      <w:bodyDiv w:val="1"/>
      <w:marLeft w:val="0"/>
      <w:marRight w:val="0"/>
      <w:marTop w:val="0"/>
      <w:marBottom w:val="0"/>
      <w:divBdr>
        <w:top w:val="none" w:sz="0" w:space="0" w:color="auto"/>
        <w:left w:val="none" w:sz="0" w:space="0" w:color="auto"/>
        <w:bottom w:val="none" w:sz="0" w:space="0" w:color="auto"/>
        <w:right w:val="none" w:sz="0" w:space="0" w:color="auto"/>
      </w:divBdr>
    </w:div>
    <w:div w:id="1673793639">
      <w:bodyDiv w:val="1"/>
      <w:marLeft w:val="0"/>
      <w:marRight w:val="0"/>
      <w:marTop w:val="0"/>
      <w:marBottom w:val="0"/>
      <w:divBdr>
        <w:top w:val="none" w:sz="0" w:space="0" w:color="auto"/>
        <w:left w:val="none" w:sz="0" w:space="0" w:color="auto"/>
        <w:bottom w:val="none" w:sz="0" w:space="0" w:color="auto"/>
        <w:right w:val="none" w:sz="0" w:space="0" w:color="auto"/>
      </w:divBdr>
    </w:div>
    <w:div w:id="1680736670">
      <w:bodyDiv w:val="1"/>
      <w:marLeft w:val="0"/>
      <w:marRight w:val="0"/>
      <w:marTop w:val="0"/>
      <w:marBottom w:val="0"/>
      <w:divBdr>
        <w:top w:val="none" w:sz="0" w:space="0" w:color="auto"/>
        <w:left w:val="none" w:sz="0" w:space="0" w:color="auto"/>
        <w:bottom w:val="none" w:sz="0" w:space="0" w:color="auto"/>
        <w:right w:val="none" w:sz="0" w:space="0" w:color="auto"/>
      </w:divBdr>
      <w:divsChild>
        <w:div w:id="106892526">
          <w:marLeft w:val="475"/>
          <w:marRight w:val="0"/>
          <w:marTop w:val="168"/>
          <w:marBottom w:val="0"/>
          <w:divBdr>
            <w:top w:val="none" w:sz="0" w:space="0" w:color="auto"/>
            <w:left w:val="none" w:sz="0" w:space="0" w:color="auto"/>
            <w:bottom w:val="none" w:sz="0" w:space="0" w:color="auto"/>
            <w:right w:val="none" w:sz="0" w:space="0" w:color="auto"/>
          </w:divBdr>
        </w:div>
        <w:div w:id="124856968">
          <w:marLeft w:val="475"/>
          <w:marRight w:val="0"/>
          <w:marTop w:val="168"/>
          <w:marBottom w:val="0"/>
          <w:divBdr>
            <w:top w:val="none" w:sz="0" w:space="0" w:color="auto"/>
            <w:left w:val="none" w:sz="0" w:space="0" w:color="auto"/>
            <w:bottom w:val="none" w:sz="0" w:space="0" w:color="auto"/>
            <w:right w:val="none" w:sz="0" w:space="0" w:color="auto"/>
          </w:divBdr>
        </w:div>
        <w:div w:id="768820378">
          <w:marLeft w:val="475"/>
          <w:marRight w:val="0"/>
          <w:marTop w:val="168"/>
          <w:marBottom w:val="0"/>
          <w:divBdr>
            <w:top w:val="none" w:sz="0" w:space="0" w:color="auto"/>
            <w:left w:val="none" w:sz="0" w:space="0" w:color="auto"/>
            <w:bottom w:val="none" w:sz="0" w:space="0" w:color="auto"/>
            <w:right w:val="none" w:sz="0" w:space="0" w:color="auto"/>
          </w:divBdr>
        </w:div>
      </w:divsChild>
    </w:div>
    <w:div w:id="1688436170">
      <w:bodyDiv w:val="1"/>
      <w:marLeft w:val="0"/>
      <w:marRight w:val="0"/>
      <w:marTop w:val="0"/>
      <w:marBottom w:val="0"/>
      <w:divBdr>
        <w:top w:val="none" w:sz="0" w:space="0" w:color="auto"/>
        <w:left w:val="none" w:sz="0" w:space="0" w:color="auto"/>
        <w:bottom w:val="none" w:sz="0" w:space="0" w:color="auto"/>
        <w:right w:val="none" w:sz="0" w:space="0" w:color="auto"/>
      </w:divBdr>
    </w:div>
    <w:div w:id="1694376638">
      <w:bodyDiv w:val="1"/>
      <w:marLeft w:val="0"/>
      <w:marRight w:val="0"/>
      <w:marTop w:val="0"/>
      <w:marBottom w:val="0"/>
      <w:divBdr>
        <w:top w:val="none" w:sz="0" w:space="0" w:color="auto"/>
        <w:left w:val="none" w:sz="0" w:space="0" w:color="auto"/>
        <w:bottom w:val="none" w:sz="0" w:space="0" w:color="auto"/>
        <w:right w:val="none" w:sz="0" w:space="0" w:color="auto"/>
      </w:divBdr>
    </w:div>
    <w:div w:id="1701010961">
      <w:bodyDiv w:val="1"/>
      <w:marLeft w:val="0"/>
      <w:marRight w:val="0"/>
      <w:marTop w:val="0"/>
      <w:marBottom w:val="0"/>
      <w:divBdr>
        <w:top w:val="none" w:sz="0" w:space="0" w:color="auto"/>
        <w:left w:val="none" w:sz="0" w:space="0" w:color="auto"/>
        <w:bottom w:val="none" w:sz="0" w:space="0" w:color="auto"/>
        <w:right w:val="none" w:sz="0" w:space="0" w:color="auto"/>
      </w:divBdr>
    </w:div>
    <w:div w:id="1702626769">
      <w:bodyDiv w:val="1"/>
      <w:marLeft w:val="0"/>
      <w:marRight w:val="0"/>
      <w:marTop w:val="0"/>
      <w:marBottom w:val="0"/>
      <w:divBdr>
        <w:top w:val="none" w:sz="0" w:space="0" w:color="auto"/>
        <w:left w:val="none" w:sz="0" w:space="0" w:color="auto"/>
        <w:bottom w:val="none" w:sz="0" w:space="0" w:color="auto"/>
        <w:right w:val="none" w:sz="0" w:space="0" w:color="auto"/>
      </w:divBdr>
    </w:div>
    <w:div w:id="1727677202">
      <w:bodyDiv w:val="1"/>
      <w:marLeft w:val="0"/>
      <w:marRight w:val="0"/>
      <w:marTop w:val="0"/>
      <w:marBottom w:val="0"/>
      <w:divBdr>
        <w:top w:val="none" w:sz="0" w:space="0" w:color="auto"/>
        <w:left w:val="none" w:sz="0" w:space="0" w:color="auto"/>
        <w:bottom w:val="none" w:sz="0" w:space="0" w:color="auto"/>
        <w:right w:val="none" w:sz="0" w:space="0" w:color="auto"/>
      </w:divBdr>
    </w:div>
    <w:div w:id="1730571382">
      <w:bodyDiv w:val="1"/>
      <w:marLeft w:val="0"/>
      <w:marRight w:val="0"/>
      <w:marTop w:val="0"/>
      <w:marBottom w:val="0"/>
      <w:divBdr>
        <w:top w:val="none" w:sz="0" w:space="0" w:color="auto"/>
        <w:left w:val="none" w:sz="0" w:space="0" w:color="auto"/>
        <w:bottom w:val="none" w:sz="0" w:space="0" w:color="auto"/>
        <w:right w:val="none" w:sz="0" w:space="0" w:color="auto"/>
      </w:divBdr>
    </w:div>
    <w:div w:id="1733191152">
      <w:bodyDiv w:val="1"/>
      <w:marLeft w:val="0"/>
      <w:marRight w:val="0"/>
      <w:marTop w:val="0"/>
      <w:marBottom w:val="0"/>
      <w:divBdr>
        <w:top w:val="none" w:sz="0" w:space="0" w:color="auto"/>
        <w:left w:val="none" w:sz="0" w:space="0" w:color="auto"/>
        <w:bottom w:val="none" w:sz="0" w:space="0" w:color="auto"/>
        <w:right w:val="none" w:sz="0" w:space="0" w:color="auto"/>
      </w:divBdr>
      <w:divsChild>
        <w:div w:id="100882550">
          <w:marLeft w:val="0"/>
          <w:marRight w:val="0"/>
          <w:marTop w:val="0"/>
          <w:marBottom w:val="0"/>
          <w:divBdr>
            <w:top w:val="none" w:sz="0" w:space="0" w:color="auto"/>
            <w:left w:val="none" w:sz="0" w:space="0" w:color="auto"/>
            <w:bottom w:val="none" w:sz="0" w:space="0" w:color="auto"/>
            <w:right w:val="none" w:sz="0" w:space="0" w:color="auto"/>
          </w:divBdr>
        </w:div>
        <w:div w:id="1088768925">
          <w:marLeft w:val="0"/>
          <w:marRight w:val="0"/>
          <w:marTop w:val="0"/>
          <w:marBottom w:val="0"/>
          <w:divBdr>
            <w:top w:val="none" w:sz="0" w:space="0" w:color="auto"/>
            <w:left w:val="none" w:sz="0" w:space="0" w:color="auto"/>
            <w:bottom w:val="none" w:sz="0" w:space="0" w:color="auto"/>
            <w:right w:val="none" w:sz="0" w:space="0" w:color="auto"/>
          </w:divBdr>
        </w:div>
        <w:div w:id="1272125265">
          <w:marLeft w:val="0"/>
          <w:marRight w:val="0"/>
          <w:marTop w:val="0"/>
          <w:marBottom w:val="0"/>
          <w:divBdr>
            <w:top w:val="none" w:sz="0" w:space="0" w:color="auto"/>
            <w:left w:val="none" w:sz="0" w:space="0" w:color="auto"/>
            <w:bottom w:val="none" w:sz="0" w:space="0" w:color="auto"/>
            <w:right w:val="none" w:sz="0" w:space="0" w:color="auto"/>
          </w:divBdr>
        </w:div>
      </w:divsChild>
    </w:div>
    <w:div w:id="1733651796">
      <w:bodyDiv w:val="1"/>
      <w:marLeft w:val="0"/>
      <w:marRight w:val="0"/>
      <w:marTop w:val="0"/>
      <w:marBottom w:val="0"/>
      <w:divBdr>
        <w:top w:val="none" w:sz="0" w:space="0" w:color="auto"/>
        <w:left w:val="none" w:sz="0" w:space="0" w:color="auto"/>
        <w:bottom w:val="none" w:sz="0" w:space="0" w:color="auto"/>
        <w:right w:val="none" w:sz="0" w:space="0" w:color="auto"/>
      </w:divBdr>
      <w:divsChild>
        <w:div w:id="214465543">
          <w:marLeft w:val="475"/>
          <w:marRight w:val="0"/>
          <w:marTop w:val="168"/>
          <w:marBottom w:val="0"/>
          <w:divBdr>
            <w:top w:val="none" w:sz="0" w:space="0" w:color="auto"/>
            <w:left w:val="none" w:sz="0" w:space="0" w:color="auto"/>
            <w:bottom w:val="none" w:sz="0" w:space="0" w:color="auto"/>
            <w:right w:val="none" w:sz="0" w:space="0" w:color="auto"/>
          </w:divBdr>
        </w:div>
        <w:div w:id="455099322">
          <w:marLeft w:val="475"/>
          <w:marRight w:val="0"/>
          <w:marTop w:val="168"/>
          <w:marBottom w:val="0"/>
          <w:divBdr>
            <w:top w:val="none" w:sz="0" w:space="0" w:color="auto"/>
            <w:left w:val="none" w:sz="0" w:space="0" w:color="auto"/>
            <w:bottom w:val="none" w:sz="0" w:space="0" w:color="auto"/>
            <w:right w:val="none" w:sz="0" w:space="0" w:color="auto"/>
          </w:divBdr>
        </w:div>
        <w:div w:id="634600643">
          <w:marLeft w:val="475"/>
          <w:marRight w:val="0"/>
          <w:marTop w:val="168"/>
          <w:marBottom w:val="0"/>
          <w:divBdr>
            <w:top w:val="none" w:sz="0" w:space="0" w:color="auto"/>
            <w:left w:val="none" w:sz="0" w:space="0" w:color="auto"/>
            <w:bottom w:val="none" w:sz="0" w:space="0" w:color="auto"/>
            <w:right w:val="none" w:sz="0" w:space="0" w:color="auto"/>
          </w:divBdr>
        </w:div>
        <w:div w:id="1409811392">
          <w:marLeft w:val="475"/>
          <w:marRight w:val="0"/>
          <w:marTop w:val="168"/>
          <w:marBottom w:val="0"/>
          <w:divBdr>
            <w:top w:val="none" w:sz="0" w:space="0" w:color="auto"/>
            <w:left w:val="none" w:sz="0" w:space="0" w:color="auto"/>
            <w:bottom w:val="none" w:sz="0" w:space="0" w:color="auto"/>
            <w:right w:val="none" w:sz="0" w:space="0" w:color="auto"/>
          </w:divBdr>
        </w:div>
        <w:div w:id="1430349590">
          <w:marLeft w:val="475"/>
          <w:marRight w:val="0"/>
          <w:marTop w:val="168"/>
          <w:marBottom w:val="0"/>
          <w:divBdr>
            <w:top w:val="none" w:sz="0" w:space="0" w:color="auto"/>
            <w:left w:val="none" w:sz="0" w:space="0" w:color="auto"/>
            <w:bottom w:val="none" w:sz="0" w:space="0" w:color="auto"/>
            <w:right w:val="none" w:sz="0" w:space="0" w:color="auto"/>
          </w:divBdr>
        </w:div>
        <w:div w:id="1595942670">
          <w:marLeft w:val="475"/>
          <w:marRight w:val="0"/>
          <w:marTop w:val="168"/>
          <w:marBottom w:val="0"/>
          <w:divBdr>
            <w:top w:val="none" w:sz="0" w:space="0" w:color="auto"/>
            <w:left w:val="none" w:sz="0" w:space="0" w:color="auto"/>
            <w:bottom w:val="none" w:sz="0" w:space="0" w:color="auto"/>
            <w:right w:val="none" w:sz="0" w:space="0" w:color="auto"/>
          </w:divBdr>
        </w:div>
        <w:div w:id="1710496978">
          <w:marLeft w:val="475"/>
          <w:marRight w:val="0"/>
          <w:marTop w:val="168"/>
          <w:marBottom w:val="0"/>
          <w:divBdr>
            <w:top w:val="none" w:sz="0" w:space="0" w:color="auto"/>
            <w:left w:val="none" w:sz="0" w:space="0" w:color="auto"/>
            <w:bottom w:val="none" w:sz="0" w:space="0" w:color="auto"/>
            <w:right w:val="none" w:sz="0" w:space="0" w:color="auto"/>
          </w:divBdr>
        </w:div>
        <w:div w:id="1713846116">
          <w:marLeft w:val="475"/>
          <w:marRight w:val="0"/>
          <w:marTop w:val="168"/>
          <w:marBottom w:val="0"/>
          <w:divBdr>
            <w:top w:val="none" w:sz="0" w:space="0" w:color="auto"/>
            <w:left w:val="none" w:sz="0" w:space="0" w:color="auto"/>
            <w:bottom w:val="none" w:sz="0" w:space="0" w:color="auto"/>
            <w:right w:val="none" w:sz="0" w:space="0" w:color="auto"/>
          </w:divBdr>
        </w:div>
        <w:div w:id="1806268193">
          <w:marLeft w:val="475"/>
          <w:marRight w:val="0"/>
          <w:marTop w:val="168"/>
          <w:marBottom w:val="0"/>
          <w:divBdr>
            <w:top w:val="none" w:sz="0" w:space="0" w:color="auto"/>
            <w:left w:val="none" w:sz="0" w:space="0" w:color="auto"/>
            <w:bottom w:val="none" w:sz="0" w:space="0" w:color="auto"/>
            <w:right w:val="none" w:sz="0" w:space="0" w:color="auto"/>
          </w:divBdr>
        </w:div>
        <w:div w:id="1850484144">
          <w:marLeft w:val="475"/>
          <w:marRight w:val="0"/>
          <w:marTop w:val="168"/>
          <w:marBottom w:val="0"/>
          <w:divBdr>
            <w:top w:val="none" w:sz="0" w:space="0" w:color="auto"/>
            <w:left w:val="none" w:sz="0" w:space="0" w:color="auto"/>
            <w:bottom w:val="none" w:sz="0" w:space="0" w:color="auto"/>
            <w:right w:val="none" w:sz="0" w:space="0" w:color="auto"/>
          </w:divBdr>
        </w:div>
      </w:divsChild>
    </w:div>
    <w:div w:id="1735473380">
      <w:bodyDiv w:val="1"/>
      <w:marLeft w:val="0"/>
      <w:marRight w:val="0"/>
      <w:marTop w:val="0"/>
      <w:marBottom w:val="0"/>
      <w:divBdr>
        <w:top w:val="none" w:sz="0" w:space="0" w:color="auto"/>
        <w:left w:val="none" w:sz="0" w:space="0" w:color="auto"/>
        <w:bottom w:val="none" w:sz="0" w:space="0" w:color="auto"/>
        <w:right w:val="none" w:sz="0" w:space="0" w:color="auto"/>
      </w:divBdr>
    </w:div>
    <w:div w:id="1744063901">
      <w:bodyDiv w:val="1"/>
      <w:marLeft w:val="0"/>
      <w:marRight w:val="0"/>
      <w:marTop w:val="0"/>
      <w:marBottom w:val="0"/>
      <w:divBdr>
        <w:top w:val="none" w:sz="0" w:space="0" w:color="auto"/>
        <w:left w:val="none" w:sz="0" w:space="0" w:color="auto"/>
        <w:bottom w:val="none" w:sz="0" w:space="0" w:color="auto"/>
        <w:right w:val="none" w:sz="0" w:space="0" w:color="auto"/>
      </w:divBdr>
    </w:div>
    <w:div w:id="1746489312">
      <w:bodyDiv w:val="1"/>
      <w:marLeft w:val="0"/>
      <w:marRight w:val="0"/>
      <w:marTop w:val="0"/>
      <w:marBottom w:val="0"/>
      <w:divBdr>
        <w:top w:val="none" w:sz="0" w:space="0" w:color="auto"/>
        <w:left w:val="none" w:sz="0" w:space="0" w:color="auto"/>
        <w:bottom w:val="none" w:sz="0" w:space="0" w:color="auto"/>
        <w:right w:val="none" w:sz="0" w:space="0" w:color="auto"/>
      </w:divBdr>
    </w:div>
    <w:div w:id="1749227463">
      <w:bodyDiv w:val="1"/>
      <w:marLeft w:val="0"/>
      <w:marRight w:val="0"/>
      <w:marTop w:val="0"/>
      <w:marBottom w:val="0"/>
      <w:divBdr>
        <w:top w:val="none" w:sz="0" w:space="0" w:color="auto"/>
        <w:left w:val="none" w:sz="0" w:space="0" w:color="auto"/>
        <w:bottom w:val="none" w:sz="0" w:space="0" w:color="auto"/>
        <w:right w:val="none" w:sz="0" w:space="0" w:color="auto"/>
      </w:divBdr>
    </w:div>
    <w:div w:id="1752433927">
      <w:bodyDiv w:val="1"/>
      <w:marLeft w:val="0"/>
      <w:marRight w:val="0"/>
      <w:marTop w:val="0"/>
      <w:marBottom w:val="0"/>
      <w:divBdr>
        <w:top w:val="none" w:sz="0" w:space="0" w:color="auto"/>
        <w:left w:val="none" w:sz="0" w:space="0" w:color="auto"/>
        <w:bottom w:val="none" w:sz="0" w:space="0" w:color="auto"/>
        <w:right w:val="none" w:sz="0" w:space="0" w:color="auto"/>
      </w:divBdr>
    </w:div>
    <w:div w:id="1761178692">
      <w:bodyDiv w:val="1"/>
      <w:marLeft w:val="0"/>
      <w:marRight w:val="0"/>
      <w:marTop w:val="0"/>
      <w:marBottom w:val="0"/>
      <w:divBdr>
        <w:top w:val="none" w:sz="0" w:space="0" w:color="auto"/>
        <w:left w:val="none" w:sz="0" w:space="0" w:color="auto"/>
        <w:bottom w:val="none" w:sz="0" w:space="0" w:color="auto"/>
        <w:right w:val="none" w:sz="0" w:space="0" w:color="auto"/>
      </w:divBdr>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
    <w:div w:id="1775856776">
      <w:bodyDiv w:val="1"/>
      <w:marLeft w:val="0"/>
      <w:marRight w:val="0"/>
      <w:marTop w:val="0"/>
      <w:marBottom w:val="0"/>
      <w:divBdr>
        <w:top w:val="none" w:sz="0" w:space="0" w:color="auto"/>
        <w:left w:val="none" w:sz="0" w:space="0" w:color="auto"/>
        <w:bottom w:val="none" w:sz="0" w:space="0" w:color="auto"/>
        <w:right w:val="none" w:sz="0" w:space="0" w:color="auto"/>
      </w:divBdr>
    </w:div>
    <w:div w:id="1787849853">
      <w:bodyDiv w:val="1"/>
      <w:marLeft w:val="0"/>
      <w:marRight w:val="0"/>
      <w:marTop w:val="0"/>
      <w:marBottom w:val="0"/>
      <w:divBdr>
        <w:top w:val="none" w:sz="0" w:space="0" w:color="auto"/>
        <w:left w:val="none" w:sz="0" w:space="0" w:color="auto"/>
        <w:bottom w:val="none" w:sz="0" w:space="0" w:color="auto"/>
        <w:right w:val="none" w:sz="0" w:space="0" w:color="auto"/>
      </w:divBdr>
      <w:divsChild>
        <w:div w:id="1013454789">
          <w:marLeft w:val="0"/>
          <w:marRight w:val="0"/>
          <w:marTop w:val="0"/>
          <w:marBottom w:val="0"/>
          <w:divBdr>
            <w:top w:val="none" w:sz="0" w:space="0" w:color="auto"/>
            <w:left w:val="none" w:sz="0" w:space="0" w:color="auto"/>
            <w:bottom w:val="none" w:sz="0" w:space="0" w:color="auto"/>
            <w:right w:val="none" w:sz="0" w:space="0" w:color="auto"/>
          </w:divBdr>
          <w:divsChild>
            <w:div w:id="1887444332">
              <w:marLeft w:val="0"/>
              <w:marRight w:val="0"/>
              <w:marTop w:val="0"/>
              <w:marBottom w:val="0"/>
              <w:divBdr>
                <w:top w:val="none" w:sz="0" w:space="0" w:color="auto"/>
                <w:left w:val="none" w:sz="0" w:space="0" w:color="auto"/>
                <w:bottom w:val="none" w:sz="0" w:space="0" w:color="auto"/>
                <w:right w:val="none" w:sz="0" w:space="0" w:color="auto"/>
              </w:divBdr>
              <w:divsChild>
                <w:div w:id="968895187">
                  <w:marLeft w:val="0"/>
                  <w:marRight w:val="0"/>
                  <w:marTop w:val="0"/>
                  <w:marBottom w:val="0"/>
                  <w:divBdr>
                    <w:top w:val="none" w:sz="0" w:space="0" w:color="auto"/>
                    <w:left w:val="none" w:sz="0" w:space="0" w:color="auto"/>
                    <w:bottom w:val="none" w:sz="0" w:space="0" w:color="auto"/>
                    <w:right w:val="none" w:sz="0" w:space="0" w:color="auto"/>
                  </w:divBdr>
                  <w:divsChild>
                    <w:div w:id="324214190">
                      <w:marLeft w:val="0"/>
                      <w:marRight w:val="0"/>
                      <w:marTop w:val="0"/>
                      <w:marBottom w:val="0"/>
                      <w:divBdr>
                        <w:top w:val="none" w:sz="0" w:space="0" w:color="auto"/>
                        <w:left w:val="none" w:sz="0" w:space="0" w:color="auto"/>
                        <w:bottom w:val="none" w:sz="0" w:space="0" w:color="auto"/>
                        <w:right w:val="none" w:sz="0" w:space="0" w:color="auto"/>
                      </w:divBdr>
                      <w:divsChild>
                        <w:div w:id="750274088">
                          <w:marLeft w:val="0"/>
                          <w:marRight w:val="0"/>
                          <w:marTop w:val="0"/>
                          <w:marBottom w:val="0"/>
                          <w:divBdr>
                            <w:top w:val="none" w:sz="0" w:space="0" w:color="auto"/>
                            <w:left w:val="none" w:sz="0" w:space="0" w:color="auto"/>
                            <w:bottom w:val="none" w:sz="0" w:space="0" w:color="auto"/>
                            <w:right w:val="none" w:sz="0" w:space="0" w:color="auto"/>
                          </w:divBdr>
                          <w:divsChild>
                            <w:div w:id="14085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53996">
      <w:bodyDiv w:val="1"/>
      <w:marLeft w:val="0"/>
      <w:marRight w:val="0"/>
      <w:marTop w:val="0"/>
      <w:marBottom w:val="0"/>
      <w:divBdr>
        <w:top w:val="none" w:sz="0" w:space="0" w:color="auto"/>
        <w:left w:val="none" w:sz="0" w:space="0" w:color="auto"/>
        <w:bottom w:val="none" w:sz="0" w:space="0" w:color="auto"/>
        <w:right w:val="none" w:sz="0" w:space="0" w:color="auto"/>
      </w:divBdr>
      <w:divsChild>
        <w:div w:id="20908974">
          <w:marLeft w:val="475"/>
          <w:marRight w:val="0"/>
          <w:marTop w:val="168"/>
          <w:marBottom w:val="0"/>
          <w:divBdr>
            <w:top w:val="none" w:sz="0" w:space="0" w:color="auto"/>
            <w:left w:val="none" w:sz="0" w:space="0" w:color="auto"/>
            <w:bottom w:val="none" w:sz="0" w:space="0" w:color="auto"/>
            <w:right w:val="none" w:sz="0" w:space="0" w:color="auto"/>
          </w:divBdr>
        </w:div>
        <w:div w:id="203838120">
          <w:marLeft w:val="475"/>
          <w:marRight w:val="0"/>
          <w:marTop w:val="168"/>
          <w:marBottom w:val="0"/>
          <w:divBdr>
            <w:top w:val="none" w:sz="0" w:space="0" w:color="auto"/>
            <w:left w:val="none" w:sz="0" w:space="0" w:color="auto"/>
            <w:bottom w:val="none" w:sz="0" w:space="0" w:color="auto"/>
            <w:right w:val="none" w:sz="0" w:space="0" w:color="auto"/>
          </w:divBdr>
        </w:div>
        <w:div w:id="535630254">
          <w:marLeft w:val="1181"/>
          <w:marRight w:val="0"/>
          <w:marTop w:val="168"/>
          <w:marBottom w:val="0"/>
          <w:divBdr>
            <w:top w:val="none" w:sz="0" w:space="0" w:color="auto"/>
            <w:left w:val="none" w:sz="0" w:space="0" w:color="auto"/>
            <w:bottom w:val="none" w:sz="0" w:space="0" w:color="auto"/>
            <w:right w:val="none" w:sz="0" w:space="0" w:color="auto"/>
          </w:divBdr>
        </w:div>
        <w:div w:id="556168203">
          <w:marLeft w:val="475"/>
          <w:marRight w:val="0"/>
          <w:marTop w:val="168"/>
          <w:marBottom w:val="0"/>
          <w:divBdr>
            <w:top w:val="none" w:sz="0" w:space="0" w:color="auto"/>
            <w:left w:val="none" w:sz="0" w:space="0" w:color="auto"/>
            <w:bottom w:val="none" w:sz="0" w:space="0" w:color="auto"/>
            <w:right w:val="none" w:sz="0" w:space="0" w:color="auto"/>
          </w:divBdr>
        </w:div>
        <w:div w:id="780421758">
          <w:marLeft w:val="1181"/>
          <w:marRight w:val="0"/>
          <w:marTop w:val="168"/>
          <w:marBottom w:val="0"/>
          <w:divBdr>
            <w:top w:val="none" w:sz="0" w:space="0" w:color="auto"/>
            <w:left w:val="none" w:sz="0" w:space="0" w:color="auto"/>
            <w:bottom w:val="none" w:sz="0" w:space="0" w:color="auto"/>
            <w:right w:val="none" w:sz="0" w:space="0" w:color="auto"/>
          </w:divBdr>
        </w:div>
        <w:div w:id="934435814">
          <w:marLeft w:val="1181"/>
          <w:marRight w:val="0"/>
          <w:marTop w:val="168"/>
          <w:marBottom w:val="0"/>
          <w:divBdr>
            <w:top w:val="none" w:sz="0" w:space="0" w:color="auto"/>
            <w:left w:val="none" w:sz="0" w:space="0" w:color="auto"/>
            <w:bottom w:val="none" w:sz="0" w:space="0" w:color="auto"/>
            <w:right w:val="none" w:sz="0" w:space="0" w:color="auto"/>
          </w:divBdr>
        </w:div>
        <w:div w:id="1179154179">
          <w:marLeft w:val="1181"/>
          <w:marRight w:val="0"/>
          <w:marTop w:val="168"/>
          <w:marBottom w:val="0"/>
          <w:divBdr>
            <w:top w:val="none" w:sz="0" w:space="0" w:color="auto"/>
            <w:left w:val="none" w:sz="0" w:space="0" w:color="auto"/>
            <w:bottom w:val="none" w:sz="0" w:space="0" w:color="auto"/>
            <w:right w:val="none" w:sz="0" w:space="0" w:color="auto"/>
          </w:divBdr>
        </w:div>
        <w:div w:id="1400440724">
          <w:marLeft w:val="1181"/>
          <w:marRight w:val="0"/>
          <w:marTop w:val="168"/>
          <w:marBottom w:val="0"/>
          <w:divBdr>
            <w:top w:val="none" w:sz="0" w:space="0" w:color="auto"/>
            <w:left w:val="none" w:sz="0" w:space="0" w:color="auto"/>
            <w:bottom w:val="none" w:sz="0" w:space="0" w:color="auto"/>
            <w:right w:val="none" w:sz="0" w:space="0" w:color="auto"/>
          </w:divBdr>
        </w:div>
        <w:div w:id="1436706674">
          <w:marLeft w:val="1181"/>
          <w:marRight w:val="0"/>
          <w:marTop w:val="168"/>
          <w:marBottom w:val="0"/>
          <w:divBdr>
            <w:top w:val="none" w:sz="0" w:space="0" w:color="auto"/>
            <w:left w:val="none" w:sz="0" w:space="0" w:color="auto"/>
            <w:bottom w:val="none" w:sz="0" w:space="0" w:color="auto"/>
            <w:right w:val="none" w:sz="0" w:space="0" w:color="auto"/>
          </w:divBdr>
        </w:div>
        <w:div w:id="2071733814">
          <w:marLeft w:val="475"/>
          <w:marRight w:val="0"/>
          <w:marTop w:val="168"/>
          <w:marBottom w:val="0"/>
          <w:divBdr>
            <w:top w:val="none" w:sz="0" w:space="0" w:color="auto"/>
            <w:left w:val="none" w:sz="0" w:space="0" w:color="auto"/>
            <w:bottom w:val="none" w:sz="0" w:space="0" w:color="auto"/>
            <w:right w:val="none" w:sz="0" w:space="0" w:color="auto"/>
          </w:divBdr>
        </w:div>
        <w:div w:id="2108382678">
          <w:marLeft w:val="475"/>
          <w:marRight w:val="0"/>
          <w:marTop w:val="168"/>
          <w:marBottom w:val="0"/>
          <w:divBdr>
            <w:top w:val="none" w:sz="0" w:space="0" w:color="auto"/>
            <w:left w:val="none" w:sz="0" w:space="0" w:color="auto"/>
            <w:bottom w:val="none" w:sz="0" w:space="0" w:color="auto"/>
            <w:right w:val="none" w:sz="0" w:space="0" w:color="auto"/>
          </w:divBdr>
        </w:div>
      </w:divsChild>
    </w:div>
    <w:div w:id="1818262727">
      <w:bodyDiv w:val="1"/>
      <w:marLeft w:val="0"/>
      <w:marRight w:val="0"/>
      <w:marTop w:val="0"/>
      <w:marBottom w:val="0"/>
      <w:divBdr>
        <w:top w:val="none" w:sz="0" w:space="0" w:color="auto"/>
        <w:left w:val="none" w:sz="0" w:space="0" w:color="auto"/>
        <w:bottom w:val="none" w:sz="0" w:space="0" w:color="auto"/>
        <w:right w:val="none" w:sz="0" w:space="0" w:color="auto"/>
      </w:divBdr>
    </w:div>
    <w:div w:id="1826508418">
      <w:bodyDiv w:val="1"/>
      <w:marLeft w:val="0"/>
      <w:marRight w:val="0"/>
      <w:marTop w:val="0"/>
      <w:marBottom w:val="0"/>
      <w:divBdr>
        <w:top w:val="none" w:sz="0" w:space="0" w:color="auto"/>
        <w:left w:val="none" w:sz="0" w:space="0" w:color="auto"/>
        <w:bottom w:val="none" w:sz="0" w:space="0" w:color="auto"/>
        <w:right w:val="none" w:sz="0" w:space="0" w:color="auto"/>
      </w:divBdr>
    </w:div>
    <w:div w:id="1828664338">
      <w:bodyDiv w:val="1"/>
      <w:marLeft w:val="0"/>
      <w:marRight w:val="0"/>
      <w:marTop w:val="0"/>
      <w:marBottom w:val="0"/>
      <w:divBdr>
        <w:top w:val="none" w:sz="0" w:space="0" w:color="auto"/>
        <w:left w:val="none" w:sz="0" w:space="0" w:color="auto"/>
        <w:bottom w:val="none" w:sz="0" w:space="0" w:color="auto"/>
        <w:right w:val="none" w:sz="0" w:space="0" w:color="auto"/>
      </w:divBdr>
    </w:div>
    <w:div w:id="1834104439">
      <w:bodyDiv w:val="1"/>
      <w:marLeft w:val="0"/>
      <w:marRight w:val="0"/>
      <w:marTop w:val="0"/>
      <w:marBottom w:val="0"/>
      <w:divBdr>
        <w:top w:val="none" w:sz="0" w:space="0" w:color="auto"/>
        <w:left w:val="none" w:sz="0" w:space="0" w:color="auto"/>
        <w:bottom w:val="none" w:sz="0" w:space="0" w:color="auto"/>
        <w:right w:val="none" w:sz="0" w:space="0" w:color="auto"/>
      </w:divBdr>
      <w:divsChild>
        <w:div w:id="26099919">
          <w:marLeft w:val="259"/>
          <w:marRight w:val="0"/>
          <w:marTop w:val="132"/>
          <w:marBottom w:val="0"/>
          <w:divBdr>
            <w:top w:val="none" w:sz="0" w:space="0" w:color="auto"/>
            <w:left w:val="none" w:sz="0" w:space="0" w:color="auto"/>
            <w:bottom w:val="none" w:sz="0" w:space="0" w:color="auto"/>
            <w:right w:val="none" w:sz="0" w:space="0" w:color="auto"/>
          </w:divBdr>
        </w:div>
        <w:div w:id="109472845">
          <w:marLeft w:val="259"/>
          <w:marRight w:val="0"/>
          <w:marTop w:val="132"/>
          <w:marBottom w:val="0"/>
          <w:divBdr>
            <w:top w:val="none" w:sz="0" w:space="0" w:color="auto"/>
            <w:left w:val="none" w:sz="0" w:space="0" w:color="auto"/>
            <w:bottom w:val="none" w:sz="0" w:space="0" w:color="auto"/>
            <w:right w:val="none" w:sz="0" w:space="0" w:color="auto"/>
          </w:divBdr>
        </w:div>
        <w:div w:id="494345258">
          <w:marLeft w:val="259"/>
          <w:marRight w:val="0"/>
          <w:marTop w:val="132"/>
          <w:marBottom w:val="0"/>
          <w:divBdr>
            <w:top w:val="none" w:sz="0" w:space="0" w:color="auto"/>
            <w:left w:val="none" w:sz="0" w:space="0" w:color="auto"/>
            <w:bottom w:val="none" w:sz="0" w:space="0" w:color="auto"/>
            <w:right w:val="none" w:sz="0" w:space="0" w:color="auto"/>
          </w:divBdr>
        </w:div>
        <w:div w:id="1026442028">
          <w:marLeft w:val="259"/>
          <w:marRight w:val="0"/>
          <w:marTop w:val="132"/>
          <w:marBottom w:val="0"/>
          <w:divBdr>
            <w:top w:val="none" w:sz="0" w:space="0" w:color="auto"/>
            <w:left w:val="none" w:sz="0" w:space="0" w:color="auto"/>
            <w:bottom w:val="none" w:sz="0" w:space="0" w:color="auto"/>
            <w:right w:val="none" w:sz="0" w:space="0" w:color="auto"/>
          </w:divBdr>
        </w:div>
        <w:div w:id="1354385109">
          <w:marLeft w:val="259"/>
          <w:marRight w:val="0"/>
          <w:marTop w:val="132"/>
          <w:marBottom w:val="0"/>
          <w:divBdr>
            <w:top w:val="none" w:sz="0" w:space="0" w:color="auto"/>
            <w:left w:val="none" w:sz="0" w:space="0" w:color="auto"/>
            <w:bottom w:val="none" w:sz="0" w:space="0" w:color="auto"/>
            <w:right w:val="none" w:sz="0" w:space="0" w:color="auto"/>
          </w:divBdr>
        </w:div>
        <w:div w:id="1389959312">
          <w:marLeft w:val="259"/>
          <w:marRight w:val="0"/>
          <w:marTop w:val="132"/>
          <w:marBottom w:val="0"/>
          <w:divBdr>
            <w:top w:val="none" w:sz="0" w:space="0" w:color="auto"/>
            <w:left w:val="none" w:sz="0" w:space="0" w:color="auto"/>
            <w:bottom w:val="none" w:sz="0" w:space="0" w:color="auto"/>
            <w:right w:val="none" w:sz="0" w:space="0" w:color="auto"/>
          </w:divBdr>
        </w:div>
        <w:div w:id="1420786946">
          <w:marLeft w:val="259"/>
          <w:marRight w:val="0"/>
          <w:marTop w:val="132"/>
          <w:marBottom w:val="0"/>
          <w:divBdr>
            <w:top w:val="none" w:sz="0" w:space="0" w:color="auto"/>
            <w:left w:val="none" w:sz="0" w:space="0" w:color="auto"/>
            <w:bottom w:val="none" w:sz="0" w:space="0" w:color="auto"/>
            <w:right w:val="none" w:sz="0" w:space="0" w:color="auto"/>
          </w:divBdr>
        </w:div>
        <w:div w:id="1511020352">
          <w:marLeft w:val="259"/>
          <w:marRight w:val="0"/>
          <w:marTop w:val="132"/>
          <w:marBottom w:val="0"/>
          <w:divBdr>
            <w:top w:val="none" w:sz="0" w:space="0" w:color="auto"/>
            <w:left w:val="none" w:sz="0" w:space="0" w:color="auto"/>
            <w:bottom w:val="none" w:sz="0" w:space="0" w:color="auto"/>
            <w:right w:val="none" w:sz="0" w:space="0" w:color="auto"/>
          </w:divBdr>
        </w:div>
        <w:div w:id="1556702995">
          <w:marLeft w:val="259"/>
          <w:marRight w:val="0"/>
          <w:marTop w:val="132"/>
          <w:marBottom w:val="0"/>
          <w:divBdr>
            <w:top w:val="none" w:sz="0" w:space="0" w:color="auto"/>
            <w:left w:val="none" w:sz="0" w:space="0" w:color="auto"/>
            <w:bottom w:val="none" w:sz="0" w:space="0" w:color="auto"/>
            <w:right w:val="none" w:sz="0" w:space="0" w:color="auto"/>
          </w:divBdr>
        </w:div>
        <w:div w:id="1600526052">
          <w:marLeft w:val="259"/>
          <w:marRight w:val="0"/>
          <w:marTop w:val="132"/>
          <w:marBottom w:val="0"/>
          <w:divBdr>
            <w:top w:val="none" w:sz="0" w:space="0" w:color="auto"/>
            <w:left w:val="none" w:sz="0" w:space="0" w:color="auto"/>
            <w:bottom w:val="none" w:sz="0" w:space="0" w:color="auto"/>
            <w:right w:val="none" w:sz="0" w:space="0" w:color="auto"/>
          </w:divBdr>
        </w:div>
        <w:div w:id="1952470561">
          <w:marLeft w:val="259"/>
          <w:marRight w:val="0"/>
          <w:marTop w:val="132"/>
          <w:marBottom w:val="0"/>
          <w:divBdr>
            <w:top w:val="none" w:sz="0" w:space="0" w:color="auto"/>
            <w:left w:val="none" w:sz="0" w:space="0" w:color="auto"/>
            <w:bottom w:val="none" w:sz="0" w:space="0" w:color="auto"/>
            <w:right w:val="none" w:sz="0" w:space="0" w:color="auto"/>
          </w:divBdr>
        </w:div>
        <w:div w:id="2133013313">
          <w:marLeft w:val="259"/>
          <w:marRight w:val="0"/>
          <w:marTop w:val="132"/>
          <w:marBottom w:val="0"/>
          <w:divBdr>
            <w:top w:val="none" w:sz="0" w:space="0" w:color="auto"/>
            <w:left w:val="none" w:sz="0" w:space="0" w:color="auto"/>
            <w:bottom w:val="none" w:sz="0" w:space="0" w:color="auto"/>
            <w:right w:val="none" w:sz="0" w:space="0" w:color="auto"/>
          </w:divBdr>
        </w:div>
      </w:divsChild>
    </w:div>
    <w:div w:id="1842160146">
      <w:bodyDiv w:val="1"/>
      <w:marLeft w:val="0"/>
      <w:marRight w:val="0"/>
      <w:marTop w:val="0"/>
      <w:marBottom w:val="0"/>
      <w:divBdr>
        <w:top w:val="none" w:sz="0" w:space="0" w:color="auto"/>
        <w:left w:val="none" w:sz="0" w:space="0" w:color="auto"/>
        <w:bottom w:val="none" w:sz="0" w:space="0" w:color="auto"/>
        <w:right w:val="none" w:sz="0" w:space="0" w:color="auto"/>
      </w:divBdr>
      <w:divsChild>
        <w:div w:id="6746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035223">
      <w:bodyDiv w:val="1"/>
      <w:marLeft w:val="0"/>
      <w:marRight w:val="0"/>
      <w:marTop w:val="0"/>
      <w:marBottom w:val="0"/>
      <w:divBdr>
        <w:top w:val="none" w:sz="0" w:space="0" w:color="auto"/>
        <w:left w:val="none" w:sz="0" w:space="0" w:color="auto"/>
        <w:bottom w:val="none" w:sz="0" w:space="0" w:color="auto"/>
        <w:right w:val="none" w:sz="0" w:space="0" w:color="auto"/>
      </w:divBdr>
    </w:div>
    <w:div w:id="1856117486">
      <w:bodyDiv w:val="1"/>
      <w:marLeft w:val="0"/>
      <w:marRight w:val="0"/>
      <w:marTop w:val="0"/>
      <w:marBottom w:val="0"/>
      <w:divBdr>
        <w:top w:val="none" w:sz="0" w:space="0" w:color="auto"/>
        <w:left w:val="none" w:sz="0" w:space="0" w:color="auto"/>
        <w:bottom w:val="none" w:sz="0" w:space="0" w:color="auto"/>
        <w:right w:val="none" w:sz="0" w:space="0" w:color="auto"/>
      </w:divBdr>
    </w:div>
    <w:div w:id="1856530478">
      <w:bodyDiv w:val="1"/>
      <w:marLeft w:val="0"/>
      <w:marRight w:val="0"/>
      <w:marTop w:val="0"/>
      <w:marBottom w:val="0"/>
      <w:divBdr>
        <w:top w:val="none" w:sz="0" w:space="0" w:color="auto"/>
        <w:left w:val="none" w:sz="0" w:space="0" w:color="auto"/>
        <w:bottom w:val="none" w:sz="0" w:space="0" w:color="auto"/>
        <w:right w:val="none" w:sz="0" w:space="0" w:color="auto"/>
      </w:divBdr>
    </w:div>
    <w:div w:id="1865628846">
      <w:bodyDiv w:val="1"/>
      <w:marLeft w:val="0"/>
      <w:marRight w:val="0"/>
      <w:marTop w:val="0"/>
      <w:marBottom w:val="0"/>
      <w:divBdr>
        <w:top w:val="none" w:sz="0" w:space="0" w:color="auto"/>
        <w:left w:val="none" w:sz="0" w:space="0" w:color="auto"/>
        <w:bottom w:val="none" w:sz="0" w:space="0" w:color="auto"/>
        <w:right w:val="none" w:sz="0" w:space="0" w:color="auto"/>
      </w:divBdr>
    </w:div>
    <w:div w:id="1878467450">
      <w:bodyDiv w:val="1"/>
      <w:marLeft w:val="0"/>
      <w:marRight w:val="0"/>
      <w:marTop w:val="0"/>
      <w:marBottom w:val="0"/>
      <w:divBdr>
        <w:top w:val="none" w:sz="0" w:space="0" w:color="auto"/>
        <w:left w:val="none" w:sz="0" w:space="0" w:color="auto"/>
        <w:bottom w:val="none" w:sz="0" w:space="0" w:color="auto"/>
        <w:right w:val="none" w:sz="0" w:space="0" w:color="auto"/>
      </w:divBdr>
      <w:divsChild>
        <w:div w:id="247201933">
          <w:marLeft w:val="288"/>
          <w:marRight w:val="0"/>
          <w:marTop w:val="65"/>
          <w:marBottom w:val="0"/>
          <w:divBdr>
            <w:top w:val="none" w:sz="0" w:space="0" w:color="auto"/>
            <w:left w:val="none" w:sz="0" w:space="0" w:color="auto"/>
            <w:bottom w:val="none" w:sz="0" w:space="0" w:color="auto"/>
            <w:right w:val="none" w:sz="0" w:space="0" w:color="auto"/>
          </w:divBdr>
        </w:div>
        <w:div w:id="404884113">
          <w:marLeft w:val="288"/>
          <w:marRight w:val="0"/>
          <w:marTop w:val="65"/>
          <w:marBottom w:val="0"/>
          <w:divBdr>
            <w:top w:val="none" w:sz="0" w:space="0" w:color="auto"/>
            <w:left w:val="none" w:sz="0" w:space="0" w:color="auto"/>
            <w:bottom w:val="none" w:sz="0" w:space="0" w:color="auto"/>
            <w:right w:val="none" w:sz="0" w:space="0" w:color="auto"/>
          </w:divBdr>
        </w:div>
        <w:div w:id="618873272">
          <w:marLeft w:val="288"/>
          <w:marRight w:val="0"/>
          <w:marTop w:val="65"/>
          <w:marBottom w:val="0"/>
          <w:divBdr>
            <w:top w:val="none" w:sz="0" w:space="0" w:color="auto"/>
            <w:left w:val="none" w:sz="0" w:space="0" w:color="auto"/>
            <w:bottom w:val="none" w:sz="0" w:space="0" w:color="auto"/>
            <w:right w:val="none" w:sz="0" w:space="0" w:color="auto"/>
          </w:divBdr>
        </w:div>
        <w:div w:id="858085858">
          <w:marLeft w:val="288"/>
          <w:marRight w:val="0"/>
          <w:marTop w:val="65"/>
          <w:marBottom w:val="0"/>
          <w:divBdr>
            <w:top w:val="none" w:sz="0" w:space="0" w:color="auto"/>
            <w:left w:val="none" w:sz="0" w:space="0" w:color="auto"/>
            <w:bottom w:val="none" w:sz="0" w:space="0" w:color="auto"/>
            <w:right w:val="none" w:sz="0" w:space="0" w:color="auto"/>
          </w:divBdr>
        </w:div>
        <w:div w:id="1261525541">
          <w:marLeft w:val="288"/>
          <w:marRight w:val="0"/>
          <w:marTop w:val="65"/>
          <w:marBottom w:val="0"/>
          <w:divBdr>
            <w:top w:val="none" w:sz="0" w:space="0" w:color="auto"/>
            <w:left w:val="none" w:sz="0" w:space="0" w:color="auto"/>
            <w:bottom w:val="none" w:sz="0" w:space="0" w:color="auto"/>
            <w:right w:val="none" w:sz="0" w:space="0" w:color="auto"/>
          </w:divBdr>
        </w:div>
        <w:div w:id="1471512548">
          <w:marLeft w:val="288"/>
          <w:marRight w:val="0"/>
          <w:marTop w:val="65"/>
          <w:marBottom w:val="0"/>
          <w:divBdr>
            <w:top w:val="none" w:sz="0" w:space="0" w:color="auto"/>
            <w:left w:val="none" w:sz="0" w:space="0" w:color="auto"/>
            <w:bottom w:val="none" w:sz="0" w:space="0" w:color="auto"/>
            <w:right w:val="none" w:sz="0" w:space="0" w:color="auto"/>
          </w:divBdr>
        </w:div>
        <w:div w:id="1746219509">
          <w:marLeft w:val="288"/>
          <w:marRight w:val="0"/>
          <w:marTop w:val="65"/>
          <w:marBottom w:val="0"/>
          <w:divBdr>
            <w:top w:val="none" w:sz="0" w:space="0" w:color="auto"/>
            <w:left w:val="none" w:sz="0" w:space="0" w:color="auto"/>
            <w:bottom w:val="none" w:sz="0" w:space="0" w:color="auto"/>
            <w:right w:val="none" w:sz="0" w:space="0" w:color="auto"/>
          </w:divBdr>
        </w:div>
        <w:div w:id="1763911397">
          <w:marLeft w:val="288"/>
          <w:marRight w:val="0"/>
          <w:marTop w:val="65"/>
          <w:marBottom w:val="0"/>
          <w:divBdr>
            <w:top w:val="none" w:sz="0" w:space="0" w:color="auto"/>
            <w:left w:val="none" w:sz="0" w:space="0" w:color="auto"/>
            <w:bottom w:val="none" w:sz="0" w:space="0" w:color="auto"/>
            <w:right w:val="none" w:sz="0" w:space="0" w:color="auto"/>
          </w:divBdr>
        </w:div>
      </w:divsChild>
    </w:div>
    <w:div w:id="1884250562">
      <w:bodyDiv w:val="1"/>
      <w:marLeft w:val="0"/>
      <w:marRight w:val="0"/>
      <w:marTop w:val="0"/>
      <w:marBottom w:val="0"/>
      <w:divBdr>
        <w:top w:val="none" w:sz="0" w:space="0" w:color="auto"/>
        <w:left w:val="none" w:sz="0" w:space="0" w:color="auto"/>
        <w:bottom w:val="none" w:sz="0" w:space="0" w:color="auto"/>
        <w:right w:val="none" w:sz="0" w:space="0" w:color="auto"/>
      </w:divBdr>
    </w:div>
    <w:div w:id="1885097606">
      <w:bodyDiv w:val="1"/>
      <w:marLeft w:val="0"/>
      <w:marRight w:val="0"/>
      <w:marTop w:val="0"/>
      <w:marBottom w:val="0"/>
      <w:divBdr>
        <w:top w:val="none" w:sz="0" w:space="0" w:color="auto"/>
        <w:left w:val="none" w:sz="0" w:space="0" w:color="auto"/>
        <w:bottom w:val="none" w:sz="0" w:space="0" w:color="auto"/>
        <w:right w:val="none" w:sz="0" w:space="0" w:color="auto"/>
      </w:divBdr>
    </w:div>
    <w:div w:id="1887835807">
      <w:bodyDiv w:val="1"/>
      <w:marLeft w:val="0"/>
      <w:marRight w:val="0"/>
      <w:marTop w:val="0"/>
      <w:marBottom w:val="0"/>
      <w:divBdr>
        <w:top w:val="none" w:sz="0" w:space="0" w:color="auto"/>
        <w:left w:val="none" w:sz="0" w:space="0" w:color="auto"/>
        <w:bottom w:val="none" w:sz="0" w:space="0" w:color="auto"/>
        <w:right w:val="none" w:sz="0" w:space="0" w:color="auto"/>
      </w:divBdr>
    </w:div>
    <w:div w:id="1888682388">
      <w:bodyDiv w:val="1"/>
      <w:marLeft w:val="0"/>
      <w:marRight w:val="0"/>
      <w:marTop w:val="0"/>
      <w:marBottom w:val="0"/>
      <w:divBdr>
        <w:top w:val="none" w:sz="0" w:space="0" w:color="auto"/>
        <w:left w:val="none" w:sz="0" w:space="0" w:color="auto"/>
        <w:bottom w:val="none" w:sz="0" w:space="0" w:color="auto"/>
        <w:right w:val="none" w:sz="0" w:space="0" w:color="auto"/>
      </w:divBdr>
      <w:divsChild>
        <w:div w:id="1157460729">
          <w:marLeft w:val="0"/>
          <w:marRight w:val="0"/>
          <w:marTop w:val="0"/>
          <w:marBottom w:val="0"/>
          <w:divBdr>
            <w:top w:val="none" w:sz="0" w:space="0" w:color="auto"/>
            <w:left w:val="none" w:sz="0" w:space="0" w:color="auto"/>
            <w:bottom w:val="none" w:sz="0" w:space="0" w:color="auto"/>
            <w:right w:val="none" w:sz="0" w:space="0" w:color="auto"/>
          </w:divBdr>
          <w:divsChild>
            <w:div w:id="274793274">
              <w:marLeft w:val="0"/>
              <w:marRight w:val="0"/>
              <w:marTop w:val="0"/>
              <w:marBottom w:val="0"/>
              <w:divBdr>
                <w:top w:val="none" w:sz="0" w:space="0" w:color="auto"/>
                <w:left w:val="none" w:sz="0" w:space="0" w:color="auto"/>
                <w:bottom w:val="none" w:sz="0" w:space="0" w:color="auto"/>
                <w:right w:val="none" w:sz="0" w:space="0" w:color="auto"/>
              </w:divBdr>
              <w:divsChild>
                <w:div w:id="662391877">
                  <w:marLeft w:val="0"/>
                  <w:marRight w:val="0"/>
                  <w:marTop w:val="0"/>
                  <w:marBottom w:val="0"/>
                  <w:divBdr>
                    <w:top w:val="none" w:sz="0" w:space="0" w:color="auto"/>
                    <w:left w:val="none" w:sz="0" w:space="0" w:color="auto"/>
                    <w:bottom w:val="none" w:sz="0" w:space="0" w:color="auto"/>
                    <w:right w:val="none" w:sz="0" w:space="0" w:color="auto"/>
                  </w:divBdr>
                  <w:divsChild>
                    <w:div w:id="1842506881">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4107">
      <w:bodyDiv w:val="1"/>
      <w:marLeft w:val="0"/>
      <w:marRight w:val="0"/>
      <w:marTop w:val="0"/>
      <w:marBottom w:val="0"/>
      <w:divBdr>
        <w:top w:val="none" w:sz="0" w:space="0" w:color="auto"/>
        <w:left w:val="none" w:sz="0" w:space="0" w:color="auto"/>
        <w:bottom w:val="none" w:sz="0" w:space="0" w:color="auto"/>
        <w:right w:val="none" w:sz="0" w:space="0" w:color="auto"/>
      </w:divBdr>
    </w:div>
    <w:div w:id="1899171866">
      <w:bodyDiv w:val="1"/>
      <w:marLeft w:val="0"/>
      <w:marRight w:val="0"/>
      <w:marTop w:val="0"/>
      <w:marBottom w:val="0"/>
      <w:divBdr>
        <w:top w:val="none" w:sz="0" w:space="0" w:color="auto"/>
        <w:left w:val="none" w:sz="0" w:space="0" w:color="auto"/>
        <w:bottom w:val="none" w:sz="0" w:space="0" w:color="auto"/>
        <w:right w:val="none" w:sz="0" w:space="0" w:color="auto"/>
      </w:divBdr>
    </w:div>
    <w:div w:id="1903834295">
      <w:bodyDiv w:val="1"/>
      <w:marLeft w:val="0"/>
      <w:marRight w:val="0"/>
      <w:marTop w:val="0"/>
      <w:marBottom w:val="0"/>
      <w:divBdr>
        <w:top w:val="none" w:sz="0" w:space="0" w:color="auto"/>
        <w:left w:val="none" w:sz="0" w:space="0" w:color="auto"/>
        <w:bottom w:val="none" w:sz="0" w:space="0" w:color="auto"/>
        <w:right w:val="none" w:sz="0" w:space="0" w:color="auto"/>
      </w:divBdr>
    </w:div>
    <w:div w:id="1912228892">
      <w:bodyDiv w:val="1"/>
      <w:marLeft w:val="0"/>
      <w:marRight w:val="0"/>
      <w:marTop w:val="0"/>
      <w:marBottom w:val="0"/>
      <w:divBdr>
        <w:top w:val="none" w:sz="0" w:space="0" w:color="auto"/>
        <w:left w:val="none" w:sz="0" w:space="0" w:color="auto"/>
        <w:bottom w:val="none" w:sz="0" w:space="0" w:color="auto"/>
        <w:right w:val="none" w:sz="0" w:space="0" w:color="auto"/>
      </w:divBdr>
    </w:div>
    <w:div w:id="1913732058">
      <w:bodyDiv w:val="1"/>
      <w:marLeft w:val="0"/>
      <w:marRight w:val="0"/>
      <w:marTop w:val="0"/>
      <w:marBottom w:val="0"/>
      <w:divBdr>
        <w:top w:val="none" w:sz="0" w:space="0" w:color="auto"/>
        <w:left w:val="none" w:sz="0" w:space="0" w:color="auto"/>
        <w:bottom w:val="none" w:sz="0" w:space="0" w:color="auto"/>
        <w:right w:val="none" w:sz="0" w:space="0" w:color="auto"/>
      </w:divBdr>
      <w:divsChild>
        <w:div w:id="103381273">
          <w:marLeft w:val="274"/>
          <w:marRight w:val="0"/>
          <w:marTop w:val="20"/>
          <w:marBottom w:val="0"/>
          <w:divBdr>
            <w:top w:val="none" w:sz="0" w:space="0" w:color="auto"/>
            <w:left w:val="none" w:sz="0" w:space="0" w:color="auto"/>
            <w:bottom w:val="none" w:sz="0" w:space="0" w:color="auto"/>
            <w:right w:val="none" w:sz="0" w:space="0" w:color="auto"/>
          </w:divBdr>
        </w:div>
        <w:div w:id="942759239">
          <w:marLeft w:val="274"/>
          <w:marRight w:val="0"/>
          <w:marTop w:val="60"/>
          <w:marBottom w:val="0"/>
          <w:divBdr>
            <w:top w:val="none" w:sz="0" w:space="0" w:color="auto"/>
            <w:left w:val="none" w:sz="0" w:space="0" w:color="auto"/>
            <w:bottom w:val="none" w:sz="0" w:space="0" w:color="auto"/>
            <w:right w:val="none" w:sz="0" w:space="0" w:color="auto"/>
          </w:divBdr>
        </w:div>
        <w:div w:id="962544154">
          <w:marLeft w:val="274"/>
          <w:marRight w:val="0"/>
          <w:marTop w:val="60"/>
          <w:marBottom w:val="0"/>
          <w:divBdr>
            <w:top w:val="none" w:sz="0" w:space="0" w:color="auto"/>
            <w:left w:val="none" w:sz="0" w:space="0" w:color="auto"/>
            <w:bottom w:val="none" w:sz="0" w:space="0" w:color="auto"/>
            <w:right w:val="none" w:sz="0" w:space="0" w:color="auto"/>
          </w:divBdr>
        </w:div>
        <w:div w:id="1752117461">
          <w:marLeft w:val="274"/>
          <w:marRight w:val="0"/>
          <w:marTop w:val="60"/>
          <w:marBottom w:val="0"/>
          <w:divBdr>
            <w:top w:val="none" w:sz="0" w:space="0" w:color="auto"/>
            <w:left w:val="none" w:sz="0" w:space="0" w:color="auto"/>
            <w:bottom w:val="none" w:sz="0" w:space="0" w:color="auto"/>
            <w:right w:val="none" w:sz="0" w:space="0" w:color="auto"/>
          </w:divBdr>
        </w:div>
        <w:div w:id="1807312534">
          <w:marLeft w:val="274"/>
          <w:marRight w:val="0"/>
          <w:marTop w:val="60"/>
          <w:marBottom w:val="0"/>
          <w:divBdr>
            <w:top w:val="none" w:sz="0" w:space="0" w:color="auto"/>
            <w:left w:val="none" w:sz="0" w:space="0" w:color="auto"/>
            <w:bottom w:val="none" w:sz="0" w:space="0" w:color="auto"/>
            <w:right w:val="none" w:sz="0" w:space="0" w:color="auto"/>
          </w:divBdr>
        </w:div>
        <w:div w:id="1906329935">
          <w:marLeft w:val="274"/>
          <w:marRight w:val="0"/>
          <w:marTop w:val="60"/>
          <w:marBottom w:val="0"/>
          <w:divBdr>
            <w:top w:val="none" w:sz="0" w:space="0" w:color="auto"/>
            <w:left w:val="none" w:sz="0" w:space="0" w:color="auto"/>
            <w:bottom w:val="none" w:sz="0" w:space="0" w:color="auto"/>
            <w:right w:val="none" w:sz="0" w:space="0" w:color="auto"/>
          </w:divBdr>
        </w:div>
      </w:divsChild>
    </w:div>
    <w:div w:id="1922133791">
      <w:bodyDiv w:val="1"/>
      <w:marLeft w:val="0"/>
      <w:marRight w:val="0"/>
      <w:marTop w:val="0"/>
      <w:marBottom w:val="0"/>
      <w:divBdr>
        <w:top w:val="none" w:sz="0" w:space="0" w:color="auto"/>
        <w:left w:val="none" w:sz="0" w:space="0" w:color="auto"/>
        <w:bottom w:val="none" w:sz="0" w:space="0" w:color="auto"/>
        <w:right w:val="none" w:sz="0" w:space="0" w:color="auto"/>
      </w:divBdr>
    </w:div>
    <w:div w:id="1925602787">
      <w:bodyDiv w:val="1"/>
      <w:marLeft w:val="0"/>
      <w:marRight w:val="0"/>
      <w:marTop w:val="0"/>
      <w:marBottom w:val="0"/>
      <w:divBdr>
        <w:top w:val="none" w:sz="0" w:space="0" w:color="auto"/>
        <w:left w:val="none" w:sz="0" w:space="0" w:color="auto"/>
        <w:bottom w:val="none" w:sz="0" w:space="0" w:color="auto"/>
        <w:right w:val="none" w:sz="0" w:space="0" w:color="auto"/>
      </w:divBdr>
    </w:div>
    <w:div w:id="1927957840">
      <w:bodyDiv w:val="1"/>
      <w:marLeft w:val="0"/>
      <w:marRight w:val="0"/>
      <w:marTop w:val="0"/>
      <w:marBottom w:val="0"/>
      <w:divBdr>
        <w:top w:val="none" w:sz="0" w:space="0" w:color="auto"/>
        <w:left w:val="none" w:sz="0" w:space="0" w:color="auto"/>
        <w:bottom w:val="none" w:sz="0" w:space="0" w:color="auto"/>
        <w:right w:val="none" w:sz="0" w:space="0" w:color="auto"/>
      </w:divBdr>
      <w:divsChild>
        <w:div w:id="344555088">
          <w:marLeft w:val="274"/>
          <w:marRight w:val="0"/>
          <w:marTop w:val="60"/>
          <w:marBottom w:val="0"/>
          <w:divBdr>
            <w:top w:val="none" w:sz="0" w:space="0" w:color="auto"/>
            <w:left w:val="none" w:sz="0" w:space="0" w:color="auto"/>
            <w:bottom w:val="none" w:sz="0" w:space="0" w:color="auto"/>
            <w:right w:val="none" w:sz="0" w:space="0" w:color="auto"/>
          </w:divBdr>
        </w:div>
        <w:div w:id="525169737">
          <w:marLeft w:val="274"/>
          <w:marRight w:val="0"/>
          <w:marTop w:val="60"/>
          <w:marBottom w:val="0"/>
          <w:divBdr>
            <w:top w:val="none" w:sz="0" w:space="0" w:color="auto"/>
            <w:left w:val="none" w:sz="0" w:space="0" w:color="auto"/>
            <w:bottom w:val="none" w:sz="0" w:space="0" w:color="auto"/>
            <w:right w:val="none" w:sz="0" w:space="0" w:color="auto"/>
          </w:divBdr>
        </w:div>
        <w:div w:id="1056322552">
          <w:marLeft w:val="274"/>
          <w:marRight w:val="0"/>
          <w:marTop w:val="60"/>
          <w:marBottom w:val="0"/>
          <w:divBdr>
            <w:top w:val="none" w:sz="0" w:space="0" w:color="auto"/>
            <w:left w:val="none" w:sz="0" w:space="0" w:color="auto"/>
            <w:bottom w:val="none" w:sz="0" w:space="0" w:color="auto"/>
            <w:right w:val="none" w:sz="0" w:space="0" w:color="auto"/>
          </w:divBdr>
        </w:div>
        <w:div w:id="1296525742">
          <w:marLeft w:val="274"/>
          <w:marRight w:val="0"/>
          <w:marTop w:val="60"/>
          <w:marBottom w:val="0"/>
          <w:divBdr>
            <w:top w:val="none" w:sz="0" w:space="0" w:color="auto"/>
            <w:left w:val="none" w:sz="0" w:space="0" w:color="auto"/>
            <w:bottom w:val="none" w:sz="0" w:space="0" w:color="auto"/>
            <w:right w:val="none" w:sz="0" w:space="0" w:color="auto"/>
          </w:divBdr>
        </w:div>
        <w:div w:id="1459108607">
          <w:marLeft w:val="274"/>
          <w:marRight w:val="0"/>
          <w:marTop w:val="60"/>
          <w:marBottom w:val="0"/>
          <w:divBdr>
            <w:top w:val="none" w:sz="0" w:space="0" w:color="auto"/>
            <w:left w:val="none" w:sz="0" w:space="0" w:color="auto"/>
            <w:bottom w:val="none" w:sz="0" w:space="0" w:color="auto"/>
            <w:right w:val="none" w:sz="0" w:space="0" w:color="auto"/>
          </w:divBdr>
        </w:div>
        <w:div w:id="1773160823">
          <w:marLeft w:val="274"/>
          <w:marRight w:val="0"/>
          <w:marTop w:val="60"/>
          <w:marBottom w:val="0"/>
          <w:divBdr>
            <w:top w:val="none" w:sz="0" w:space="0" w:color="auto"/>
            <w:left w:val="none" w:sz="0" w:space="0" w:color="auto"/>
            <w:bottom w:val="none" w:sz="0" w:space="0" w:color="auto"/>
            <w:right w:val="none" w:sz="0" w:space="0" w:color="auto"/>
          </w:divBdr>
        </w:div>
        <w:div w:id="1783650589">
          <w:marLeft w:val="274"/>
          <w:marRight w:val="0"/>
          <w:marTop w:val="60"/>
          <w:marBottom w:val="0"/>
          <w:divBdr>
            <w:top w:val="none" w:sz="0" w:space="0" w:color="auto"/>
            <w:left w:val="none" w:sz="0" w:space="0" w:color="auto"/>
            <w:bottom w:val="none" w:sz="0" w:space="0" w:color="auto"/>
            <w:right w:val="none" w:sz="0" w:space="0" w:color="auto"/>
          </w:divBdr>
        </w:div>
        <w:div w:id="1832864827">
          <w:marLeft w:val="274"/>
          <w:marRight w:val="0"/>
          <w:marTop w:val="60"/>
          <w:marBottom w:val="0"/>
          <w:divBdr>
            <w:top w:val="none" w:sz="0" w:space="0" w:color="auto"/>
            <w:left w:val="none" w:sz="0" w:space="0" w:color="auto"/>
            <w:bottom w:val="none" w:sz="0" w:space="0" w:color="auto"/>
            <w:right w:val="none" w:sz="0" w:space="0" w:color="auto"/>
          </w:divBdr>
        </w:div>
        <w:div w:id="1885865423">
          <w:marLeft w:val="274"/>
          <w:marRight w:val="0"/>
          <w:marTop w:val="60"/>
          <w:marBottom w:val="0"/>
          <w:divBdr>
            <w:top w:val="none" w:sz="0" w:space="0" w:color="auto"/>
            <w:left w:val="none" w:sz="0" w:space="0" w:color="auto"/>
            <w:bottom w:val="none" w:sz="0" w:space="0" w:color="auto"/>
            <w:right w:val="none" w:sz="0" w:space="0" w:color="auto"/>
          </w:divBdr>
        </w:div>
      </w:divsChild>
    </w:div>
    <w:div w:id="1935743234">
      <w:bodyDiv w:val="1"/>
      <w:marLeft w:val="0"/>
      <w:marRight w:val="0"/>
      <w:marTop w:val="0"/>
      <w:marBottom w:val="0"/>
      <w:divBdr>
        <w:top w:val="none" w:sz="0" w:space="0" w:color="auto"/>
        <w:left w:val="none" w:sz="0" w:space="0" w:color="auto"/>
        <w:bottom w:val="none" w:sz="0" w:space="0" w:color="auto"/>
        <w:right w:val="none" w:sz="0" w:space="0" w:color="auto"/>
      </w:divBdr>
      <w:divsChild>
        <w:div w:id="389618816">
          <w:marLeft w:val="0"/>
          <w:marRight w:val="0"/>
          <w:marTop w:val="0"/>
          <w:marBottom w:val="0"/>
          <w:divBdr>
            <w:top w:val="none" w:sz="0" w:space="0" w:color="auto"/>
            <w:left w:val="none" w:sz="0" w:space="0" w:color="auto"/>
            <w:bottom w:val="none" w:sz="0" w:space="0" w:color="auto"/>
            <w:right w:val="none" w:sz="0" w:space="0" w:color="auto"/>
          </w:divBdr>
          <w:divsChild>
            <w:div w:id="1466007258">
              <w:marLeft w:val="0"/>
              <w:marRight w:val="0"/>
              <w:marTop w:val="0"/>
              <w:marBottom w:val="0"/>
              <w:divBdr>
                <w:top w:val="none" w:sz="0" w:space="0" w:color="auto"/>
                <w:left w:val="none" w:sz="0" w:space="0" w:color="auto"/>
                <w:bottom w:val="none" w:sz="0" w:space="0" w:color="auto"/>
                <w:right w:val="none" w:sz="0" w:space="0" w:color="auto"/>
              </w:divBdr>
              <w:divsChild>
                <w:div w:id="525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347">
      <w:bodyDiv w:val="1"/>
      <w:marLeft w:val="0"/>
      <w:marRight w:val="0"/>
      <w:marTop w:val="0"/>
      <w:marBottom w:val="0"/>
      <w:divBdr>
        <w:top w:val="none" w:sz="0" w:space="0" w:color="auto"/>
        <w:left w:val="none" w:sz="0" w:space="0" w:color="auto"/>
        <w:bottom w:val="none" w:sz="0" w:space="0" w:color="auto"/>
        <w:right w:val="none" w:sz="0" w:space="0" w:color="auto"/>
      </w:divBdr>
    </w:div>
    <w:div w:id="1943949541">
      <w:bodyDiv w:val="1"/>
      <w:marLeft w:val="0"/>
      <w:marRight w:val="0"/>
      <w:marTop w:val="0"/>
      <w:marBottom w:val="0"/>
      <w:divBdr>
        <w:top w:val="none" w:sz="0" w:space="0" w:color="auto"/>
        <w:left w:val="none" w:sz="0" w:space="0" w:color="auto"/>
        <w:bottom w:val="none" w:sz="0" w:space="0" w:color="auto"/>
        <w:right w:val="none" w:sz="0" w:space="0" w:color="auto"/>
      </w:divBdr>
      <w:divsChild>
        <w:div w:id="1179345129">
          <w:marLeft w:val="0"/>
          <w:marRight w:val="0"/>
          <w:marTop w:val="0"/>
          <w:marBottom w:val="0"/>
          <w:divBdr>
            <w:top w:val="none" w:sz="0" w:space="0" w:color="auto"/>
            <w:left w:val="none" w:sz="0" w:space="0" w:color="auto"/>
            <w:bottom w:val="none" w:sz="0" w:space="0" w:color="auto"/>
            <w:right w:val="none" w:sz="0" w:space="0" w:color="auto"/>
          </w:divBdr>
        </w:div>
        <w:div w:id="1911429615">
          <w:marLeft w:val="0"/>
          <w:marRight w:val="0"/>
          <w:marTop w:val="0"/>
          <w:marBottom w:val="81"/>
          <w:divBdr>
            <w:top w:val="none" w:sz="0" w:space="0" w:color="auto"/>
            <w:left w:val="none" w:sz="0" w:space="0" w:color="auto"/>
            <w:bottom w:val="none" w:sz="0" w:space="0" w:color="auto"/>
            <w:right w:val="none" w:sz="0" w:space="0" w:color="auto"/>
          </w:divBdr>
          <w:divsChild>
            <w:div w:id="764689849">
              <w:marLeft w:val="0"/>
              <w:marRight w:val="0"/>
              <w:marTop w:val="0"/>
              <w:marBottom w:val="0"/>
              <w:divBdr>
                <w:top w:val="none" w:sz="0" w:space="0" w:color="auto"/>
                <w:left w:val="none" w:sz="0" w:space="0" w:color="auto"/>
                <w:bottom w:val="none" w:sz="0" w:space="0" w:color="auto"/>
                <w:right w:val="none" w:sz="0" w:space="0" w:color="auto"/>
              </w:divBdr>
              <w:divsChild>
                <w:div w:id="720787260">
                  <w:marLeft w:val="0"/>
                  <w:marRight w:val="0"/>
                  <w:marTop w:val="0"/>
                  <w:marBottom w:val="0"/>
                  <w:divBdr>
                    <w:top w:val="none" w:sz="0" w:space="0" w:color="auto"/>
                    <w:left w:val="none" w:sz="0" w:space="0" w:color="auto"/>
                    <w:bottom w:val="none" w:sz="0" w:space="0" w:color="auto"/>
                    <w:right w:val="none" w:sz="0" w:space="0" w:color="auto"/>
                  </w:divBdr>
                </w:div>
              </w:divsChild>
            </w:div>
            <w:div w:id="1800568442">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944455482">
      <w:bodyDiv w:val="1"/>
      <w:marLeft w:val="0"/>
      <w:marRight w:val="0"/>
      <w:marTop w:val="0"/>
      <w:marBottom w:val="0"/>
      <w:divBdr>
        <w:top w:val="none" w:sz="0" w:space="0" w:color="auto"/>
        <w:left w:val="none" w:sz="0" w:space="0" w:color="auto"/>
        <w:bottom w:val="none" w:sz="0" w:space="0" w:color="auto"/>
        <w:right w:val="none" w:sz="0" w:space="0" w:color="auto"/>
      </w:divBdr>
    </w:div>
    <w:div w:id="1954748752">
      <w:bodyDiv w:val="1"/>
      <w:marLeft w:val="0"/>
      <w:marRight w:val="0"/>
      <w:marTop w:val="0"/>
      <w:marBottom w:val="0"/>
      <w:divBdr>
        <w:top w:val="none" w:sz="0" w:space="0" w:color="auto"/>
        <w:left w:val="none" w:sz="0" w:space="0" w:color="auto"/>
        <w:bottom w:val="none" w:sz="0" w:space="0" w:color="auto"/>
        <w:right w:val="none" w:sz="0" w:space="0" w:color="auto"/>
      </w:divBdr>
      <w:divsChild>
        <w:div w:id="461190090">
          <w:marLeft w:val="1181"/>
          <w:marRight w:val="0"/>
          <w:marTop w:val="168"/>
          <w:marBottom w:val="0"/>
          <w:divBdr>
            <w:top w:val="none" w:sz="0" w:space="0" w:color="auto"/>
            <w:left w:val="none" w:sz="0" w:space="0" w:color="auto"/>
            <w:bottom w:val="none" w:sz="0" w:space="0" w:color="auto"/>
            <w:right w:val="none" w:sz="0" w:space="0" w:color="auto"/>
          </w:divBdr>
        </w:div>
        <w:div w:id="569924978">
          <w:marLeft w:val="475"/>
          <w:marRight w:val="0"/>
          <w:marTop w:val="168"/>
          <w:marBottom w:val="0"/>
          <w:divBdr>
            <w:top w:val="none" w:sz="0" w:space="0" w:color="auto"/>
            <w:left w:val="none" w:sz="0" w:space="0" w:color="auto"/>
            <w:bottom w:val="none" w:sz="0" w:space="0" w:color="auto"/>
            <w:right w:val="none" w:sz="0" w:space="0" w:color="auto"/>
          </w:divBdr>
        </w:div>
        <w:div w:id="775906241">
          <w:marLeft w:val="475"/>
          <w:marRight w:val="0"/>
          <w:marTop w:val="168"/>
          <w:marBottom w:val="0"/>
          <w:divBdr>
            <w:top w:val="none" w:sz="0" w:space="0" w:color="auto"/>
            <w:left w:val="none" w:sz="0" w:space="0" w:color="auto"/>
            <w:bottom w:val="none" w:sz="0" w:space="0" w:color="auto"/>
            <w:right w:val="none" w:sz="0" w:space="0" w:color="auto"/>
          </w:divBdr>
        </w:div>
        <w:div w:id="1052731890">
          <w:marLeft w:val="475"/>
          <w:marRight w:val="0"/>
          <w:marTop w:val="168"/>
          <w:marBottom w:val="0"/>
          <w:divBdr>
            <w:top w:val="none" w:sz="0" w:space="0" w:color="auto"/>
            <w:left w:val="none" w:sz="0" w:space="0" w:color="auto"/>
            <w:bottom w:val="none" w:sz="0" w:space="0" w:color="auto"/>
            <w:right w:val="none" w:sz="0" w:space="0" w:color="auto"/>
          </w:divBdr>
        </w:div>
        <w:div w:id="1054037182">
          <w:marLeft w:val="1181"/>
          <w:marRight w:val="0"/>
          <w:marTop w:val="168"/>
          <w:marBottom w:val="0"/>
          <w:divBdr>
            <w:top w:val="none" w:sz="0" w:space="0" w:color="auto"/>
            <w:left w:val="none" w:sz="0" w:space="0" w:color="auto"/>
            <w:bottom w:val="none" w:sz="0" w:space="0" w:color="auto"/>
            <w:right w:val="none" w:sz="0" w:space="0" w:color="auto"/>
          </w:divBdr>
        </w:div>
        <w:div w:id="1541163660">
          <w:marLeft w:val="1181"/>
          <w:marRight w:val="0"/>
          <w:marTop w:val="168"/>
          <w:marBottom w:val="0"/>
          <w:divBdr>
            <w:top w:val="none" w:sz="0" w:space="0" w:color="auto"/>
            <w:left w:val="none" w:sz="0" w:space="0" w:color="auto"/>
            <w:bottom w:val="none" w:sz="0" w:space="0" w:color="auto"/>
            <w:right w:val="none" w:sz="0" w:space="0" w:color="auto"/>
          </w:divBdr>
        </w:div>
        <w:div w:id="2047171612">
          <w:marLeft w:val="475"/>
          <w:marRight w:val="0"/>
          <w:marTop w:val="168"/>
          <w:marBottom w:val="0"/>
          <w:divBdr>
            <w:top w:val="none" w:sz="0" w:space="0" w:color="auto"/>
            <w:left w:val="none" w:sz="0" w:space="0" w:color="auto"/>
            <w:bottom w:val="none" w:sz="0" w:space="0" w:color="auto"/>
            <w:right w:val="none" w:sz="0" w:space="0" w:color="auto"/>
          </w:divBdr>
        </w:div>
      </w:divsChild>
    </w:div>
    <w:div w:id="1956206990">
      <w:bodyDiv w:val="1"/>
      <w:marLeft w:val="0"/>
      <w:marRight w:val="0"/>
      <w:marTop w:val="0"/>
      <w:marBottom w:val="0"/>
      <w:divBdr>
        <w:top w:val="none" w:sz="0" w:space="0" w:color="auto"/>
        <w:left w:val="none" w:sz="0" w:space="0" w:color="auto"/>
        <w:bottom w:val="none" w:sz="0" w:space="0" w:color="auto"/>
        <w:right w:val="none" w:sz="0" w:space="0" w:color="auto"/>
      </w:divBdr>
    </w:div>
    <w:div w:id="1957174530">
      <w:bodyDiv w:val="1"/>
      <w:marLeft w:val="0"/>
      <w:marRight w:val="0"/>
      <w:marTop w:val="0"/>
      <w:marBottom w:val="0"/>
      <w:divBdr>
        <w:top w:val="none" w:sz="0" w:space="0" w:color="auto"/>
        <w:left w:val="none" w:sz="0" w:space="0" w:color="auto"/>
        <w:bottom w:val="none" w:sz="0" w:space="0" w:color="auto"/>
        <w:right w:val="none" w:sz="0" w:space="0" w:color="auto"/>
      </w:divBdr>
    </w:div>
    <w:div w:id="1957327155">
      <w:bodyDiv w:val="1"/>
      <w:marLeft w:val="0"/>
      <w:marRight w:val="0"/>
      <w:marTop w:val="0"/>
      <w:marBottom w:val="0"/>
      <w:divBdr>
        <w:top w:val="none" w:sz="0" w:space="0" w:color="auto"/>
        <w:left w:val="none" w:sz="0" w:space="0" w:color="auto"/>
        <w:bottom w:val="none" w:sz="0" w:space="0" w:color="auto"/>
        <w:right w:val="none" w:sz="0" w:space="0" w:color="auto"/>
      </w:divBdr>
    </w:div>
    <w:div w:id="1960866850">
      <w:bodyDiv w:val="1"/>
      <w:marLeft w:val="0"/>
      <w:marRight w:val="0"/>
      <w:marTop w:val="0"/>
      <w:marBottom w:val="0"/>
      <w:divBdr>
        <w:top w:val="none" w:sz="0" w:space="0" w:color="auto"/>
        <w:left w:val="none" w:sz="0" w:space="0" w:color="auto"/>
        <w:bottom w:val="none" w:sz="0" w:space="0" w:color="auto"/>
        <w:right w:val="none" w:sz="0" w:space="0" w:color="auto"/>
      </w:divBdr>
    </w:div>
    <w:div w:id="1969706040">
      <w:bodyDiv w:val="1"/>
      <w:marLeft w:val="0"/>
      <w:marRight w:val="0"/>
      <w:marTop w:val="0"/>
      <w:marBottom w:val="0"/>
      <w:divBdr>
        <w:top w:val="none" w:sz="0" w:space="0" w:color="auto"/>
        <w:left w:val="none" w:sz="0" w:space="0" w:color="auto"/>
        <w:bottom w:val="none" w:sz="0" w:space="0" w:color="auto"/>
        <w:right w:val="none" w:sz="0" w:space="0" w:color="auto"/>
      </w:divBdr>
    </w:div>
    <w:div w:id="1980841632">
      <w:bodyDiv w:val="1"/>
      <w:marLeft w:val="0"/>
      <w:marRight w:val="0"/>
      <w:marTop w:val="0"/>
      <w:marBottom w:val="0"/>
      <w:divBdr>
        <w:top w:val="none" w:sz="0" w:space="0" w:color="auto"/>
        <w:left w:val="none" w:sz="0" w:space="0" w:color="auto"/>
        <w:bottom w:val="none" w:sz="0" w:space="0" w:color="auto"/>
        <w:right w:val="none" w:sz="0" w:space="0" w:color="auto"/>
      </w:divBdr>
    </w:div>
    <w:div w:id="1987588701">
      <w:bodyDiv w:val="1"/>
      <w:marLeft w:val="0"/>
      <w:marRight w:val="0"/>
      <w:marTop w:val="0"/>
      <w:marBottom w:val="0"/>
      <w:divBdr>
        <w:top w:val="none" w:sz="0" w:space="0" w:color="auto"/>
        <w:left w:val="none" w:sz="0" w:space="0" w:color="auto"/>
        <w:bottom w:val="none" w:sz="0" w:space="0" w:color="auto"/>
        <w:right w:val="none" w:sz="0" w:space="0" w:color="auto"/>
      </w:divBdr>
    </w:div>
    <w:div w:id="1992557301">
      <w:bodyDiv w:val="1"/>
      <w:marLeft w:val="0"/>
      <w:marRight w:val="0"/>
      <w:marTop w:val="0"/>
      <w:marBottom w:val="0"/>
      <w:divBdr>
        <w:top w:val="none" w:sz="0" w:space="0" w:color="auto"/>
        <w:left w:val="none" w:sz="0" w:space="0" w:color="auto"/>
        <w:bottom w:val="none" w:sz="0" w:space="0" w:color="auto"/>
        <w:right w:val="none" w:sz="0" w:space="0" w:color="auto"/>
      </w:divBdr>
    </w:div>
    <w:div w:id="1994288404">
      <w:bodyDiv w:val="1"/>
      <w:marLeft w:val="0"/>
      <w:marRight w:val="0"/>
      <w:marTop w:val="0"/>
      <w:marBottom w:val="0"/>
      <w:divBdr>
        <w:top w:val="none" w:sz="0" w:space="0" w:color="auto"/>
        <w:left w:val="none" w:sz="0" w:space="0" w:color="auto"/>
        <w:bottom w:val="none" w:sz="0" w:space="0" w:color="auto"/>
        <w:right w:val="none" w:sz="0" w:space="0" w:color="auto"/>
      </w:divBdr>
    </w:div>
    <w:div w:id="1995256957">
      <w:bodyDiv w:val="1"/>
      <w:marLeft w:val="0"/>
      <w:marRight w:val="0"/>
      <w:marTop w:val="0"/>
      <w:marBottom w:val="0"/>
      <w:divBdr>
        <w:top w:val="none" w:sz="0" w:space="0" w:color="auto"/>
        <w:left w:val="none" w:sz="0" w:space="0" w:color="auto"/>
        <w:bottom w:val="none" w:sz="0" w:space="0" w:color="auto"/>
        <w:right w:val="none" w:sz="0" w:space="0" w:color="auto"/>
      </w:divBdr>
    </w:div>
    <w:div w:id="2004048490">
      <w:bodyDiv w:val="1"/>
      <w:marLeft w:val="0"/>
      <w:marRight w:val="0"/>
      <w:marTop w:val="0"/>
      <w:marBottom w:val="0"/>
      <w:divBdr>
        <w:top w:val="none" w:sz="0" w:space="0" w:color="auto"/>
        <w:left w:val="none" w:sz="0" w:space="0" w:color="auto"/>
        <w:bottom w:val="none" w:sz="0" w:space="0" w:color="auto"/>
        <w:right w:val="none" w:sz="0" w:space="0" w:color="auto"/>
      </w:divBdr>
    </w:div>
    <w:div w:id="2015262662">
      <w:bodyDiv w:val="1"/>
      <w:marLeft w:val="0"/>
      <w:marRight w:val="0"/>
      <w:marTop w:val="0"/>
      <w:marBottom w:val="0"/>
      <w:divBdr>
        <w:top w:val="none" w:sz="0" w:space="0" w:color="auto"/>
        <w:left w:val="none" w:sz="0" w:space="0" w:color="auto"/>
        <w:bottom w:val="none" w:sz="0" w:space="0" w:color="auto"/>
        <w:right w:val="none" w:sz="0" w:space="0" w:color="auto"/>
      </w:divBdr>
    </w:div>
    <w:div w:id="2017418785">
      <w:bodyDiv w:val="1"/>
      <w:marLeft w:val="0"/>
      <w:marRight w:val="0"/>
      <w:marTop w:val="0"/>
      <w:marBottom w:val="0"/>
      <w:divBdr>
        <w:top w:val="none" w:sz="0" w:space="0" w:color="auto"/>
        <w:left w:val="none" w:sz="0" w:space="0" w:color="auto"/>
        <w:bottom w:val="none" w:sz="0" w:space="0" w:color="auto"/>
        <w:right w:val="none" w:sz="0" w:space="0" w:color="auto"/>
      </w:divBdr>
    </w:div>
    <w:div w:id="2027707015">
      <w:bodyDiv w:val="1"/>
      <w:marLeft w:val="0"/>
      <w:marRight w:val="0"/>
      <w:marTop w:val="0"/>
      <w:marBottom w:val="0"/>
      <w:divBdr>
        <w:top w:val="none" w:sz="0" w:space="0" w:color="auto"/>
        <w:left w:val="none" w:sz="0" w:space="0" w:color="auto"/>
        <w:bottom w:val="none" w:sz="0" w:space="0" w:color="auto"/>
        <w:right w:val="none" w:sz="0" w:space="0" w:color="auto"/>
      </w:divBdr>
    </w:div>
    <w:div w:id="2029598753">
      <w:bodyDiv w:val="1"/>
      <w:marLeft w:val="0"/>
      <w:marRight w:val="0"/>
      <w:marTop w:val="0"/>
      <w:marBottom w:val="0"/>
      <w:divBdr>
        <w:top w:val="none" w:sz="0" w:space="0" w:color="auto"/>
        <w:left w:val="none" w:sz="0" w:space="0" w:color="auto"/>
        <w:bottom w:val="none" w:sz="0" w:space="0" w:color="auto"/>
        <w:right w:val="none" w:sz="0" w:space="0" w:color="auto"/>
      </w:divBdr>
    </w:div>
    <w:div w:id="2036495257">
      <w:bodyDiv w:val="1"/>
      <w:marLeft w:val="0"/>
      <w:marRight w:val="0"/>
      <w:marTop w:val="0"/>
      <w:marBottom w:val="0"/>
      <w:divBdr>
        <w:top w:val="none" w:sz="0" w:space="0" w:color="auto"/>
        <w:left w:val="none" w:sz="0" w:space="0" w:color="auto"/>
        <w:bottom w:val="none" w:sz="0" w:space="0" w:color="auto"/>
        <w:right w:val="none" w:sz="0" w:space="0" w:color="auto"/>
      </w:divBdr>
      <w:divsChild>
        <w:div w:id="430246868">
          <w:marLeft w:val="1829"/>
          <w:marRight w:val="0"/>
          <w:marTop w:val="144"/>
          <w:marBottom w:val="0"/>
          <w:divBdr>
            <w:top w:val="none" w:sz="0" w:space="0" w:color="auto"/>
            <w:left w:val="none" w:sz="0" w:space="0" w:color="auto"/>
            <w:bottom w:val="none" w:sz="0" w:space="0" w:color="auto"/>
            <w:right w:val="none" w:sz="0" w:space="0" w:color="auto"/>
          </w:divBdr>
        </w:div>
        <w:div w:id="1015496954">
          <w:marLeft w:val="1181"/>
          <w:marRight w:val="0"/>
          <w:marTop w:val="168"/>
          <w:marBottom w:val="0"/>
          <w:divBdr>
            <w:top w:val="none" w:sz="0" w:space="0" w:color="auto"/>
            <w:left w:val="none" w:sz="0" w:space="0" w:color="auto"/>
            <w:bottom w:val="none" w:sz="0" w:space="0" w:color="auto"/>
            <w:right w:val="none" w:sz="0" w:space="0" w:color="auto"/>
          </w:divBdr>
        </w:div>
        <w:div w:id="1051197888">
          <w:marLeft w:val="475"/>
          <w:marRight w:val="0"/>
          <w:marTop w:val="168"/>
          <w:marBottom w:val="0"/>
          <w:divBdr>
            <w:top w:val="none" w:sz="0" w:space="0" w:color="auto"/>
            <w:left w:val="none" w:sz="0" w:space="0" w:color="auto"/>
            <w:bottom w:val="none" w:sz="0" w:space="0" w:color="auto"/>
            <w:right w:val="none" w:sz="0" w:space="0" w:color="auto"/>
          </w:divBdr>
        </w:div>
        <w:div w:id="1287735591">
          <w:marLeft w:val="475"/>
          <w:marRight w:val="0"/>
          <w:marTop w:val="168"/>
          <w:marBottom w:val="0"/>
          <w:divBdr>
            <w:top w:val="none" w:sz="0" w:space="0" w:color="auto"/>
            <w:left w:val="none" w:sz="0" w:space="0" w:color="auto"/>
            <w:bottom w:val="none" w:sz="0" w:space="0" w:color="auto"/>
            <w:right w:val="none" w:sz="0" w:space="0" w:color="auto"/>
          </w:divBdr>
        </w:div>
        <w:div w:id="1307853518">
          <w:marLeft w:val="1829"/>
          <w:marRight w:val="0"/>
          <w:marTop w:val="144"/>
          <w:marBottom w:val="0"/>
          <w:divBdr>
            <w:top w:val="none" w:sz="0" w:space="0" w:color="auto"/>
            <w:left w:val="none" w:sz="0" w:space="0" w:color="auto"/>
            <w:bottom w:val="none" w:sz="0" w:space="0" w:color="auto"/>
            <w:right w:val="none" w:sz="0" w:space="0" w:color="auto"/>
          </w:divBdr>
        </w:div>
        <w:div w:id="1772234524">
          <w:marLeft w:val="1181"/>
          <w:marRight w:val="0"/>
          <w:marTop w:val="168"/>
          <w:marBottom w:val="0"/>
          <w:divBdr>
            <w:top w:val="none" w:sz="0" w:space="0" w:color="auto"/>
            <w:left w:val="none" w:sz="0" w:space="0" w:color="auto"/>
            <w:bottom w:val="none" w:sz="0" w:space="0" w:color="auto"/>
            <w:right w:val="none" w:sz="0" w:space="0" w:color="auto"/>
          </w:divBdr>
        </w:div>
        <w:div w:id="1819573323">
          <w:marLeft w:val="1829"/>
          <w:marRight w:val="0"/>
          <w:marTop w:val="144"/>
          <w:marBottom w:val="0"/>
          <w:divBdr>
            <w:top w:val="none" w:sz="0" w:space="0" w:color="auto"/>
            <w:left w:val="none" w:sz="0" w:space="0" w:color="auto"/>
            <w:bottom w:val="none" w:sz="0" w:space="0" w:color="auto"/>
            <w:right w:val="none" w:sz="0" w:space="0" w:color="auto"/>
          </w:divBdr>
        </w:div>
        <w:div w:id="1867982440">
          <w:marLeft w:val="1181"/>
          <w:marRight w:val="0"/>
          <w:marTop w:val="168"/>
          <w:marBottom w:val="0"/>
          <w:divBdr>
            <w:top w:val="none" w:sz="0" w:space="0" w:color="auto"/>
            <w:left w:val="none" w:sz="0" w:space="0" w:color="auto"/>
            <w:bottom w:val="none" w:sz="0" w:space="0" w:color="auto"/>
            <w:right w:val="none" w:sz="0" w:space="0" w:color="auto"/>
          </w:divBdr>
        </w:div>
        <w:div w:id="2044863194">
          <w:marLeft w:val="1829"/>
          <w:marRight w:val="0"/>
          <w:marTop w:val="144"/>
          <w:marBottom w:val="0"/>
          <w:divBdr>
            <w:top w:val="none" w:sz="0" w:space="0" w:color="auto"/>
            <w:left w:val="none" w:sz="0" w:space="0" w:color="auto"/>
            <w:bottom w:val="none" w:sz="0" w:space="0" w:color="auto"/>
            <w:right w:val="none" w:sz="0" w:space="0" w:color="auto"/>
          </w:divBdr>
        </w:div>
      </w:divsChild>
    </w:div>
    <w:div w:id="2041320536">
      <w:bodyDiv w:val="1"/>
      <w:marLeft w:val="0"/>
      <w:marRight w:val="0"/>
      <w:marTop w:val="0"/>
      <w:marBottom w:val="0"/>
      <w:divBdr>
        <w:top w:val="none" w:sz="0" w:space="0" w:color="auto"/>
        <w:left w:val="none" w:sz="0" w:space="0" w:color="auto"/>
        <w:bottom w:val="none" w:sz="0" w:space="0" w:color="auto"/>
        <w:right w:val="none" w:sz="0" w:space="0" w:color="auto"/>
      </w:divBdr>
    </w:div>
    <w:div w:id="2048984596">
      <w:bodyDiv w:val="1"/>
      <w:marLeft w:val="0"/>
      <w:marRight w:val="0"/>
      <w:marTop w:val="0"/>
      <w:marBottom w:val="0"/>
      <w:divBdr>
        <w:top w:val="none" w:sz="0" w:space="0" w:color="auto"/>
        <w:left w:val="none" w:sz="0" w:space="0" w:color="auto"/>
        <w:bottom w:val="none" w:sz="0" w:space="0" w:color="auto"/>
        <w:right w:val="none" w:sz="0" w:space="0" w:color="auto"/>
      </w:divBdr>
    </w:div>
    <w:div w:id="2049908296">
      <w:bodyDiv w:val="1"/>
      <w:marLeft w:val="0"/>
      <w:marRight w:val="0"/>
      <w:marTop w:val="0"/>
      <w:marBottom w:val="0"/>
      <w:divBdr>
        <w:top w:val="none" w:sz="0" w:space="0" w:color="auto"/>
        <w:left w:val="none" w:sz="0" w:space="0" w:color="auto"/>
        <w:bottom w:val="none" w:sz="0" w:space="0" w:color="auto"/>
        <w:right w:val="none" w:sz="0" w:space="0" w:color="auto"/>
      </w:divBdr>
    </w:div>
    <w:div w:id="2056854239">
      <w:marLeft w:val="0"/>
      <w:marRight w:val="0"/>
      <w:marTop w:val="0"/>
      <w:marBottom w:val="0"/>
      <w:divBdr>
        <w:top w:val="none" w:sz="0" w:space="0" w:color="auto"/>
        <w:left w:val="none" w:sz="0" w:space="0" w:color="auto"/>
        <w:bottom w:val="none" w:sz="0" w:space="0" w:color="auto"/>
        <w:right w:val="none" w:sz="0" w:space="0" w:color="auto"/>
      </w:divBdr>
    </w:div>
    <w:div w:id="2061853875">
      <w:bodyDiv w:val="1"/>
      <w:marLeft w:val="0"/>
      <w:marRight w:val="0"/>
      <w:marTop w:val="0"/>
      <w:marBottom w:val="0"/>
      <w:divBdr>
        <w:top w:val="none" w:sz="0" w:space="0" w:color="auto"/>
        <w:left w:val="none" w:sz="0" w:space="0" w:color="auto"/>
        <w:bottom w:val="none" w:sz="0" w:space="0" w:color="auto"/>
        <w:right w:val="none" w:sz="0" w:space="0" w:color="auto"/>
      </w:divBdr>
      <w:divsChild>
        <w:div w:id="724833194">
          <w:marLeft w:val="274"/>
          <w:marRight w:val="0"/>
          <w:marTop w:val="60"/>
          <w:marBottom w:val="0"/>
          <w:divBdr>
            <w:top w:val="none" w:sz="0" w:space="0" w:color="auto"/>
            <w:left w:val="none" w:sz="0" w:space="0" w:color="auto"/>
            <w:bottom w:val="none" w:sz="0" w:space="0" w:color="auto"/>
            <w:right w:val="none" w:sz="0" w:space="0" w:color="auto"/>
          </w:divBdr>
        </w:div>
        <w:div w:id="1328897840">
          <w:marLeft w:val="274"/>
          <w:marRight w:val="0"/>
          <w:marTop w:val="60"/>
          <w:marBottom w:val="0"/>
          <w:divBdr>
            <w:top w:val="none" w:sz="0" w:space="0" w:color="auto"/>
            <w:left w:val="none" w:sz="0" w:space="0" w:color="auto"/>
            <w:bottom w:val="none" w:sz="0" w:space="0" w:color="auto"/>
            <w:right w:val="none" w:sz="0" w:space="0" w:color="auto"/>
          </w:divBdr>
        </w:div>
        <w:div w:id="1578711534">
          <w:marLeft w:val="274"/>
          <w:marRight w:val="0"/>
          <w:marTop w:val="60"/>
          <w:marBottom w:val="0"/>
          <w:divBdr>
            <w:top w:val="none" w:sz="0" w:space="0" w:color="auto"/>
            <w:left w:val="none" w:sz="0" w:space="0" w:color="auto"/>
            <w:bottom w:val="none" w:sz="0" w:space="0" w:color="auto"/>
            <w:right w:val="none" w:sz="0" w:space="0" w:color="auto"/>
          </w:divBdr>
        </w:div>
        <w:div w:id="1912080953">
          <w:marLeft w:val="274"/>
          <w:marRight w:val="0"/>
          <w:marTop w:val="20"/>
          <w:marBottom w:val="0"/>
          <w:divBdr>
            <w:top w:val="none" w:sz="0" w:space="0" w:color="auto"/>
            <w:left w:val="none" w:sz="0" w:space="0" w:color="auto"/>
            <w:bottom w:val="none" w:sz="0" w:space="0" w:color="auto"/>
            <w:right w:val="none" w:sz="0" w:space="0" w:color="auto"/>
          </w:divBdr>
        </w:div>
        <w:div w:id="2042432201">
          <w:marLeft w:val="274"/>
          <w:marRight w:val="0"/>
          <w:marTop w:val="60"/>
          <w:marBottom w:val="0"/>
          <w:divBdr>
            <w:top w:val="none" w:sz="0" w:space="0" w:color="auto"/>
            <w:left w:val="none" w:sz="0" w:space="0" w:color="auto"/>
            <w:bottom w:val="none" w:sz="0" w:space="0" w:color="auto"/>
            <w:right w:val="none" w:sz="0" w:space="0" w:color="auto"/>
          </w:divBdr>
        </w:div>
        <w:div w:id="2081098272">
          <w:marLeft w:val="274"/>
          <w:marRight w:val="0"/>
          <w:marTop w:val="60"/>
          <w:marBottom w:val="0"/>
          <w:divBdr>
            <w:top w:val="none" w:sz="0" w:space="0" w:color="auto"/>
            <w:left w:val="none" w:sz="0" w:space="0" w:color="auto"/>
            <w:bottom w:val="none" w:sz="0" w:space="0" w:color="auto"/>
            <w:right w:val="none" w:sz="0" w:space="0" w:color="auto"/>
          </w:divBdr>
        </w:div>
      </w:divsChild>
    </w:div>
    <w:div w:id="2064282574">
      <w:bodyDiv w:val="1"/>
      <w:marLeft w:val="0"/>
      <w:marRight w:val="0"/>
      <w:marTop w:val="0"/>
      <w:marBottom w:val="0"/>
      <w:divBdr>
        <w:top w:val="none" w:sz="0" w:space="0" w:color="auto"/>
        <w:left w:val="none" w:sz="0" w:space="0" w:color="auto"/>
        <w:bottom w:val="none" w:sz="0" w:space="0" w:color="auto"/>
        <w:right w:val="none" w:sz="0" w:space="0" w:color="auto"/>
      </w:divBdr>
    </w:div>
    <w:div w:id="2070878988">
      <w:bodyDiv w:val="1"/>
      <w:marLeft w:val="0"/>
      <w:marRight w:val="0"/>
      <w:marTop w:val="0"/>
      <w:marBottom w:val="0"/>
      <w:divBdr>
        <w:top w:val="none" w:sz="0" w:space="0" w:color="auto"/>
        <w:left w:val="none" w:sz="0" w:space="0" w:color="auto"/>
        <w:bottom w:val="none" w:sz="0" w:space="0" w:color="auto"/>
        <w:right w:val="none" w:sz="0" w:space="0" w:color="auto"/>
      </w:divBdr>
    </w:div>
    <w:div w:id="2073574159">
      <w:bodyDiv w:val="1"/>
      <w:marLeft w:val="0"/>
      <w:marRight w:val="0"/>
      <w:marTop w:val="0"/>
      <w:marBottom w:val="0"/>
      <w:divBdr>
        <w:top w:val="none" w:sz="0" w:space="0" w:color="auto"/>
        <w:left w:val="none" w:sz="0" w:space="0" w:color="auto"/>
        <w:bottom w:val="none" w:sz="0" w:space="0" w:color="auto"/>
        <w:right w:val="none" w:sz="0" w:space="0" w:color="auto"/>
      </w:divBdr>
    </w:div>
    <w:div w:id="2074765596">
      <w:bodyDiv w:val="1"/>
      <w:marLeft w:val="0"/>
      <w:marRight w:val="0"/>
      <w:marTop w:val="0"/>
      <w:marBottom w:val="0"/>
      <w:divBdr>
        <w:top w:val="none" w:sz="0" w:space="0" w:color="auto"/>
        <w:left w:val="none" w:sz="0" w:space="0" w:color="auto"/>
        <w:bottom w:val="none" w:sz="0" w:space="0" w:color="auto"/>
        <w:right w:val="none" w:sz="0" w:space="0" w:color="auto"/>
      </w:divBdr>
    </w:div>
    <w:div w:id="2076660392">
      <w:bodyDiv w:val="1"/>
      <w:marLeft w:val="0"/>
      <w:marRight w:val="0"/>
      <w:marTop w:val="0"/>
      <w:marBottom w:val="0"/>
      <w:divBdr>
        <w:top w:val="none" w:sz="0" w:space="0" w:color="auto"/>
        <w:left w:val="none" w:sz="0" w:space="0" w:color="auto"/>
        <w:bottom w:val="none" w:sz="0" w:space="0" w:color="auto"/>
        <w:right w:val="none" w:sz="0" w:space="0" w:color="auto"/>
      </w:divBdr>
    </w:div>
    <w:div w:id="2077435744">
      <w:bodyDiv w:val="1"/>
      <w:marLeft w:val="0"/>
      <w:marRight w:val="0"/>
      <w:marTop w:val="0"/>
      <w:marBottom w:val="0"/>
      <w:divBdr>
        <w:top w:val="none" w:sz="0" w:space="0" w:color="auto"/>
        <w:left w:val="none" w:sz="0" w:space="0" w:color="auto"/>
        <w:bottom w:val="none" w:sz="0" w:space="0" w:color="auto"/>
        <w:right w:val="none" w:sz="0" w:space="0" w:color="auto"/>
      </w:divBdr>
    </w:div>
    <w:div w:id="2079089223">
      <w:bodyDiv w:val="1"/>
      <w:marLeft w:val="0"/>
      <w:marRight w:val="0"/>
      <w:marTop w:val="0"/>
      <w:marBottom w:val="0"/>
      <w:divBdr>
        <w:top w:val="none" w:sz="0" w:space="0" w:color="auto"/>
        <w:left w:val="none" w:sz="0" w:space="0" w:color="auto"/>
        <w:bottom w:val="none" w:sz="0" w:space="0" w:color="auto"/>
        <w:right w:val="none" w:sz="0" w:space="0" w:color="auto"/>
      </w:divBdr>
    </w:div>
    <w:div w:id="2081173002">
      <w:bodyDiv w:val="1"/>
      <w:marLeft w:val="0"/>
      <w:marRight w:val="0"/>
      <w:marTop w:val="0"/>
      <w:marBottom w:val="0"/>
      <w:divBdr>
        <w:top w:val="none" w:sz="0" w:space="0" w:color="auto"/>
        <w:left w:val="none" w:sz="0" w:space="0" w:color="auto"/>
        <w:bottom w:val="none" w:sz="0" w:space="0" w:color="auto"/>
        <w:right w:val="none" w:sz="0" w:space="0" w:color="auto"/>
      </w:divBdr>
    </w:div>
    <w:div w:id="2082213154">
      <w:bodyDiv w:val="1"/>
      <w:marLeft w:val="0"/>
      <w:marRight w:val="0"/>
      <w:marTop w:val="0"/>
      <w:marBottom w:val="0"/>
      <w:divBdr>
        <w:top w:val="none" w:sz="0" w:space="0" w:color="auto"/>
        <w:left w:val="none" w:sz="0" w:space="0" w:color="auto"/>
        <w:bottom w:val="none" w:sz="0" w:space="0" w:color="auto"/>
        <w:right w:val="none" w:sz="0" w:space="0" w:color="auto"/>
      </w:divBdr>
    </w:div>
    <w:div w:id="2085032604">
      <w:bodyDiv w:val="1"/>
      <w:marLeft w:val="0"/>
      <w:marRight w:val="0"/>
      <w:marTop w:val="0"/>
      <w:marBottom w:val="0"/>
      <w:divBdr>
        <w:top w:val="none" w:sz="0" w:space="0" w:color="auto"/>
        <w:left w:val="none" w:sz="0" w:space="0" w:color="auto"/>
        <w:bottom w:val="none" w:sz="0" w:space="0" w:color="auto"/>
        <w:right w:val="none" w:sz="0" w:space="0" w:color="auto"/>
      </w:divBdr>
    </w:div>
    <w:div w:id="2086685027">
      <w:bodyDiv w:val="1"/>
      <w:marLeft w:val="0"/>
      <w:marRight w:val="0"/>
      <w:marTop w:val="0"/>
      <w:marBottom w:val="0"/>
      <w:divBdr>
        <w:top w:val="none" w:sz="0" w:space="0" w:color="auto"/>
        <w:left w:val="none" w:sz="0" w:space="0" w:color="auto"/>
        <w:bottom w:val="none" w:sz="0" w:space="0" w:color="auto"/>
        <w:right w:val="none" w:sz="0" w:space="0" w:color="auto"/>
      </w:divBdr>
    </w:div>
    <w:div w:id="2088072118">
      <w:bodyDiv w:val="1"/>
      <w:marLeft w:val="0"/>
      <w:marRight w:val="0"/>
      <w:marTop w:val="0"/>
      <w:marBottom w:val="0"/>
      <w:divBdr>
        <w:top w:val="none" w:sz="0" w:space="0" w:color="auto"/>
        <w:left w:val="none" w:sz="0" w:space="0" w:color="auto"/>
        <w:bottom w:val="none" w:sz="0" w:space="0" w:color="auto"/>
        <w:right w:val="none" w:sz="0" w:space="0" w:color="auto"/>
      </w:divBdr>
    </w:div>
    <w:div w:id="2092655323">
      <w:bodyDiv w:val="1"/>
      <w:marLeft w:val="0"/>
      <w:marRight w:val="0"/>
      <w:marTop w:val="0"/>
      <w:marBottom w:val="0"/>
      <w:divBdr>
        <w:top w:val="none" w:sz="0" w:space="0" w:color="auto"/>
        <w:left w:val="none" w:sz="0" w:space="0" w:color="auto"/>
        <w:bottom w:val="none" w:sz="0" w:space="0" w:color="auto"/>
        <w:right w:val="none" w:sz="0" w:space="0" w:color="auto"/>
      </w:divBdr>
      <w:divsChild>
        <w:div w:id="821238716">
          <w:marLeft w:val="0"/>
          <w:marRight w:val="60"/>
          <w:marTop w:val="120"/>
          <w:marBottom w:val="0"/>
          <w:divBdr>
            <w:top w:val="none" w:sz="0" w:space="0" w:color="auto"/>
            <w:left w:val="none" w:sz="0" w:space="0" w:color="auto"/>
            <w:bottom w:val="none" w:sz="0" w:space="0" w:color="auto"/>
            <w:right w:val="none" w:sz="0" w:space="0" w:color="auto"/>
          </w:divBdr>
          <w:divsChild>
            <w:div w:id="1293055898">
              <w:marLeft w:val="0"/>
              <w:marRight w:val="0"/>
              <w:marTop w:val="0"/>
              <w:marBottom w:val="219"/>
              <w:divBdr>
                <w:top w:val="none" w:sz="0" w:space="0" w:color="auto"/>
                <w:left w:val="none" w:sz="0" w:space="0" w:color="auto"/>
                <w:bottom w:val="none" w:sz="0" w:space="0" w:color="auto"/>
                <w:right w:val="none" w:sz="0" w:space="0" w:color="auto"/>
              </w:divBdr>
            </w:div>
            <w:div w:id="1886405648">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 w:id="2108848656">
      <w:bodyDiv w:val="1"/>
      <w:marLeft w:val="0"/>
      <w:marRight w:val="0"/>
      <w:marTop w:val="0"/>
      <w:marBottom w:val="0"/>
      <w:divBdr>
        <w:top w:val="none" w:sz="0" w:space="0" w:color="auto"/>
        <w:left w:val="none" w:sz="0" w:space="0" w:color="auto"/>
        <w:bottom w:val="none" w:sz="0" w:space="0" w:color="auto"/>
        <w:right w:val="none" w:sz="0" w:space="0" w:color="auto"/>
      </w:divBdr>
    </w:div>
    <w:div w:id="2110422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026">
          <w:marLeft w:val="475"/>
          <w:marRight w:val="0"/>
          <w:marTop w:val="168"/>
          <w:marBottom w:val="0"/>
          <w:divBdr>
            <w:top w:val="none" w:sz="0" w:space="0" w:color="auto"/>
            <w:left w:val="none" w:sz="0" w:space="0" w:color="auto"/>
            <w:bottom w:val="none" w:sz="0" w:space="0" w:color="auto"/>
            <w:right w:val="none" w:sz="0" w:space="0" w:color="auto"/>
          </w:divBdr>
        </w:div>
        <w:div w:id="128402660">
          <w:marLeft w:val="1181"/>
          <w:marRight w:val="0"/>
          <w:marTop w:val="168"/>
          <w:marBottom w:val="0"/>
          <w:divBdr>
            <w:top w:val="none" w:sz="0" w:space="0" w:color="auto"/>
            <w:left w:val="none" w:sz="0" w:space="0" w:color="auto"/>
            <w:bottom w:val="none" w:sz="0" w:space="0" w:color="auto"/>
            <w:right w:val="none" w:sz="0" w:space="0" w:color="auto"/>
          </w:divBdr>
        </w:div>
        <w:div w:id="151721153">
          <w:marLeft w:val="475"/>
          <w:marRight w:val="0"/>
          <w:marTop w:val="168"/>
          <w:marBottom w:val="0"/>
          <w:divBdr>
            <w:top w:val="none" w:sz="0" w:space="0" w:color="auto"/>
            <w:left w:val="none" w:sz="0" w:space="0" w:color="auto"/>
            <w:bottom w:val="none" w:sz="0" w:space="0" w:color="auto"/>
            <w:right w:val="none" w:sz="0" w:space="0" w:color="auto"/>
          </w:divBdr>
        </w:div>
        <w:div w:id="273833210">
          <w:marLeft w:val="475"/>
          <w:marRight w:val="0"/>
          <w:marTop w:val="168"/>
          <w:marBottom w:val="0"/>
          <w:divBdr>
            <w:top w:val="none" w:sz="0" w:space="0" w:color="auto"/>
            <w:left w:val="none" w:sz="0" w:space="0" w:color="auto"/>
            <w:bottom w:val="none" w:sz="0" w:space="0" w:color="auto"/>
            <w:right w:val="none" w:sz="0" w:space="0" w:color="auto"/>
          </w:divBdr>
        </w:div>
        <w:div w:id="312413650">
          <w:marLeft w:val="475"/>
          <w:marRight w:val="0"/>
          <w:marTop w:val="168"/>
          <w:marBottom w:val="0"/>
          <w:divBdr>
            <w:top w:val="none" w:sz="0" w:space="0" w:color="auto"/>
            <w:left w:val="none" w:sz="0" w:space="0" w:color="auto"/>
            <w:bottom w:val="none" w:sz="0" w:space="0" w:color="auto"/>
            <w:right w:val="none" w:sz="0" w:space="0" w:color="auto"/>
          </w:divBdr>
        </w:div>
        <w:div w:id="393161784">
          <w:marLeft w:val="475"/>
          <w:marRight w:val="0"/>
          <w:marTop w:val="168"/>
          <w:marBottom w:val="0"/>
          <w:divBdr>
            <w:top w:val="none" w:sz="0" w:space="0" w:color="auto"/>
            <w:left w:val="none" w:sz="0" w:space="0" w:color="auto"/>
            <w:bottom w:val="none" w:sz="0" w:space="0" w:color="auto"/>
            <w:right w:val="none" w:sz="0" w:space="0" w:color="auto"/>
          </w:divBdr>
        </w:div>
        <w:div w:id="809328944">
          <w:marLeft w:val="475"/>
          <w:marRight w:val="0"/>
          <w:marTop w:val="168"/>
          <w:marBottom w:val="0"/>
          <w:divBdr>
            <w:top w:val="none" w:sz="0" w:space="0" w:color="auto"/>
            <w:left w:val="none" w:sz="0" w:space="0" w:color="auto"/>
            <w:bottom w:val="none" w:sz="0" w:space="0" w:color="auto"/>
            <w:right w:val="none" w:sz="0" w:space="0" w:color="auto"/>
          </w:divBdr>
        </w:div>
        <w:div w:id="1006589364">
          <w:marLeft w:val="475"/>
          <w:marRight w:val="0"/>
          <w:marTop w:val="168"/>
          <w:marBottom w:val="0"/>
          <w:divBdr>
            <w:top w:val="none" w:sz="0" w:space="0" w:color="auto"/>
            <w:left w:val="none" w:sz="0" w:space="0" w:color="auto"/>
            <w:bottom w:val="none" w:sz="0" w:space="0" w:color="auto"/>
            <w:right w:val="none" w:sz="0" w:space="0" w:color="auto"/>
          </w:divBdr>
        </w:div>
        <w:div w:id="1009991136">
          <w:marLeft w:val="475"/>
          <w:marRight w:val="0"/>
          <w:marTop w:val="168"/>
          <w:marBottom w:val="0"/>
          <w:divBdr>
            <w:top w:val="none" w:sz="0" w:space="0" w:color="auto"/>
            <w:left w:val="none" w:sz="0" w:space="0" w:color="auto"/>
            <w:bottom w:val="none" w:sz="0" w:space="0" w:color="auto"/>
            <w:right w:val="none" w:sz="0" w:space="0" w:color="auto"/>
          </w:divBdr>
        </w:div>
        <w:div w:id="1216047004">
          <w:marLeft w:val="475"/>
          <w:marRight w:val="0"/>
          <w:marTop w:val="168"/>
          <w:marBottom w:val="0"/>
          <w:divBdr>
            <w:top w:val="none" w:sz="0" w:space="0" w:color="auto"/>
            <w:left w:val="none" w:sz="0" w:space="0" w:color="auto"/>
            <w:bottom w:val="none" w:sz="0" w:space="0" w:color="auto"/>
            <w:right w:val="none" w:sz="0" w:space="0" w:color="auto"/>
          </w:divBdr>
        </w:div>
        <w:div w:id="1262033172">
          <w:marLeft w:val="475"/>
          <w:marRight w:val="0"/>
          <w:marTop w:val="168"/>
          <w:marBottom w:val="0"/>
          <w:divBdr>
            <w:top w:val="none" w:sz="0" w:space="0" w:color="auto"/>
            <w:left w:val="none" w:sz="0" w:space="0" w:color="auto"/>
            <w:bottom w:val="none" w:sz="0" w:space="0" w:color="auto"/>
            <w:right w:val="none" w:sz="0" w:space="0" w:color="auto"/>
          </w:divBdr>
        </w:div>
        <w:div w:id="1522747084">
          <w:marLeft w:val="475"/>
          <w:marRight w:val="0"/>
          <w:marTop w:val="168"/>
          <w:marBottom w:val="0"/>
          <w:divBdr>
            <w:top w:val="none" w:sz="0" w:space="0" w:color="auto"/>
            <w:left w:val="none" w:sz="0" w:space="0" w:color="auto"/>
            <w:bottom w:val="none" w:sz="0" w:space="0" w:color="auto"/>
            <w:right w:val="none" w:sz="0" w:space="0" w:color="auto"/>
          </w:divBdr>
        </w:div>
        <w:div w:id="1972638309">
          <w:marLeft w:val="475"/>
          <w:marRight w:val="0"/>
          <w:marTop w:val="168"/>
          <w:marBottom w:val="0"/>
          <w:divBdr>
            <w:top w:val="none" w:sz="0" w:space="0" w:color="auto"/>
            <w:left w:val="none" w:sz="0" w:space="0" w:color="auto"/>
            <w:bottom w:val="none" w:sz="0" w:space="0" w:color="auto"/>
            <w:right w:val="none" w:sz="0" w:space="0" w:color="auto"/>
          </w:divBdr>
        </w:div>
        <w:div w:id="2052340091">
          <w:marLeft w:val="475"/>
          <w:marRight w:val="0"/>
          <w:marTop w:val="168"/>
          <w:marBottom w:val="0"/>
          <w:divBdr>
            <w:top w:val="none" w:sz="0" w:space="0" w:color="auto"/>
            <w:left w:val="none" w:sz="0" w:space="0" w:color="auto"/>
            <w:bottom w:val="none" w:sz="0" w:space="0" w:color="auto"/>
            <w:right w:val="none" w:sz="0" w:space="0" w:color="auto"/>
          </w:divBdr>
        </w:div>
      </w:divsChild>
    </w:div>
    <w:div w:id="2111197172">
      <w:bodyDiv w:val="1"/>
      <w:marLeft w:val="0"/>
      <w:marRight w:val="0"/>
      <w:marTop w:val="0"/>
      <w:marBottom w:val="0"/>
      <w:divBdr>
        <w:top w:val="none" w:sz="0" w:space="0" w:color="auto"/>
        <w:left w:val="none" w:sz="0" w:space="0" w:color="auto"/>
        <w:bottom w:val="none" w:sz="0" w:space="0" w:color="auto"/>
        <w:right w:val="none" w:sz="0" w:space="0" w:color="auto"/>
      </w:divBdr>
    </w:div>
    <w:div w:id="2120249598">
      <w:bodyDiv w:val="1"/>
      <w:marLeft w:val="0"/>
      <w:marRight w:val="0"/>
      <w:marTop w:val="0"/>
      <w:marBottom w:val="0"/>
      <w:divBdr>
        <w:top w:val="none" w:sz="0" w:space="0" w:color="auto"/>
        <w:left w:val="none" w:sz="0" w:space="0" w:color="auto"/>
        <w:bottom w:val="none" w:sz="0" w:space="0" w:color="auto"/>
        <w:right w:val="none" w:sz="0" w:space="0" w:color="auto"/>
      </w:divBdr>
    </w:div>
    <w:div w:id="2125149366">
      <w:bodyDiv w:val="1"/>
      <w:marLeft w:val="0"/>
      <w:marRight w:val="0"/>
      <w:marTop w:val="0"/>
      <w:marBottom w:val="0"/>
      <w:divBdr>
        <w:top w:val="none" w:sz="0" w:space="0" w:color="auto"/>
        <w:left w:val="none" w:sz="0" w:space="0" w:color="auto"/>
        <w:bottom w:val="none" w:sz="0" w:space="0" w:color="auto"/>
        <w:right w:val="none" w:sz="0" w:space="0" w:color="auto"/>
      </w:divBdr>
    </w:div>
    <w:div w:id="2128694159">
      <w:bodyDiv w:val="1"/>
      <w:marLeft w:val="0"/>
      <w:marRight w:val="0"/>
      <w:marTop w:val="0"/>
      <w:marBottom w:val="0"/>
      <w:divBdr>
        <w:top w:val="none" w:sz="0" w:space="0" w:color="auto"/>
        <w:left w:val="none" w:sz="0" w:space="0" w:color="auto"/>
        <w:bottom w:val="none" w:sz="0" w:space="0" w:color="auto"/>
        <w:right w:val="none" w:sz="0" w:space="0" w:color="auto"/>
      </w:divBdr>
    </w:div>
    <w:div w:id="2136748655">
      <w:bodyDiv w:val="1"/>
      <w:marLeft w:val="0"/>
      <w:marRight w:val="0"/>
      <w:marTop w:val="0"/>
      <w:marBottom w:val="0"/>
      <w:divBdr>
        <w:top w:val="none" w:sz="0" w:space="0" w:color="auto"/>
        <w:left w:val="none" w:sz="0" w:space="0" w:color="auto"/>
        <w:bottom w:val="none" w:sz="0" w:space="0" w:color="auto"/>
        <w:right w:val="none" w:sz="0" w:space="0" w:color="auto"/>
      </w:divBdr>
    </w:div>
    <w:div w:id="2142185478">
      <w:bodyDiv w:val="1"/>
      <w:marLeft w:val="0"/>
      <w:marRight w:val="0"/>
      <w:marTop w:val="0"/>
      <w:marBottom w:val="0"/>
      <w:divBdr>
        <w:top w:val="none" w:sz="0" w:space="0" w:color="auto"/>
        <w:left w:val="none" w:sz="0" w:space="0" w:color="auto"/>
        <w:bottom w:val="none" w:sz="0" w:space="0" w:color="auto"/>
        <w:right w:val="none" w:sz="0" w:space="0" w:color="auto"/>
      </w:divBdr>
    </w:div>
    <w:div w:id="2144610847">
      <w:bodyDiv w:val="1"/>
      <w:marLeft w:val="0"/>
      <w:marRight w:val="0"/>
      <w:marTop w:val="0"/>
      <w:marBottom w:val="0"/>
      <w:divBdr>
        <w:top w:val="none" w:sz="0" w:space="0" w:color="auto"/>
        <w:left w:val="none" w:sz="0" w:space="0" w:color="auto"/>
        <w:bottom w:val="none" w:sz="0" w:space="0" w:color="auto"/>
        <w:right w:val="none" w:sz="0" w:space="0" w:color="auto"/>
      </w:divBdr>
      <w:divsChild>
        <w:div w:id="1165515976">
          <w:marLeft w:val="0"/>
          <w:marRight w:val="0"/>
          <w:marTop w:val="0"/>
          <w:marBottom w:val="81"/>
          <w:divBdr>
            <w:top w:val="none" w:sz="0" w:space="0" w:color="auto"/>
            <w:left w:val="none" w:sz="0" w:space="0" w:color="auto"/>
            <w:bottom w:val="none" w:sz="0" w:space="0" w:color="auto"/>
            <w:right w:val="none" w:sz="0" w:space="0" w:color="auto"/>
          </w:divBdr>
          <w:divsChild>
            <w:div w:id="884756254">
              <w:marLeft w:val="0"/>
              <w:marRight w:val="0"/>
              <w:marTop w:val="0"/>
              <w:marBottom w:val="0"/>
              <w:divBdr>
                <w:top w:val="none" w:sz="0" w:space="0" w:color="auto"/>
                <w:left w:val="none" w:sz="0" w:space="0" w:color="auto"/>
                <w:bottom w:val="none" w:sz="0" w:space="0" w:color="auto"/>
                <w:right w:val="none" w:sz="0" w:space="0" w:color="auto"/>
              </w:divBdr>
              <w:divsChild>
                <w:div w:id="250044274">
                  <w:marLeft w:val="0"/>
                  <w:marRight w:val="0"/>
                  <w:marTop w:val="0"/>
                  <w:marBottom w:val="0"/>
                  <w:divBdr>
                    <w:top w:val="none" w:sz="0" w:space="0" w:color="auto"/>
                    <w:left w:val="none" w:sz="0" w:space="0" w:color="auto"/>
                    <w:bottom w:val="none" w:sz="0" w:space="0" w:color="auto"/>
                    <w:right w:val="none" w:sz="0" w:space="0" w:color="auto"/>
                  </w:divBdr>
                </w:div>
              </w:divsChild>
            </w:div>
            <w:div w:id="187526844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microsoft.com/office/2007/relationships/hdphoto" Target="media/hdphoto4.wdp"/><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statistikaamy.cz/2018/07/naklady-na-dokonceny-byt-v-rodinnem-domku-34-mil-v-bytovem-dome-22-mil-kc/" TargetMode="External"/><Relationship Id="rId25" Type="http://schemas.openxmlformats.org/officeDocument/2006/relationships/hyperlink" Target="http://www.pravniprostor.cz/clanky/spravni-pravo/ht-konec-namitkam-systemove-podjatosti"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hdphoto" Target="media/hdphoto3.wdp"/><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wdp"/><Relationship Id="rId57" Type="http://schemas.openxmlformats.org/officeDocument/2006/relationships/footer" Target="footer1.xml"/><Relationship Id="rId10" Type="http://schemas.openxmlformats.org/officeDocument/2006/relationships/hyperlink" Target="http://www.statistikaamy.cz/2015/09/vzestupy-a-pady-ceskeho-stavebnictvi/"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0.PNG"/><Relationship Id="rId8" Type="http://schemas.openxmlformats.org/officeDocument/2006/relationships/footnotes" Target="footnotes.xml"/><Relationship Id="rId51" Type="http://schemas.microsoft.com/office/2007/relationships/hdphoto" Target="media/hdphoto2.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EEIP - 2">
      <a:dk1>
        <a:sysClr val="windowText" lastClr="000000"/>
      </a:dk1>
      <a:lt1>
        <a:sysClr val="window" lastClr="FFFFFF"/>
      </a:lt1>
      <a:dk2>
        <a:srgbClr val="B6B002"/>
      </a:dk2>
      <a:lt2>
        <a:srgbClr val="FFFFFF"/>
      </a:lt2>
      <a:accent1>
        <a:srgbClr val="B6B002"/>
      </a:accent1>
      <a:accent2>
        <a:srgbClr val="7F7F7F"/>
      </a:accent2>
      <a:accent3>
        <a:srgbClr val="FFFF99"/>
      </a:accent3>
      <a:accent4>
        <a:srgbClr val="800000"/>
      </a:accent4>
      <a:accent5>
        <a:srgbClr val="262626"/>
      </a:accent5>
      <a:accent6>
        <a:srgbClr val="CC7B3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D039C-47F9-4EBE-AAEC-91CAE0978647}">
  <ds:schemaRefs>
    <ds:schemaRef ds:uri="http://schemas.openxmlformats.org/officeDocument/2006/bibliography"/>
  </ds:schemaRefs>
</ds:datastoreItem>
</file>

<file path=customXml/itemProps2.xml><?xml version="1.0" encoding="utf-8"?>
<ds:datastoreItem xmlns:ds="http://schemas.openxmlformats.org/officeDocument/2006/customXml" ds:itemID="{1982A526-0E0A-4463-94DB-0E0B625AA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41986</Words>
  <Characters>247718</Characters>
  <Application>Microsoft Office Word</Application>
  <DocSecurity>0</DocSecurity>
  <Lines>2064</Lines>
  <Paragraphs>578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289126</CharactersWithSpaces>
  <SharedDoc>false</SharedDoc>
  <HLinks>
    <vt:vector size="36" baseType="variant">
      <vt:variant>
        <vt:i4>2031675</vt:i4>
      </vt:variant>
      <vt:variant>
        <vt:i4>32</vt:i4>
      </vt:variant>
      <vt:variant>
        <vt:i4>0</vt:i4>
      </vt:variant>
      <vt:variant>
        <vt:i4>5</vt:i4>
      </vt:variant>
      <vt:variant>
        <vt:lpwstr/>
      </vt:variant>
      <vt:variant>
        <vt:lpwstr>_Toc290583172</vt:lpwstr>
      </vt:variant>
      <vt:variant>
        <vt:i4>2031675</vt:i4>
      </vt:variant>
      <vt:variant>
        <vt:i4>26</vt:i4>
      </vt:variant>
      <vt:variant>
        <vt:i4>0</vt:i4>
      </vt:variant>
      <vt:variant>
        <vt:i4>5</vt:i4>
      </vt:variant>
      <vt:variant>
        <vt:lpwstr/>
      </vt:variant>
      <vt:variant>
        <vt:lpwstr>_Toc290583171</vt:lpwstr>
      </vt:variant>
      <vt:variant>
        <vt:i4>2031675</vt:i4>
      </vt:variant>
      <vt:variant>
        <vt:i4>20</vt:i4>
      </vt:variant>
      <vt:variant>
        <vt:i4>0</vt:i4>
      </vt:variant>
      <vt:variant>
        <vt:i4>5</vt:i4>
      </vt:variant>
      <vt:variant>
        <vt:lpwstr/>
      </vt:variant>
      <vt:variant>
        <vt:lpwstr>_Toc290583170</vt:lpwstr>
      </vt:variant>
      <vt:variant>
        <vt:i4>1966139</vt:i4>
      </vt:variant>
      <vt:variant>
        <vt:i4>14</vt:i4>
      </vt:variant>
      <vt:variant>
        <vt:i4>0</vt:i4>
      </vt:variant>
      <vt:variant>
        <vt:i4>5</vt:i4>
      </vt:variant>
      <vt:variant>
        <vt:lpwstr/>
      </vt:variant>
      <vt:variant>
        <vt:lpwstr>_Toc290583169</vt:lpwstr>
      </vt:variant>
      <vt:variant>
        <vt:i4>1966139</vt:i4>
      </vt:variant>
      <vt:variant>
        <vt:i4>8</vt:i4>
      </vt:variant>
      <vt:variant>
        <vt:i4>0</vt:i4>
      </vt:variant>
      <vt:variant>
        <vt:i4>5</vt:i4>
      </vt:variant>
      <vt:variant>
        <vt:lpwstr/>
      </vt:variant>
      <vt:variant>
        <vt:lpwstr>_Toc290583168</vt:lpwstr>
      </vt:variant>
      <vt:variant>
        <vt:i4>1966139</vt:i4>
      </vt:variant>
      <vt:variant>
        <vt:i4>2</vt:i4>
      </vt:variant>
      <vt:variant>
        <vt:i4>0</vt:i4>
      </vt:variant>
      <vt:variant>
        <vt:i4>5</vt:i4>
      </vt:variant>
      <vt:variant>
        <vt:lpwstr/>
      </vt:variant>
      <vt:variant>
        <vt:lpwstr>_Toc290583167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2019-02-07T06:29:00Z</dcterms:created>
  <dcterms:modified xsi:type="dcterms:W3CDTF">2019-02-07T06:29:00Z</dcterms:modified>
</cp:coreProperties>
</file>